
<file path=[Content_Types].xml><?xml version="1.0" encoding="utf-8"?>
<Types xmlns="http://schemas.openxmlformats.org/package/2006/content-types">
  <Default Extension="jpeg" ContentType="image/jpeg"/>
  <Default Extension="JPG" ContentType="image/.jp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7AF18EFA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 w:val="0"/>
        <w:spacing w:line="560" w:lineRule="exact"/>
        <w:jc w:val="center"/>
        <w:textAlignment w:val="auto"/>
        <w:rPr>
          <w:rFonts w:hint="eastAsia" w:eastAsia="宋体"/>
          <w:b/>
          <w:bCs/>
          <w:sz w:val="44"/>
          <w:szCs w:val="44"/>
          <w:lang w:val="en-US" w:eastAsia="zh-CN"/>
        </w:rPr>
      </w:pPr>
      <w:bookmarkStart w:id="0" w:name="_GoBack"/>
      <w:r>
        <w:rPr>
          <w:rFonts w:hint="eastAsia"/>
          <w:b/>
          <w:bCs/>
          <w:sz w:val="44"/>
          <w:szCs w:val="44"/>
          <w:lang w:eastAsia="zh-CN"/>
        </w:rPr>
        <w:t>浦东街西西圃森林公园南地块控制性详细规划（草案）</w:t>
      </w:r>
      <w:bookmarkEnd w:id="0"/>
      <w:r>
        <w:rPr>
          <w:rFonts w:hint="eastAsia"/>
          <w:b/>
          <w:bCs/>
          <w:sz w:val="44"/>
          <w:szCs w:val="44"/>
          <w:lang w:eastAsia="zh-CN"/>
        </w:rPr>
        <w:t>相关情况</w:t>
      </w:r>
    </w:p>
    <w:p w14:paraId="2F43E8CA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ind w:firstLine="640" w:firstLineChars="200"/>
        <w:jc w:val="left"/>
        <w:textAlignment w:val="auto"/>
        <w:rPr>
          <w:rFonts w:hint="eastAsia" w:ascii="仿宋" w:hAnsi="仿宋" w:eastAsia="仿宋" w:cs="仿宋"/>
          <w:lang w:eastAsia="zh-CN"/>
        </w:rPr>
      </w:pPr>
    </w:p>
    <w:p w14:paraId="6257DA4F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 w:val="0"/>
        <w:spacing w:line="216" w:lineRule="auto"/>
        <w:ind w:firstLine="640" w:firstLineChars="200"/>
        <w:jc w:val="left"/>
        <w:textAlignment w:val="auto"/>
        <w:rPr>
          <w:rFonts w:hint="eastAsia" w:ascii="仿宋" w:hAnsi="仿宋" w:eastAsia="仿宋" w:cs="仿宋"/>
        </w:rPr>
      </w:pPr>
      <w:r>
        <w:rPr>
          <w:rFonts w:hint="eastAsia" w:ascii="仿宋" w:hAnsi="仿宋" w:eastAsia="仿宋" w:cs="仿宋"/>
          <w:lang w:eastAsia="zh-CN"/>
        </w:rPr>
        <w:t>一、</w:t>
      </w:r>
      <w:r>
        <w:rPr>
          <w:rFonts w:hint="eastAsia" w:ascii="仿宋" w:hAnsi="仿宋" w:eastAsia="仿宋" w:cs="仿宋"/>
        </w:rPr>
        <w:t>宗地情况：规划项目位于佳木斯市区，用地北至</w:t>
      </w:r>
      <w:r>
        <w:rPr>
          <w:rFonts w:hint="eastAsia" w:ascii="仿宋" w:hAnsi="仿宋" w:eastAsia="仿宋" w:cs="仿宋"/>
          <w:lang w:val="en-US" w:eastAsia="zh-CN"/>
        </w:rPr>
        <w:t>西圃森林公园</w:t>
      </w:r>
      <w:r>
        <w:rPr>
          <w:rFonts w:hint="eastAsia" w:ascii="仿宋" w:hAnsi="仿宋" w:eastAsia="仿宋" w:cs="仿宋"/>
        </w:rPr>
        <w:t>、南至</w:t>
      </w:r>
      <w:r>
        <w:rPr>
          <w:rFonts w:hint="eastAsia" w:ascii="仿宋" w:hAnsi="仿宋" w:eastAsia="仿宋" w:cs="仿宋"/>
          <w:lang w:val="en-US" w:eastAsia="zh-CN"/>
        </w:rPr>
        <w:t>公北</w:t>
      </w:r>
      <w:r>
        <w:rPr>
          <w:rFonts w:hint="eastAsia" w:ascii="仿宋" w:hAnsi="仿宋" w:eastAsia="仿宋" w:cs="仿宋"/>
        </w:rPr>
        <w:t>路、西邻</w:t>
      </w:r>
      <w:r>
        <w:rPr>
          <w:rFonts w:hint="eastAsia" w:ascii="仿宋" w:hAnsi="仿宋" w:eastAsia="仿宋" w:cs="仿宋"/>
          <w:lang w:val="en-US" w:eastAsia="zh-CN"/>
        </w:rPr>
        <w:t>烈士陵园</w:t>
      </w:r>
      <w:r>
        <w:rPr>
          <w:rFonts w:hint="eastAsia" w:ascii="仿宋" w:hAnsi="仿宋" w:eastAsia="仿宋" w:cs="仿宋"/>
        </w:rPr>
        <w:t>、东至</w:t>
      </w:r>
      <w:r>
        <w:rPr>
          <w:rFonts w:hint="eastAsia" w:ascii="仿宋" w:hAnsi="仿宋" w:eastAsia="仿宋" w:cs="仿宋"/>
          <w:lang w:val="en-US" w:eastAsia="zh-CN"/>
        </w:rPr>
        <w:t>浦东街</w:t>
      </w:r>
      <w:r>
        <w:rPr>
          <w:rFonts w:hint="eastAsia" w:ascii="仿宋" w:hAnsi="仿宋" w:eastAsia="仿宋" w:cs="仿宋"/>
        </w:rPr>
        <w:t>，规划用地面积约</w:t>
      </w:r>
      <w:r>
        <w:rPr>
          <w:rFonts w:hint="eastAsia" w:ascii="仿宋" w:hAnsi="仿宋" w:eastAsia="仿宋" w:cs="仿宋"/>
          <w:lang w:val="en-US" w:eastAsia="zh-CN"/>
        </w:rPr>
        <w:t>5.59</w:t>
      </w:r>
      <w:r>
        <w:rPr>
          <w:rFonts w:hint="eastAsia" w:ascii="仿宋" w:hAnsi="仿宋" w:eastAsia="仿宋" w:cs="仿宋"/>
        </w:rPr>
        <w:t>公顷。</w:t>
      </w:r>
    </w:p>
    <w:p w14:paraId="7D84C40E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 w:val="0"/>
        <w:spacing w:line="216" w:lineRule="auto"/>
        <w:ind w:left="640" w:leftChars="200" w:firstLine="0" w:firstLineChars="0"/>
        <w:jc w:val="left"/>
        <w:textAlignment w:val="auto"/>
        <w:rPr>
          <w:rFonts w:hint="eastAsia" w:ascii="仿宋" w:hAnsi="仿宋" w:eastAsia="仿宋" w:cs="仿宋"/>
          <w:lang w:eastAsia="zh-CN"/>
        </w:rPr>
      </w:pPr>
      <w:r>
        <w:rPr>
          <w:rFonts w:hint="eastAsia" w:ascii="仿宋" w:hAnsi="仿宋" w:eastAsia="仿宋" w:cs="仿宋"/>
          <w:lang w:eastAsia="zh-CN"/>
        </w:rPr>
        <w:t>二、</w:t>
      </w:r>
      <w:r>
        <w:rPr>
          <w:rFonts w:hint="eastAsia" w:ascii="仿宋" w:hAnsi="仿宋" w:eastAsia="仿宋" w:cs="仿宋"/>
        </w:rPr>
        <w:t>规划情况：</w:t>
      </w:r>
    </w:p>
    <w:p w14:paraId="643AFC02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 w:val="0"/>
        <w:spacing w:line="216" w:lineRule="auto"/>
        <w:ind w:left="640" w:leftChars="200" w:firstLine="0" w:firstLineChars="0"/>
        <w:jc w:val="left"/>
        <w:textAlignment w:val="auto"/>
        <w:rPr>
          <w:rFonts w:hint="eastAsia" w:ascii="仿宋" w:hAnsi="仿宋" w:eastAsia="仿宋" w:cs="仿宋"/>
          <w:lang w:eastAsia="zh-CN"/>
        </w:rPr>
      </w:pPr>
      <w:r>
        <w:rPr>
          <w:rFonts w:hint="eastAsia" w:ascii="仿宋" w:hAnsi="仿宋" w:eastAsia="仿宋" w:cs="仿宋"/>
        </w:rPr>
        <w:t>（</w:t>
      </w:r>
      <w:r>
        <w:rPr>
          <w:rFonts w:hint="eastAsia" w:ascii="仿宋" w:hAnsi="仿宋" w:eastAsia="仿宋" w:cs="仿宋"/>
          <w:lang w:eastAsia="zh-CN"/>
        </w:rPr>
        <w:t>一</w:t>
      </w:r>
      <w:r>
        <w:rPr>
          <w:rFonts w:hint="eastAsia" w:ascii="仿宋" w:hAnsi="仿宋" w:eastAsia="仿宋" w:cs="仿宋"/>
        </w:rPr>
        <w:t>）用地性质的确定</w:t>
      </w:r>
    </w:p>
    <w:p w14:paraId="5D32DFCD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 w:val="0"/>
        <w:spacing w:line="216" w:lineRule="auto"/>
        <w:ind w:firstLine="640" w:firstLineChars="200"/>
        <w:jc w:val="left"/>
        <w:textAlignment w:val="auto"/>
        <w:rPr>
          <w:rFonts w:hint="eastAsia" w:ascii="仿宋" w:hAnsi="仿宋" w:eastAsia="仿宋" w:cs="仿宋"/>
          <w:lang w:val="en-US" w:eastAsia="zh-CN"/>
        </w:rPr>
      </w:pPr>
      <w:r>
        <w:rPr>
          <w:rFonts w:hint="eastAsia" w:ascii="仿宋" w:hAnsi="仿宋" w:eastAsia="仿宋" w:cs="仿宋"/>
          <w:lang w:eastAsia="zh-CN"/>
        </w:rPr>
        <w:t>本次规划确定</w:t>
      </w:r>
      <w:r>
        <w:rPr>
          <w:rFonts w:hint="eastAsia" w:ascii="仿宋" w:hAnsi="仿宋" w:eastAsia="仿宋" w:cs="仿宋"/>
          <w:lang w:val="en-US" w:eastAsia="zh-CN"/>
        </w:rPr>
        <w:t>01-01地块为机关团体用地，用地面积2.81公顷；01-02地块为机关团体用地，用地面积0.52公顷；01-03地块为社会福利用地，用地面积1.14公顷；01-04地块为城镇住宅/社会福利混合用地，用地面积0.41公顷。</w:t>
      </w:r>
    </w:p>
    <w:p w14:paraId="58AB2AE2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 w:val="0"/>
        <w:spacing w:line="216" w:lineRule="auto"/>
        <w:ind w:left="640" w:leftChars="200" w:firstLine="0" w:firstLineChars="0"/>
        <w:jc w:val="left"/>
        <w:textAlignment w:val="auto"/>
        <w:rPr>
          <w:rFonts w:hint="default"/>
          <w:lang w:val="en-US" w:eastAsia="zh-CN"/>
        </w:rPr>
      </w:pPr>
      <w:r>
        <w:rPr>
          <w:rFonts w:hint="eastAsia" w:ascii="仿宋" w:hAnsi="仿宋" w:eastAsia="仿宋" w:cs="仿宋"/>
          <w:lang w:eastAsia="zh-CN"/>
        </w:rPr>
        <w:t>（</w:t>
      </w:r>
      <w:r>
        <w:rPr>
          <w:rFonts w:hint="eastAsia" w:ascii="仿宋" w:hAnsi="仿宋" w:eastAsia="仿宋" w:cs="仿宋"/>
          <w:lang w:val="en-US" w:eastAsia="zh-CN"/>
        </w:rPr>
        <w:t>二</w:t>
      </w:r>
      <w:r>
        <w:rPr>
          <w:rFonts w:hint="eastAsia" w:ascii="仿宋" w:hAnsi="仿宋" w:eastAsia="仿宋" w:cs="仿宋"/>
          <w:lang w:eastAsia="zh-CN"/>
        </w:rPr>
        <w:t>）</w:t>
      </w:r>
      <w:r>
        <w:rPr>
          <w:rFonts w:hint="eastAsia" w:ascii="仿宋" w:hAnsi="仿宋" w:eastAsia="仿宋" w:cs="仿宋"/>
        </w:rPr>
        <w:t>规划指标表</w:t>
      </w:r>
      <w:r>
        <w:rPr>
          <w:rFonts w:hint="eastAsia" w:ascii="仿宋" w:hAnsi="仿宋" w:eastAsia="仿宋" w:cs="仿宋"/>
        </w:rPr>
        <w:drawing>
          <wp:inline distT="0" distB="0" distL="114300" distR="114300">
            <wp:extent cx="304800" cy="304800"/>
            <wp:effectExtent l="0" t="0" r="0" b="0"/>
            <wp:docPr id="2" name="图片 2" descr="IMG_25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图片 2" descr="IMG_256"/>
                    <pic:cNvPicPr>
                      <a:picLocks noChangeAspect="1"/>
                    </pic:cNvPicPr>
                  </pic:nvPicPr>
                  <pic:blipFill>
                    <a:blip r:embed="rId4"/>
                    <a:stretch>
                      <a:fillRect/>
                    </a:stretch>
                  </pic:blipFill>
                  <pic:spPr>
                    <a:xfrm>
                      <a:off x="0" y="0"/>
                      <a:ext cx="304800" cy="304800"/>
                    </a:xfrm>
                    <a:prstGeom prst="rect">
                      <a:avLst/>
                    </a:prstGeom>
                    <a:noFill/>
                    <a:ln w="9525">
                      <a:noFill/>
                    </a:ln>
                  </pic:spPr>
                </pic:pic>
              </a:graphicData>
            </a:graphic>
          </wp:inline>
        </w:drawing>
      </w:r>
    </w:p>
    <w:tbl>
      <w:tblPr>
        <w:tblStyle w:val="9"/>
        <w:tblW w:w="13795" w:type="dxa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879"/>
        <w:gridCol w:w="1577"/>
        <w:gridCol w:w="1017"/>
        <w:gridCol w:w="1233"/>
        <w:gridCol w:w="1500"/>
        <w:gridCol w:w="2017"/>
        <w:gridCol w:w="1183"/>
        <w:gridCol w:w="2511"/>
        <w:gridCol w:w="878"/>
      </w:tblGrid>
      <w:tr w14:paraId="3A7252F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08" w:hRule="atLeast"/>
          <w:jc w:val="center"/>
        </w:trPr>
        <w:tc>
          <w:tcPr>
            <w:tcW w:w="1879" w:type="dxa"/>
            <w:vMerge w:val="restart"/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  <w:noWrap w:val="0"/>
            <w:vAlign w:val="center"/>
          </w:tcPr>
          <w:p w14:paraId="7C33075D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16" w:lineRule="auto"/>
              <w:jc w:val="center"/>
              <w:textAlignment w:val="auto"/>
              <w:rPr>
                <w:rFonts w:hint="eastAsia" w:ascii="仿宋_GB2312" w:hAnsi="仿宋_GB2312" w:eastAsia="仿宋_GB2312" w:cs="仿宋_GB2312"/>
                <w:sz w:val="24"/>
              </w:rPr>
            </w:pPr>
            <w:r>
              <w:rPr>
                <w:rFonts w:hint="eastAsia" w:ascii="仿宋_GB2312" w:hAnsi="仿宋_GB2312" w:eastAsia="仿宋_GB2312" w:cs="仿宋_GB2312"/>
                <w:sz w:val="24"/>
              </w:rPr>
              <w:t>用地</w:t>
            </w:r>
          </w:p>
          <w:p w14:paraId="1EBC3F0F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16" w:lineRule="auto"/>
              <w:jc w:val="center"/>
              <w:textAlignment w:val="auto"/>
              <w:rPr>
                <w:rFonts w:hint="eastAsia" w:ascii="仿宋_GB2312" w:hAnsi="仿宋_GB2312" w:eastAsia="仿宋_GB2312" w:cs="仿宋_GB2312"/>
                <w:sz w:val="24"/>
              </w:rPr>
            </w:pPr>
            <w:r>
              <w:rPr>
                <w:rFonts w:hint="eastAsia" w:ascii="仿宋_GB2312" w:hAnsi="仿宋_GB2312" w:eastAsia="仿宋_GB2312" w:cs="仿宋_GB2312"/>
                <w:sz w:val="24"/>
              </w:rPr>
              <w:t>性质</w:t>
            </w:r>
          </w:p>
        </w:tc>
        <w:tc>
          <w:tcPr>
            <w:tcW w:w="1577" w:type="dxa"/>
            <w:vMerge w:val="restart"/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  <w:noWrap w:val="0"/>
            <w:vAlign w:val="center"/>
          </w:tcPr>
          <w:p w14:paraId="60F59A48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16" w:lineRule="auto"/>
              <w:jc w:val="center"/>
              <w:textAlignment w:val="auto"/>
              <w:rPr>
                <w:rFonts w:hint="eastAsia" w:ascii="仿宋_GB2312" w:hAnsi="仿宋_GB2312" w:eastAsia="仿宋_GB2312" w:cs="仿宋_GB2312"/>
                <w:sz w:val="24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4"/>
              </w:rPr>
              <w:t>规划用地面积</w:t>
            </w:r>
            <w:r>
              <w:rPr>
                <w:rFonts w:hint="eastAsia" w:ascii="仿宋_GB2312" w:hAnsi="仿宋_GB2312" w:eastAsia="仿宋_GB2312" w:cs="仿宋_GB2312"/>
                <w:sz w:val="24"/>
              </w:rPr>
              <w:t>（hm</w:t>
            </w:r>
            <w:r>
              <w:rPr>
                <w:rFonts w:hint="eastAsia" w:ascii="仿宋_GB2312" w:hAnsi="仿宋_GB2312" w:eastAsia="仿宋_GB2312" w:cs="仿宋_GB2312"/>
                <w:sz w:val="24"/>
                <w:vertAlign w:val="superscript"/>
              </w:rPr>
              <w:t>2</w:t>
            </w:r>
            <w:r>
              <w:rPr>
                <w:rFonts w:hint="eastAsia" w:ascii="仿宋_GB2312" w:hAnsi="仿宋_GB2312" w:eastAsia="仿宋_GB2312" w:cs="仿宋_GB2312"/>
                <w:sz w:val="24"/>
              </w:rPr>
              <w:t>）</w:t>
            </w:r>
          </w:p>
        </w:tc>
        <w:tc>
          <w:tcPr>
            <w:tcW w:w="1017" w:type="dxa"/>
            <w:vMerge w:val="restart"/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  <w:noWrap w:val="0"/>
            <w:vAlign w:val="center"/>
          </w:tcPr>
          <w:p w14:paraId="7E974A19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16" w:lineRule="auto"/>
              <w:jc w:val="center"/>
              <w:textAlignment w:val="auto"/>
              <w:rPr>
                <w:rFonts w:hint="eastAsia" w:ascii="仿宋_GB2312" w:hAnsi="仿宋_GB2312" w:eastAsia="仿宋_GB2312" w:cs="仿宋_GB2312"/>
                <w:sz w:val="24"/>
              </w:rPr>
            </w:pPr>
            <w:r>
              <w:rPr>
                <w:rFonts w:hint="eastAsia" w:ascii="仿宋_GB2312" w:hAnsi="仿宋_GB2312" w:eastAsia="仿宋_GB2312" w:cs="仿宋_GB2312"/>
                <w:sz w:val="24"/>
              </w:rPr>
              <w:t>容积率</w:t>
            </w:r>
          </w:p>
        </w:tc>
        <w:tc>
          <w:tcPr>
            <w:tcW w:w="1233" w:type="dxa"/>
            <w:vMerge w:val="restart"/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  <w:noWrap w:val="0"/>
            <w:vAlign w:val="center"/>
          </w:tcPr>
          <w:p w14:paraId="6F978391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16" w:lineRule="auto"/>
              <w:jc w:val="center"/>
              <w:textAlignment w:val="auto"/>
              <w:rPr>
                <w:rFonts w:hint="eastAsia" w:ascii="仿宋_GB2312" w:hAnsi="仿宋_GB2312" w:eastAsia="仿宋_GB2312" w:cs="仿宋_GB2312"/>
                <w:sz w:val="24"/>
                <w:lang w:eastAsia="zh-CN"/>
              </w:rPr>
            </w:pPr>
            <w:r>
              <w:rPr>
                <w:rFonts w:hint="eastAsia" w:ascii="仿宋_GB2312" w:hAnsi="仿宋_GB2312" w:eastAsia="仿宋_GB2312" w:cs="仿宋_GB2312"/>
                <w:sz w:val="24"/>
              </w:rPr>
              <w:t>建筑</w:t>
            </w:r>
            <w:r>
              <w:rPr>
                <w:rFonts w:hint="eastAsia" w:ascii="仿宋_GB2312" w:hAnsi="仿宋_GB2312" w:eastAsia="仿宋_GB2312" w:cs="仿宋_GB2312"/>
                <w:sz w:val="24"/>
                <w:lang w:eastAsia="zh-CN"/>
              </w:rPr>
              <w:t>系数</w:t>
            </w:r>
          </w:p>
          <w:p w14:paraId="3B874FC8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16" w:lineRule="auto"/>
              <w:jc w:val="center"/>
              <w:textAlignment w:val="auto"/>
              <w:rPr>
                <w:rFonts w:hint="eastAsia" w:ascii="仿宋_GB2312" w:hAnsi="仿宋_GB2312" w:eastAsia="仿宋_GB2312" w:cs="仿宋_GB2312"/>
                <w:sz w:val="24"/>
              </w:rPr>
            </w:pPr>
            <w:r>
              <w:rPr>
                <w:rFonts w:hint="eastAsia" w:ascii="仿宋_GB2312" w:hAnsi="仿宋_GB2312" w:eastAsia="仿宋_GB2312" w:cs="仿宋_GB2312"/>
                <w:sz w:val="24"/>
              </w:rPr>
              <w:t>（%）</w:t>
            </w:r>
          </w:p>
        </w:tc>
        <w:tc>
          <w:tcPr>
            <w:tcW w:w="1500" w:type="dxa"/>
            <w:vMerge w:val="restart"/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  <w:noWrap w:val="0"/>
            <w:vAlign w:val="center"/>
          </w:tcPr>
          <w:p w14:paraId="4BB587A5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16" w:lineRule="auto"/>
              <w:jc w:val="center"/>
              <w:textAlignment w:val="auto"/>
              <w:rPr>
                <w:rFonts w:hint="eastAsia" w:ascii="仿宋_GB2312" w:hAnsi="仿宋_GB2312" w:eastAsia="仿宋_GB2312" w:cs="仿宋_GB2312"/>
                <w:sz w:val="24"/>
              </w:rPr>
            </w:pPr>
            <w:r>
              <w:rPr>
                <w:rFonts w:hint="eastAsia" w:ascii="仿宋_GB2312" w:hAnsi="仿宋_GB2312" w:eastAsia="仿宋_GB2312" w:cs="仿宋_GB2312"/>
                <w:sz w:val="24"/>
              </w:rPr>
              <w:t>绿地率（%）</w:t>
            </w:r>
          </w:p>
        </w:tc>
        <w:tc>
          <w:tcPr>
            <w:tcW w:w="2017" w:type="dxa"/>
            <w:vMerge w:val="restart"/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  <w:noWrap w:val="0"/>
            <w:vAlign w:val="center"/>
          </w:tcPr>
          <w:p w14:paraId="2B45EC5F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16" w:lineRule="auto"/>
              <w:jc w:val="center"/>
              <w:textAlignment w:val="auto"/>
              <w:rPr>
                <w:rFonts w:hint="eastAsia" w:ascii="仿宋_GB2312" w:hAnsi="仿宋_GB2312" w:eastAsia="仿宋_GB2312" w:cs="仿宋_GB2312"/>
                <w:sz w:val="24"/>
              </w:rPr>
            </w:pPr>
            <w:r>
              <w:rPr>
                <w:rFonts w:hint="eastAsia" w:ascii="仿宋_GB2312" w:hAnsi="仿宋_GB2312" w:eastAsia="仿宋_GB2312" w:cs="仿宋_GB2312"/>
                <w:sz w:val="24"/>
              </w:rPr>
              <w:t>车位（个）</w:t>
            </w:r>
          </w:p>
          <w:p w14:paraId="48098D40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16" w:lineRule="auto"/>
              <w:jc w:val="center"/>
              <w:textAlignment w:val="auto"/>
              <w:rPr>
                <w:rFonts w:hint="eastAsia" w:ascii="仿宋_GB2312" w:hAnsi="仿宋_GB2312" w:eastAsia="仿宋_GB2312" w:cs="仿宋_GB2312"/>
                <w:sz w:val="24"/>
              </w:rPr>
            </w:pPr>
            <w:r>
              <w:rPr>
                <w:rFonts w:hint="eastAsia" w:ascii="仿宋_GB2312" w:hAnsi="仿宋_GB2312" w:eastAsia="仿宋_GB2312" w:cs="仿宋_GB2312"/>
                <w:sz w:val="24"/>
              </w:rPr>
              <w:t>含地下</w:t>
            </w:r>
          </w:p>
        </w:tc>
        <w:tc>
          <w:tcPr>
            <w:tcW w:w="1183" w:type="dxa"/>
            <w:vMerge w:val="restart"/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  <w:noWrap w:val="0"/>
            <w:vAlign w:val="center"/>
          </w:tcPr>
          <w:p w14:paraId="24F5A68E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16" w:lineRule="auto"/>
              <w:jc w:val="center"/>
              <w:textAlignment w:val="auto"/>
              <w:rPr>
                <w:rFonts w:hint="eastAsia" w:ascii="仿宋_GB2312" w:hAnsi="仿宋_GB2312" w:eastAsia="仿宋_GB2312" w:cs="仿宋_GB2312"/>
                <w:sz w:val="24"/>
              </w:rPr>
            </w:pPr>
            <w:r>
              <w:rPr>
                <w:rFonts w:hint="eastAsia" w:ascii="仿宋_GB2312" w:hAnsi="仿宋_GB2312" w:eastAsia="仿宋_GB2312" w:cs="仿宋_GB2312"/>
                <w:sz w:val="24"/>
              </w:rPr>
              <w:t>建筑限高</w:t>
            </w:r>
          </w:p>
          <w:p w14:paraId="5F67D118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16" w:lineRule="auto"/>
              <w:jc w:val="center"/>
              <w:textAlignment w:val="auto"/>
              <w:rPr>
                <w:rFonts w:hint="eastAsia" w:ascii="仿宋_GB2312" w:hAnsi="仿宋_GB2312" w:eastAsia="仿宋_GB2312" w:cs="仿宋_GB2312"/>
                <w:sz w:val="24"/>
              </w:rPr>
            </w:pPr>
            <w:r>
              <w:rPr>
                <w:rFonts w:hint="eastAsia" w:ascii="仿宋_GB2312" w:hAnsi="仿宋_GB2312" w:eastAsia="仿宋_GB2312" w:cs="仿宋_GB2312"/>
                <w:sz w:val="24"/>
              </w:rPr>
              <w:t>（m）</w:t>
            </w:r>
          </w:p>
        </w:tc>
        <w:tc>
          <w:tcPr>
            <w:tcW w:w="2511" w:type="dxa"/>
            <w:vMerge w:val="restart"/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  <w:noWrap w:val="0"/>
            <w:vAlign w:val="center"/>
          </w:tcPr>
          <w:p w14:paraId="4360860D">
            <w:pPr>
              <w:spacing w:line="160" w:lineRule="atLeast"/>
              <w:jc w:val="center"/>
              <w:rPr>
                <w:rFonts w:ascii="Calibri" w:hAnsi="Calibri"/>
                <w:color w:val="000000"/>
                <w:sz w:val="24"/>
              </w:rPr>
            </w:pPr>
            <w:r>
              <w:rPr>
                <w:rFonts w:hint="eastAsia" w:ascii="Calibri" w:hAnsi="Calibri"/>
                <w:color w:val="000000"/>
                <w:sz w:val="24"/>
              </w:rPr>
              <w:t>建筑退界距离</w:t>
            </w:r>
          </w:p>
          <w:p w14:paraId="1EC18EF4">
            <w:pPr>
              <w:spacing w:line="160" w:lineRule="atLeast"/>
              <w:jc w:val="center"/>
              <w:rPr>
                <w:rFonts w:hint="eastAsia" w:ascii="仿宋_GB2312" w:hAnsi="仿宋_GB2312" w:eastAsia="仿宋_GB2312" w:cs="仿宋_GB2312"/>
                <w:sz w:val="24"/>
              </w:rPr>
            </w:pPr>
            <w:r>
              <w:rPr>
                <w:rFonts w:hint="eastAsia" w:ascii="Calibri" w:hAnsi="Calibri"/>
                <w:color w:val="000000"/>
                <w:sz w:val="24"/>
              </w:rPr>
              <w:t>（m）(道路)</w:t>
            </w:r>
          </w:p>
        </w:tc>
        <w:tc>
          <w:tcPr>
            <w:tcW w:w="878" w:type="dxa"/>
            <w:vMerge w:val="restart"/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  <w:noWrap w:val="0"/>
            <w:vAlign w:val="center"/>
          </w:tcPr>
          <w:p w14:paraId="66A29DFD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16" w:lineRule="auto"/>
              <w:jc w:val="center"/>
              <w:textAlignment w:val="auto"/>
              <w:rPr>
                <w:rFonts w:hint="eastAsia" w:ascii="仿宋_GB2312" w:hAnsi="仿宋_GB2312" w:eastAsia="仿宋_GB2312" w:cs="仿宋_GB2312"/>
                <w:color w:val="000000"/>
                <w:sz w:val="24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4"/>
              </w:rPr>
              <w:t>配套设施</w:t>
            </w:r>
          </w:p>
        </w:tc>
      </w:tr>
      <w:tr w14:paraId="28B8FA8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2" w:hRule="atLeast"/>
          <w:jc w:val="center"/>
        </w:trPr>
        <w:tc>
          <w:tcPr>
            <w:tcW w:w="1879" w:type="dxa"/>
            <w:vMerge w:val="continue"/>
            <w:tcBorders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4F908342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16" w:lineRule="auto"/>
              <w:jc w:val="center"/>
              <w:textAlignment w:val="auto"/>
              <w:rPr>
                <w:rFonts w:hint="eastAsia" w:ascii="仿宋_GB2312" w:hAnsi="仿宋_GB2312" w:eastAsia="仿宋_GB2312" w:cs="仿宋_GB2312"/>
                <w:sz w:val="24"/>
              </w:rPr>
            </w:pPr>
          </w:p>
        </w:tc>
        <w:tc>
          <w:tcPr>
            <w:tcW w:w="1577" w:type="dxa"/>
            <w:vMerge w:val="continue"/>
            <w:tcBorders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2E3E133C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16" w:lineRule="auto"/>
              <w:jc w:val="center"/>
              <w:textAlignment w:val="auto"/>
              <w:rPr>
                <w:rFonts w:hint="eastAsia" w:ascii="仿宋_GB2312" w:hAnsi="仿宋_GB2312" w:eastAsia="仿宋_GB2312" w:cs="仿宋_GB2312"/>
                <w:sz w:val="24"/>
              </w:rPr>
            </w:pPr>
          </w:p>
        </w:tc>
        <w:tc>
          <w:tcPr>
            <w:tcW w:w="1017" w:type="dxa"/>
            <w:vMerge w:val="continue"/>
            <w:tcBorders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1A206B7E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16" w:lineRule="auto"/>
              <w:jc w:val="center"/>
              <w:textAlignment w:val="auto"/>
              <w:rPr>
                <w:rFonts w:hint="eastAsia" w:ascii="仿宋_GB2312" w:hAnsi="仿宋_GB2312" w:eastAsia="仿宋_GB2312" w:cs="仿宋_GB2312"/>
                <w:sz w:val="24"/>
              </w:rPr>
            </w:pPr>
          </w:p>
        </w:tc>
        <w:tc>
          <w:tcPr>
            <w:tcW w:w="1233" w:type="dxa"/>
            <w:vMerge w:val="continue"/>
            <w:tcBorders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1EFBEEC0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16" w:lineRule="auto"/>
              <w:jc w:val="center"/>
              <w:textAlignment w:val="auto"/>
              <w:rPr>
                <w:rFonts w:hint="eastAsia" w:ascii="仿宋_GB2312" w:hAnsi="仿宋_GB2312" w:eastAsia="仿宋_GB2312" w:cs="仿宋_GB2312"/>
                <w:sz w:val="24"/>
              </w:rPr>
            </w:pPr>
          </w:p>
        </w:tc>
        <w:tc>
          <w:tcPr>
            <w:tcW w:w="1500" w:type="dxa"/>
            <w:vMerge w:val="continue"/>
            <w:tcBorders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7D57BEE4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16" w:lineRule="auto"/>
              <w:jc w:val="center"/>
              <w:textAlignment w:val="auto"/>
              <w:rPr>
                <w:rFonts w:hint="eastAsia" w:ascii="仿宋_GB2312" w:hAnsi="仿宋_GB2312" w:eastAsia="仿宋_GB2312" w:cs="仿宋_GB2312"/>
                <w:sz w:val="24"/>
              </w:rPr>
            </w:pPr>
          </w:p>
        </w:tc>
        <w:tc>
          <w:tcPr>
            <w:tcW w:w="2017" w:type="dxa"/>
            <w:vMerge w:val="continue"/>
            <w:tcBorders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7E4E9ECE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16" w:lineRule="auto"/>
              <w:jc w:val="center"/>
              <w:textAlignment w:val="auto"/>
              <w:rPr>
                <w:rFonts w:hint="eastAsia" w:ascii="仿宋_GB2312" w:hAnsi="仿宋_GB2312" w:eastAsia="仿宋_GB2312" w:cs="仿宋_GB2312"/>
                <w:sz w:val="24"/>
              </w:rPr>
            </w:pPr>
          </w:p>
        </w:tc>
        <w:tc>
          <w:tcPr>
            <w:tcW w:w="1183" w:type="dxa"/>
            <w:vMerge w:val="continue"/>
            <w:tcBorders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5A8A956C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16" w:lineRule="auto"/>
              <w:jc w:val="center"/>
              <w:textAlignment w:val="auto"/>
              <w:rPr>
                <w:rFonts w:hint="eastAsia" w:ascii="仿宋_GB2312" w:hAnsi="仿宋_GB2312" w:eastAsia="仿宋_GB2312" w:cs="仿宋_GB2312"/>
                <w:sz w:val="24"/>
              </w:rPr>
            </w:pPr>
          </w:p>
        </w:tc>
        <w:tc>
          <w:tcPr>
            <w:tcW w:w="2511" w:type="dxa"/>
            <w:vMerge w:val="continue"/>
            <w:tcBorders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3195B6B4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16" w:lineRule="auto"/>
              <w:jc w:val="center"/>
              <w:textAlignment w:val="auto"/>
              <w:rPr>
                <w:rFonts w:hint="eastAsia" w:ascii="仿宋_GB2312" w:hAnsi="仿宋_GB2312" w:eastAsia="仿宋_GB2312" w:cs="仿宋_GB2312"/>
                <w:sz w:val="24"/>
              </w:rPr>
            </w:pPr>
          </w:p>
        </w:tc>
        <w:tc>
          <w:tcPr>
            <w:tcW w:w="878" w:type="dxa"/>
            <w:vMerge w:val="continue"/>
            <w:tcBorders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0343D14A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16" w:lineRule="auto"/>
              <w:jc w:val="center"/>
              <w:textAlignment w:val="auto"/>
              <w:rPr>
                <w:rFonts w:hint="eastAsia" w:ascii="仿宋_GB2312" w:hAnsi="仿宋_GB2312" w:eastAsia="仿宋_GB2312" w:cs="仿宋_GB2312"/>
                <w:color w:val="000000"/>
                <w:sz w:val="24"/>
              </w:rPr>
            </w:pPr>
          </w:p>
        </w:tc>
      </w:tr>
      <w:tr w14:paraId="203BBB2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71" w:hRule="atLeast"/>
          <w:jc w:val="center"/>
        </w:trPr>
        <w:tc>
          <w:tcPr>
            <w:tcW w:w="187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35729CE1">
            <w:pPr>
              <w:spacing w:line="160" w:lineRule="atLeast"/>
              <w:jc w:val="center"/>
              <w:rPr>
                <w:rFonts w:hint="eastAsia" w:ascii="仿宋_GB2312" w:hAnsi="仿宋_GB2312" w:eastAsia="仿宋_GB2312" w:cs="仿宋_GB2312"/>
                <w:color w:val="000000"/>
                <w:sz w:val="24"/>
              </w:rPr>
            </w:pPr>
            <w:r>
              <w:rPr>
                <w:rFonts w:hint="eastAsia"/>
                <w:color w:val="000000"/>
                <w:sz w:val="24"/>
                <w:lang w:val="en-US" w:eastAsia="zh-CN"/>
              </w:rPr>
              <w:t>机关团体用地</w:t>
            </w:r>
            <w:r>
              <w:rPr>
                <w:rFonts w:hint="eastAsia"/>
                <w:color w:val="000000"/>
                <w:sz w:val="24"/>
              </w:rPr>
              <w:t>01-01</w:t>
            </w:r>
          </w:p>
        </w:tc>
        <w:tc>
          <w:tcPr>
            <w:tcW w:w="157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320B8F94">
            <w:pPr>
              <w:spacing w:line="160" w:lineRule="atLeast"/>
              <w:jc w:val="center"/>
              <w:rPr>
                <w:rFonts w:hint="default"/>
                <w:color w:val="000000"/>
                <w:sz w:val="24"/>
                <w:lang w:val="en-US" w:eastAsia="zh-CN"/>
              </w:rPr>
            </w:pPr>
            <w:r>
              <w:rPr>
                <w:rFonts w:hint="eastAsia"/>
                <w:color w:val="000000"/>
                <w:sz w:val="24"/>
                <w:lang w:val="en-US" w:eastAsia="zh-CN"/>
              </w:rPr>
              <w:t>2.81</w:t>
            </w:r>
          </w:p>
        </w:tc>
        <w:tc>
          <w:tcPr>
            <w:tcW w:w="101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7215ACF1">
            <w:pPr>
              <w:spacing w:line="160" w:lineRule="atLeast"/>
              <w:jc w:val="center"/>
              <w:rPr>
                <w:rFonts w:hint="eastAsia" w:ascii="仿宋_GB2312" w:hAnsi="仿宋_GB2312" w:eastAsia="宋体" w:cs="仿宋_GB2312"/>
                <w:color w:val="000000"/>
                <w:sz w:val="24"/>
                <w:lang w:val="en-US" w:eastAsia="zh-CN"/>
              </w:rPr>
            </w:pPr>
            <w:r>
              <w:rPr>
                <w:rFonts w:hint="eastAsia"/>
                <w:color w:val="000000"/>
                <w:sz w:val="24"/>
              </w:rPr>
              <w:t>≤1.</w:t>
            </w:r>
            <w:r>
              <w:rPr>
                <w:rFonts w:hint="eastAsia"/>
                <w:color w:val="000000"/>
                <w:sz w:val="24"/>
                <w:lang w:val="en-US" w:eastAsia="zh-CN"/>
              </w:rPr>
              <w:t>5</w:t>
            </w:r>
          </w:p>
        </w:tc>
        <w:tc>
          <w:tcPr>
            <w:tcW w:w="123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4DAE0959">
            <w:pPr>
              <w:spacing w:line="160" w:lineRule="atLeast"/>
              <w:jc w:val="center"/>
              <w:rPr>
                <w:rFonts w:hint="default" w:ascii="仿宋_GB2312" w:hAnsi="仿宋_GB2312" w:eastAsia="宋体" w:cs="仿宋_GB2312"/>
                <w:color w:val="000000"/>
                <w:sz w:val="24"/>
                <w:lang w:val="en-US" w:eastAsia="zh-CN"/>
              </w:rPr>
            </w:pPr>
            <w:r>
              <w:rPr>
                <w:rFonts w:hint="eastAsia"/>
                <w:color w:val="000000"/>
                <w:sz w:val="24"/>
              </w:rPr>
              <w:t>≤</w:t>
            </w:r>
            <w:r>
              <w:rPr>
                <w:rFonts w:hint="eastAsia"/>
                <w:color w:val="000000"/>
                <w:sz w:val="24"/>
                <w:lang w:val="en-US" w:eastAsia="zh-CN"/>
              </w:rPr>
              <w:t>30</w:t>
            </w:r>
          </w:p>
        </w:tc>
        <w:tc>
          <w:tcPr>
            <w:tcW w:w="150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1E7F86F5">
            <w:pPr>
              <w:spacing w:line="160" w:lineRule="atLeast"/>
              <w:jc w:val="center"/>
              <w:rPr>
                <w:rFonts w:hint="default" w:ascii="仿宋_GB2312" w:hAnsi="仿宋_GB2312" w:eastAsia="宋体" w:cs="仿宋_GB2312"/>
                <w:color w:val="000000"/>
                <w:sz w:val="24"/>
                <w:lang w:val="en-US" w:eastAsia="zh-CN"/>
              </w:rPr>
            </w:pPr>
            <w:r>
              <w:rPr>
                <w:rFonts w:hint="eastAsia"/>
                <w:color w:val="000000"/>
                <w:sz w:val="24"/>
              </w:rPr>
              <w:t>≥</w:t>
            </w:r>
            <w:r>
              <w:rPr>
                <w:rFonts w:hint="eastAsia"/>
                <w:color w:val="000000"/>
                <w:sz w:val="24"/>
                <w:lang w:val="en-US" w:eastAsia="zh-CN"/>
              </w:rPr>
              <w:t>30</w:t>
            </w:r>
          </w:p>
        </w:tc>
        <w:tc>
          <w:tcPr>
            <w:tcW w:w="201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1BF963EC">
            <w:pPr>
              <w:spacing w:line="160" w:lineRule="atLeast"/>
              <w:jc w:val="center"/>
              <w:rPr>
                <w:rFonts w:hint="default" w:ascii="仿宋_GB2312" w:hAnsi="仿宋_GB2312" w:eastAsia="仿宋_GB2312" w:cs="仿宋_GB2312"/>
                <w:color w:val="000000"/>
                <w:sz w:val="24"/>
                <w:lang w:val="en-US" w:eastAsia="zh-CN"/>
              </w:rPr>
            </w:pPr>
            <w:r>
              <w:rPr>
                <w:rFonts w:hint="eastAsia" w:eastAsia="仿宋_GB2312"/>
                <w:color w:val="000000"/>
                <w:sz w:val="24"/>
                <w:lang w:val="en-US" w:eastAsia="zh-CN"/>
              </w:rPr>
              <w:t>0.65个/100m</w:t>
            </w:r>
            <w:r>
              <w:rPr>
                <w:rFonts w:hint="eastAsia" w:eastAsia="仿宋_GB2312"/>
                <w:color w:val="000000"/>
                <w:sz w:val="24"/>
                <w:vertAlign w:val="superscript"/>
                <w:lang w:val="en-US" w:eastAsia="zh-CN"/>
              </w:rPr>
              <w:t>2</w:t>
            </w:r>
            <w:r>
              <w:rPr>
                <w:rFonts w:hint="eastAsia" w:eastAsia="仿宋_GB2312"/>
                <w:color w:val="000000"/>
                <w:sz w:val="24"/>
                <w:lang w:val="en-US" w:eastAsia="zh-CN"/>
              </w:rPr>
              <w:t xml:space="preserve"> 建筑面积</w:t>
            </w:r>
          </w:p>
        </w:tc>
        <w:tc>
          <w:tcPr>
            <w:tcW w:w="118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3BAF482A">
            <w:pPr>
              <w:spacing w:line="160" w:lineRule="atLeast"/>
              <w:jc w:val="center"/>
              <w:rPr>
                <w:rFonts w:hint="default" w:ascii="仿宋_GB2312" w:hAnsi="仿宋_GB2312" w:eastAsia="仿宋_GB2312" w:cs="仿宋_GB2312"/>
                <w:color w:val="000000"/>
                <w:sz w:val="24"/>
                <w:lang w:val="en-US" w:eastAsia="zh-CN"/>
              </w:rPr>
            </w:pPr>
            <w:r>
              <w:rPr>
                <w:rFonts w:hint="eastAsia" w:eastAsia="仿宋_GB2312"/>
                <w:color w:val="000000"/>
                <w:sz w:val="24"/>
                <w:lang w:val="en-US" w:eastAsia="zh-CN"/>
              </w:rPr>
              <w:t>50</w:t>
            </w:r>
          </w:p>
        </w:tc>
        <w:tc>
          <w:tcPr>
            <w:tcW w:w="251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6A42810A">
            <w:pPr>
              <w:spacing w:line="160" w:lineRule="atLeast"/>
              <w:jc w:val="center"/>
              <w:rPr>
                <w:rFonts w:hint="default" w:ascii="仿宋_GB2312" w:hAnsi="仿宋_GB2312" w:eastAsia="仿宋_GB2312" w:cs="仿宋_GB2312"/>
                <w:color w:val="000000"/>
                <w:sz w:val="24"/>
                <w:lang w:val="en-US" w:eastAsia="zh-CN"/>
              </w:rPr>
            </w:pPr>
            <w:r>
              <w:rPr>
                <w:rFonts w:hint="eastAsia" w:eastAsia="仿宋_GB2312"/>
                <w:color w:val="000000"/>
                <w:sz w:val="24"/>
                <w:lang w:val="en-US" w:eastAsia="zh-CN"/>
              </w:rPr>
              <w:t>浦东街20米；公北路15米</w:t>
            </w:r>
          </w:p>
        </w:tc>
        <w:tc>
          <w:tcPr>
            <w:tcW w:w="87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32191C70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16" w:lineRule="auto"/>
              <w:jc w:val="center"/>
              <w:textAlignment w:val="auto"/>
              <w:rPr>
                <w:rFonts w:hint="eastAsia" w:ascii="仿宋_GB2312" w:hAnsi="仿宋_GB2312" w:eastAsia="仿宋_GB2312" w:cs="仿宋_GB2312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4"/>
                <w:lang w:val="en-US" w:eastAsia="zh-CN"/>
              </w:rPr>
              <w:t>—</w:t>
            </w:r>
          </w:p>
        </w:tc>
      </w:tr>
      <w:tr w14:paraId="779AFB1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71" w:hRule="atLeast"/>
          <w:jc w:val="center"/>
        </w:trPr>
        <w:tc>
          <w:tcPr>
            <w:tcW w:w="187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3BE411FA">
            <w:pPr>
              <w:spacing w:line="160" w:lineRule="atLeast"/>
              <w:jc w:val="center"/>
              <w:rPr>
                <w:rFonts w:hint="eastAsia" w:ascii="仿宋_GB2312" w:hAnsi="仿宋_GB2312" w:eastAsia="仿宋_GB2312" w:cs="仿宋_GB2312"/>
                <w:color w:val="000000"/>
                <w:sz w:val="24"/>
              </w:rPr>
            </w:pPr>
            <w:r>
              <w:rPr>
                <w:rFonts w:hint="eastAsia"/>
                <w:color w:val="000000"/>
                <w:sz w:val="24"/>
                <w:lang w:val="en-US" w:eastAsia="zh-CN"/>
              </w:rPr>
              <w:t>机关团体用地</w:t>
            </w:r>
            <w:r>
              <w:rPr>
                <w:rFonts w:hint="eastAsia"/>
                <w:color w:val="000000"/>
                <w:sz w:val="24"/>
              </w:rPr>
              <w:t>01-02</w:t>
            </w:r>
          </w:p>
        </w:tc>
        <w:tc>
          <w:tcPr>
            <w:tcW w:w="157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142C5D3C">
            <w:pPr>
              <w:spacing w:line="160" w:lineRule="atLeast"/>
              <w:jc w:val="center"/>
              <w:rPr>
                <w:rFonts w:hint="default"/>
                <w:color w:val="000000"/>
                <w:sz w:val="24"/>
                <w:lang w:val="en-US" w:eastAsia="zh-CN"/>
              </w:rPr>
            </w:pPr>
            <w:r>
              <w:rPr>
                <w:rFonts w:hint="eastAsia"/>
                <w:color w:val="000000"/>
                <w:sz w:val="24"/>
                <w:lang w:val="en-US" w:eastAsia="zh-CN"/>
              </w:rPr>
              <w:t>0.52</w:t>
            </w:r>
          </w:p>
        </w:tc>
        <w:tc>
          <w:tcPr>
            <w:tcW w:w="101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66D83A33">
            <w:pPr>
              <w:spacing w:line="160" w:lineRule="atLeast"/>
              <w:jc w:val="center"/>
              <w:rPr>
                <w:rFonts w:hint="eastAsia" w:ascii="仿宋_GB2312" w:hAnsi="仿宋_GB2312" w:eastAsia="仿宋_GB2312" w:cs="仿宋_GB2312"/>
                <w:color w:val="000000"/>
                <w:sz w:val="24"/>
              </w:rPr>
            </w:pPr>
            <w:r>
              <w:rPr>
                <w:rFonts w:hint="eastAsia"/>
                <w:color w:val="000000"/>
                <w:sz w:val="24"/>
              </w:rPr>
              <w:t>—</w:t>
            </w:r>
          </w:p>
        </w:tc>
        <w:tc>
          <w:tcPr>
            <w:tcW w:w="123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7EA53AF5">
            <w:pPr>
              <w:spacing w:line="160" w:lineRule="atLeast"/>
              <w:jc w:val="center"/>
              <w:rPr>
                <w:rFonts w:hint="eastAsia" w:ascii="仿宋_GB2312" w:hAnsi="仿宋_GB2312" w:eastAsia="仿宋_GB2312" w:cs="仿宋_GB2312"/>
                <w:color w:val="000000"/>
                <w:sz w:val="24"/>
              </w:rPr>
            </w:pPr>
            <w:r>
              <w:rPr>
                <w:rFonts w:hint="eastAsia"/>
                <w:color w:val="000000"/>
                <w:sz w:val="24"/>
              </w:rPr>
              <w:t>—</w:t>
            </w:r>
          </w:p>
        </w:tc>
        <w:tc>
          <w:tcPr>
            <w:tcW w:w="1500" w:type="dxa"/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  <w:noWrap w:val="0"/>
            <w:vAlign w:val="center"/>
          </w:tcPr>
          <w:p w14:paraId="7F9033CC">
            <w:pPr>
              <w:spacing w:line="160" w:lineRule="atLeast"/>
              <w:jc w:val="center"/>
              <w:rPr>
                <w:rFonts w:hint="eastAsia" w:ascii="仿宋_GB2312" w:hAnsi="仿宋_GB2312" w:eastAsia="仿宋_GB2312" w:cs="仿宋_GB2312"/>
                <w:color w:val="000000"/>
                <w:sz w:val="24"/>
              </w:rPr>
            </w:pPr>
            <w:r>
              <w:rPr>
                <w:rFonts w:hint="eastAsia"/>
                <w:color w:val="000000"/>
                <w:sz w:val="24"/>
              </w:rPr>
              <w:t>—</w:t>
            </w:r>
          </w:p>
        </w:tc>
        <w:tc>
          <w:tcPr>
            <w:tcW w:w="201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4CC66458">
            <w:pPr>
              <w:spacing w:line="160" w:lineRule="atLeast"/>
              <w:jc w:val="center"/>
              <w:rPr>
                <w:rFonts w:hint="eastAsia" w:ascii="仿宋_GB2312" w:hAnsi="仿宋_GB2312" w:eastAsia="仿宋_GB2312" w:cs="仿宋_GB2312"/>
                <w:color w:val="000000"/>
                <w:sz w:val="24"/>
              </w:rPr>
            </w:pPr>
            <w:r>
              <w:rPr>
                <w:rFonts w:hint="eastAsia"/>
                <w:color w:val="000000"/>
                <w:sz w:val="24"/>
              </w:rPr>
              <w:t>—</w:t>
            </w:r>
          </w:p>
        </w:tc>
        <w:tc>
          <w:tcPr>
            <w:tcW w:w="118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58F57C02">
            <w:pPr>
              <w:spacing w:line="160" w:lineRule="atLeast"/>
              <w:jc w:val="center"/>
              <w:rPr>
                <w:rFonts w:hint="eastAsia" w:ascii="仿宋_GB2312" w:hAnsi="仿宋_GB2312" w:eastAsia="仿宋_GB2312" w:cs="仿宋_GB2312"/>
                <w:color w:val="000000"/>
                <w:sz w:val="24"/>
              </w:rPr>
            </w:pPr>
            <w:r>
              <w:rPr>
                <w:rFonts w:hint="eastAsia"/>
                <w:color w:val="000000"/>
                <w:sz w:val="24"/>
              </w:rPr>
              <w:t>—</w:t>
            </w:r>
          </w:p>
        </w:tc>
        <w:tc>
          <w:tcPr>
            <w:tcW w:w="251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4D616DD6">
            <w:pPr>
              <w:spacing w:line="160" w:lineRule="atLeast"/>
              <w:jc w:val="center"/>
              <w:rPr>
                <w:rFonts w:hint="eastAsia" w:ascii="仿宋_GB2312" w:hAnsi="仿宋_GB2312" w:eastAsia="仿宋_GB2312" w:cs="仿宋_GB2312"/>
                <w:color w:val="000000"/>
                <w:sz w:val="24"/>
              </w:rPr>
            </w:pPr>
            <w:r>
              <w:rPr>
                <w:rFonts w:hint="eastAsia"/>
                <w:color w:val="000000"/>
                <w:sz w:val="24"/>
              </w:rPr>
              <w:t>—</w:t>
            </w:r>
          </w:p>
        </w:tc>
        <w:tc>
          <w:tcPr>
            <w:tcW w:w="87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772D55C1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16" w:lineRule="auto"/>
              <w:jc w:val="center"/>
              <w:textAlignment w:val="auto"/>
              <w:rPr>
                <w:rFonts w:hint="eastAsia" w:ascii="仿宋_GB2312" w:hAnsi="仿宋_GB2312" w:eastAsia="仿宋_GB2312" w:cs="仿宋_GB2312"/>
                <w:sz w:val="24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4"/>
                <w:lang w:val="en-US" w:eastAsia="zh-CN"/>
              </w:rPr>
              <w:t>—</w:t>
            </w:r>
          </w:p>
        </w:tc>
      </w:tr>
      <w:tr w14:paraId="4B1CD9D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52" w:hRule="atLeast"/>
          <w:jc w:val="center"/>
        </w:trPr>
        <w:tc>
          <w:tcPr>
            <w:tcW w:w="187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1A834284">
            <w:pPr>
              <w:spacing w:line="160" w:lineRule="atLeast"/>
              <w:jc w:val="center"/>
              <w:rPr>
                <w:rFonts w:hint="eastAsia" w:ascii="仿宋_GB2312" w:hAnsi="仿宋_GB2312" w:eastAsia="仿宋_GB2312" w:cs="仿宋_GB2312"/>
                <w:color w:val="000000"/>
                <w:sz w:val="24"/>
              </w:rPr>
            </w:pPr>
            <w:r>
              <w:rPr>
                <w:rFonts w:hint="eastAsia"/>
                <w:color w:val="000000"/>
                <w:sz w:val="24"/>
                <w:lang w:val="en-US" w:eastAsia="zh-CN"/>
              </w:rPr>
              <w:t>社会福利用地</w:t>
            </w:r>
            <w:r>
              <w:rPr>
                <w:rFonts w:hint="eastAsia"/>
                <w:color w:val="000000"/>
                <w:sz w:val="24"/>
              </w:rPr>
              <w:t>01-03</w:t>
            </w:r>
          </w:p>
        </w:tc>
        <w:tc>
          <w:tcPr>
            <w:tcW w:w="157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772CFCD7">
            <w:pPr>
              <w:spacing w:line="160" w:lineRule="atLeast"/>
              <w:jc w:val="center"/>
              <w:rPr>
                <w:rFonts w:hint="default"/>
                <w:color w:val="000000"/>
                <w:sz w:val="24"/>
                <w:lang w:val="en-US" w:eastAsia="zh-CN"/>
              </w:rPr>
            </w:pPr>
            <w:r>
              <w:rPr>
                <w:rFonts w:hint="eastAsia"/>
                <w:color w:val="000000"/>
                <w:sz w:val="24"/>
                <w:lang w:val="en-US" w:eastAsia="zh-CN"/>
              </w:rPr>
              <w:t>1.14</w:t>
            </w:r>
          </w:p>
        </w:tc>
        <w:tc>
          <w:tcPr>
            <w:tcW w:w="101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0552FBA2">
            <w:pPr>
              <w:spacing w:line="160" w:lineRule="atLeast"/>
              <w:jc w:val="center"/>
              <w:rPr>
                <w:rFonts w:hint="eastAsia" w:ascii="仿宋_GB2312" w:hAnsi="仿宋_GB2312" w:eastAsia="仿宋_GB2312" w:cs="仿宋_GB2312"/>
                <w:color w:val="000000"/>
                <w:sz w:val="24"/>
                <w:lang w:eastAsia="zh-CN"/>
              </w:rPr>
            </w:pPr>
            <w:r>
              <w:rPr>
                <w:rFonts w:hint="eastAsia"/>
                <w:color w:val="000000"/>
                <w:sz w:val="24"/>
              </w:rPr>
              <w:t>—</w:t>
            </w:r>
          </w:p>
        </w:tc>
        <w:tc>
          <w:tcPr>
            <w:tcW w:w="123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10EE7E89">
            <w:pPr>
              <w:spacing w:line="160" w:lineRule="atLeast"/>
              <w:jc w:val="center"/>
              <w:rPr>
                <w:rFonts w:hint="eastAsia" w:ascii="仿宋_GB2312" w:hAnsi="仿宋_GB2312" w:eastAsia="仿宋_GB2312" w:cs="仿宋_GB2312"/>
                <w:color w:val="000000"/>
                <w:sz w:val="24"/>
              </w:rPr>
            </w:pPr>
            <w:r>
              <w:rPr>
                <w:rFonts w:hint="eastAsia"/>
                <w:color w:val="000000"/>
                <w:sz w:val="24"/>
              </w:rPr>
              <w:t>—</w:t>
            </w:r>
          </w:p>
        </w:tc>
        <w:tc>
          <w:tcPr>
            <w:tcW w:w="1500" w:type="dxa"/>
            <w:tcBorders>
              <w:left w:val="single" w:color="auto" w:sz="4" w:space="0"/>
              <w:right w:val="single" w:color="auto" w:sz="4" w:space="0"/>
            </w:tcBorders>
            <w:noWrap w:val="0"/>
            <w:vAlign w:val="center"/>
          </w:tcPr>
          <w:p w14:paraId="5324773C">
            <w:pPr>
              <w:spacing w:line="160" w:lineRule="atLeast"/>
              <w:jc w:val="center"/>
              <w:rPr>
                <w:rFonts w:hint="default" w:ascii="仿宋_GB2312" w:hAnsi="仿宋_GB2312" w:eastAsia="仿宋_GB2312" w:cs="仿宋_GB2312"/>
                <w:color w:val="000000"/>
                <w:sz w:val="24"/>
                <w:lang w:val="en-US" w:eastAsia="zh-CN"/>
              </w:rPr>
            </w:pPr>
            <w:r>
              <w:rPr>
                <w:rFonts w:hint="eastAsia"/>
                <w:color w:val="000000"/>
                <w:sz w:val="24"/>
              </w:rPr>
              <w:t>—</w:t>
            </w:r>
          </w:p>
        </w:tc>
        <w:tc>
          <w:tcPr>
            <w:tcW w:w="201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4DF436BF">
            <w:pPr>
              <w:spacing w:line="160" w:lineRule="atLeast"/>
              <w:jc w:val="center"/>
              <w:rPr>
                <w:rFonts w:hint="eastAsia" w:ascii="仿宋_GB2312" w:hAnsi="仿宋_GB2312" w:eastAsia="仿宋_GB2312" w:cs="仿宋_GB2312"/>
                <w:color w:val="000000"/>
                <w:sz w:val="24"/>
              </w:rPr>
            </w:pPr>
            <w:r>
              <w:rPr>
                <w:rFonts w:hint="eastAsia"/>
                <w:color w:val="000000"/>
                <w:sz w:val="24"/>
              </w:rPr>
              <w:t>—</w:t>
            </w:r>
          </w:p>
        </w:tc>
        <w:tc>
          <w:tcPr>
            <w:tcW w:w="118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55C1DF78">
            <w:pPr>
              <w:spacing w:line="160" w:lineRule="atLeast"/>
              <w:jc w:val="center"/>
              <w:rPr>
                <w:rFonts w:hint="eastAsia" w:ascii="仿宋_GB2312" w:hAnsi="仿宋_GB2312" w:eastAsia="仿宋_GB2312" w:cs="仿宋_GB2312"/>
                <w:color w:val="000000"/>
                <w:sz w:val="24"/>
              </w:rPr>
            </w:pPr>
            <w:r>
              <w:rPr>
                <w:rFonts w:hint="eastAsia"/>
                <w:color w:val="000000"/>
                <w:sz w:val="24"/>
              </w:rPr>
              <w:t>—</w:t>
            </w:r>
          </w:p>
        </w:tc>
        <w:tc>
          <w:tcPr>
            <w:tcW w:w="251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49136A40">
            <w:pPr>
              <w:spacing w:line="160" w:lineRule="atLeast"/>
              <w:jc w:val="center"/>
              <w:rPr>
                <w:rFonts w:hint="eastAsia" w:ascii="仿宋_GB2312" w:hAnsi="仿宋_GB2312" w:eastAsia="仿宋_GB2312" w:cs="仿宋_GB2312"/>
                <w:color w:val="000000"/>
                <w:sz w:val="24"/>
              </w:rPr>
            </w:pPr>
            <w:r>
              <w:rPr>
                <w:rFonts w:hint="eastAsia"/>
                <w:color w:val="000000"/>
                <w:sz w:val="24"/>
              </w:rPr>
              <w:t>—</w:t>
            </w:r>
          </w:p>
        </w:tc>
        <w:tc>
          <w:tcPr>
            <w:tcW w:w="87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2A1FB2AF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16" w:lineRule="auto"/>
              <w:jc w:val="center"/>
              <w:textAlignment w:val="auto"/>
              <w:rPr>
                <w:rFonts w:hint="eastAsia" w:ascii="仿宋_GB2312" w:hAnsi="仿宋_GB2312" w:eastAsia="仿宋_GB2312" w:cs="仿宋_GB2312"/>
                <w:sz w:val="24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4"/>
                <w:lang w:val="en-US" w:eastAsia="zh-CN"/>
              </w:rPr>
              <w:t>—</w:t>
            </w:r>
          </w:p>
        </w:tc>
      </w:tr>
      <w:tr w14:paraId="21A12D7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82" w:hRule="atLeast"/>
          <w:jc w:val="center"/>
        </w:trPr>
        <w:tc>
          <w:tcPr>
            <w:tcW w:w="187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23BF4295">
            <w:pPr>
              <w:spacing w:line="160" w:lineRule="atLeast"/>
              <w:jc w:val="center"/>
              <w:rPr>
                <w:rFonts w:hint="eastAsia" w:ascii="Times New Roman" w:hAnsi="Times New Roman" w:cs="Times New Roman"/>
                <w:color w:val="000000"/>
                <w:sz w:val="24"/>
              </w:rPr>
            </w:pPr>
            <w:r>
              <w:rPr>
                <w:rFonts w:hint="eastAsia"/>
                <w:color w:val="000000"/>
                <w:sz w:val="24"/>
                <w:lang w:val="en-US" w:eastAsia="zh-CN"/>
              </w:rPr>
              <w:t>城镇住宅/社会福利混合用地</w:t>
            </w:r>
            <w:r>
              <w:rPr>
                <w:rFonts w:hint="eastAsia"/>
                <w:color w:val="000000"/>
                <w:sz w:val="24"/>
              </w:rPr>
              <w:t>01-04</w:t>
            </w:r>
          </w:p>
        </w:tc>
        <w:tc>
          <w:tcPr>
            <w:tcW w:w="157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77592900">
            <w:pPr>
              <w:spacing w:line="160" w:lineRule="atLeast"/>
              <w:jc w:val="center"/>
              <w:rPr>
                <w:rFonts w:hint="default"/>
                <w:color w:val="000000"/>
                <w:sz w:val="24"/>
                <w:lang w:val="en-US" w:eastAsia="zh-CN"/>
              </w:rPr>
            </w:pPr>
            <w:r>
              <w:rPr>
                <w:rFonts w:hint="eastAsia"/>
                <w:color w:val="000000"/>
                <w:sz w:val="24"/>
                <w:lang w:val="en-US" w:eastAsia="zh-CN"/>
              </w:rPr>
              <w:t>0.41</w:t>
            </w:r>
          </w:p>
        </w:tc>
        <w:tc>
          <w:tcPr>
            <w:tcW w:w="101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1A9F63D9">
            <w:pPr>
              <w:spacing w:line="160" w:lineRule="atLeast"/>
              <w:jc w:val="center"/>
              <w:rPr>
                <w:rFonts w:hint="eastAsia" w:ascii="仿宋_GB2312" w:hAnsi="仿宋_GB2312" w:eastAsia="仿宋_GB2312" w:cs="仿宋_GB2312"/>
                <w:color w:val="000000"/>
                <w:sz w:val="24"/>
                <w:lang w:val="en-US" w:eastAsia="zh-CN"/>
              </w:rPr>
            </w:pPr>
            <w:r>
              <w:rPr>
                <w:rFonts w:hint="eastAsia"/>
                <w:color w:val="000000"/>
                <w:sz w:val="24"/>
              </w:rPr>
              <w:t>—</w:t>
            </w:r>
          </w:p>
        </w:tc>
        <w:tc>
          <w:tcPr>
            <w:tcW w:w="123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260A0481">
            <w:pPr>
              <w:spacing w:line="160" w:lineRule="atLeast"/>
              <w:jc w:val="center"/>
              <w:rPr>
                <w:rFonts w:hint="eastAsia" w:ascii="仿宋_GB2312" w:hAnsi="仿宋_GB2312" w:eastAsia="仿宋_GB2312" w:cs="仿宋_GB2312"/>
                <w:color w:val="000000"/>
                <w:sz w:val="24"/>
                <w:lang w:val="en-US" w:eastAsia="zh-CN"/>
              </w:rPr>
            </w:pPr>
            <w:r>
              <w:rPr>
                <w:rFonts w:hint="eastAsia"/>
                <w:color w:val="000000"/>
                <w:sz w:val="24"/>
              </w:rPr>
              <w:t>—</w:t>
            </w:r>
          </w:p>
        </w:tc>
        <w:tc>
          <w:tcPr>
            <w:tcW w:w="1500" w:type="dxa"/>
            <w:tcBorders>
              <w:left w:val="single" w:color="auto" w:sz="4" w:space="0"/>
              <w:right w:val="single" w:color="auto" w:sz="4" w:space="0"/>
            </w:tcBorders>
            <w:noWrap w:val="0"/>
            <w:vAlign w:val="center"/>
          </w:tcPr>
          <w:p w14:paraId="477A514C">
            <w:pPr>
              <w:spacing w:line="160" w:lineRule="atLeast"/>
              <w:jc w:val="center"/>
              <w:rPr>
                <w:rFonts w:hint="eastAsia" w:ascii="Times New Roman" w:hAnsi="Times New Roman" w:cs="Times New Roman"/>
                <w:color w:val="000000"/>
                <w:sz w:val="24"/>
                <w:lang w:val="en-US" w:eastAsia="zh-CN"/>
              </w:rPr>
            </w:pPr>
            <w:r>
              <w:rPr>
                <w:rFonts w:hint="eastAsia"/>
                <w:color w:val="000000"/>
                <w:sz w:val="24"/>
              </w:rPr>
              <w:t>—</w:t>
            </w:r>
          </w:p>
        </w:tc>
        <w:tc>
          <w:tcPr>
            <w:tcW w:w="201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11181614">
            <w:pPr>
              <w:spacing w:line="160" w:lineRule="atLeast"/>
              <w:jc w:val="center"/>
              <w:rPr>
                <w:rFonts w:hint="eastAsia" w:ascii="仿宋_GB2312" w:hAnsi="仿宋_GB2312" w:eastAsia="仿宋_GB2312" w:cs="仿宋_GB2312"/>
                <w:color w:val="000000"/>
                <w:sz w:val="24"/>
                <w:lang w:val="en-US" w:eastAsia="zh-CN"/>
              </w:rPr>
            </w:pPr>
            <w:r>
              <w:rPr>
                <w:rFonts w:hint="eastAsia"/>
                <w:color w:val="000000"/>
                <w:sz w:val="24"/>
              </w:rPr>
              <w:t>—</w:t>
            </w:r>
          </w:p>
        </w:tc>
        <w:tc>
          <w:tcPr>
            <w:tcW w:w="118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717CE056">
            <w:pPr>
              <w:spacing w:line="160" w:lineRule="atLeast"/>
              <w:jc w:val="center"/>
              <w:rPr>
                <w:rFonts w:hint="eastAsia" w:ascii="仿宋_GB2312" w:hAnsi="仿宋_GB2312" w:eastAsia="仿宋_GB2312" w:cs="仿宋_GB2312"/>
                <w:color w:val="000000"/>
                <w:sz w:val="24"/>
                <w:lang w:val="en-US" w:eastAsia="zh-CN"/>
              </w:rPr>
            </w:pPr>
            <w:r>
              <w:rPr>
                <w:rFonts w:hint="eastAsia"/>
                <w:color w:val="000000"/>
                <w:sz w:val="24"/>
              </w:rPr>
              <w:t>—</w:t>
            </w:r>
          </w:p>
        </w:tc>
        <w:tc>
          <w:tcPr>
            <w:tcW w:w="251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6228E89F">
            <w:pPr>
              <w:spacing w:line="160" w:lineRule="atLeast"/>
              <w:jc w:val="center"/>
              <w:rPr>
                <w:rFonts w:hint="eastAsia" w:ascii="仿宋_GB2312" w:hAnsi="仿宋_GB2312" w:eastAsia="仿宋_GB2312" w:cs="仿宋_GB2312"/>
                <w:color w:val="000000"/>
                <w:sz w:val="24"/>
                <w:lang w:val="en-US" w:eastAsia="zh-CN"/>
              </w:rPr>
            </w:pPr>
            <w:r>
              <w:rPr>
                <w:rFonts w:hint="eastAsia"/>
                <w:color w:val="000000"/>
                <w:sz w:val="24"/>
              </w:rPr>
              <w:t>—</w:t>
            </w:r>
          </w:p>
        </w:tc>
        <w:tc>
          <w:tcPr>
            <w:tcW w:w="87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59E28AF2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16" w:lineRule="auto"/>
              <w:jc w:val="center"/>
              <w:textAlignment w:val="auto"/>
              <w:rPr>
                <w:rFonts w:hint="eastAsia" w:ascii="仿宋_GB2312" w:hAnsi="仿宋_GB2312" w:eastAsia="仿宋_GB2312" w:cs="仿宋_GB2312"/>
                <w:color w:val="000000"/>
                <w:sz w:val="24"/>
                <w:lang w:val="en-US" w:eastAsia="zh-CN"/>
              </w:rPr>
            </w:pPr>
          </w:p>
        </w:tc>
      </w:tr>
    </w:tbl>
    <w:p w14:paraId="1F197852">
      <w:pPr>
        <w:pStyle w:val="4"/>
        <w:rPr>
          <w:rFonts w:hint="default"/>
          <w:lang w:val="en-US" w:eastAsia="zh-CN"/>
        </w:rPr>
      </w:pPr>
    </w:p>
    <w:sectPr>
      <w:pgSz w:w="16838" w:h="11906" w:orient="landscape"/>
      <w:pgMar w:top="1800" w:right="1440" w:bottom="1800" w:left="144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default"/>
    <w:sig w:usb0="E0002EFF" w:usb1="C000785B" w:usb2="00000009" w:usb3="00000000" w:csb0="400001FF" w:csb1="FFFF0000"/>
  </w:font>
  <w:font w:name="宋体">
    <w:panose1 w:val="02010600030101010101"/>
    <w:charset w:val="88"/>
    <w:family w:val="modern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仿宋">
    <w:panose1 w:val="02010609060101010101"/>
    <w:charset w:val="86"/>
    <w:family w:val="modern"/>
    <w:pitch w:val="default"/>
    <w:sig w:usb0="800002BF" w:usb1="38CF7CFA" w:usb2="00000016" w:usb3="00000000" w:csb0="00040001" w:csb1="00000000"/>
  </w:font>
  <w:font w:name="仿宋_GB2312">
    <w:panose1 w:val="02010609030101010101"/>
    <w:charset w:val="86"/>
    <w:family w:val="modern"/>
    <w:pitch w:val="default"/>
    <w:sig w:usb0="00000001" w:usb1="080E0000" w:usb2="00000000" w:usb3="00000000" w:csb0="00040000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20"/>
  <w:embedSystem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useAltKinsokuLineBreakRules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YmEyZDMxNWRkYmY5MjE3NjUxYTk3ZDA1NDUyNmVkYWEifQ=="/>
  </w:docVars>
  <w:rsids>
    <w:rsidRoot w:val="1BBF4BE6"/>
    <w:rsid w:val="01510BEF"/>
    <w:rsid w:val="08E97D96"/>
    <w:rsid w:val="08EE7800"/>
    <w:rsid w:val="093B351D"/>
    <w:rsid w:val="0A884B7F"/>
    <w:rsid w:val="0AAB2E8B"/>
    <w:rsid w:val="0CC60AE5"/>
    <w:rsid w:val="0D735901"/>
    <w:rsid w:val="0D9D3F5D"/>
    <w:rsid w:val="1BBF4BE6"/>
    <w:rsid w:val="1D756E0C"/>
    <w:rsid w:val="1E0E26EE"/>
    <w:rsid w:val="1E2D7619"/>
    <w:rsid w:val="1FE55FC0"/>
    <w:rsid w:val="206A0DC1"/>
    <w:rsid w:val="2260293B"/>
    <w:rsid w:val="26A12BEB"/>
    <w:rsid w:val="289309F2"/>
    <w:rsid w:val="2AEC76C5"/>
    <w:rsid w:val="2B8930B4"/>
    <w:rsid w:val="2F7A939F"/>
    <w:rsid w:val="347F2F14"/>
    <w:rsid w:val="36E20870"/>
    <w:rsid w:val="395618A2"/>
    <w:rsid w:val="3AD033B6"/>
    <w:rsid w:val="3BA72419"/>
    <w:rsid w:val="3C7B0FB7"/>
    <w:rsid w:val="3CA63E6C"/>
    <w:rsid w:val="3FC837E1"/>
    <w:rsid w:val="3FF96BB1"/>
    <w:rsid w:val="420542C1"/>
    <w:rsid w:val="437C611B"/>
    <w:rsid w:val="46710FC6"/>
    <w:rsid w:val="499C7ED1"/>
    <w:rsid w:val="4D233B00"/>
    <w:rsid w:val="4DEB27CA"/>
    <w:rsid w:val="4EC51445"/>
    <w:rsid w:val="4F77DD60"/>
    <w:rsid w:val="51D7583D"/>
    <w:rsid w:val="525A7F6F"/>
    <w:rsid w:val="53C775AC"/>
    <w:rsid w:val="572E689C"/>
    <w:rsid w:val="575B9370"/>
    <w:rsid w:val="5BC93687"/>
    <w:rsid w:val="5EE57718"/>
    <w:rsid w:val="5F0B3D87"/>
    <w:rsid w:val="5F193ADF"/>
    <w:rsid w:val="5F796206"/>
    <w:rsid w:val="61F04CE5"/>
    <w:rsid w:val="65627A8D"/>
    <w:rsid w:val="657433F1"/>
    <w:rsid w:val="6DEFAC06"/>
    <w:rsid w:val="6E9FED17"/>
    <w:rsid w:val="72453E66"/>
    <w:rsid w:val="74F3623D"/>
    <w:rsid w:val="79E4006B"/>
    <w:rsid w:val="7D1F5284"/>
    <w:rsid w:val="7DB40237"/>
    <w:rsid w:val="7DDF5169"/>
    <w:rsid w:val="7E9F71D7"/>
    <w:rsid w:val="7F5B7808"/>
    <w:rsid w:val="7F9700DA"/>
    <w:rsid w:val="B88D85B0"/>
    <w:rsid w:val="D0F6C66A"/>
    <w:rsid w:val="DE5FFF56"/>
    <w:rsid w:val="E7957FD3"/>
    <w:rsid w:val="E79FB77C"/>
    <w:rsid w:val="EF7F92F0"/>
    <w:rsid w:val="EFFC576D"/>
    <w:rsid w:val="EFFF80AA"/>
    <w:rsid w:val="F776F6F4"/>
    <w:rsid w:val="FB5391D1"/>
    <w:rsid w:val="FDDF4ABF"/>
    <w:rsid w:val="FFEBF965"/>
    <w:rsid w:val="FFF79BD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qFormat="1" w:unhideWhenUsed="0" w:uiPriority="0" w:semiHidden="0" w:name="Body Text"/>
    <w:lsdException w:qFormat="1" w:uiPriority="99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qFormat="1" w:unhideWhenUsed="0" w:uiPriority="0" w:semiHidden="0" w:name="Body Text First Indent"/>
    <w:lsdException w:qFormat="1" w:uiPriority="99" w:name="Body Text First Indent 2"/>
    <w:lsdException w:unhideWhenUsed="0" w:uiPriority="0" w:semiHidden="0" w:name="Note Heading"/>
    <w:lsdException w:qFormat="1" w:uiPriority="99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qFormat="1"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qFormat="1"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next w:val="2"/>
    <w:qFormat/>
    <w:uiPriority w:val="0"/>
    <w:pPr>
      <w:widowControl w:val="0"/>
      <w:jc w:val="both"/>
    </w:pPr>
    <w:rPr>
      <w:rFonts w:ascii="Calibri" w:hAnsi="Calibri" w:eastAsia="宋体" w:cs="仿宋"/>
      <w:kern w:val="2"/>
      <w:sz w:val="32"/>
      <w:szCs w:val="32"/>
      <w:lang w:val="en-US" w:eastAsia="zh-CN" w:bidi="ar-SA"/>
    </w:rPr>
  </w:style>
  <w:style w:type="paragraph" w:styleId="5">
    <w:name w:val="heading 1"/>
    <w:basedOn w:val="1"/>
    <w:next w:val="1"/>
    <w:qFormat/>
    <w:uiPriority w:val="0"/>
    <w:pPr>
      <w:spacing w:before="0" w:beforeAutospacing="1" w:after="0" w:afterAutospacing="1"/>
      <w:jc w:val="left"/>
    </w:pPr>
    <w:rPr>
      <w:rFonts w:hint="eastAsia" w:ascii="宋体" w:hAnsi="宋体" w:eastAsia="宋体" w:cs="宋体"/>
      <w:b/>
      <w:kern w:val="44"/>
      <w:sz w:val="48"/>
      <w:szCs w:val="48"/>
      <w:lang w:val="en-US" w:eastAsia="zh-CN" w:bidi="ar"/>
    </w:rPr>
  </w:style>
  <w:style w:type="character" w:default="1" w:styleId="10">
    <w:name w:val="Default Paragraph Font"/>
    <w:semiHidden/>
    <w:qFormat/>
    <w:uiPriority w:val="0"/>
  </w:style>
  <w:style w:type="table" w:default="1" w:styleId="9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Body Text First Indent 2"/>
    <w:basedOn w:val="3"/>
    <w:next w:val="4"/>
    <w:semiHidden/>
    <w:unhideWhenUsed/>
    <w:qFormat/>
    <w:uiPriority w:val="99"/>
    <w:pPr>
      <w:ind w:firstLine="420" w:firstLineChars="200"/>
    </w:pPr>
  </w:style>
  <w:style w:type="paragraph" w:styleId="3">
    <w:name w:val="Body Text Indent"/>
    <w:basedOn w:val="1"/>
    <w:semiHidden/>
    <w:unhideWhenUsed/>
    <w:qFormat/>
    <w:uiPriority w:val="99"/>
    <w:pPr>
      <w:spacing w:after="120"/>
      <w:ind w:left="420" w:leftChars="200"/>
    </w:pPr>
  </w:style>
  <w:style w:type="paragraph" w:styleId="4">
    <w:name w:val="Body Text 2"/>
    <w:basedOn w:val="1"/>
    <w:semiHidden/>
    <w:unhideWhenUsed/>
    <w:qFormat/>
    <w:uiPriority w:val="99"/>
    <w:pPr>
      <w:spacing w:after="120" w:line="480" w:lineRule="auto"/>
    </w:pPr>
  </w:style>
  <w:style w:type="paragraph" w:styleId="6">
    <w:name w:val="Body Text"/>
    <w:basedOn w:val="1"/>
    <w:qFormat/>
    <w:uiPriority w:val="0"/>
    <w:pPr>
      <w:spacing w:after="120" w:afterLines="0" w:afterAutospacing="0"/>
    </w:pPr>
  </w:style>
  <w:style w:type="paragraph" w:styleId="7">
    <w:name w:val="Normal (Web)"/>
    <w:basedOn w:val="1"/>
    <w:qFormat/>
    <w:uiPriority w:val="0"/>
    <w:pPr>
      <w:spacing w:before="0" w:beforeAutospacing="1" w:after="0" w:afterAutospacing="1"/>
      <w:ind w:left="0" w:right="0"/>
      <w:jc w:val="left"/>
    </w:pPr>
    <w:rPr>
      <w:kern w:val="0"/>
      <w:sz w:val="24"/>
      <w:lang w:val="en-US" w:eastAsia="zh-CN" w:bidi="ar"/>
    </w:rPr>
  </w:style>
  <w:style w:type="paragraph" w:styleId="8">
    <w:name w:val="Body Text First Indent"/>
    <w:basedOn w:val="6"/>
    <w:qFormat/>
    <w:uiPriority w:val="0"/>
    <w:pPr>
      <w:ind w:firstLine="420" w:firstLineChars="100"/>
    </w:pPr>
  </w:style>
  <w:style w:type="character" w:styleId="11">
    <w:name w:val="Hyperlink"/>
    <w:basedOn w:val="10"/>
    <w:qFormat/>
    <w:uiPriority w:val="0"/>
    <w:rPr>
      <w:color w:val="0000FF"/>
      <w:u w:val="single"/>
    </w:r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image" Target="../NUL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2</Pages>
  <Words>348</Words>
  <Characters>424</Characters>
  <Lines>0</Lines>
  <Paragraphs>0</Paragraphs>
  <TotalTime>92</TotalTime>
  <ScaleCrop>false</ScaleCrop>
  <LinksUpToDate>false</LinksUpToDate>
  <CharactersWithSpaces>425</CharactersWithSpaces>
  <Application>WPS Office_12.1.0.28505_F1E327BC-269C-435d-A152-05C5408002CA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2024-04-21T06:27:00Z</dcterms:created>
  <dc:creator>WPS_1668497965</dc:creator>
  <cp:lastModifiedBy>钱丞</cp:lastModifiedBy>
  <cp:lastPrinted>2026-09-30T06:15:41Z</cp:lastPrinted>
  <dcterms:modified xsi:type="dcterms:W3CDTF">2026-09-30T07:37:54Z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2052-12.1.0.28505</vt:lpwstr>
  </property>
  <property fmtid="{D5CDD505-2E9C-101B-9397-08002B2CF9AE}" pid="3" name="ICV">
    <vt:lpwstr>88CA52E9D7F84A5FA62E1F06A4DBD6AB_13</vt:lpwstr>
  </property>
  <property fmtid="{D5CDD505-2E9C-101B-9397-08002B2CF9AE}" pid="4" name="KSOTemplateDocerSaveRecord">
    <vt:lpwstr>eyJoZGlkIjoiMzJmMzVlOGExZDU4YWMzYzA0MzRmOTk3YTQ5Y2I3NWYiLCJ1c2VySWQiOiIyMjE3MzYwMjYifQ==</vt:lpwstr>
  </property>
</Properties>
</file>