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44"/>
          <w:szCs w:val="44"/>
          <w:highlight w:val="none"/>
          <w:lang w:eastAsia="zh-CN"/>
        </w:rPr>
        <w:t>佳木斯市</w:t>
      </w:r>
      <w:r>
        <w:rPr>
          <w:rFonts w:hint="default" w:ascii="Times New Roman" w:hAnsi="Times New Roman" w:eastAsia="宋体" w:cs="Times New Roman"/>
          <w:b/>
          <w:bCs/>
          <w:color w:val="auto"/>
          <w:sz w:val="44"/>
          <w:szCs w:val="44"/>
          <w:highlight w:val="none"/>
        </w:rPr>
        <w:t>202</w:t>
      </w:r>
      <w:r>
        <w:rPr>
          <w:rFonts w:hint="default" w:ascii="Times New Roman" w:hAnsi="Times New Roman" w:eastAsia="宋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/>
          <w:bCs/>
          <w:color w:val="auto"/>
          <w:sz w:val="44"/>
          <w:szCs w:val="44"/>
          <w:highlight w:val="none"/>
        </w:rPr>
        <w:t>年住房发展年度计划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按照《关于做好2026年住房发展年度计划编制工作的通知》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〔2026〕304号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文件要求，结合我市实际，明确年度各类住房及用地供应规模、结构和区位，测算房地产项目合理融资需求，根据本地区人口变动、市场规模、购房需求等因素科学编制2026年住房发展年度计划，推动实现“人房地钱”要素联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一、住房用地供应目标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2026年全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县（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bookmarkStart w:id="0" w:name="OLE_LINK1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计划供应居住用地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19.94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公顷</w:t>
      </w:r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其中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市区供地情况需通过省自然资源和规划厅根据地市去化周期调整，待省自然资源和规划厅审批，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各县（市）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计划供应居住用地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19.94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公顷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二、住房建设计划目标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新开工项目。2026年全市计划新开工住房项目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个，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0.56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万套，建筑面积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60.40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万平方米，计划投资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22.69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亿元。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其中，保障类住房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本年度暂无新开项目计划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;市区计划新开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商品住房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6个，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0.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，建筑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面积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37.83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万平方米，计划投资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14.53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亿元；各县（市）计划新开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商品住房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5个，0.19万套，建筑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面积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22.57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万平方米，计划投资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8.16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竣工项目。2026年全市计划竣工住房项目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个，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0.71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万套，建筑面积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85.16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万平方米。其中，保障类住房方面，计划竣工配租型保障性住房项目1个，0.02万套，建筑面积0.8万平方米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保租房0.8万平方米、0.02万套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;市区计划竣工商品住房项目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个，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0.39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万套，建筑面积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48.52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万平方米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各县（市）计划竣工商品住房项目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10个，0.30万套，建筑面积35.84万平方米。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三、住房供应计划目标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2026年计划供应配租型保障性住房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0.02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保租房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0.02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、建筑面积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0.8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万平方米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保租房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0.8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万平方米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2026年</w:t>
      </w:r>
      <w:bookmarkStart w:id="1" w:name="OLE_LINK2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计划新批售入市商品房项目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个，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0.17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万套，建筑面积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18.36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万平方米</w:t>
      </w:r>
      <w:bookmarkEnd w:id="1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其中市区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计划新批售入市商品房项目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个，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0.14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万套，建筑面积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14.85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万平方米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各县（市）计划新批售入市商品房项目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2个，0.03万套，建筑面积3.51万平方米。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四、住房发展策略</w:t>
      </w:r>
    </w:p>
    <w:p>
      <w:pPr>
        <w:keepNext w:val="0"/>
        <w:keepLines w:val="0"/>
        <w:pageBreakBefore w:val="0"/>
        <w:widowControl w:val="0"/>
        <w:tabs>
          <w:tab w:val="left" w:pos="36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default" w:ascii="Times New Roman" w:hAnsi="Times New Roman" w:eastAsia="楷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（一）完善房地联动机制，保持用地供应稳定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注重以我市实际商品房去化周期为基准，按照不同去化周期下的用地供应模式，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对去化周期在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36个月以上的应停止供地；36-18个月的要控制供地规模；12-6个月的要适度增加供地；6个月以下的要有效增加供地。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持续、稳定推进供地，避免出现“有需无供”的情况，并且根据居民住房需求的变化情况，综合考虑刚性和改善性需求、本地和外来人口购房需求，合理确定大、中、小户型商品住房比例、供应规模和开发节奏。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textAlignment w:val="auto"/>
        <w:rPr>
          <w:rFonts w:hint="default" w:ascii="Times New Roman" w:hAnsi="Times New Roman" w:eastAsia="楷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（二）立足地方实际，转化政策动能推动实践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住建部和省住建厅的政策部署是推动房地产高质量发展的 “指南针”，必须立足我市实际，做好“政策翻译”和“实践落地”。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1.强化标准引领，提升住房建设品质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一是完善住房建设标准。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严格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住建部最新发布的《住宅项目规范》为蓝本，指导开发企业参照我省印发的《黑龙江省住宅品质提升设计指引》，从项目规划、空间设计、功能配置、性能标准及技术管控等全周期维度，构建住宅品质管控体系。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引导企业根据市场需求积极探索、先行先试，制定自身企业标准，更有针对性地满足住房消费需求。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二是提升建筑设计水平。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合理规划住宅小区空间布局，为公共服务设施建设提供空间。引导企业从居住功能、安全、性能、质量、体验等方面开展住房精细化设计，优化户型设计，完善功能分区，合理规划动线，改善采光通风条件，提升室内空间利用率和居住舒适度。推动建设单位、设计单位考虑不同群体需求，研发设计功能齐全、布局合理、方便好用、居住舒适的住房产品，满足多样化居住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三是推广应用好材料。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落实住建部在推动住宅品质提升的“六不六防三省三要”指导意见，加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快应用品质优良、节能环保、功能良好的新型建材，大力推广具有隔声降噪、防水防反味、抗菌防霉、保温隔热等作用的材料和产品，鼓励商品住房项目提高绿色建材应用比例。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2.创新管理模式，保障项目建设推进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一是助力项目融资。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密切关注新开项目的建设进展情况，积极协助房地产开发企业申请项目贷款。通过搭建政银企合作平台，将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新开项目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纳入“白名单”，使其能够享受快速且优惠的贷款支持，为项目的顺利推进提供坚实的资金保障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创新预售资金监管。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尝试推行“单栋预售”制度，激活资金流动性，既有效缓解企业资金周转压力，又确保建设资金专款专用，为项目高质量建设提供制度保障。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三是有力有序推动现房销售。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逐步提高商品房预售门槛，严格按照国家统一部署，深入研究并制定现房销售的配套支持政策，确保现房销售工作有力、有序推进。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2" w:name="_GoBack"/>
      <w:bookmarkEnd w:id="2"/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四是持续优化住宅项目全装修。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引导企业依据市场需求，结合项目自身实际情况，逐步推广全装修模式。一方面可以根据市场形式和项目销售进展，分阶段分批次推出全装修住宅，避免形成库存堆积；另一方面可以采用销售“毛坯房+定制装修”的组合形式作为销售亮点，进一步推动全装修工作的开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522923"/>
    <w:rsid w:val="03BE6BB4"/>
    <w:rsid w:val="0C522923"/>
    <w:rsid w:val="FC3CB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rFonts w:ascii="Times New Roman" w:hAnsi="Times New Roman"/>
      <w:sz w:val="32"/>
      <w:szCs w:val="24"/>
    </w:rPr>
  </w:style>
  <w:style w:type="paragraph" w:styleId="3">
    <w:name w:val="Body Text"/>
    <w:basedOn w:val="1"/>
    <w:next w:val="4"/>
    <w:qFormat/>
    <w:uiPriority w:val="0"/>
    <w:rPr>
      <w:rFonts w:ascii="Times New Roman" w:hAnsi="Times New Roman"/>
    </w:rPr>
  </w:style>
  <w:style w:type="paragraph" w:styleId="4">
    <w:name w:val="Body Text Indent"/>
    <w:basedOn w:val="1"/>
    <w:next w:val="5"/>
    <w:qFormat/>
    <w:uiPriority w:val="0"/>
    <w:pPr>
      <w:spacing w:after="120" w:afterLines="0" w:afterAutospacing="0"/>
      <w:ind w:left="420" w:leftChars="200"/>
    </w:pPr>
  </w:style>
  <w:style w:type="paragraph" w:styleId="5">
    <w:name w:val="Body Text First Indent 2"/>
    <w:basedOn w:val="4"/>
    <w:next w:val="3"/>
    <w:qFormat/>
    <w:uiPriority w:val="0"/>
    <w:pPr>
      <w:spacing w:after="0"/>
      <w:ind w:left="0" w:leftChars="0" w:firstLine="200" w:firstLineChars="200"/>
    </w:pPr>
    <w:rPr>
      <w:rFonts w:ascii="仿宋_GB2312" w:hAnsi="仿宋_GB2312"/>
      <w:szCs w:val="21"/>
    </w:rPr>
  </w:style>
  <w:style w:type="paragraph" w:customStyle="1" w:styleId="8">
    <w:name w:val="BodyText"/>
    <w:basedOn w:val="1"/>
    <w:qFormat/>
    <w:uiPriority w:val="0"/>
    <w:pPr>
      <w:spacing w:after="12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2026-04-02T08:54:00Z</dcterms:created>
  <dc:creator>镜花水月</dc:creator>
  <cp:lastModifiedBy>greatwall</cp:lastModifiedBy>
  <dcterms:modified xsi:type="dcterms:W3CDTF">2026-04-10T09:11:22Z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057F7413645C405590B866222E1ABE5C_11</vt:lpwstr>
  </property>
  <property fmtid="{D5CDD505-2E9C-101B-9397-08002B2CF9AE}" pid="4" name="KSOTemplateDocerSaveRecord">
    <vt:lpwstr>eyJoZGlkIjoiMGFiMzJjMGMxZDBkMGY0YmE4NGM3YzM1NjExNTA3ZDIiLCJ1c2VySWQiOiIxNDkwMTczMTY1In0=</vt:lpwstr>
  </property>
</Properties>
</file>