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C4CE">
      <w:pPr>
        <w:widowControl/>
        <w:spacing w:line="720" w:lineRule="atLeas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32"/>
          <w:szCs w:val="32"/>
        </w:rPr>
      </w:pPr>
    </w:p>
    <w:p w14:paraId="7034BA67">
      <w:pPr>
        <w:widowControl/>
        <w:spacing w:line="720" w:lineRule="atLeas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32"/>
          <w:szCs w:val="32"/>
        </w:rPr>
      </w:pPr>
    </w:p>
    <w:p w14:paraId="632B4AE2">
      <w:pPr>
        <w:widowControl/>
        <w:spacing w:line="720" w:lineRule="atLeas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32"/>
          <w:szCs w:val="32"/>
        </w:rPr>
      </w:pPr>
    </w:p>
    <w:p w14:paraId="79E0A58E">
      <w:pPr>
        <w:widowControl/>
        <w:spacing w:line="720" w:lineRule="atLeas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32"/>
          <w:szCs w:val="32"/>
        </w:rPr>
      </w:pPr>
    </w:p>
    <w:p w14:paraId="2B034D4B">
      <w:pPr>
        <w:widowControl/>
        <w:spacing w:line="720" w:lineRule="atLeast"/>
        <w:jc w:val="right"/>
        <w:outlineLvl w:val="0"/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</w:pP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佳环建审﹝202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﹞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宋体"/>
          <w:bCs/>
          <w:color w:val="auto"/>
          <w:kern w:val="36"/>
          <w:sz w:val="32"/>
          <w:szCs w:val="32"/>
        </w:rPr>
        <w:t>号</w:t>
      </w:r>
    </w:p>
    <w:p w14:paraId="5ECEFF78">
      <w:pPr>
        <w:widowControl/>
        <w:spacing w:line="70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关于黑龙江省桦南县向阳山水库电站</w:t>
      </w:r>
    </w:p>
    <w:p w14:paraId="5680C88F">
      <w:pPr>
        <w:widowControl/>
        <w:spacing w:line="70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增效扩容改造工程环境影响报告表的批复</w:t>
      </w:r>
    </w:p>
    <w:p w14:paraId="5E273C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60" w:lineRule="auto"/>
        <w:textAlignment w:val="auto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桦南县向阳山水库管护中心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：</w:t>
      </w:r>
    </w:p>
    <w:p w14:paraId="616DB07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　　你单位报送的《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黑龙江省桦南县向阳山水库电站增效扩容改造工程环境影响报告表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》（以下简称“报告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”）收悉。经研究，批复如下：</w:t>
      </w:r>
    </w:p>
    <w:p w14:paraId="6F54370D">
      <w:pPr>
        <w:keepNext w:val="0"/>
        <w:keepLines w:val="0"/>
        <w:widowControl/>
        <w:suppressLineNumbers w:val="0"/>
        <w:ind w:firstLine="64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　</w:t>
      </w: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项目基本情况</w:t>
      </w:r>
    </w:p>
    <w:p w14:paraId="7808976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项目建设地点位于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佳木斯市桦南县城东北9km小八虎力河下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游，发电厂房坐标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为东经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130°40′19.950″，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北纬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46°16′45.610″。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向阳山水库电站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1958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为坝式水电站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，为小（2）型电站，主要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由大坝、溢洪道、输水洞、发电厂房等建筑物组成，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水库总库容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1.57×10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vertAlign w:val="superscript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，电站装机容量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500kW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次增效扩容改造不增高大坝，不扩建厂房，仅对原有水工建筑物进行加固及局部改造、对原水轮发电机组设备进行拆除更换，并更换相应的闸门及电气设备。扩容改造后，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电站装机仍为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250kW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水轮发电机组，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总装机容量不变，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增容后年发电量为116.3×10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kW·h，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 w:bidi="ar"/>
        </w:rPr>
        <w:t>多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年实际年均发电量57.2×10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kW·h增加发电量59.1×10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lang w:eastAsia="zh-CN" w:bidi="ar"/>
        </w:rPr>
        <w:t>kW·h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环保工程：已设置拦污栅、生态流量在线监测设施，新建危废贮存点。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项目总投资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123.34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 w:bidi="ar"/>
        </w:rPr>
        <w:t>，环保投资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 w:bidi="ar"/>
        </w:rPr>
        <w:t>0.06万元</w:t>
      </w:r>
      <w:r>
        <w:rPr>
          <w:rFonts w:hint="eastAsia" w:ascii="Times New Roman" w:hAnsi="Times New Roman" w:eastAsia="仿宋" w:cs="Times New Roman"/>
          <w:sz w:val="32"/>
          <w:szCs w:val="32"/>
          <w:lang w:bidi="ar"/>
        </w:rPr>
        <w:t>。</w:t>
      </w:r>
    </w:p>
    <w:p w14:paraId="36B08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5"/>
        <w:textAlignment w:val="auto"/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该工程建设总体符合国家相关规划。工程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val="en-US" w:eastAsia="zh-CN"/>
        </w:rPr>
        <w:t>运行期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将对周边生态环境产生一定不利影响，在全面落实环境影响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和本批复提出的各项生态环境保护措施后，不利影响能够得到减缓和控制。因此，我局原则同意环境影响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hAnsi="仿宋_GB2312" w:eastAsia="仿宋_GB2312" w:cs="仿宋_GB2312"/>
          <w:bCs/>
          <w:iCs/>
          <w:color w:val="000000"/>
          <w:kern w:val="0"/>
          <w:sz w:val="32"/>
          <w:szCs w:val="32"/>
        </w:rPr>
        <w:t>的环境影响评价总体结论和各项生态环境保护措施。</w:t>
      </w:r>
    </w:p>
    <w:p w14:paraId="5B41862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二、该项目主要生态环境影响及保护措施</w:t>
      </w:r>
    </w:p>
    <w:p w14:paraId="18F24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zh-CN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（一）生态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环境影响及</w:t>
      </w:r>
      <w:r>
        <w:rPr>
          <w:rFonts w:ascii="Times New Roman" w:hAnsi="Times New Roman" w:eastAsia="仿宋" w:cs="Times New Roman"/>
          <w:sz w:val="32"/>
          <w:szCs w:val="32"/>
        </w:rPr>
        <w:t>保护措施。</w:t>
      </w:r>
      <w:bookmarkStart w:id="0" w:name="_Hlk169773133"/>
      <w:bookmarkStart w:id="1" w:name="_Hlk173152266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本项目无新增占地，环评调查，</w:t>
      </w:r>
      <w:bookmarkEnd w:id="0"/>
      <w:bookmarkEnd w:id="1"/>
      <w:r>
        <w:rPr>
          <w:rFonts w:hint="eastAsia" w:ascii="Times New Roman" w:hAnsi="Times New Roman" w:eastAsia="仿宋" w:cs="Times New Roman"/>
          <w:sz w:val="32"/>
          <w:szCs w:val="32"/>
          <w:lang w:val="zh-CN"/>
        </w:rPr>
        <w:t>小八虎力河、向阳山水库以及下游的八虎力河鱼类均为常见经济性鱼类，水库内及坝下河段无受保护的野生水生生物，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评价区内不涉及</w:t>
      </w:r>
      <w:r>
        <w:rPr>
          <w:rFonts w:hint="eastAsia" w:ascii="Times New Roman" w:hAnsi="Times New Roman" w:eastAsia="仿宋" w:cs="Times New Roman"/>
          <w:sz w:val="32"/>
          <w:szCs w:val="32"/>
          <w:lang w:val="zh-CN"/>
        </w:rPr>
        <w:t>重要水生生物的自然产卵场、索饵场、越冬场和洄游通道。</w:t>
      </w:r>
    </w:p>
    <w:p w14:paraId="748B28DF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电站进水口已设置拦污栅，可起到拦截幼鱼和成鱼的效果。运行期应</w:t>
      </w:r>
      <w:r>
        <w:rPr>
          <w:rFonts w:hint="default" w:ascii="Times New Roman" w:hAnsi="Times New Roman" w:eastAsia="仿宋" w:cs="Times New Roman"/>
          <w:sz w:val="32"/>
          <w:szCs w:val="32"/>
        </w:rPr>
        <w:t>对取水枢纽区定期巡检，清理拦栅废物，避免污染物对水生生物造成不利影响。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" w:cs="Times New Roman"/>
          <w:sz w:val="32"/>
          <w:szCs w:val="32"/>
        </w:rPr>
        <w:t>生态流量在线监控装置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运行维护</w:t>
      </w:r>
      <w:r>
        <w:rPr>
          <w:rFonts w:hint="default" w:ascii="Times New Roman" w:hAnsi="Times New Roman" w:eastAsia="仿宋" w:cs="Times New Roman"/>
          <w:sz w:val="32"/>
          <w:szCs w:val="32"/>
        </w:rPr>
        <w:t>，保证生态流量下泄，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" w:cs="Times New Roman"/>
          <w:sz w:val="32"/>
          <w:szCs w:val="32"/>
        </w:rPr>
        <w:t>下游河段生态环境用水需求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，严禁造成</w:t>
      </w:r>
      <w:r>
        <w:rPr>
          <w:rFonts w:hint="default" w:ascii="Times New Roman" w:hAnsi="Times New Roman" w:eastAsia="仿宋" w:cs="Times New Roman"/>
          <w:sz w:val="32"/>
          <w:szCs w:val="32"/>
        </w:rPr>
        <w:t>河流脱水。</w:t>
      </w:r>
    </w:p>
    <w:p w14:paraId="2D10285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" w:cs="Times New Roman"/>
          <w:sz w:val="32"/>
          <w:szCs w:val="32"/>
        </w:rPr>
        <w:t>）水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环境影响及</w:t>
      </w:r>
      <w:r>
        <w:rPr>
          <w:rFonts w:ascii="Times New Roman" w:hAnsi="Times New Roman" w:eastAsia="仿宋" w:cs="Times New Roman"/>
          <w:sz w:val="32"/>
          <w:szCs w:val="32"/>
        </w:rPr>
        <w:t>保护措施。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工程不新增库容，不改变向阳山水库正常蓄水位；增效扩容后，下游河段水文情势无明显变化，水轮机尾水对水库库区、发电厂房下游河道水温、水质基本无影响，经多年运行下游小八虎力河基本恢复了正常的水流态势。运行期不增加劳动定员，废水主要为管理站人员产生的生活污水，排入化粪池，定期清掏外运积肥。</w:t>
      </w:r>
    </w:p>
    <w:p w14:paraId="275D1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 w:cs="Times New Roman"/>
          <w:sz w:val="32"/>
          <w:szCs w:val="32"/>
        </w:rPr>
        <w:t>）其他环境影响及污染防治措施。</w:t>
      </w:r>
      <w:r>
        <w:rPr>
          <w:rFonts w:hint="eastAsia" w:ascii="Times New Roman" w:hAnsi="Times New Roman" w:eastAsia="仿宋" w:cs="Times New Roman"/>
          <w:sz w:val="32"/>
          <w:szCs w:val="32"/>
        </w:rPr>
        <w:t>工程运行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噪声</w:t>
      </w:r>
      <w:r>
        <w:rPr>
          <w:rFonts w:hint="eastAsia" w:ascii="Times New Roman" w:hAnsi="Times New Roman" w:eastAsia="仿宋" w:cs="Times New Roman"/>
          <w:sz w:val="32"/>
          <w:szCs w:val="32"/>
        </w:rPr>
        <w:t>主要为发电机组、变压器运行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产生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建设单位已</w:t>
      </w:r>
      <w:r>
        <w:rPr>
          <w:rFonts w:hint="eastAsia" w:ascii="Times New Roman" w:hAnsi="Times New Roman" w:eastAsia="仿宋" w:cs="Times New Roman"/>
          <w:sz w:val="32"/>
          <w:szCs w:val="32"/>
        </w:rPr>
        <w:t>选用低噪声设备，对发电机组、变压器进行基础减振，加强对设备的维护和管理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其对周边影响不大。电站机械维修产生的废机油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属于危险废物，应暂存于危废贮存点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委托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有资质的单位处理；危废贮存点</w:t>
      </w:r>
      <w:r>
        <w:rPr>
          <w:rFonts w:hint="eastAsia" w:ascii="Times New Roman" w:hAnsi="Times New Roman" w:eastAsia="仿宋" w:cs="Times New Roman"/>
          <w:sz w:val="32"/>
          <w:szCs w:val="32"/>
        </w:rPr>
        <w:t>应按照《危险废物贮存污染控制标准》（GB 18597-2023）的有关规定进行设计、建造和管理。</w:t>
      </w:r>
    </w:p>
    <w:p w14:paraId="4ECA1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该</w:t>
      </w: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已完工，</w:t>
      </w:r>
      <w:r>
        <w:rPr>
          <w:rFonts w:hint="eastAsia" w:ascii="Times New Roman" w:hAnsi="Times New Roman" w:eastAsia="仿宋" w:cs="Times New Roman"/>
          <w:sz w:val="32"/>
          <w:szCs w:val="32"/>
        </w:rPr>
        <w:t>但仍需追溯落实环境保护“三同时”制度要求，你单位应对照经批准的环境影响报告表，全面核查项目实际建设的环境保护设施与主体工程配套情况、污染治理措施落实情况及生态保护成效。须依法依规补办竣工环境保护验收手续，验收合格后方可稳定运营；验收过程中发现的环境问题，应同步制定整改方案并限期完成。</w:t>
      </w:r>
    </w:p>
    <w:p w14:paraId="6E38BA1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佳木斯市桦南生态环境局负责该项目环评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后的全过程环境保护监督管理工作。</w:t>
      </w:r>
      <w:r>
        <w:rPr>
          <w:rFonts w:ascii="Times New Roman" w:hAnsi="Times New Roman" w:eastAsia="仿宋_GB2312" w:cs="Times New Roman"/>
          <w:sz w:val="32"/>
          <w:szCs w:val="32"/>
        </w:rPr>
        <w:t>你单位应在收到本批复后20个工作日内，将批准后的《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ascii="Times New Roman" w:hAnsi="Times New Roman" w:eastAsia="仿宋_GB2312" w:cs="Times New Roman"/>
          <w:sz w:val="32"/>
          <w:szCs w:val="32"/>
        </w:rPr>
        <w:t>》和批复文件送至佳木斯市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桦南</w:t>
      </w:r>
      <w:r>
        <w:rPr>
          <w:rFonts w:ascii="Times New Roman" w:hAnsi="Times New Roman" w:eastAsia="仿宋_GB2312" w:cs="Times New Roman"/>
          <w:sz w:val="32"/>
          <w:szCs w:val="32"/>
        </w:rPr>
        <w:t>生态环境局，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主动配合其开展追溯性监督检查。佳木斯市桦南生态环境局要切实履行属地监管责任，重点核查项目“三同时”制度追溯落实情况、竣工环保验收补办进展及整改措施落地成效，强化运营期间的常态化监管，对发现的环境违法行为依法依规处置。</w:t>
      </w:r>
    </w:p>
    <w:p w14:paraId="018116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9A279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C96BDF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佳木斯市生态环境局   </w:t>
      </w:r>
    </w:p>
    <w:p w14:paraId="51E1E3EC"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0167919"/>
      <w:docPartObj>
        <w:docPartGallery w:val="autotext"/>
      </w:docPartObj>
    </w:sdtPr>
    <w:sdtContent>
      <w:p w14:paraId="5300166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66A1EA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8E2788"/>
    <w:rsid w:val="00087AF8"/>
    <w:rsid w:val="000A1D39"/>
    <w:rsid w:val="000E730E"/>
    <w:rsid w:val="001040B3"/>
    <w:rsid w:val="0011177D"/>
    <w:rsid w:val="00124FCD"/>
    <w:rsid w:val="00182C8E"/>
    <w:rsid w:val="00190873"/>
    <w:rsid w:val="001B610E"/>
    <w:rsid w:val="001F38D3"/>
    <w:rsid w:val="00241B0F"/>
    <w:rsid w:val="00281F45"/>
    <w:rsid w:val="002E75A9"/>
    <w:rsid w:val="002F3832"/>
    <w:rsid w:val="00304B37"/>
    <w:rsid w:val="003858BF"/>
    <w:rsid w:val="003C0269"/>
    <w:rsid w:val="003C1BED"/>
    <w:rsid w:val="003D5130"/>
    <w:rsid w:val="003E3C38"/>
    <w:rsid w:val="004414B0"/>
    <w:rsid w:val="004604EC"/>
    <w:rsid w:val="004745DB"/>
    <w:rsid w:val="004D3129"/>
    <w:rsid w:val="004D64A0"/>
    <w:rsid w:val="004E2D43"/>
    <w:rsid w:val="00553BE3"/>
    <w:rsid w:val="0057338E"/>
    <w:rsid w:val="00583536"/>
    <w:rsid w:val="005976BC"/>
    <w:rsid w:val="005D0D70"/>
    <w:rsid w:val="005F4790"/>
    <w:rsid w:val="006147BF"/>
    <w:rsid w:val="00644E08"/>
    <w:rsid w:val="00671554"/>
    <w:rsid w:val="006812CC"/>
    <w:rsid w:val="006A3AE5"/>
    <w:rsid w:val="00703C0E"/>
    <w:rsid w:val="00757A6D"/>
    <w:rsid w:val="00784F6E"/>
    <w:rsid w:val="00796964"/>
    <w:rsid w:val="007B6FC2"/>
    <w:rsid w:val="007C22DF"/>
    <w:rsid w:val="007D1FF4"/>
    <w:rsid w:val="007E58B6"/>
    <w:rsid w:val="00824343"/>
    <w:rsid w:val="00893B99"/>
    <w:rsid w:val="008C0873"/>
    <w:rsid w:val="008E2788"/>
    <w:rsid w:val="00900E60"/>
    <w:rsid w:val="009012FD"/>
    <w:rsid w:val="00937719"/>
    <w:rsid w:val="009903B6"/>
    <w:rsid w:val="009B2373"/>
    <w:rsid w:val="009E0B02"/>
    <w:rsid w:val="00A30354"/>
    <w:rsid w:val="00A46910"/>
    <w:rsid w:val="00AE5700"/>
    <w:rsid w:val="00B70D85"/>
    <w:rsid w:val="00B72EA7"/>
    <w:rsid w:val="00B81056"/>
    <w:rsid w:val="00B87680"/>
    <w:rsid w:val="00B87D42"/>
    <w:rsid w:val="00BD0B43"/>
    <w:rsid w:val="00BF2A13"/>
    <w:rsid w:val="00C6795D"/>
    <w:rsid w:val="00CF3269"/>
    <w:rsid w:val="00CF65E9"/>
    <w:rsid w:val="00D173EE"/>
    <w:rsid w:val="00D27B22"/>
    <w:rsid w:val="00D47D6A"/>
    <w:rsid w:val="00D758E3"/>
    <w:rsid w:val="00DA3218"/>
    <w:rsid w:val="00DC1037"/>
    <w:rsid w:val="00E03B18"/>
    <w:rsid w:val="00E0757E"/>
    <w:rsid w:val="00E37A0F"/>
    <w:rsid w:val="00E70F7A"/>
    <w:rsid w:val="00E75B47"/>
    <w:rsid w:val="00E86265"/>
    <w:rsid w:val="00EB1E5B"/>
    <w:rsid w:val="00ED1068"/>
    <w:rsid w:val="00F13701"/>
    <w:rsid w:val="00F7270D"/>
    <w:rsid w:val="00FB6C8C"/>
    <w:rsid w:val="0425383A"/>
    <w:rsid w:val="04536B27"/>
    <w:rsid w:val="0EC3122C"/>
    <w:rsid w:val="10C57502"/>
    <w:rsid w:val="11302555"/>
    <w:rsid w:val="1D4F511A"/>
    <w:rsid w:val="1DCE6B25"/>
    <w:rsid w:val="202C6AEA"/>
    <w:rsid w:val="23D507D0"/>
    <w:rsid w:val="2AD5144A"/>
    <w:rsid w:val="35FD4B7B"/>
    <w:rsid w:val="3ACB6220"/>
    <w:rsid w:val="43F40102"/>
    <w:rsid w:val="4F073DD5"/>
    <w:rsid w:val="54107C99"/>
    <w:rsid w:val="54776CB7"/>
    <w:rsid w:val="56FC1AE9"/>
    <w:rsid w:val="5773465A"/>
    <w:rsid w:val="5BF73657"/>
    <w:rsid w:val="5CA7535F"/>
    <w:rsid w:val="5F3E33AA"/>
    <w:rsid w:val="60985386"/>
    <w:rsid w:val="61C963A7"/>
    <w:rsid w:val="65112CDC"/>
    <w:rsid w:val="6ABB4156"/>
    <w:rsid w:val="6F9E54E7"/>
    <w:rsid w:val="712612F0"/>
    <w:rsid w:val="74AE64D0"/>
    <w:rsid w:val="74E355AF"/>
    <w:rsid w:val="768E55DE"/>
    <w:rsid w:val="7EC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【表中文字】 Char Char"/>
    <w:qFormat/>
    <w:uiPriority w:val="0"/>
    <w:rPr>
      <w:rFonts w:ascii="Times New Roman" w:hAnsi="Times New Roman" w:eastAsia="宋体"/>
      <w:snapToGrid/>
      <w:spacing w:val="0"/>
      <w:w w:val="100"/>
      <w:kern w:val="0"/>
      <w:position w:val="0"/>
      <w:sz w:val="21"/>
      <w:vertAlign w:val="baseline"/>
    </w:rPr>
  </w:style>
  <w:style w:type="character" w:customStyle="1" w:styleId="12">
    <w:name w:val="正文00 Char"/>
    <w:link w:val="13"/>
    <w:qFormat/>
    <w:uiPriority w:val="0"/>
    <w:rPr>
      <w:rFonts w:hAnsi="宋体" w:eastAsia="宋体" w:cs="宋体"/>
      <w:sz w:val="24"/>
      <w:szCs w:val="24"/>
    </w:rPr>
  </w:style>
  <w:style w:type="paragraph" w:customStyle="1" w:styleId="13">
    <w:name w:val="正文00"/>
    <w:basedOn w:val="1"/>
    <w:next w:val="1"/>
    <w:link w:val="12"/>
    <w:qFormat/>
    <w:uiPriority w:val="0"/>
    <w:pPr>
      <w:spacing w:line="360" w:lineRule="auto"/>
      <w:ind w:firstLine="480" w:firstLineChars="200"/>
    </w:pPr>
    <w:rPr>
      <w:rFonts w:hAnsi="宋体" w:eastAsia="宋体" w:cs="宋体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1448</Words>
  <Characters>1552</Characters>
  <Lines>13</Lines>
  <Paragraphs>3</Paragraphs>
  <TotalTime>92</TotalTime>
  <ScaleCrop>false</ScaleCrop>
  <LinksUpToDate>false</LinksUpToDate>
  <CharactersWithSpaces>1565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2024-02-08T01:54:00Z</dcterms:created>
  <dc:creator>Administrator</dc:creator>
  <cp:lastModifiedBy>高</cp:lastModifiedBy>
  <cp:lastPrinted>2026-02-13T08:53:17Z</cp:lastPrinted>
  <dcterms:modified xsi:type="dcterms:W3CDTF">2026-02-13T09:16:12Z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C82DF0B80D5046E396F9D20864A9565C_13</vt:lpwstr>
  </property>
  <property fmtid="{D5CDD505-2E9C-101B-9397-08002B2CF9AE}" pid="4" name="KSOTemplateDocerSaveRecord">
    <vt:lpwstr>eyJoZGlkIjoiMDhjMDBlNDcwNmY2MDAyMWU3MTBhNTVkOWNhMWYxM2QiLCJ1c2VySWQiOiI0NDE0MjQ2MzEifQ==</vt:lpwstr>
  </property>
</Properties>
</file>