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EB994">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64B97A9D">
      <w:pPr>
        <w:widowControl w:val="0"/>
        <w:spacing w:line="360" w:lineRule="auto"/>
        <w:jc w:val="center"/>
        <w:rPr>
          <w:rFonts w:ascii="Times New Roman" w:hAnsi="Times New Roman" w:eastAsia="宋体" w:cs="Times New Roman"/>
          <w:b/>
          <w:caps w:val="0"/>
          <w:smallCaps w:val="0"/>
          <w:color w:val="auto"/>
          <w:spacing w:val="0"/>
          <w:sz w:val="44"/>
          <w:szCs w:val="44"/>
          <w:highlight w:val="none"/>
        </w:rPr>
      </w:pPr>
    </w:p>
    <w:p w14:paraId="55E4DE20">
      <w:pPr>
        <w:widowControl w:val="0"/>
        <w:spacing w:line="360" w:lineRule="auto"/>
        <w:jc w:val="center"/>
        <w:rPr>
          <w:rFonts w:ascii="Times New Roman" w:hAnsi="Times New Roman" w:eastAsia="宋体" w:cs="Times New Roman"/>
          <w:b/>
          <w:caps w:val="0"/>
          <w:smallCaps w:val="0"/>
          <w:color w:val="auto"/>
          <w:spacing w:val="0"/>
          <w:sz w:val="44"/>
          <w:szCs w:val="44"/>
          <w:highlight w:val="none"/>
        </w:rPr>
      </w:pPr>
    </w:p>
    <w:p w14:paraId="237CD782">
      <w:pPr>
        <w:widowControl w:val="0"/>
        <w:spacing w:line="360" w:lineRule="auto"/>
        <w:ind w:firstLine="482"/>
        <w:jc w:val="center"/>
        <w:rPr>
          <w:rFonts w:ascii="Times New Roman" w:hAnsi="Times New Roman" w:eastAsia="宋体" w:cs="Times New Roman"/>
          <w:b/>
          <w:caps w:val="0"/>
          <w:smallCaps w:val="0"/>
          <w:color w:val="auto"/>
          <w:spacing w:val="0"/>
          <w:sz w:val="44"/>
          <w:szCs w:val="44"/>
          <w:highlight w:val="none"/>
        </w:rPr>
      </w:pPr>
      <w:r>
        <w:rPr>
          <w:rFonts w:ascii="Times New Roman" w:hAnsi="Times New Roman" w:eastAsia="宋体" w:cs="Times New Roman"/>
          <w:b/>
          <w:caps w:val="0"/>
          <w:smallCaps w:val="0"/>
          <w:color w:val="auto"/>
          <w:spacing w:val="0"/>
          <w:sz w:val="44"/>
          <w:szCs w:val="44"/>
          <w:highlight w:val="none"/>
        </w:rPr>
        <w:t>佳木斯中建材光电材料有限公司黑龙江省佳木斯市高新区年产100MW碲化镉弱光发电玻璃项目</w:t>
      </w:r>
      <w:r>
        <w:rPr>
          <w:rFonts w:hint="eastAsia" w:ascii="Times New Roman" w:hAnsi="Times New Roman" w:eastAsia="宋体" w:cs="Times New Roman"/>
          <w:b/>
          <w:caps w:val="0"/>
          <w:smallCaps w:val="0"/>
          <w:color w:val="auto"/>
          <w:spacing w:val="0"/>
          <w:sz w:val="44"/>
          <w:szCs w:val="44"/>
          <w:highlight w:val="none"/>
        </w:rPr>
        <w:t>（重新报批）</w:t>
      </w:r>
    </w:p>
    <w:p w14:paraId="3E446322">
      <w:pPr>
        <w:widowControl w:val="0"/>
        <w:spacing w:line="360" w:lineRule="auto"/>
        <w:ind w:firstLine="482"/>
        <w:jc w:val="center"/>
        <w:rPr>
          <w:rFonts w:ascii="Times New Roman" w:hAnsi="Times New Roman" w:eastAsia="宋体" w:cs="Times New Roman"/>
          <w:b/>
          <w:caps w:val="0"/>
          <w:smallCaps w:val="0"/>
          <w:color w:val="auto"/>
          <w:spacing w:val="0"/>
          <w:sz w:val="44"/>
          <w:szCs w:val="44"/>
          <w:highlight w:val="none"/>
        </w:rPr>
      </w:pPr>
    </w:p>
    <w:p w14:paraId="62592661">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13429799">
      <w:pPr>
        <w:widowControl w:val="0"/>
        <w:spacing w:line="360" w:lineRule="auto"/>
        <w:jc w:val="center"/>
        <w:rPr>
          <w:rFonts w:ascii="Times New Roman" w:hAnsi="Times New Roman" w:eastAsia="宋体" w:cs="Times New Roman"/>
          <w:b/>
          <w:caps w:val="0"/>
          <w:smallCaps w:val="0"/>
          <w:color w:val="auto"/>
          <w:spacing w:val="0"/>
          <w:sz w:val="72"/>
          <w:szCs w:val="72"/>
          <w:highlight w:val="none"/>
        </w:rPr>
      </w:pPr>
      <w:r>
        <w:rPr>
          <w:rFonts w:ascii="Times New Roman" w:hAnsi="Times New Roman" w:eastAsia="宋体" w:cs="Times New Roman"/>
          <w:b/>
          <w:caps w:val="0"/>
          <w:smallCaps w:val="0"/>
          <w:color w:val="auto"/>
          <w:spacing w:val="0"/>
          <w:sz w:val="72"/>
          <w:szCs w:val="72"/>
          <w:highlight w:val="none"/>
        </w:rPr>
        <w:t>环境影响报告书</w:t>
      </w:r>
    </w:p>
    <w:p w14:paraId="7D7B5B57">
      <w:pPr>
        <w:widowControl w:val="0"/>
        <w:spacing w:line="360" w:lineRule="auto"/>
        <w:jc w:val="center"/>
        <w:rPr>
          <w:rFonts w:ascii="Times New Roman" w:hAnsi="Times New Roman" w:eastAsia="宋体" w:cs="Times New Roman"/>
          <w:b/>
          <w:caps w:val="0"/>
          <w:smallCaps w:val="0"/>
          <w:color w:val="auto"/>
          <w:spacing w:val="0"/>
          <w:sz w:val="36"/>
          <w:szCs w:val="36"/>
          <w:highlight w:val="none"/>
        </w:rPr>
      </w:pPr>
    </w:p>
    <w:p w14:paraId="21516499">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6122B6A0">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5211B2BE">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5E045F6F">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66A41C45">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30278D80">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6CD17302">
      <w:pPr>
        <w:widowControl w:val="0"/>
        <w:spacing w:line="360" w:lineRule="auto"/>
        <w:ind w:firstLine="482"/>
        <w:jc w:val="center"/>
        <w:rPr>
          <w:rFonts w:ascii="Times New Roman" w:hAnsi="Times New Roman" w:eastAsia="宋体" w:cs="Times New Roman"/>
          <w:b/>
          <w:caps w:val="0"/>
          <w:smallCaps w:val="0"/>
          <w:color w:val="auto"/>
          <w:spacing w:val="0"/>
          <w:highlight w:val="none"/>
        </w:rPr>
      </w:pPr>
    </w:p>
    <w:p w14:paraId="3331F28A">
      <w:pPr>
        <w:widowControl w:val="0"/>
        <w:spacing w:line="360" w:lineRule="auto"/>
        <w:jc w:val="center"/>
        <w:rPr>
          <w:rFonts w:ascii="Times New Roman" w:hAnsi="Times New Roman" w:eastAsia="宋体" w:cs="Times New Roman"/>
          <w:b/>
          <w:caps w:val="0"/>
          <w:smallCaps w:val="0"/>
          <w:color w:val="auto"/>
          <w:spacing w:val="0"/>
          <w:sz w:val="30"/>
          <w:szCs w:val="30"/>
          <w:highlight w:val="none"/>
        </w:rPr>
      </w:pPr>
    </w:p>
    <w:p w14:paraId="6D72E5D9">
      <w:pPr>
        <w:widowControl w:val="0"/>
        <w:spacing w:line="360" w:lineRule="auto"/>
        <w:jc w:val="center"/>
        <w:rPr>
          <w:rFonts w:ascii="Times New Roman" w:hAnsi="Times New Roman" w:eastAsia="宋体" w:cs="Times New Roman"/>
          <w:b/>
          <w:caps w:val="0"/>
          <w:smallCaps w:val="0"/>
          <w:color w:val="auto"/>
          <w:spacing w:val="0"/>
          <w:sz w:val="30"/>
          <w:szCs w:val="30"/>
          <w:highlight w:val="none"/>
        </w:rPr>
      </w:pPr>
    </w:p>
    <w:p w14:paraId="2609B129">
      <w:pPr>
        <w:widowControl w:val="0"/>
        <w:spacing w:line="360" w:lineRule="auto"/>
        <w:ind w:firstLine="1285" w:firstLineChars="400"/>
        <w:rPr>
          <w:rFonts w:ascii="Times New Roman" w:hAnsi="Times New Roman" w:eastAsia="宋体" w:cs="Times New Roman"/>
          <w:b/>
          <w:caps w:val="0"/>
          <w:smallCaps w:val="0"/>
          <w:color w:val="auto"/>
          <w:spacing w:val="0"/>
          <w:sz w:val="44"/>
          <w:szCs w:val="44"/>
          <w:highlight w:val="none"/>
        </w:rPr>
      </w:pPr>
      <w:r>
        <w:rPr>
          <w:rFonts w:ascii="Times New Roman" w:hAnsi="Times New Roman" w:eastAsia="宋体" w:cs="Times New Roman"/>
          <w:b/>
          <w:caps w:val="0"/>
          <w:smallCaps w:val="0"/>
          <w:color w:val="auto"/>
          <w:spacing w:val="0"/>
          <w:sz w:val="32"/>
          <w:szCs w:val="32"/>
          <w:highlight w:val="none"/>
        </w:rPr>
        <w:t>建设单位：佳木斯中建材光电材料有限公司</w:t>
      </w:r>
    </w:p>
    <w:p w14:paraId="43794599">
      <w:pPr>
        <w:widowControl w:val="0"/>
        <w:spacing w:line="360" w:lineRule="auto"/>
        <w:ind w:firstLine="1285" w:firstLineChars="400"/>
        <w:rPr>
          <w:rFonts w:ascii="Times New Roman" w:hAnsi="Times New Roman" w:eastAsia="宋体" w:cs="Times New Roman"/>
          <w:b/>
          <w:caps w:val="0"/>
          <w:smallCaps w:val="0"/>
          <w:color w:val="auto"/>
          <w:spacing w:val="0"/>
          <w:sz w:val="32"/>
          <w:szCs w:val="32"/>
          <w:highlight w:val="none"/>
        </w:rPr>
      </w:pPr>
      <w:r>
        <w:rPr>
          <w:rFonts w:ascii="Times New Roman" w:hAnsi="Times New Roman" w:eastAsia="宋体" w:cs="Times New Roman"/>
          <w:b/>
          <w:caps w:val="0"/>
          <w:smallCaps w:val="0"/>
          <w:color w:val="auto"/>
          <w:spacing w:val="0"/>
          <w:sz w:val="32"/>
          <w:szCs w:val="32"/>
          <w:highlight w:val="none"/>
        </w:rPr>
        <w:t>环评单位：黑龙江省科润工程咨询有限公司</w:t>
      </w:r>
    </w:p>
    <w:p w14:paraId="4B17A5B0">
      <w:pPr>
        <w:widowControl w:val="0"/>
        <w:spacing w:line="360" w:lineRule="auto"/>
        <w:ind w:firstLine="602"/>
        <w:jc w:val="center"/>
        <w:rPr>
          <w:rFonts w:ascii="Times New Roman" w:hAnsi="Times New Roman" w:eastAsia="宋体" w:cs="Times New Roman"/>
          <w:b/>
          <w:caps w:val="0"/>
          <w:smallCaps w:val="0"/>
          <w:color w:val="auto"/>
          <w:spacing w:val="0"/>
          <w:sz w:val="32"/>
          <w:szCs w:val="32"/>
          <w:highlight w:val="none"/>
        </w:rPr>
      </w:pPr>
    </w:p>
    <w:p w14:paraId="712A5C6E">
      <w:pPr>
        <w:widowControl w:val="0"/>
        <w:spacing w:line="360" w:lineRule="auto"/>
        <w:jc w:val="center"/>
        <w:rPr>
          <w:rFonts w:ascii="Times New Roman" w:hAnsi="Times New Roman" w:eastAsia="宋体" w:cs="Times New Roman"/>
          <w:b/>
          <w:caps w:val="0"/>
          <w:smallCaps w:val="0"/>
          <w:color w:val="auto"/>
          <w:spacing w:val="0"/>
          <w:sz w:val="32"/>
          <w:szCs w:val="32"/>
          <w:highlight w:val="none"/>
        </w:rPr>
        <w:sectPr>
          <w:headerReference r:id="rId3" w:type="default"/>
          <w:headerReference r:id="rId4" w:type="even"/>
          <w:footerReference r:id="rId5" w:type="even"/>
          <w:pgSz w:w="11906" w:h="16838"/>
          <w:pgMar w:top="1440" w:right="1418" w:bottom="1440" w:left="1418" w:header="851" w:footer="992" w:gutter="0"/>
          <w:pgBorders>
            <w:top w:val="none" w:sz="0" w:space="0"/>
            <w:left w:val="none" w:sz="0" w:space="0"/>
            <w:bottom w:val="none" w:sz="0" w:space="0"/>
            <w:right w:val="none" w:sz="0" w:space="0"/>
          </w:pgBorders>
          <w:cols w:space="425" w:num="1"/>
          <w:docGrid w:linePitch="312" w:charSpace="0"/>
        </w:sectPr>
      </w:pPr>
      <w:r>
        <w:rPr>
          <w:rFonts w:hint="eastAsia" w:ascii="Times New Roman" w:hAnsi="Times New Roman" w:eastAsia="宋体" w:cs="Times New Roman"/>
          <w:b/>
          <w:caps w:val="0"/>
          <w:smallCaps w:val="0"/>
          <w:color w:val="auto"/>
          <w:spacing w:val="0"/>
          <w:sz w:val="32"/>
          <w:szCs w:val="32"/>
          <w:highlight w:val="none"/>
        </w:rPr>
        <w:t>二〇二</w:t>
      </w:r>
      <w:r>
        <w:rPr>
          <w:rFonts w:hint="eastAsia" w:ascii="Times New Roman" w:hAnsi="Times New Roman" w:eastAsia="宋体" w:cs="Times New Roman"/>
          <w:b/>
          <w:caps w:val="0"/>
          <w:smallCaps w:val="0"/>
          <w:color w:val="auto"/>
          <w:spacing w:val="0"/>
          <w:sz w:val="32"/>
          <w:szCs w:val="32"/>
          <w:highlight w:val="none"/>
          <w:lang w:val="en-US" w:eastAsia="zh-CN"/>
        </w:rPr>
        <w:t>六</w:t>
      </w:r>
      <w:r>
        <w:rPr>
          <w:rFonts w:ascii="Times New Roman" w:hAnsi="Times New Roman" w:eastAsia="宋体" w:cs="Times New Roman"/>
          <w:b/>
          <w:caps w:val="0"/>
          <w:smallCaps w:val="0"/>
          <w:color w:val="auto"/>
          <w:spacing w:val="0"/>
          <w:sz w:val="32"/>
          <w:szCs w:val="32"/>
          <w:highlight w:val="none"/>
        </w:rPr>
        <w:t>年</w:t>
      </w:r>
      <w:r>
        <w:rPr>
          <w:rFonts w:hint="eastAsia" w:ascii="Times New Roman" w:hAnsi="Times New Roman" w:eastAsia="宋体" w:cs="Times New Roman"/>
          <w:b/>
          <w:caps w:val="0"/>
          <w:smallCaps w:val="0"/>
          <w:color w:val="auto"/>
          <w:spacing w:val="0"/>
          <w:sz w:val="32"/>
          <w:szCs w:val="32"/>
          <w:highlight w:val="none"/>
          <w:lang w:val="en-US" w:eastAsia="zh-CN"/>
        </w:rPr>
        <w:t>二</w:t>
      </w:r>
      <w:r>
        <w:rPr>
          <w:rFonts w:ascii="Times New Roman" w:hAnsi="Times New Roman" w:eastAsia="宋体" w:cs="Times New Roman"/>
          <w:b/>
          <w:caps w:val="0"/>
          <w:smallCaps w:val="0"/>
          <w:color w:val="auto"/>
          <w:spacing w:val="0"/>
          <w:sz w:val="32"/>
          <w:szCs w:val="32"/>
          <w:highlight w:val="none"/>
        </w:rPr>
        <w:t>月</w:t>
      </w:r>
    </w:p>
    <w:p w14:paraId="5E8413ED">
      <w:pPr>
        <w:widowControl w:val="0"/>
        <w:spacing w:line="360" w:lineRule="auto"/>
        <w:jc w:val="both"/>
        <w:rPr>
          <w:rFonts w:ascii="Times New Roman" w:hAnsi="Times New Roman" w:eastAsia="宋体" w:cs="Times New Roman"/>
          <w:caps w:val="0"/>
          <w:smallCaps w:val="0"/>
          <w:color w:val="auto"/>
          <w:spacing w:val="0"/>
          <w:highlight w:val="none"/>
        </w:rPr>
      </w:pPr>
      <w:r>
        <w:rPr>
          <w:caps w:val="0"/>
          <w:smallCaps w:val="0"/>
          <w:color w:val="auto"/>
          <w:spacing w:val="0"/>
          <w:highlight w:val="none"/>
        </w:rPr>
        <w:drawing>
          <wp:inline distT="0" distB="0" distL="114300" distR="114300">
            <wp:extent cx="5612130" cy="7919720"/>
            <wp:effectExtent l="0" t="0" r="7620" b="5080"/>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19"/>
                    <a:stretch>
                      <a:fillRect/>
                    </a:stretch>
                  </pic:blipFill>
                  <pic:spPr>
                    <a:xfrm>
                      <a:off x="0" y="0"/>
                      <a:ext cx="5612130" cy="7919720"/>
                    </a:xfrm>
                    <a:prstGeom prst="rect">
                      <a:avLst/>
                    </a:prstGeom>
                    <a:noFill/>
                    <a:ln>
                      <a:noFill/>
                    </a:ln>
                  </pic:spPr>
                </pic:pic>
              </a:graphicData>
            </a:graphic>
          </wp:inline>
        </w:drawing>
      </w:r>
    </w:p>
    <w:p w14:paraId="7B904320">
      <w:pP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br w:type="page"/>
      </w:r>
    </w:p>
    <w:p w14:paraId="13C96C66">
      <w:pPr>
        <w:widowControl w:val="0"/>
        <w:spacing w:line="360" w:lineRule="auto"/>
        <w:ind w:firstLine="442"/>
        <w:jc w:val="center"/>
        <w:rPr>
          <w:rFonts w:ascii="Times New Roman" w:hAnsi="Times New Roman" w:eastAsia="宋体" w:cs="Times New Roman"/>
          <w:caps w:val="0"/>
          <w:smallCaps w:val="0"/>
          <w:color w:val="auto"/>
          <w:spacing w:val="0"/>
          <w:sz w:val="32"/>
          <w:szCs w:val="32"/>
          <w:highlight w:val="none"/>
        </w:rPr>
      </w:pPr>
      <w:r>
        <w:rPr>
          <w:rFonts w:ascii="Times New Roman" w:hAnsi="Times New Roman" w:eastAsia="宋体" w:cs="Times New Roman"/>
          <w:caps w:val="0"/>
          <w:smallCaps w:val="0"/>
          <w:color w:val="auto"/>
          <w:spacing w:val="0"/>
          <w:sz w:val="32"/>
          <w:szCs w:val="32"/>
          <w:highlight w:val="none"/>
        </w:rPr>
        <w:t>目</w:t>
      </w:r>
      <w:r>
        <w:rPr>
          <w:rFonts w:hint="eastAsia" w:ascii="Times New Roman" w:hAnsi="Times New Roman" w:eastAsia="宋体" w:cs="Times New Roman"/>
          <w:caps w:val="0"/>
          <w:smallCaps w:val="0"/>
          <w:color w:val="auto"/>
          <w:spacing w:val="0"/>
          <w:sz w:val="32"/>
          <w:szCs w:val="32"/>
          <w:highlight w:val="none"/>
        </w:rPr>
        <w:t xml:space="preserve">  </w:t>
      </w:r>
      <w:r>
        <w:rPr>
          <w:rFonts w:ascii="Times New Roman" w:hAnsi="Times New Roman" w:eastAsia="宋体" w:cs="Times New Roman"/>
          <w:caps w:val="0"/>
          <w:smallCaps w:val="0"/>
          <w:color w:val="auto"/>
          <w:spacing w:val="0"/>
          <w:sz w:val="32"/>
          <w:szCs w:val="32"/>
          <w:highlight w:val="none"/>
        </w:rPr>
        <w:t>录</w:t>
      </w:r>
    </w:p>
    <w:p w14:paraId="531AE639">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TOC \o "1-3" \h \z \u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_Toc20986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1概述</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_Toc20986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9AD33B6">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_Toc18466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1.1项目由来</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_Toc18466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51CDE66">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_Toc10086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1.2项目特点</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_Toc10086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9F62055">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_Toc723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1.3环境影响评价工作过程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_Toc723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23D26ED">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_Toc2449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1.4关注的主要环境问题及环境影响</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_Toc2449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F22B1AD">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_Toc23611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1.5项目相关情况判定</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_Toc23611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829E25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_Toc22973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1.5.1产业政策符合性分析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_Toc22973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C79F800">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_Toc16933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1.5.2与《佳木斯高新技术产业开发区总体规划（2016-2030年）》符合性分析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_Toc16933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A25DF4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_Toc25051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1.5.3与《佳木斯高新技术产业开发区总体规划调整环境影响报告书》符合性分析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_Toc25051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562EB4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_Toc17629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1.5.4与《佳木斯高新技术产业开发区总体规划调整环境影响报告书》审查意见符合性分析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_Toc17629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5C1530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_Toc11930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1.5.5生态环境分区管控符合性分析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_Toc11930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228A8F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_Toc28043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1.5.6与相关政策符合性分析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_Toc28043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D9BB0E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_Toc24301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1.5.7选址合理性分析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_Toc24301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9A25B7F">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_Toc22552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1.6环境影响评价的主要结论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_Toc22552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062FBED">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_Toc15573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2总则</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_Toc15573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059FCC3">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_Toc13649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2.1编制依据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_Toc13649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BFC23FE">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_Toc20853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2.1.1相关法律、法规、规章</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_Toc20853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FEA3A8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_Toc16178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2.1.2相关技术导则、规范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_Toc16178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61F4A6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_Toc30385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2.1.3有关项目文件</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_Toc30385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04B0DFA">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_Toc14461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2.2环境影响因素识别和评价因子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_Toc14461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57486F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_Toc15087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2.2.1环境影响因素识别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_Toc15087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EA6FC8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_Toc6661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2.2.2评价因子筛选</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_Toc6661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3A08846">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_Toc20402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2.3环境功能区划</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_Toc20402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178727B">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_Toc25429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2.4评价标准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_Toc25429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E5873F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_Toc16924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2.4.1环境质量标准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_Toc16924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1E3092D">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_Toc29090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2.4.2污染物排放标准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_Toc29090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7A200AC">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_Toc29870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2.5评价工作等级和评价范围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_Toc29870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BBD332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_Toc5921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2.5.1地表水环境评价等级和范围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_Toc5921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E8C1B2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_Toc19376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2.5.2环境空气评价等级和范围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_Toc19376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39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006208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_Toc15930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2.5.3声环境评价等级和范围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_Toc15930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4AAF542">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_Toc18983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2.5.4地下水评价等级和范围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_Toc18983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A4931E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_Toc32562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2.5.5土壤环境影响评价等级和范围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_Toc32562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647C07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_Toc2891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w:t>
      </w:r>
      <w:r>
        <w:rPr>
          <w:rFonts w:hint="default" w:ascii="Times New Roman" w:hAnsi="Times New Roman" w:eastAsia="宋体" w:cs="Times New Roman"/>
          <w:caps w:val="0"/>
          <w:smallCaps w:val="0"/>
          <w:color w:val="auto"/>
          <w:spacing w:val="0"/>
          <w:sz w:val="24"/>
          <w:szCs w:val="24"/>
          <w:highlight w:val="none"/>
          <w:lang w:val="en-US" w:eastAsia="zh-CN"/>
        </w:rPr>
        <w:t>6</w:t>
      </w:r>
      <w:r>
        <w:rPr>
          <w:rFonts w:hint="default" w:ascii="Times New Roman" w:hAnsi="Times New Roman" w:eastAsia="宋体" w:cs="Times New Roman"/>
          <w:caps w:val="0"/>
          <w:smallCaps w:val="0"/>
          <w:color w:val="auto"/>
          <w:spacing w:val="0"/>
          <w:sz w:val="24"/>
          <w:szCs w:val="24"/>
          <w:highlight w:val="none"/>
        </w:rPr>
        <w:t>生态环境影响评价等级和范围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_Toc2891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C0900C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_Toc1087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2.5.</w:t>
      </w:r>
      <w:r>
        <w:rPr>
          <w:rFonts w:hint="default" w:ascii="Times New Roman" w:hAnsi="Times New Roman" w:eastAsia="宋体" w:cs="Times New Roman"/>
          <w:caps w:val="0"/>
          <w:smallCaps w:val="0"/>
          <w:color w:val="auto"/>
          <w:spacing w:val="0"/>
          <w:sz w:val="24"/>
          <w:szCs w:val="24"/>
          <w:highlight w:val="none"/>
          <w:lang w:val="en-US" w:eastAsia="zh-CN"/>
        </w:rPr>
        <w:t>7</w:t>
      </w:r>
      <w:r>
        <w:rPr>
          <w:rFonts w:hint="default" w:ascii="Times New Roman" w:hAnsi="Times New Roman" w:eastAsia="宋体" w:cs="Times New Roman"/>
          <w:caps w:val="0"/>
          <w:smallCaps w:val="0"/>
          <w:color w:val="auto"/>
          <w:spacing w:val="0"/>
          <w:sz w:val="24"/>
          <w:szCs w:val="24"/>
          <w:highlight w:val="none"/>
        </w:rPr>
        <w:t>环境风险评价等级和范围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_Toc1087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AA63581">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_Toc9432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2.6主要环境保护目标</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_Toc9432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23CBD58">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_Toc14115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3建设项目概况和工程分析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_Toc14115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9EDA437">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_Toc8363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3.1现有建设项目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_Toc8363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B18D12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_Toc19654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3.1.1现有工程概况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_Toc19654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6510193">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_Toc28814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3.1.2现有工程组成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_Toc28814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902EBB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_Toc9823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3.1.3现有工程原辅材料及能源消耗</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_Toc9823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90DEC2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_Toc5408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3.1.4现有工程公用工程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_Toc5408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E14387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_Toc32048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3.1.5现有工程工艺流程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_Toc32048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9FBCE02">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_Toc14649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3.1.6现有工程污染物排放情况及采取的措施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_Toc14649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2F0B2A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_Toc13539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3.1.7现有工程存在的环保问题</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_Toc13539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3B44F99">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_Toc19776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3.2本次项目概况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_Toc19776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F73EB9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_Toc21001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3.2.1项目名称和基本组成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_Toc21001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E4931ED">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_Toc19011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3.2.2工程概况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_Toc19011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5BF2F24">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_Toc15686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3.2.3组织结构与劳动定员</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_Toc15686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36E3DF4">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_Toc17115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3.3工程分析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_Toc17115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C282C3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_Toc304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3.3.1生产规模</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2C99F9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_Toc22560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3.3.2原辅材料</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_Toc22560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D34ECB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_Toc24566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3.3.3生产设备</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_Toc24566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FC7DE4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_Toc6962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3.3.4公用工程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_Toc6962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CCB09B6">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_Toc18232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3.3.5依托工程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_Toc18232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70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E067EA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_Toc26663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3.3.6厂址</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_Toc26663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70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9B60A09">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_Toc7108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3.3.7总图布置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_Toc7108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71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79F0FF9">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_Toc28003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3.4生产工艺流程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_Toc28003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72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EADEB22">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_Toc25615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3.4.1工艺流程及产污节点</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_Toc25615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74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A15C5A6">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_Toc27296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3.4.2物料衡算</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_Toc27296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BE91778">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_Toc20387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3.5污染分析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_Toc20387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104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7C8A67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_Toc19752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3.5.1运营期污染分析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_Toc19752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104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5A826E9">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_Toc19165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3.6环境风险识别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_Toc19165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124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934F77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_Toc15134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3.6.1风险物质识别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_Toc15134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124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C2062F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_Toc2476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3.6.2风险类型分析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_Toc2476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126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5E98DDF">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_Toc28097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3.7土壤影响分析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_Toc28097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127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51F1DE7">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_Toc2351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3.</w:t>
      </w:r>
      <w:r>
        <w:rPr>
          <w:rFonts w:hint="default" w:ascii="Times New Roman" w:hAnsi="Times New Roman" w:eastAsia="宋体" w:cs="Times New Roman"/>
          <w:caps w:val="0"/>
          <w:smallCaps w:val="0"/>
          <w:color w:val="auto"/>
          <w:spacing w:val="0"/>
          <w:sz w:val="24"/>
          <w:szCs w:val="24"/>
          <w:highlight w:val="none"/>
          <w:lang w:val="en-US" w:eastAsia="zh-CN"/>
        </w:rPr>
        <w:t>8</w:t>
      </w:r>
      <w:r>
        <w:rPr>
          <w:rFonts w:hint="default" w:ascii="Times New Roman" w:hAnsi="Times New Roman" w:eastAsia="宋体" w:cs="Times New Roman"/>
          <w:caps w:val="0"/>
          <w:smallCaps w:val="0"/>
          <w:color w:val="auto"/>
          <w:spacing w:val="0"/>
          <w:sz w:val="24"/>
          <w:szCs w:val="24"/>
          <w:highlight w:val="none"/>
          <w:lang w:val="zh-CN" w:eastAsia="zh-CN"/>
        </w:rPr>
        <w:t>同类工程情况介绍</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_Toc2351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127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4FF63BA">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_Toc31503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sz w:val="24"/>
          <w:szCs w:val="24"/>
          <w:highlight w:val="none"/>
        </w:rPr>
        <w:t>3.</w:t>
      </w:r>
      <w:r>
        <w:rPr>
          <w:rFonts w:hint="default" w:ascii="Times New Roman" w:hAnsi="Times New Roman" w:eastAsia="宋体" w:cs="Times New Roman"/>
          <w:bCs/>
          <w:caps w:val="0"/>
          <w:smallCaps w:val="0"/>
          <w:color w:val="auto"/>
          <w:spacing w:val="0"/>
          <w:sz w:val="24"/>
          <w:szCs w:val="24"/>
          <w:highlight w:val="none"/>
          <w:lang w:val="en-US" w:eastAsia="zh-CN"/>
        </w:rPr>
        <w:t>9</w:t>
      </w:r>
      <w:r>
        <w:rPr>
          <w:rFonts w:hint="default" w:ascii="Times New Roman" w:hAnsi="Times New Roman" w:eastAsia="宋体" w:cs="Times New Roman"/>
          <w:caps w:val="0"/>
          <w:smallCaps w:val="0"/>
          <w:color w:val="auto"/>
          <w:spacing w:val="0"/>
          <w:sz w:val="24"/>
          <w:szCs w:val="24"/>
          <w:highlight w:val="none"/>
        </w:rPr>
        <w:t>清洁生产分析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_Toc31503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CD5F22E">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_Toc18278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4环境现状调查与评价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_Toc18278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A5ACB31">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_Toc28975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4.1自然环境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_Toc28975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4C750BE">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_Toc10581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4.1.1地理位置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_Toc10581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6CB452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_Toc31377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4.1.2地形、地貌</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_Toc31377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7DE08E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_Toc2885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4.1.3水系概况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_Toc2885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85B720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_Toc14243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4.1.4气候、气象</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_Toc14243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F51621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_Toc5128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4.1.5水文地质</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_Toc5128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138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9B2E15E">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_Toc9095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4.1.6土壤</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_Toc9095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141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DAD5212">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_Toc27504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4.2佳木斯高新技术产业开发区概况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_Toc27504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142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47F919D">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_Toc17206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4.3环境保护目标调查</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_Toc17206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145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0F43460">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_Toc6892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4.4环境质量现状评价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_Toc6892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A0DDEC3">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_Toc32199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4.4.1地表水环境质量现状评价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_Toc32199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1780AFE">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_Toc986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4.4.2环境空气质量现状评价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_Toc986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150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C4ABD74">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_Toc26790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4.4.3声环境质量现状评价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_Toc26790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154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B2D8A9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_Toc3176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4.4.4地下水环境质量现状评价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_Toc3176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155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7963A8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_Toc17701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4.4.5土壤环境质量现状评价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_Toc17701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164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B345D1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_Toc8081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4.4.6 生态环境现状调查与评价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_Toc8081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7D77CB2">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_Toc28757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4.5区域污染源调查</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_Toc28757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16B46BD">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_Toc21537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5环境影响预测与评价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_Toc21537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C8596FE">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_Toc994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val="0"/>
          <w:caps w:val="0"/>
          <w:smallCaps w:val="0"/>
          <w:color w:val="auto"/>
          <w:spacing w:val="0"/>
          <w:sz w:val="24"/>
          <w:szCs w:val="24"/>
          <w:highlight w:val="none"/>
        </w:rPr>
        <w:t>5.1施工期环境影响分析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_Toc994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34327C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_Toc2781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5.1.1废水的影响分析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_Toc2781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9D450E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_Toc31782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5.1.2噪声影响分析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_Toc31782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1343274">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_Toc31444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5.1.3固废影响分析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_Toc31444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14DA414">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_Toc6045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val="0"/>
          <w:caps w:val="0"/>
          <w:smallCaps w:val="0"/>
          <w:color w:val="auto"/>
          <w:spacing w:val="0"/>
          <w:sz w:val="24"/>
          <w:szCs w:val="24"/>
          <w:highlight w:val="none"/>
        </w:rPr>
        <w:t>5.2运营期环境影响预测与评价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_Toc6045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3F5102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_Toc1399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sz w:val="24"/>
          <w:szCs w:val="24"/>
          <w:highlight w:val="none"/>
        </w:rPr>
        <w:t>5.2.1地表水环境影响预测与评价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_Toc1399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85AAFB2">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_Toc827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kern w:val="0"/>
          <w:sz w:val="24"/>
          <w:szCs w:val="24"/>
          <w:highlight w:val="none"/>
          <w:lang w:bidi="ar"/>
        </w:rPr>
        <w:t>5.2.2运营期大气环境影响预测与评价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_Toc827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180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841942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_Toc14372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kern w:val="0"/>
          <w:sz w:val="24"/>
          <w:szCs w:val="24"/>
          <w:highlight w:val="none"/>
          <w:lang w:bidi="ar"/>
        </w:rPr>
        <w:t>5.2.3声环境影响预测与评价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_Toc14372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190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56F902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_Toc16952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kern w:val="0"/>
          <w:sz w:val="24"/>
          <w:szCs w:val="24"/>
          <w:highlight w:val="none"/>
          <w:lang w:bidi="ar"/>
        </w:rPr>
        <w:t>5.2.4运营期固体废物环境影响分析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_Toc16952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194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1EF1024">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_Toc20291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kern w:val="0"/>
          <w:sz w:val="24"/>
          <w:szCs w:val="24"/>
          <w:highlight w:val="none"/>
          <w:lang w:bidi="ar"/>
        </w:rPr>
        <w:t>5.2.5运营期土壤环境影响分析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_Toc20291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197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1F48792">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_Toc30012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kern w:val="0"/>
          <w:sz w:val="24"/>
          <w:szCs w:val="24"/>
          <w:highlight w:val="none"/>
          <w:lang w:bidi="ar"/>
        </w:rPr>
        <w:t>5.2.6运营期地下水环境影响预测与评价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_Toc30012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200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A97D269">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_Toc28466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kern w:val="0"/>
          <w:sz w:val="24"/>
          <w:szCs w:val="24"/>
          <w:highlight w:val="none"/>
          <w:lang w:bidi="ar"/>
        </w:rPr>
        <w:t>5.2.7环境风险评价</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_Toc28466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204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D845501">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_Toc1059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6环境保护措施及其可行性论证</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_Toc1059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F1AEA70">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_Toc10628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6.1施工期污染防治措施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_Toc10628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D642FC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_Toc1713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6.1.1废水污染防治措施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_Toc1713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03E42F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_Toc22893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6.1.2噪声污染防治措施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_Toc22893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2C39339">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_Toc27614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6.1.3固体废物污染防治措施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_Toc27614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B9ACD05">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_Toc30797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6.2运营期污染防治措施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_Toc30797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D9CB8A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_Toc7343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bCs/>
          <w:caps w:val="0"/>
          <w:smallCaps w:val="0"/>
          <w:color w:val="auto"/>
          <w:spacing w:val="0"/>
          <w:sz w:val="24"/>
          <w:szCs w:val="24"/>
          <w:highlight w:val="none"/>
        </w:rPr>
        <w:t>6.2.1废水污染防治措施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_Toc7343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98227D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_Toc21420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6.2.2废气污染防治措施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_Toc21420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219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D7D3263">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_Toc32441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6.2.3运营期噪声控制措施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_Toc32441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223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9DFC6C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_Toc6200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6.2.4运营期固体废物污染防治措施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_Toc6200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224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21560E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_Toc7095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6.2.5运营期地下水污染防治措施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_Toc7095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229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049054D">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_Toc378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6.2.6土壤污染防治措施可行性分析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_Toc378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235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C52B3F4">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_Toc7903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6.2.7运营期环境风险防护措施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_Toc7903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235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AAFDDA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_Toc15449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6.2.8环保投资可行性分析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_Toc15449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A91DF16">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_Toc7643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7环境影响经济损益分析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_Toc7643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1F043CA">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_Toc15024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7.1环境经济损益简要分析的目的</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_Toc15024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53271FB">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_Toc4754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7.2工程经济效益简要分析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_Toc4754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570C36B">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_Toc26741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7.3工程社会效益分析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_Toc26741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D098803">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_Toc21538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7.4环境效益分析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_Toc21538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C99CC58">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_Toc30538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7.5环境经济损益分析结论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_Toc30538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DFF4062">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_Toc4280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8环境管理与监测计划</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_Toc4280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2996D88">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_Toc23408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8.1环境管理的意义</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_Toc23408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50F9353">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_Toc5934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8.2环境管理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_Toc5934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7C3BB29">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_Toc11635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8.2.1环境管理机构及职责</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_Toc11635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249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13E677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_Toc30359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8.2.2环境管理制度</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_Toc30359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251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9F39866">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_Toc32261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8.2.3建立污染物排放许可证制度和排污申报登记制度</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_Toc32261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252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AE12A96">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_Toc27420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8.3污染物排放清单</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_Toc27420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253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5A02A1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_Toc21986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8.3.1污染物排放清单</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_Toc21986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253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D92EB9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_Toc10682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8.3.2总量控制</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_Toc10682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2898851">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_Toc31404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8.4环境监测</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_Toc31404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8581F06">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_Toc2665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8.4.1环境监测的意义</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_Toc2665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FAEF71C">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_Toc29155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8.4.2运营期监测计划</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_Toc29155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D52AB06">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_Toc23570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8.4.3监测数据的管理与公开</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_Toc23570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4E454C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_Toc19874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8.4.4监测方式与方法</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_Toc19874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05F6F95">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_Toc29387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8.5排污口规范化管理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_Toc29387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DF1D7E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_Toc14130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8.5.1排污口规范化管理的基本原则</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_Toc14130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53C0AAD">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_Toc10756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8.5.2排污口的技术要求</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_Toc10756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7A93CF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_Toc15980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8.5.3排污口建档管理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_Toc15980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A0FD820">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_Toc29647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8.5.4排污口规范化管理</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_Toc29647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960F21C">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_Toc4167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8.6环境保护验收建议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_Toc4167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267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2AD7805">
      <w:pPr>
        <w:pStyle w:val="2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_Toc1964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_Toc1964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416A65F">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_Toc29444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9.1建设项目概况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_Toc29444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35C3886">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_Toc21650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9.2环境质量现状评价结论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_Toc21650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AD9146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_Toc15507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9.2.1大气环境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_Toc15507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B3654E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_Toc14401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9.2.2地表水环境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_Toc14401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B832003">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_Toc23832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9.2.3地下水环境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_Toc23832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06189B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_Toc20001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9.2.4声环境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_Toc20001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061C1A0">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_Toc31303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9.2.5土壤环境</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_Toc31303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380475B">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_Toc1385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_Toc1385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832EE6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_Toc14663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9.3.1大气环境影响评价结论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_Toc14663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C5748AF">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_Toc17413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9.3.2地表水环境影响评价结论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_Toc17413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273</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8ED0CB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_Toc9841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9.3.3地下水环境影响评价结论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_Toc9841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8FF44B8">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_Toc20132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9.3.4土壤环境影响评价结论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_Toc20132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0FC2A811">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_Toc10265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9.3.5声环境影响评价结论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_Toc10265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0062097">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_Toc9274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9.3.6风险环境影响评价结论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_Toc9274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9C02963">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_Toc23112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9.3.7固体废物环境影响评价结论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_Toc23112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75C6579">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_Toc11519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9.4总量控制指标</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_Toc11519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389019A">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_Toc14755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9.5公众意见采纳情况</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_Toc14755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E1BFF64">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_Toc6924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9.6环境保护措施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_Toc6924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D3272A0">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_Toc24520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9.6.1大气环境保护措施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_Toc24520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579CF33E">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_Toc6622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9.6.2地表水环境保护措施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_Toc6622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6ED9EA2A">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_Toc18733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9.6.3地下水环境保护措施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_Toc18733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3CFE909B">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_Toc32577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9.6.4声环境保护措施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_Toc32577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D03BC99">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_Toc15088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9.6.5固体废物污染防治措施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_Toc15088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1AF7475">
      <w:pPr>
        <w:pStyle w:val="17"/>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_Toc12371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9.6.6土壤环境保护措施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_Toc12371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27C8C451">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_Toc20554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9.7环境经济损益分析结论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_Toc20554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279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72BE56EA">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_Toc17329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9.8环境管理与监测计划</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_Toc17329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280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4CAFE042">
      <w:pPr>
        <w:pStyle w:val="32"/>
        <w:tabs>
          <w:tab w:val="right" w:leader="dot" w:pos="907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aps w:val="0"/>
          <w:smallCaps w:val="0"/>
          <w:color w:val="auto"/>
          <w:spacing w:val="0"/>
          <w:sz w:val="24"/>
          <w:szCs w:val="24"/>
          <w:highlight w:val="none"/>
        </w:rPr>
        <w:fldChar w:fldCharType="begin"/>
      </w:r>
      <w:r>
        <w:rPr>
          <w:rFonts w:hint="default" w:ascii="Times New Roman" w:hAnsi="Times New Roman" w:eastAsia="宋体" w:cs="Times New Roman"/>
          <w:caps w:val="0"/>
          <w:smallCaps w:val="0"/>
          <w:color w:val="auto"/>
          <w:spacing w:val="0"/>
          <w:sz w:val="24"/>
          <w:szCs w:val="24"/>
          <w:highlight w:val="none"/>
        </w:rPr>
        <w:instrText xml:space="preserve"> HYPERLINK \l _Toc13446 </w:instrText>
      </w:r>
      <w:r>
        <w:rPr>
          <w:rFonts w:hint="default" w:ascii="Times New Roman" w:hAnsi="Times New Roman" w:eastAsia="宋体" w:cs="Times New Roman"/>
          <w:caps w:val="0"/>
          <w:smallCaps w:val="0"/>
          <w:color w:val="auto"/>
          <w:spacing w:val="0"/>
          <w:sz w:val="24"/>
          <w:szCs w:val="24"/>
          <w:highlight w:val="none"/>
        </w:rPr>
        <w:fldChar w:fldCharType="separate"/>
      </w:r>
      <w:r>
        <w:rPr>
          <w:rFonts w:hint="default" w:ascii="Times New Roman" w:hAnsi="Times New Roman" w:eastAsia="宋体" w:cs="Times New Roman"/>
          <w:caps w:val="0"/>
          <w:smallCaps w:val="0"/>
          <w:color w:val="auto"/>
          <w:spacing w:val="0"/>
          <w:sz w:val="24"/>
          <w:szCs w:val="24"/>
          <w:highlight w:val="none"/>
        </w:rPr>
        <w:t>9.9总结论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_Toc13446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280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aps w:val="0"/>
          <w:smallCaps w:val="0"/>
          <w:color w:val="auto"/>
          <w:spacing w:val="0"/>
          <w:sz w:val="24"/>
          <w:szCs w:val="24"/>
          <w:highlight w:val="none"/>
        </w:rPr>
        <w:fldChar w:fldCharType="end"/>
      </w:r>
    </w:p>
    <w:p w14:paraId="181D3916">
      <w:pPr>
        <w:widowControl w:val="0"/>
        <w:spacing w:line="240" w:lineRule="auto"/>
        <w:jc w:val="both"/>
        <w:rPr>
          <w:rFonts w:ascii="Times New Roman" w:hAnsi="Times New Roman" w:eastAsia="宋体" w:cs="Times New Roman"/>
          <w:caps w:val="0"/>
          <w:smallCaps w:val="0"/>
          <w:color w:val="auto"/>
          <w:spacing w:val="0"/>
          <w:highlight w:val="none"/>
        </w:rPr>
        <w:sectPr>
          <w:headerReference r:id="rId6" w:type="default"/>
          <w:footerReference r:id="rId7"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425" w:num="1"/>
          <w:docGrid w:linePitch="333" w:charSpace="-3847"/>
        </w:sectPr>
      </w:pPr>
      <w:r>
        <w:rPr>
          <w:rFonts w:hint="default" w:ascii="Times New Roman" w:hAnsi="Times New Roman" w:eastAsia="宋体" w:cs="Times New Roman"/>
          <w:caps w:val="0"/>
          <w:smallCaps w:val="0"/>
          <w:color w:val="auto"/>
          <w:spacing w:val="0"/>
          <w:sz w:val="24"/>
          <w:szCs w:val="24"/>
          <w:highlight w:val="none"/>
        </w:rPr>
        <w:fldChar w:fldCharType="end"/>
      </w:r>
    </w:p>
    <w:p w14:paraId="58F27D76">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0" w:name="_Toc477951922"/>
      <w:bookmarkStart w:id="1" w:name="_Toc20986"/>
      <w:r>
        <w:rPr>
          <w:rFonts w:ascii="Times New Roman" w:hAnsi="Times New Roman" w:eastAsia="宋体" w:cs="Times New Roman"/>
          <w:caps w:val="0"/>
          <w:smallCaps w:val="0"/>
          <w:color w:val="auto"/>
          <w:spacing w:val="0"/>
          <w:highlight w:val="none"/>
        </w:rPr>
        <w:t>1概述</w:t>
      </w:r>
      <w:bookmarkEnd w:id="0"/>
      <w:bookmarkEnd w:id="1"/>
    </w:p>
    <w:p w14:paraId="73F01E70">
      <w:pPr>
        <w:pStyle w:val="4"/>
        <w:widowControl w:val="0"/>
        <w:rPr>
          <w:rFonts w:eastAsia="宋体"/>
          <w:caps w:val="0"/>
          <w:smallCaps w:val="0"/>
          <w:color w:val="auto"/>
          <w:spacing w:val="0"/>
          <w:highlight w:val="none"/>
        </w:rPr>
      </w:pPr>
      <w:bookmarkStart w:id="2" w:name="_Toc2744"/>
      <w:bookmarkStart w:id="3" w:name="_Toc18466"/>
      <w:r>
        <w:rPr>
          <w:rFonts w:eastAsia="宋体"/>
          <w:caps w:val="0"/>
          <w:smallCaps w:val="0"/>
          <w:color w:val="auto"/>
          <w:spacing w:val="0"/>
          <w:highlight w:val="none"/>
        </w:rPr>
        <w:t>1.1项目由来</w:t>
      </w:r>
      <w:bookmarkEnd w:id="2"/>
      <w:bookmarkEnd w:id="3"/>
    </w:p>
    <w:p w14:paraId="1BB0BC94">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近年来，世界各国为了促进可持续发展，应对全球气候变暖和能源危机，促进太阳能发电产业的发展，各国政府制定了一系列的支持政策，随着全球气候协议落实及光伏发电标准化成本的不断下降，光伏发电应用地域和领域会继续扩大，全球光伏市场将会逐年增加。佳木斯中建材光电材料有限公司决定建设本项目，本项目符合国家产业政策、行业政策和地方经济发展规划，具有优良的建设条件和外部环境，采用的技术和产品质量都可达到国内领先水平，项目实施将产生良好的经济效益、社会效益和环境效益。</w:t>
      </w:r>
    </w:p>
    <w:p w14:paraId="6D79B9FF">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2019年10月委托黑龙江省清泽环境科技有限公司承担了《佳木斯中建材光电材料有限公司黑龙江省佳木斯市高新区年产100MW碲化镉弱光发电玻璃项目环境影响报告书》的环境影响评价工作；2019年12月16日，佳木斯市生态环境局以佳环建审</w:t>
      </w:r>
      <w:r>
        <w:rPr>
          <w:rFonts w:hint="eastAsia" w:ascii="Times New Roman" w:hAnsi="Times New Roman" w:eastAsia="宋体" w:cs="Times New Roman"/>
          <w:caps w:val="0"/>
          <w:smallCaps w:val="0"/>
          <w:color w:val="auto"/>
          <w:spacing w:val="0"/>
          <w:szCs w:val="24"/>
          <w:highlight w:val="none"/>
        </w:rPr>
        <w:t>〔2019〕72号</w:t>
      </w:r>
      <w:r>
        <w:rPr>
          <w:rFonts w:ascii="Times New Roman" w:hAnsi="Times New Roman" w:eastAsia="宋体" w:cs="Times New Roman"/>
          <w:caps w:val="0"/>
          <w:smallCaps w:val="0"/>
          <w:color w:val="auto"/>
          <w:spacing w:val="0"/>
          <w:szCs w:val="24"/>
          <w:highlight w:val="none"/>
        </w:rPr>
        <w:t>文对环境影响报告书进行了批复。</w:t>
      </w:r>
      <w:r>
        <w:rPr>
          <w:rFonts w:ascii="Times New Roman" w:hAnsi="Times New Roman" w:eastAsia="宋体" w:cs="Times New Roman"/>
          <w:caps w:val="0"/>
          <w:smallCaps w:val="0"/>
          <w:color w:val="auto"/>
          <w:spacing w:val="0"/>
          <w:highlight w:val="none"/>
        </w:rPr>
        <w:t>企业</w:t>
      </w:r>
      <w:r>
        <w:rPr>
          <w:rFonts w:ascii="Times New Roman" w:hAnsi="Times New Roman" w:eastAsia="宋体" w:cs="Times New Roman"/>
          <w:caps w:val="0"/>
          <w:smallCaps w:val="0"/>
          <w:color w:val="auto"/>
          <w:spacing w:val="0"/>
          <w:szCs w:val="24"/>
          <w:highlight w:val="none"/>
        </w:rPr>
        <w:t>于2023年12月建成，2024年1月进行竣工环保自主验收，验收内容仅验收后端组装工段，</w:t>
      </w:r>
      <w:r>
        <w:rPr>
          <w:rFonts w:hint="eastAsia" w:ascii="Times New Roman" w:hAnsi="Times New Roman" w:eastAsia="宋体" w:cs="Times New Roman"/>
          <w:caps w:val="0"/>
          <w:smallCaps w:val="0"/>
          <w:color w:val="auto"/>
          <w:spacing w:val="0"/>
          <w:szCs w:val="24"/>
          <w:highlight w:val="none"/>
        </w:rPr>
        <w:t>前端</w:t>
      </w:r>
      <w:r>
        <w:rPr>
          <w:rFonts w:ascii="Times New Roman" w:hAnsi="Times New Roman" w:eastAsia="宋体" w:cs="Times New Roman"/>
          <w:caps w:val="0"/>
          <w:smallCaps w:val="0"/>
          <w:color w:val="auto"/>
          <w:spacing w:val="0"/>
          <w:szCs w:val="24"/>
          <w:highlight w:val="none"/>
        </w:rPr>
        <w:t>镀膜工艺未建设，采用外购半成品材料进行后端组装生产，生产规模不变</w:t>
      </w:r>
      <w:r>
        <w:rPr>
          <w:rFonts w:hint="eastAsia" w:ascii="Times New Roman" w:hAnsi="Times New Roman" w:eastAsia="宋体" w:cs="Times New Roman"/>
          <w:caps w:val="0"/>
          <w:smallCaps w:val="0"/>
          <w:color w:val="auto"/>
          <w:spacing w:val="0"/>
          <w:szCs w:val="24"/>
          <w:highlight w:val="none"/>
        </w:rPr>
        <w:t>，</w:t>
      </w:r>
      <w:r>
        <w:rPr>
          <w:rFonts w:hint="eastAsia" w:ascii="Times New Roman" w:hAnsi="Times New Roman" w:eastAsia="宋体" w:cs="Times New Roman"/>
          <w:caps w:val="0"/>
          <w:smallCaps w:val="0"/>
          <w:color w:val="auto"/>
          <w:spacing w:val="0"/>
          <w:szCs w:val="24"/>
          <w:highlight w:val="none"/>
        </w:rPr>
        <w:t>联合车间、原料库房、危险废物贮存库、办公楼、给排水以及</w:t>
      </w:r>
      <w:r>
        <w:rPr>
          <w:rFonts w:hint="eastAsia" w:ascii="Times New Roman" w:hAnsi="Times New Roman" w:eastAsia="宋体" w:cs="Times New Roman"/>
          <w:caps w:val="0"/>
          <w:smallCaps w:val="0"/>
          <w:color w:val="auto"/>
          <w:spacing w:val="0"/>
          <w:szCs w:val="24"/>
          <w:highlight w:val="none"/>
          <w:lang w:val="en-US" w:eastAsia="zh-CN"/>
        </w:rPr>
        <w:t>前段</w:t>
      </w:r>
      <w:r>
        <w:rPr>
          <w:rFonts w:hint="eastAsia" w:ascii="Times New Roman" w:hAnsi="Times New Roman" w:eastAsia="宋体" w:cs="Times New Roman"/>
          <w:caps w:val="0"/>
          <w:smallCaps w:val="0"/>
          <w:color w:val="auto"/>
          <w:spacing w:val="0"/>
          <w:szCs w:val="24"/>
          <w:highlight w:val="none"/>
        </w:rPr>
        <w:t>镀膜生产线所需的</w:t>
      </w:r>
      <w:r>
        <w:rPr>
          <w:rFonts w:ascii="Times New Roman" w:hAnsi="Times New Roman" w:eastAsia="宋体" w:cs="Times New Roman"/>
          <w:caps w:val="0"/>
          <w:smallCaps w:val="0"/>
          <w:color w:val="auto"/>
          <w:spacing w:val="0"/>
          <w:szCs w:val="24"/>
          <w:highlight w:val="none"/>
        </w:rPr>
        <w:t>氮气</w:t>
      </w:r>
      <w:r>
        <w:rPr>
          <w:rFonts w:hint="eastAsia" w:ascii="Times New Roman" w:hAnsi="Times New Roman" w:eastAsia="宋体" w:cs="Times New Roman"/>
          <w:caps w:val="0"/>
          <w:smallCaps w:val="0"/>
          <w:color w:val="auto"/>
          <w:spacing w:val="0"/>
          <w:szCs w:val="24"/>
          <w:highlight w:val="none"/>
        </w:rPr>
        <w:t>、氮气</w:t>
      </w:r>
      <w:r>
        <w:rPr>
          <w:rFonts w:ascii="Times New Roman" w:hAnsi="Times New Roman" w:eastAsia="宋体" w:cs="Times New Roman"/>
          <w:caps w:val="0"/>
          <w:smallCaps w:val="0"/>
          <w:color w:val="auto"/>
          <w:spacing w:val="0"/>
          <w:szCs w:val="24"/>
          <w:highlight w:val="none"/>
        </w:rPr>
        <w:t>供给系统</w:t>
      </w:r>
      <w:r>
        <w:rPr>
          <w:rFonts w:hint="eastAsia" w:ascii="Times New Roman" w:hAnsi="Times New Roman" w:eastAsia="宋体" w:cs="Times New Roman"/>
          <w:caps w:val="0"/>
          <w:smallCaps w:val="0"/>
          <w:color w:val="auto"/>
          <w:spacing w:val="0"/>
          <w:szCs w:val="24"/>
          <w:highlight w:val="none"/>
        </w:rPr>
        <w:t>等均已配套建设并完成验收，</w:t>
      </w:r>
      <w:r>
        <w:rPr>
          <w:rFonts w:hint="eastAsia" w:ascii="Times New Roman" w:hAnsi="Times New Roman" w:eastAsia="宋体" w:cs="Times New Roman"/>
          <w:caps w:val="0"/>
          <w:smallCaps w:val="0"/>
          <w:color w:val="auto"/>
          <w:spacing w:val="0"/>
          <w:szCs w:val="24"/>
          <w:highlight w:val="none"/>
          <w:lang w:val="en-US" w:eastAsia="zh-CN"/>
        </w:rPr>
        <w:t>前段</w:t>
      </w:r>
      <w:r>
        <w:rPr>
          <w:rFonts w:hint="eastAsia" w:ascii="Times New Roman" w:hAnsi="Times New Roman" w:eastAsia="宋体" w:cs="Times New Roman"/>
          <w:caps w:val="0"/>
          <w:smallCaps w:val="0"/>
          <w:color w:val="auto"/>
          <w:spacing w:val="0"/>
          <w:szCs w:val="24"/>
          <w:highlight w:val="none"/>
        </w:rPr>
        <w:t>镀膜设备部分到场</w:t>
      </w:r>
      <w:r>
        <w:rPr>
          <w:rFonts w:ascii="Times New Roman" w:hAnsi="Times New Roman" w:eastAsia="宋体" w:cs="Times New Roman"/>
          <w:caps w:val="0"/>
          <w:smallCaps w:val="0"/>
          <w:color w:val="auto"/>
          <w:spacing w:val="0"/>
          <w:szCs w:val="24"/>
          <w:highlight w:val="none"/>
        </w:rPr>
        <w:t>。</w:t>
      </w:r>
    </w:p>
    <w:p w14:paraId="73E74A89">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佳木斯中建材光电材料有限公司为优化成本并调整生产规划，在启动前段镀膜工艺建设的同时，对原有镀膜环节进行工艺升级改造。改造后，年总产能保持100MW碲化镉弱光发电玻璃不变，但产品结构由原先单一的常规组件，调整为常规组件、透光组件及异形组件合计100MW。为实现产品结构的多元化升</w:t>
      </w:r>
      <w:r>
        <w:rPr>
          <w:rFonts w:ascii="Times New Roman" w:hAnsi="Times New Roman" w:eastAsia="宋体" w:cs="Times New Roman"/>
          <w:caps w:val="0"/>
          <w:smallCaps w:val="0"/>
          <w:color w:val="auto"/>
          <w:spacing w:val="0"/>
          <w:szCs w:val="24"/>
          <w:highlight w:val="none"/>
        </w:rPr>
        <w:t>级，生产工艺新增以下环节：</w:t>
      </w:r>
    </w:p>
    <w:p w14:paraId="45A7F051">
      <w:pPr>
        <w:pStyle w:val="32"/>
        <w:spacing w:line="360" w:lineRule="auto"/>
        <w:ind w:firstLine="240" w:firstLineChars="1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1、新增活化层清洗刻蚀、ZnTe背接触膜层磁控溅射镀膜以及P</w:t>
      </w:r>
      <w:r>
        <w:rPr>
          <w:rFonts w:hint="eastAsia" w:ascii="Times New Roman" w:hAnsi="Times New Roman" w:eastAsia="宋体" w:cs="Times New Roman"/>
          <w:caps w:val="0"/>
          <w:smallCaps w:val="0"/>
          <w:color w:val="auto"/>
          <w:spacing w:val="0"/>
          <w:sz w:val="24"/>
          <w:szCs w:val="24"/>
          <w:highlight w:val="none"/>
        </w:rPr>
        <w:t>5</w:t>
      </w:r>
      <w:r>
        <w:rPr>
          <w:rFonts w:ascii="Times New Roman" w:hAnsi="Times New Roman" w:eastAsia="宋体" w:cs="Times New Roman"/>
          <w:caps w:val="0"/>
          <w:smallCaps w:val="0"/>
          <w:color w:val="auto"/>
          <w:spacing w:val="0"/>
          <w:sz w:val="24"/>
          <w:szCs w:val="24"/>
          <w:highlight w:val="none"/>
        </w:rPr>
        <w:t>-P</w:t>
      </w:r>
      <w:r>
        <w:rPr>
          <w:rFonts w:hint="eastAsia" w:ascii="Times New Roman" w:hAnsi="Times New Roman" w:eastAsia="宋体" w:cs="Times New Roman"/>
          <w:caps w:val="0"/>
          <w:smallCaps w:val="0"/>
          <w:color w:val="auto"/>
          <w:spacing w:val="0"/>
          <w:sz w:val="24"/>
          <w:szCs w:val="24"/>
          <w:highlight w:val="none"/>
        </w:rPr>
        <w:t>6</w:t>
      </w:r>
      <w:r>
        <w:rPr>
          <w:rFonts w:ascii="Times New Roman" w:hAnsi="Times New Roman" w:eastAsia="宋体" w:cs="Times New Roman"/>
          <w:caps w:val="0"/>
          <w:smallCaps w:val="0"/>
          <w:color w:val="auto"/>
          <w:spacing w:val="0"/>
          <w:sz w:val="24"/>
          <w:szCs w:val="24"/>
          <w:highlight w:val="none"/>
        </w:rPr>
        <w:t>激光刻划；</w:t>
      </w:r>
    </w:p>
    <w:p w14:paraId="4CB18AE9">
      <w:pPr>
        <w:pStyle w:val="32"/>
        <w:spacing w:line="360" w:lineRule="auto"/>
        <w:ind w:left="0" w:firstLine="480" w:firstLineChars="2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2、污水处理站处理能力由原有的120m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/d变更为1</w:t>
      </w:r>
      <w:r>
        <w:rPr>
          <w:rFonts w:hint="eastAsia" w:ascii="Times New Roman" w:hAnsi="Times New Roman" w:eastAsia="宋体" w:cs="Times New Roman"/>
          <w:caps w:val="0"/>
          <w:smallCaps w:val="0"/>
          <w:color w:val="auto"/>
          <w:spacing w:val="0"/>
          <w:sz w:val="24"/>
          <w:szCs w:val="24"/>
          <w:highlight w:val="none"/>
          <w:lang w:val="en-US" w:eastAsia="zh-CN"/>
        </w:rPr>
        <w:t>80</w:t>
      </w:r>
      <w:r>
        <w:rPr>
          <w:rFonts w:ascii="Times New Roman" w:hAnsi="Times New Roman" w:eastAsia="宋体" w:cs="Times New Roman"/>
          <w:caps w:val="0"/>
          <w:smallCaps w:val="0"/>
          <w:color w:val="auto"/>
          <w:spacing w:val="0"/>
          <w:sz w:val="24"/>
          <w:szCs w:val="24"/>
          <w:highlight w:val="none"/>
        </w:rPr>
        <w:t>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w:t>
      </w:r>
    </w:p>
    <w:p w14:paraId="285A1362">
      <w:pPr>
        <w:pStyle w:val="32"/>
        <w:spacing w:line="360" w:lineRule="auto"/>
        <w:ind w:left="0" w:firstLine="480" w:firstLineChars="2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3、后端组装工段新增组框机，接线盒配置由原来的粘合剂改进为焊接。</w:t>
      </w:r>
    </w:p>
    <w:p w14:paraId="621BA0B1">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污水</w:t>
      </w:r>
      <w:r>
        <w:rPr>
          <w:rFonts w:ascii="Times New Roman" w:hAnsi="Times New Roman" w:eastAsia="宋体" w:cs="Times New Roman"/>
          <w:caps w:val="0"/>
          <w:smallCaps w:val="0"/>
          <w:color w:val="auto"/>
          <w:spacing w:val="0"/>
          <w:szCs w:val="24"/>
          <w:highlight w:val="none"/>
        </w:rPr>
        <w:t>处理站由原来120m</w:t>
      </w:r>
      <w:r>
        <w:rPr>
          <w:rFonts w:ascii="Times New Roman" w:hAnsi="Times New Roman" w:eastAsia="宋体" w:cs="Times New Roman"/>
          <w:caps w:val="0"/>
          <w:smallCaps w:val="0"/>
          <w:color w:val="auto"/>
          <w:spacing w:val="0"/>
          <w:szCs w:val="24"/>
          <w:highlight w:val="none"/>
          <w:vertAlign w:val="superscript"/>
        </w:rPr>
        <w:t>3</w:t>
      </w:r>
      <w:r>
        <w:rPr>
          <w:rFonts w:ascii="Times New Roman" w:hAnsi="Times New Roman" w:eastAsia="宋体" w:cs="Times New Roman"/>
          <w:caps w:val="0"/>
          <w:smallCaps w:val="0"/>
          <w:color w:val="auto"/>
          <w:spacing w:val="0"/>
          <w:szCs w:val="24"/>
          <w:highlight w:val="none"/>
        </w:rPr>
        <w:t>/d增加到</w:t>
      </w:r>
      <w:r>
        <w:rPr>
          <w:rFonts w:hint="eastAsia" w:ascii="Times New Roman" w:hAnsi="Times New Roman" w:eastAsia="宋体" w:cs="Times New Roman"/>
          <w:caps w:val="0"/>
          <w:smallCaps w:val="0"/>
          <w:color w:val="auto"/>
          <w:spacing w:val="0"/>
          <w:szCs w:val="24"/>
          <w:highlight w:val="none"/>
          <w:lang w:eastAsia="zh-CN"/>
        </w:rPr>
        <w:t>180m</w:t>
      </w:r>
      <w:r>
        <w:rPr>
          <w:rFonts w:hint="eastAsia" w:ascii="Times New Roman" w:hAnsi="Times New Roman" w:eastAsia="宋体" w:cs="Times New Roman"/>
          <w:caps w:val="0"/>
          <w:smallCaps w:val="0"/>
          <w:color w:val="auto"/>
          <w:spacing w:val="0"/>
          <w:szCs w:val="24"/>
          <w:highlight w:val="none"/>
          <w:vertAlign w:val="superscript"/>
          <w:lang w:eastAsia="zh-CN"/>
        </w:rPr>
        <w:t>3</w:t>
      </w:r>
      <w:r>
        <w:rPr>
          <w:rFonts w:hint="eastAsia" w:ascii="Times New Roman" w:hAnsi="Times New Roman" w:eastAsia="宋体" w:cs="Times New Roman"/>
          <w:caps w:val="0"/>
          <w:smallCaps w:val="0"/>
          <w:color w:val="auto"/>
          <w:spacing w:val="0"/>
          <w:szCs w:val="24"/>
          <w:highlight w:val="none"/>
          <w:lang w:eastAsia="zh-CN"/>
        </w:rPr>
        <w:t>/d</w:t>
      </w:r>
      <w:r>
        <w:rPr>
          <w:rFonts w:ascii="Times New Roman" w:hAnsi="Times New Roman" w:eastAsia="宋体" w:cs="Times New Roman"/>
          <w:caps w:val="0"/>
          <w:smallCaps w:val="0"/>
          <w:color w:val="auto"/>
          <w:spacing w:val="0"/>
          <w:szCs w:val="24"/>
          <w:highlight w:val="none"/>
        </w:rPr>
        <w:t>；新增活化层清洗刻蚀环节产污氯化氢和氮氧化物。</w:t>
      </w:r>
    </w:p>
    <w:p w14:paraId="59C8E367">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根据</w:t>
      </w:r>
      <w:r>
        <w:rPr>
          <w:rFonts w:hint="default" w:ascii="Times New Roman" w:hAnsi="Times New Roman" w:cs="Times New Roman"/>
          <w:color w:val="auto"/>
          <w:highlight w:val="none"/>
        </w:rPr>
        <w:t>关于印发《污染影响类建设项目重大变动清单（试行）》的通知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环办环评函〔2020〕688号</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规模：</w:t>
      </w:r>
      <w:r>
        <w:rPr>
          <w:rFonts w:hint="default" w:ascii="Times New Roman" w:hAnsi="Times New Roman" w:cs="Times New Roman"/>
          <w:color w:val="auto"/>
          <w:highlight w:val="none"/>
          <w:lang w:val="en-US" w:eastAsia="zh-CN"/>
        </w:rPr>
        <w:t>2.生产、处置或储存能力增大30%及以上的。生产工艺：6.新增产品品种或生产工艺(含主要生产装置、设备及配套设施)、主要原辅材料、燃料变化，导致以下情形之一</w:t>
      </w:r>
      <w:r>
        <w:rPr>
          <w:rFonts w:hint="eastAsia" w:ascii="Times New Roman" w:hAnsi="Times New Roman" w:cs="Times New Roman"/>
          <w:color w:val="auto"/>
          <w:highlight w:val="none"/>
          <w:lang w:val="en-US" w:eastAsia="zh-CN"/>
        </w:rPr>
        <w:t>：（1）新增排放污染物种类的（毒性、挥发性降低的除外）</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属于重大变动</w:t>
      </w:r>
      <w:r>
        <w:rPr>
          <w:rFonts w:hint="eastAsia" w:ascii="Times New Roman" w:cs="Times New Roman"/>
          <w:color w:val="auto"/>
          <w:highlight w:val="none"/>
          <w:lang w:eastAsia="zh-CN"/>
        </w:rPr>
        <w:t>。</w:t>
      </w:r>
      <w:r>
        <w:rPr>
          <w:rFonts w:hint="eastAsia"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lang w:val="en-US" w:eastAsia="zh-CN"/>
        </w:rPr>
        <w:t>对</w:t>
      </w:r>
      <w:r>
        <w:rPr>
          <w:rFonts w:hint="eastAsia" w:ascii="Times New Roman" w:cs="Times New Roman"/>
          <w:color w:val="auto"/>
          <w:highlight w:val="none"/>
          <w:lang w:val="en-US" w:eastAsia="zh-CN"/>
        </w:rPr>
        <w:t>前段镀膜生产线</w:t>
      </w:r>
      <w:r>
        <w:rPr>
          <w:rFonts w:hint="default" w:ascii="Times New Roman" w:hAnsi="Times New Roman" w:cs="Times New Roman"/>
          <w:color w:val="auto"/>
          <w:highlight w:val="none"/>
          <w:lang w:val="en-US" w:eastAsia="zh-CN"/>
        </w:rPr>
        <w:t>进行调整</w:t>
      </w:r>
      <w:r>
        <w:rPr>
          <w:rFonts w:hint="eastAsia" w:ascii="Times New Roman" w:hAnsi="Times New Roman" w:cs="Times New Roman"/>
          <w:color w:val="auto"/>
          <w:highlight w:val="none"/>
          <w:lang w:val="en-US" w:eastAsia="zh-CN"/>
        </w:rPr>
        <w:t>后，导致废气</w:t>
      </w:r>
      <w:r>
        <w:rPr>
          <w:rFonts w:hint="default" w:ascii="Times New Roman" w:hAnsi="Times New Roman" w:cs="Times New Roman"/>
          <w:color w:val="auto"/>
          <w:highlight w:val="none"/>
          <w:lang w:val="en-US" w:eastAsia="zh-CN"/>
        </w:rPr>
        <w:t>污染物</w:t>
      </w:r>
      <w:r>
        <w:rPr>
          <w:rFonts w:hint="eastAsia" w:ascii="Times New Roman" w:cs="Times New Roman"/>
          <w:color w:val="auto"/>
          <w:highlight w:val="none"/>
          <w:lang w:val="en-US" w:eastAsia="zh-CN"/>
        </w:rPr>
        <w:t>种类增加，新增氮氧化物和氯化氢</w:t>
      </w:r>
      <w:r>
        <w:rPr>
          <w:rFonts w:hint="eastAsia" w:ascii="Times New Roman" w:hAnsi="Times New Roman" w:cs="Times New Roman"/>
          <w:color w:val="auto"/>
          <w:highlight w:val="none"/>
          <w:lang w:val="en-US" w:eastAsia="zh-CN"/>
        </w:rPr>
        <w:t>；并且厂区</w:t>
      </w:r>
      <w:r>
        <w:rPr>
          <w:rFonts w:hint="eastAsia" w:ascii="Times New Roman" w:cs="Times New Roman"/>
          <w:color w:val="auto"/>
          <w:highlight w:val="none"/>
          <w:lang w:val="en-US" w:eastAsia="zh-CN"/>
        </w:rPr>
        <w:t>污水处理站处理能力</w:t>
      </w:r>
      <w:r>
        <w:rPr>
          <w:rFonts w:ascii="Times New Roman" w:hAnsi="Times New Roman" w:eastAsia="宋体" w:cs="Times New Roman"/>
          <w:caps w:val="0"/>
          <w:smallCaps w:val="0"/>
          <w:color w:val="auto"/>
          <w:spacing w:val="0"/>
          <w:sz w:val="24"/>
          <w:szCs w:val="24"/>
          <w:highlight w:val="none"/>
        </w:rPr>
        <w:t>由原有的120m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/d变更为1</w:t>
      </w:r>
      <w:r>
        <w:rPr>
          <w:rFonts w:hint="eastAsia" w:ascii="Times New Roman" w:hAnsi="Times New Roman" w:eastAsia="宋体" w:cs="Times New Roman"/>
          <w:caps w:val="0"/>
          <w:smallCaps w:val="0"/>
          <w:color w:val="auto"/>
          <w:spacing w:val="0"/>
          <w:sz w:val="24"/>
          <w:szCs w:val="24"/>
          <w:highlight w:val="none"/>
          <w:lang w:val="en-US" w:eastAsia="zh-CN"/>
        </w:rPr>
        <w:t>80</w:t>
      </w:r>
      <w:r>
        <w:rPr>
          <w:rFonts w:ascii="Times New Roman" w:hAnsi="Times New Roman" w:eastAsia="宋体" w:cs="Times New Roman"/>
          <w:caps w:val="0"/>
          <w:smallCaps w:val="0"/>
          <w:color w:val="auto"/>
          <w:spacing w:val="0"/>
          <w:sz w:val="24"/>
          <w:szCs w:val="24"/>
          <w:highlight w:val="none"/>
        </w:rPr>
        <w:t>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w:t>
      </w:r>
      <w:r>
        <w:rPr>
          <w:rFonts w:hint="eastAsia"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处理能力增加30%以上</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因此</w:t>
      </w:r>
      <w:r>
        <w:rPr>
          <w:rFonts w:hint="eastAsia" w:ascii="Times New Roman" w:hAnsi="Times New Roman" w:cs="Times New Roman"/>
          <w:color w:val="auto"/>
          <w:highlight w:val="none"/>
          <w:lang w:val="en-US" w:eastAsia="zh-CN"/>
        </w:rPr>
        <w:t>本项目的工程变化情况</w:t>
      </w:r>
      <w:r>
        <w:rPr>
          <w:rFonts w:hint="default" w:ascii="Times New Roman" w:hAnsi="Times New Roman" w:cs="Times New Roman"/>
          <w:color w:val="auto"/>
          <w:highlight w:val="none"/>
          <w:lang w:val="en-US" w:eastAsia="zh-CN"/>
        </w:rPr>
        <w:t>构成重大变动</w:t>
      </w:r>
      <w:r>
        <w:rPr>
          <w:rFonts w:hint="default" w:ascii="Times New Roman" w:hAnsi="Times New Roman" w:cs="Times New Roman"/>
          <w:color w:val="auto"/>
          <w:highlight w:val="none"/>
          <w:lang w:eastAsia="zh-CN"/>
        </w:rPr>
        <w:t>。</w:t>
      </w:r>
    </w:p>
    <w:p w14:paraId="5FB940E1">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根据《国民经济行业分类</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GB/T4754-2017</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》，本项目为“38、电气机械和器材制造业，382输配电及控制设备制造，3825光伏设备及元器件制造”，指太阳能组件（太阳能电池）、控制设备及其他太阳能设备和元器件制造，本项目属于</w:t>
      </w:r>
      <w:r>
        <w:rPr>
          <w:rFonts w:hint="eastAsia" w:ascii="Times New Roman" w:hAnsi="Times New Roman" w:eastAsia="宋体" w:cs="Times New Roman"/>
          <w:caps w:val="0"/>
          <w:smallCaps w:val="0"/>
          <w:color w:val="auto"/>
          <w:spacing w:val="0"/>
          <w:szCs w:val="24"/>
          <w:highlight w:val="none"/>
        </w:rPr>
        <w:t>太阳能</w:t>
      </w:r>
      <w:r>
        <w:rPr>
          <w:rFonts w:ascii="Times New Roman" w:hAnsi="Times New Roman" w:eastAsia="宋体" w:cs="Times New Roman"/>
          <w:caps w:val="0"/>
          <w:smallCaps w:val="0"/>
          <w:color w:val="auto"/>
          <w:spacing w:val="0"/>
          <w:szCs w:val="24"/>
          <w:highlight w:val="none"/>
        </w:rPr>
        <w:t>电池片</w:t>
      </w:r>
      <w:r>
        <w:rPr>
          <w:rFonts w:hint="eastAsia" w:ascii="Times New Roman" w:hAnsi="Times New Roman" w:eastAsia="宋体" w:cs="Times New Roman"/>
          <w:caps w:val="0"/>
          <w:smallCaps w:val="0"/>
          <w:color w:val="auto"/>
          <w:spacing w:val="0"/>
          <w:szCs w:val="24"/>
          <w:highlight w:val="none"/>
        </w:rPr>
        <w:t>生产</w:t>
      </w:r>
      <w:r>
        <w:rPr>
          <w:rFonts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根据《中华人民共和国环境影响评价法》、《建设项目环境保护管理条例》和《建设项目环境影响评价分类管理名录</w:t>
      </w:r>
      <w:r>
        <w:rPr>
          <w:rFonts w:hint="eastAsia" w:ascii="Times New Roman" w:hAnsi="Times New Roman" w:eastAsia="宋体" w:cs="Times New Roman"/>
          <w:caps w:val="0"/>
          <w:smallCaps w:val="0"/>
          <w:color w:val="auto"/>
          <w:spacing w:val="0"/>
          <w:szCs w:val="24"/>
          <w:highlight w:val="none"/>
        </w:rPr>
        <w:t>（2021版）</w:t>
      </w:r>
      <w:r>
        <w:rPr>
          <w:rFonts w:ascii="Times New Roman" w:hAnsi="Times New Roman" w:eastAsia="宋体" w:cs="Times New Roman"/>
          <w:caps w:val="0"/>
          <w:smallCaps w:val="0"/>
          <w:color w:val="auto"/>
          <w:spacing w:val="0"/>
          <w:szCs w:val="24"/>
          <w:highlight w:val="none"/>
        </w:rPr>
        <w:t>》（环境保护部令第16号）以及修改单（生态环境部令第1号），本项目属于“三十五七电气机械或器材制造业，38、太阳能电池片生产”，应编制环境影响评价报告书。</w:t>
      </w:r>
    </w:p>
    <w:p w14:paraId="53B9E19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为此，佳木斯中建材光电材料有限公司于2025年5月委托黑龙江省科润工程咨询有限公司承担《佳木斯中建材光电材料有限公司黑龙江省佳木斯市高新区年产100MW碲化镉弱光发电玻璃项目</w:t>
      </w:r>
      <w:r>
        <w:rPr>
          <w:rFonts w:hint="eastAsia" w:ascii="Times New Roman" w:hAnsi="Times New Roman" w:eastAsia="宋体" w:cs="Times New Roman"/>
          <w:caps w:val="0"/>
          <w:smallCaps w:val="0"/>
          <w:color w:val="auto"/>
          <w:spacing w:val="0"/>
          <w:szCs w:val="24"/>
          <w:highlight w:val="none"/>
        </w:rPr>
        <w:t>（重新报批）</w:t>
      </w:r>
      <w:r>
        <w:rPr>
          <w:rFonts w:ascii="Times New Roman" w:hAnsi="Times New Roman" w:eastAsia="宋体" w:cs="Times New Roman"/>
          <w:caps w:val="0"/>
          <w:smallCaps w:val="0"/>
          <w:color w:val="auto"/>
          <w:spacing w:val="0"/>
          <w:highlight w:val="none"/>
        </w:rPr>
        <w:t>》的环境影响评价工作。接受委托后，评价单位组织有关技术人员对项目场址及周边环境现状进行了详细踏勘，收集了有关资料，开展建设项目的类比调查，在此基础上，按照《建设项目环境影响评价技术导则》的要求和各级环保主管部门的意见，编制完成了项目环境影响报告书，现提请环境保护行政主管部门审查。</w:t>
      </w:r>
    </w:p>
    <w:p w14:paraId="1059D2B1">
      <w:pPr>
        <w:pStyle w:val="4"/>
        <w:widowControl w:val="0"/>
        <w:rPr>
          <w:rFonts w:eastAsia="宋体"/>
          <w:caps w:val="0"/>
          <w:smallCaps w:val="0"/>
          <w:color w:val="auto"/>
          <w:spacing w:val="0"/>
          <w:highlight w:val="none"/>
        </w:rPr>
      </w:pPr>
      <w:bookmarkStart w:id="4" w:name="_Toc477951924"/>
      <w:bookmarkStart w:id="5" w:name="_Toc10086"/>
      <w:r>
        <w:rPr>
          <w:rFonts w:eastAsia="宋体"/>
          <w:caps w:val="0"/>
          <w:smallCaps w:val="0"/>
          <w:color w:val="auto"/>
          <w:spacing w:val="0"/>
          <w:highlight w:val="none"/>
        </w:rPr>
        <w:t>1.2项目特点</w:t>
      </w:r>
      <w:bookmarkEnd w:id="4"/>
      <w:bookmarkEnd w:id="5"/>
    </w:p>
    <w:p w14:paraId="26F0978C">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本项目</w:t>
      </w:r>
      <w:r>
        <w:rPr>
          <w:rFonts w:hint="eastAsia" w:ascii="Times New Roman" w:hAnsi="Times New Roman" w:cs="Times New Roman"/>
          <w:caps w:val="0"/>
          <w:smallCaps w:val="0"/>
          <w:color w:val="auto"/>
          <w:spacing w:val="0"/>
          <w:highlight w:val="none"/>
        </w:rPr>
        <w:t>为重大变动重新报批</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本项目位于佳木斯市高新技术产业开发区轻工产业园（含新材料）内，</w:t>
      </w:r>
      <w:r>
        <w:rPr>
          <w:rFonts w:hint="eastAsia" w:ascii="Times New Roman" w:hAnsi="Times New Roman" w:eastAsia="宋体" w:cs="Times New Roman"/>
          <w:caps w:val="0"/>
          <w:smallCaps w:val="0"/>
          <w:color w:val="auto"/>
          <w:spacing w:val="0"/>
          <w:highlight w:val="none"/>
          <w:lang w:val="en-US" w:eastAsia="zh-CN"/>
        </w:rPr>
        <w:t>西侧为</w:t>
      </w:r>
      <w:r>
        <w:rPr>
          <w:rFonts w:ascii="Times New Roman" w:hAnsi="Times New Roman" w:eastAsia="宋体" w:cs="Times New Roman"/>
          <w:caps w:val="0"/>
          <w:smallCaps w:val="0"/>
          <w:color w:val="auto"/>
          <w:spacing w:val="0"/>
          <w:highlight w:val="none"/>
        </w:rPr>
        <w:t>百威英博</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南侧隔</w:t>
      </w:r>
      <w:r>
        <w:rPr>
          <w:rFonts w:hint="eastAsia" w:ascii="Times New Roman" w:hAnsi="Times New Roman" w:eastAsia="宋体" w:cs="Times New Roman"/>
          <w:caps w:val="0"/>
          <w:smallCaps w:val="0"/>
          <w:color w:val="auto"/>
          <w:spacing w:val="0"/>
          <w:highlight w:val="none"/>
          <w:lang w:val="en-US" w:eastAsia="zh-CN"/>
        </w:rPr>
        <w:t>中华</w:t>
      </w:r>
      <w:r>
        <w:rPr>
          <w:rFonts w:ascii="Times New Roman" w:hAnsi="Times New Roman" w:eastAsia="宋体" w:cs="Times New Roman"/>
          <w:caps w:val="0"/>
          <w:smallCaps w:val="0"/>
          <w:color w:val="auto"/>
          <w:spacing w:val="0"/>
          <w:highlight w:val="none"/>
        </w:rPr>
        <w:t>路为百威英博</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东侧隔</w:t>
      </w:r>
      <w:r>
        <w:rPr>
          <w:rFonts w:hint="eastAsia" w:ascii="Times New Roman" w:hAnsi="Times New Roman" w:eastAsia="宋体" w:cs="Times New Roman"/>
          <w:caps w:val="0"/>
          <w:smallCaps w:val="0"/>
          <w:color w:val="auto"/>
          <w:spacing w:val="0"/>
          <w:highlight w:val="none"/>
          <w:lang w:val="en-US" w:eastAsia="zh-CN"/>
        </w:rPr>
        <w:t>乌苏里江街</w:t>
      </w:r>
      <w:r>
        <w:rPr>
          <w:rFonts w:ascii="Times New Roman" w:hAnsi="Times New Roman" w:eastAsia="宋体" w:cs="Times New Roman"/>
          <w:caps w:val="0"/>
          <w:smallCaps w:val="0"/>
          <w:color w:val="auto"/>
          <w:spacing w:val="0"/>
          <w:highlight w:val="none"/>
        </w:rPr>
        <w:t>为金鼎建材和龙江机械，北侧为园区规划工业用地</w:t>
      </w:r>
      <w:r>
        <w:rPr>
          <w:rFonts w:hint="eastAsia" w:ascii="Times New Roman" w:hAnsi="Times New Roman" w:cs="Times New Roman"/>
          <w:caps w:val="0"/>
          <w:smallCaps w:val="0"/>
          <w:color w:val="auto"/>
          <w:spacing w:val="0"/>
          <w:highlight w:val="none"/>
        </w:rPr>
        <w:t>，符合园区规划。现</w:t>
      </w:r>
      <w:r>
        <w:rPr>
          <w:rFonts w:ascii="Times New Roman" w:hAnsi="Times New Roman" w:eastAsia="宋体" w:cs="Times New Roman"/>
          <w:caps w:val="0"/>
          <w:smallCaps w:val="0"/>
          <w:color w:val="auto"/>
          <w:spacing w:val="0"/>
          <w:highlight w:val="none"/>
        </w:rPr>
        <w:t>拟对</w:t>
      </w:r>
      <w:r>
        <w:rPr>
          <w:rFonts w:ascii="Times New Roman" w:hAnsi="Times New Roman" w:eastAsia="宋体" w:cs="Times New Roman"/>
          <w:caps w:val="0"/>
          <w:smallCaps w:val="0"/>
          <w:color w:val="auto"/>
          <w:spacing w:val="0"/>
          <w:szCs w:val="24"/>
          <w:highlight w:val="none"/>
        </w:rPr>
        <w:t>前段镀膜进行设备升级，</w:t>
      </w:r>
      <w:r>
        <w:rPr>
          <w:rFonts w:hint="eastAsia" w:ascii="Times New Roman" w:hAnsi="Times New Roman" w:cs="Times New Roman"/>
          <w:caps w:val="0"/>
          <w:smallCaps w:val="0"/>
          <w:color w:val="auto"/>
          <w:spacing w:val="0"/>
          <w:szCs w:val="24"/>
          <w:highlight w:val="none"/>
        </w:rPr>
        <w:t>建成</w:t>
      </w:r>
      <w:r>
        <w:rPr>
          <w:rFonts w:ascii="Times New Roman" w:hAnsi="Times New Roman" w:eastAsia="宋体" w:cs="Times New Roman"/>
          <w:caps w:val="0"/>
          <w:smallCaps w:val="0"/>
          <w:color w:val="auto"/>
          <w:spacing w:val="0"/>
          <w:szCs w:val="24"/>
          <w:highlight w:val="none"/>
        </w:rPr>
        <w:t>后生产规模不变</w:t>
      </w:r>
      <w:r>
        <w:rPr>
          <w:rFonts w:hint="eastAsia" w:ascii="Times New Roman" w:hAnsi="Times New Roman" w:cs="Times New Roman"/>
          <w:caps w:val="0"/>
          <w:smallCaps w:val="0"/>
          <w:color w:val="auto"/>
          <w:spacing w:val="0"/>
          <w:szCs w:val="24"/>
          <w:highlight w:val="none"/>
        </w:rPr>
        <w:t>，</w:t>
      </w:r>
      <w:r>
        <w:rPr>
          <w:rFonts w:hint="eastAsia" w:ascii="Times New Roman" w:hAnsi="Times New Roman" w:cs="Times New Roman"/>
          <w:caps w:val="0"/>
          <w:smallCaps w:val="0"/>
          <w:color w:val="auto"/>
          <w:spacing w:val="0"/>
          <w:szCs w:val="24"/>
          <w:highlight w:val="none"/>
        </w:rPr>
        <w:t>生产工艺主要包括CSS沉积镀膜、CdCl</w:t>
      </w:r>
      <w:r>
        <w:rPr>
          <w:rFonts w:hint="eastAsia" w:ascii="Times New Roman" w:hAnsi="Times New Roman" w:cs="Times New Roman"/>
          <w:caps w:val="0"/>
          <w:smallCaps w:val="0"/>
          <w:color w:val="auto"/>
          <w:spacing w:val="0"/>
          <w:szCs w:val="24"/>
          <w:highlight w:val="none"/>
          <w:vertAlign w:val="subscript"/>
        </w:rPr>
        <w:t>2</w:t>
      </w:r>
      <w:r>
        <w:rPr>
          <w:rFonts w:hint="eastAsia" w:ascii="Times New Roman" w:hAnsi="Times New Roman" w:cs="Times New Roman"/>
          <w:caps w:val="0"/>
          <w:smallCaps w:val="0"/>
          <w:color w:val="auto"/>
          <w:spacing w:val="0"/>
          <w:szCs w:val="24"/>
          <w:highlight w:val="none"/>
        </w:rPr>
        <w:t>涂覆高温活化、退火、活化层清洗刻划、ZnTe膜层溅射、P1-P6激光刻划、光刻胶干燥、显影清洗、背电极镀膜以及激光清边等，</w:t>
      </w:r>
      <w:r>
        <w:rPr>
          <w:rFonts w:ascii="Times New Roman" w:hAnsi="Times New Roman" w:eastAsia="宋体" w:cs="Times New Roman"/>
          <w:caps w:val="0"/>
          <w:smallCaps w:val="0"/>
          <w:color w:val="auto"/>
          <w:spacing w:val="0"/>
          <w:szCs w:val="24"/>
          <w:highlight w:val="none"/>
        </w:rPr>
        <w:t>年产100MW碲化镉弱光发电玻璃，</w:t>
      </w:r>
      <w:r>
        <w:rPr>
          <w:rFonts w:hint="eastAsia" w:ascii="Times New Roman" w:hAnsi="Times New Roman" w:eastAsia="宋体" w:cs="Times New Roman"/>
          <w:caps w:val="0"/>
          <w:smallCaps w:val="0"/>
          <w:color w:val="auto"/>
          <w:spacing w:val="0"/>
          <w:szCs w:val="24"/>
          <w:highlight w:val="none"/>
        </w:rPr>
        <w:t>现厂区</w:t>
      </w:r>
      <w:r>
        <w:rPr>
          <w:rFonts w:hint="eastAsia" w:ascii="Times New Roman" w:hAnsi="Times New Roman" w:eastAsia="宋体" w:cs="Times New Roman"/>
          <w:caps w:val="0"/>
          <w:smallCaps w:val="0"/>
          <w:color w:val="auto"/>
          <w:spacing w:val="0"/>
          <w:szCs w:val="24"/>
          <w:highlight w:val="none"/>
        </w:rPr>
        <w:t>联合车间、原料库房、危险废物贮存库、办公楼、给排水以及</w:t>
      </w:r>
      <w:r>
        <w:rPr>
          <w:rFonts w:hint="eastAsia" w:ascii="Times New Roman" w:hAnsi="Times New Roman" w:eastAsia="宋体" w:cs="Times New Roman"/>
          <w:caps w:val="0"/>
          <w:smallCaps w:val="0"/>
          <w:color w:val="auto"/>
          <w:spacing w:val="0"/>
          <w:szCs w:val="24"/>
          <w:highlight w:val="none"/>
          <w:lang w:val="en-US" w:eastAsia="zh-CN"/>
        </w:rPr>
        <w:t>前段</w:t>
      </w:r>
      <w:r>
        <w:rPr>
          <w:rFonts w:hint="eastAsia" w:ascii="Times New Roman" w:hAnsi="Times New Roman" w:eastAsia="宋体" w:cs="Times New Roman"/>
          <w:caps w:val="0"/>
          <w:smallCaps w:val="0"/>
          <w:color w:val="auto"/>
          <w:spacing w:val="0"/>
          <w:szCs w:val="24"/>
          <w:highlight w:val="none"/>
        </w:rPr>
        <w:t>镀膜生产线所需的</w:t>
      </w:r>
      <w:r>
        <w:rPr>
          <w:rFonts w:ascii="Times New Roman" w:hAnsi="Times New Roman" w:eastAsia="宋体" w:cs="Times New Roman"/>
          <w:caps w:val="0"/>
          <w:smallCaps w:val="0"/>
          <w:color w:val="auto"/>
          <w:spacing w:val="0"/>
          <w:szCs w:val="24"/>
          <w:highlight w:val="none"/>
        </w:rPr>
        <w:t>氮气</w:t>
      </w:r>
      <w:r>
        <w:rPr>
          <w:rFonts w:hint="eastAsia" w:ascii="Times New Roman" w:hAnsi="Times New Roman" w:eastAsia="宋体" w:cs="Times New Roman"/>
          <w:caps w:val="0"/>
          <w:smallCaps w:val="0"/>
          <w:color w:val="auto"/>
          <w:spacing w:val="0"/>
          <w:szCs w:val="24"/>
          <w:highlight w:val="none"/>
        </w:rPr>
        <w:t>、氮气</w:t>
      </w:r>
      <w:r>
        <w:rPr>
          <w:rFonts w:ascii="Times New Roman" w:hAnsi="Times New Roman" w:eastAsia="宋体" w:cs="Times New Roman"/>
          <w:caps w:val="0"/>
          <w:smallCaps w:val="0"/>
          <w:color w:val="auto"/>
          <w:spacing w:val="0"/>
          <w:szCs w:val="24"/>
          <w:highlight w:val="none"/>
        </w:rPr>
        <w:t>供给系统</w:t>
      </w:r>
      <w:r>
        <w:rPr>
          <w:rFonts w:hint="eastAsia" w:ascii="Times New Roman" w:hAnsi="Times New Roman" w:eastAsia="宋体" w:cs="Times New Roman"/>
          <w:caps w:val="0"/>
          <w:smallCaps w:val="0"/>
          <w:color w:val="auto"/>
          <w:spacing w:val="0"/>
          <w:szCs w:val="24"/>
          <w:highlight w:val="none"/>
        </w:rPr>
        <w:t>等均已配套建设并完成验收，后期镀膜设备部分到场，本次变化均为工艺变化，</w:t>
      </w:r>
      <w:r>
        <w:rPr>
          <w:rFonts w:ascii="Times New Roman" w:hAnsi="Times New Roman" w:eastAsia="宋体" w:cs="Times New Roman"/>
          <w:caps w:val="0"/>
          <w:smallCaps w:val="0"/>
          <w:color w:val="auto"/>
          <w:spacing w:val="0"/>
          <w:szCs w:val="24"/>
          <w:highlight w:val="none"/>
        </w:rPr>
        <w:t>生产工艺新增以下环节：</w:t>
      </w:r>
    </w:p>
    <w:p w14:paraId="04568673">
      <w:pPr>
        <w:pStyle w:val="32"/>
        <w:spacing w:line="360" w:lineRule="auto"/>
        <w:ind w:firstLine="240" w:firstLineChars="1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1、新增活化层清洗刻蚀、ZnTe背接触膜层磁控溅射镀膜以及P</w:t>
      </w:r>
      <w:r>
        <w:rPr>
          <w:rFonts w:hint="eastAsia" w:ascii="Times New Roman" w:hAnsi="Times New Roman" w:eastAsia="宋体" w:cs="Times New Roman"/>
          <w:caps w:val="0"/>
          <w:smallCaps w:val="0"/>
          <w:color w:val="auto"/>
          <w:spacing w:val="0"/>
          <w:sz w:val="24"/>
          <w:szCs w:val="24"/>
          <w:highlight w:val="none"/>
        </w:rPr>
        <w:t>5</w:t>
      </w:r>
      <w:r>
        <w:rPr>
          <w:rFonts w:ascii="Times New Roman" w:hAnsi="Times New Roman" w:eastAsia="宋体" w:cs="Times New Roman"/>
          <w:caps w:val="0"/>
          <w:smallCaps w:val="0"/>
          <w:color w:val="auto"/>
          <w:spacing w:val="0"/>
          <w:sz w:val="24"/>
          <w:szCs w:val="24"/>
          <w:highlight w:val="none"/>
        </w:rPr>
        <w:t>-P</w:t>
      </w:r>
      <w:r>
        <w:rPr>
          <w:rFonts w:hint="eastAsia" w:ascii="Times New Roman" w:hAnsi="Times New Roman" w:eastAsia="宋体" w:cs="Times New Roman"/>
          <w:caps w:val="0"/>
          <w:smallCaps w:val="0"/>
          <w:color w:val="auto"/>
          <w:spacing w:val="0"/>
          <w:sz w:val="24"/>
          <w:szCs w:val="24"/>
          <w:highlight w:val="none"/>
        </w:rPr>
        <w:t>6</w:t>
      </w:r>
      <w:r>
        <w:rPr>
          <w:rFonts w:ascii="Times New Roman" w:hAnsi="Times New Roman" w:eastAsia="宋体" w:cs="Times New Roman"/>
          <w:caps w:val="0"/>
          <w:smallCaps w:val="0"/>
          <w:color w:val="auto"/>
          <w:spacing w:val="0"/>
          <w:sz w:val="24"/>
          <w:szCs w:val="24"/>
          <w:highlight w:val="none"/>
        </w:rPr>
        <w:t>激光刻划；</w:t>
      </w:r>
    </w:p>
    <w:p w14:paraId="7A76985C">
      <w:pPr>
        <w:pStyle w:val="32"/>
        <w:spacing w:line="360" w:lineRule="auto"/>
        <w:ind w:left="0" w:firstLine="480" w:firstLineChars="2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2、污水处理站处理能力由原有的120m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/d变更为</w:t>
      </w:r>
      <w:r>
        <w:rPr>
          <w:rFonts w:hint="eastAsia" w:ascii="Times New Roman" w:hAnsi="Times New Roman" w:eastAsia="宋体" w:cs="Times New Roman"/>
          <w:caps w:val="0"/>
          <w:smallCaps w:val="0"/>
          <w:color w:val="auto"/>
          <w:spacing w:val="0"/>
          <w:sz w:val="24"/>
          <w:szCs w:val="24"/>
          <w:highlight w:val="none"/>
          <w:lang w:eastAsia="zh-CN"/>
        </w:rPr>
        <w:t>180m</w:t>
      </w:r>
      <w:r>
        <w:rPr>
          <w:rFonts w:hint="eastAsia" w:ascii="Times New Roman" w:hAnsi="Times New Roman" w:eastAsia="宋体" w:cs="Times New Roman"/>
          <w:caps w:val="0"/>
          <w:smallCaps w:val="0"/>
          <w:color w:val="auto"/>
          <w:spacing w:val="0"/>
          <w:sz w:val="24"/>
          <w:szCs w:val="24"/>
          <w:highlight w:val="none"/>
          <w:vertAlign w:val="superscript"/>
          <w:lang w:eastAsia="zh-CN"/>
        </w:rPr>
        <w:t>3</w:t>
      </w:r>
      <w:r>
        <w:rPr>
          <w:rFonts w:hint="eastAsia" w:ascii="Times New Roman" w:hAnsi="Times New Roman" w:eastAsia="宋体" w:cs="Times New Roman"/>
          <w:caps w:val="0"/>
          <w:smallCaps w:val="0"/>
          <w:color w:val="auto"/>
          <w:spacing w:val="0"/>
          <w:sz w:val="24"/>
          <w:szCs w:val="24"/>
          <w:highlight w:val="none"/>
          <w:lang w:eastAsia="zh-CN"/>
        </w:rPr>
        <w:t>/d</w:t>
      </w:r>
      <w:r>
        <w:rPr>
          <w:rFonts w:ascii="Times New Roman" w:hAnsi="Times New Roman" w:eastAsia="宋体" w:cs="Times New Roman"/>
          <w:caps w:val="0"/>
          <w:smallCaps w:val="0"/>
          <w:color w:val="auto"/>
          <w:spacing w:val="0"/>
          <w:sz w:val="24"/>
          <w:szCs w:val="24"/>
          <w:highlight w:val="none"/>
        </w:rPr>
        <w:t>；</w:t>
      </w:r>
    </w:p>
    <w:p w14:paraId="02D78734">
      <w:pPr>
        <w:pStyle w:val="32"/>
        <w:spacing w:line="360" w:lineRule="auto"/>
        <w:ind w:left="0" w:firstLine="480" w:firstLineChars="2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3、后端组装工段新增组框机，接线盒配置由原来的粘合剂改进为焊接。</w:t>
      </w:r>
    </w:p>
    <w:p w14:paraId="30415A2A">
      <w:pPr>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原料变化情况：</w:t>
      </w:r>
    </w:p>
    <w:p w14:paraId="1806B7EA">
      <w:pPr>
        <w:numPr>
          <w:ilvl w:val="0"/>
          <w:numId w:val="3"/>
        </w:numPr>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在背电极磁控溅射镀膜环节，除原有的钼（Mo）靶材外，新增了铝（Al）和铬（Cr）两种金属靶材</w:t>
      </w:r>
      <w:r>
        <w:rPr>
          <w:rFonts w:hint="eastAsia" w:ascii="Times New Roman" w:hAnsi="Times New Roman" w:eastAsia="宋体" w:cs="Times New Roman"/>
          <w:caps w:val="0"/>
          <w:smallCaps w:val="0"/>
          <w:color w:val="auto"/>
          <w:spacing w:val="0"/>
          <w:szCs w:val="24"/>
          <w:highlight w:val="none"/>
        </w:rPr>
        <w:t>；</w:t>
      </w:r>
    </w:p>
    <w:p w14:paraId="4E03ADB1">
      <w:pPr>
        <w:numPr>
          <w:ilvl w:val="0"/>
          <w:numId w:val="3"/>
        </w:numPr>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在CSS沉积镀膜环节根据实际生产工艺改进，将硫化镉更改为吸收波段更宽的硒化镉；</w:t>
      </w:r>
    </w:p>
    <w:p w14:paraId="5169681B">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aps w:val="0"/>
          <w:smallCaps w:val="0"/>
          <w:color w:val="auto"/>
          <w:spacing w:val="0"/>
          <w:szCs w:val="24"/>
          <w:highlight w:val="none"/>
        </w:rPr>
        <w:t>污水处理站由原来120m</w:t>
      </w:r>
      <w:r>
        <w:rPr>
          <w:rFonts w:hint="eastAsia" w:ascii="Times New Roman" w:hAnsi="Times New Roman" w:eastAsia="宋体" w:cs="Times New Roman"/>
          <w:caps w:val="0"/>
          <w:smallCaps w:val="0"/>
          <w:color w:val="auto"/>
          <w:spacing w:val="0"/>
          <w:szCs w:val="24"/>
          <w:highlight w:val="none"/>
          <w:vertAlign w:val="superscript"/>
        </w:rPr>
        <w:t>3</w:t>
      </w:r>
      <w:r>
        <w:rPr>
          <w:rFonts w:hint="eastAsia" w:ascii="Times New Roman" w:hAnsi="Times New Roman" w:eastAsia="宋体" w:cs="Times New Roman"/>
          <w:caps w:val="0"/>
          <w:smallCaps w:val="0"/>
          <w:color w:val="auto"/>
          <w:spacing w:val="0"/>
          <w:szCs w:val="24"/>
          <w:highlight w:val="none"/>
        </w:rPr>
        <w:t>/d增加到1</w:t>
      </w:r>
      <w:r>
        <w:rPr>
          <w:rFonts w:hint="eastAsia" w:ascii="Times New Roman" w:hAnsi="Times New Roman" w:eastAsia="宋体" w:cs="Times New Roman"/>
          <w:caps w:val="0"/>
          <w:smallCaps w:val="0"/>
          <w:color w:val="auto"/>
          <w:spacing w:val="0"/>
          <w:szCs w:val="24"/>
          <w:highlight w:val="none"/>
          <w:lang w:val="en-US" w:eastAsia="zh-CN"/>
        </w:rPr>
        <w:t>80</w:t>
      </w:r>
      <w:r>
        <w:rPr>
          <w:rFonts w:hint="eastAsia" w:ascii="Times New Roman" w:hAnsi="Times New Roman" w:eastAsia="宋体" w:cs="Times New Roman"/>
          <w:caps w:val="0"/>
          <w:smallCaps w:val="0"/>
          <w:color w:val="auto"/>
          <w:spacing w:val="0"/>
          <w:szCs w:val="24"/>
          <w:highlight w:val="none"/>
        </w:rPr>
        <w:t>m</w:t>
      </w:r>
      <w:r>
        <w:rPr>
          <w:rFonts w:hint="eastAsia" w:ascii="Times New Roman" w:hAnsi="Times New Roman" w:eastAsia="宋体" w:cs="Times New Roman"/>
          <w:caps w:val="0"/>
          <w:smallCaps w:val="0"/>
          <w:color w:val="auto"/>
          <w:spacing w:val="0"/>
          <w:szCs w:val="24"/>
          <w:highlight w:val="none"/>
          <w:vertAlign w:val="superscript"/>
        </w:rPr>
        <w:t>3</w:t>
      </w:r>
      <w:r>
        <w:rPr>
          <w:rFonts w:hint="eastAsia" w:ascii="Times New Roman" w:hAnsi="Times New Roman" w:eastAsia="宋体" w:cs="Times New Roman"/>
          <w:caps w:val="0"/>
          <w:smallCaps w:val="0"/>
          <w:color w:val="auto"/>
          <w:spacing w:val="0"/>
          <w:szCs w:val="24"/>
          <w:highlight w:val="none"/>
        </w:rPr>
        <w:t>/d</w:t>
      </w:r>
      <w:r>
        <w:rPr>
          <w:rFonts w:hint="eastAsia" w:ascii="Times New Roman" w:hAnsi="Times New Roman" w:eastAsia="宋体" w:cs="Times New Roman"/>
          <w:caps w:val="0"/>
          <w:smallCaps w:val="0"/>
          <w:color w:val="auto"/>
          <w:spacing w:val="0"/>
          <w:szCs w:val="24"/>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新增废水为显影及显影清洗废水、活化层清洗及刻蚀废水、背电极镀膜前清洗废水</w:t>
      </w:r>
      <w:r>
        <w:rPr>
          <w:rFonts w:hint="eastAsia" w:ascii="Times New Roman" w:hAnsi="Times New Roman" w:eastAsia="宋体" w:cs="Times New Roman"/>
          <w:caps w:val="0"/>
          <w:smallCaps w:val="0"/>
          <w:color w:val="auto"/>
          <w:spacing w:val="0"/>
          <w:szCs w:val="24"/>
          <w:highlight w:val="none"/>
        </w:rPr>
        <w:t>；新增</w:t>
      </w:r>
      <w:r>
        <w:rPr>
          <w:rFonts w:ascii="Times New Roman" w:hAnsi="Times New Roman" w:eastAsia="宋体" w:cs="Times New Roman"/>
          <w:caps w:val="0"/>
          <w:smallCaps w:val="0"/>
          <w:color w:val="auto"/>
          <w:spacing w:val="0"/>
          <w:szCs w:val="24"/>
          <w:highlight w:val="none"/>
        </w:rPr>
        <w:t>活化层清洗刻蚀</w:t>
      </w:r>
      <w:r>
        <w:rPr>
          <w:rFonts w:hint="eastAsia" w:ascii="Times New Roman" w:hAnsi="Times New Roman" w:eastAsia="宋体" w:cs="Times New Roman"/>
          <w:caps w:val="0"/>
          <w:smallCaps w:val="0"/>
          <w:color w:val="auto"/>
          <w:spacing w:val="0"/>
          <w:szCs w:val="24"/>
          <w:highlight w:val="none"/>
        </w:rPr>
        <w:t>环节产污氯化氢和氮氧化物</w:t>
      </w:r>
      <w:r>
        <w:rPr>
          <w:rFonts w:hint="eastAsia" w:ascii="Times New Roman" w:hAnsi="Times New Roman" w:eastAsia="宋体" w:cs="Times New Roman"/>
          <w:caps w:val="0"/>
          <w:smallCaps w:val="0"/>
          <w:color w:val="auto"/>
          <w:spacing w:val="0"/>
          <w:szCs w:val="24"/>
          <w:highlight w:val="none"/>
          <w:lang w:eastAsia="zh-CN"/>
        </w:rPr>
        <w:t>。</w:t>
      </w:r>
      <w:r>
        <w:rPr>
          <w:rFonts w:hint="default" w:ascii="Times New Roman" w:hAnsi="Times New Roman" w:cs="Times New Roman"/>
          <w:color w:val="auto"/>
          <w:highlight w:val="none"/>
          <w:lang w:val="en-US" w:eastAsia="zh-CN"/>
        </w:rPr>
        <w:t>根据</w:t>
      </w:r>
      <w:r>
        <w:rPr>
          <w:rFonts w:hint="default" w:ascii="Times New Roman" w:hAnsi="Times New Roman" w:cs="Times New Roman"/>
          <w:color w:val="auto"/>
          <w:highlight w:val="none"/>
        </w:rPr>
        <w:t>关于印发《污染影响类建设项目重大变动清单（试行）》的通知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环办环评函〔2020〕688号</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规模：</w:t>
      </w:r>
      <w:r>
        <w:rPr>
          <w:rFonts w:hint="default" w:ascii="Times New Roman" w:hAnsi="Times New Roman" w:cs="Times New Roman"/>
          <w:color w:val="auto"/>
          <w:highlight w:val="none"/>
          <w:lang w:val="en-US" w:eastAsia="zh-CN"/>
        </w:rPr>
        <w:t>2.生产、处置或储存能力增大30%及以上的。生产工艺：6.新增产品品种或生产工艺(含主要生产装置、设备及配套设施)、主要原辅材料、燃料变化，导致以下情形之一</w:t>
      </w:r>
      <w:r>
        <w:rPr>
          <w:rFonts w:hint="eastAsia" w:ascii="Times New Roman" w:hAnsi="Times New Roman" w:cs="Times New Roman"/>
          <w:color w:val="auto"/>
          <w:highlight w:val="none"/>
          <w:lang w:val="en-US" w:eastAsia="zh-CN"/>
        </w:rPr>
        <w:t>：（1）新增排放污染物种类的（毒性、挥发性降低的除外）</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属于重大变动</w:t>
      </w:r>
      <w:r>
        <w:rPr>
          <w:rFonts w:hint="eastAsia" w:ascii="Times New Roman" w:cs="Times New Roman"/>
          <w:color w:val="auto"/>
          <w:highlight w:val="none"/>
          <w:lang w:eastAsia="zh-CN"/>
        </w:rPr>
        <w:t>。</w:t>
      </w:r>
      <w:r>
        <w:rPr>
          <w:rFonts w:hint="eastAsia"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lang w:val="en-US" w:eastAsia="zh-CN"/>
        </w:rPr>
        <w:t>对</w:t>
      </w:r>
      <w:r>
        <w:rPr>
          <w:rFonts w:hint="eastAsia" w:ascii="Times New Roman" w:cs="Times New Roman"/>
          <w:color w:val="auto"/>
          <w:highlight w:val="none"/>
          <w:lang w:val="en-US" w:eastAsia="zh-CN"/>
        </w:rPr>
        <w:t>前段镀膜生产线</w:t>
      </w:r>
      <w:r>
        <w:rPr>
          <w:rFonts w:hint="default" w:ascii="Times New Roman" w:hAnsi="Times New Roman" w:cs="Times New Roman"/>
          <w:color w:val="auto"/>
          <w:highlight w:val="none"/>
          <w:lang w:val="en-US" w:eastAsia="zh-CN"/>
        </w:rPr>
        <w:t>进行调整</w:t>
      </w:r>
      <w:r>
        <w:rPr>
          <w:rFonts w:hint="eastAsia" w:ascii="Times New Roman" w:hAnsi="Times New Roman" w:cs="Times New Roman"/>
          <w:color w:val="auto"/>
          <w:highlight w:val="none"/>
          <w:lang w:val="en-US" w:eastAsia="zh-CN"/>
        </w:rPr>
        <w:t>后，导致废气</w:t>
      </w:r>
      <w:r>
        <w:rPr>
          <w:rFonts w:hint="default" w:ascii="Times New Roman" w:hAnsi="Times New Roman" w:cs="Times New Roman"/>
          <w:color w:val="auto"/>
          <w:highlight w:val="none"/>
          <w:lang w:val="en-US" w:eastAsia="zh-CN"/>
        </w:rPr>
        <w:t>污染物</w:t>
      </w:r>
      <w:r>
        <w:rPr>
          <w:rFonts w:hint="eastAsia" w:ascii="Times New Roman" w:cs="Times New Roman"/>
          <w:color w:val="auto"/>
          <w:highlight w:val="none"/>
          <w:lang w:val="en-US" w:eastAsia="zh-CN"/>
        </w:rPr>
        <w:t>种类增加，新增氮氧化物和氯化氢</w:t>
      </w:r>
      <w:r>
        <w:rPr>
          <w:rFonts w:hint="eastAsia" w:ascii="Times New Roman" w:hAnsi="Times New Roman" w:cs="Times New Roman"/>
          <w:color w:val="auto"/>
          <w:highlight w:val="none"/>
          <w:lang w:val="en-US" w:eastAsia="zh-CN"/>
        </w:rPr>
        <w:t>；并且厂区</w:t>
      </w:r>
      <w:r>
        <w:rPr>
          <w:rFonts w:hint="eastAsia" w:ascii="Times New Roman" w:cs="Times New Roman"/>
          <w:color w:val="auto"/>
          <w:highlight w:val="none"/>
          <w:lang w:val="en-US" w:eastAsia="zh-CN"/>
        </w:rPr>
        <w:t>污水处理站处理能力</w:t>
      </w:r>
      <w:r>
        <w:rPr>
          <w:rFonts w:ascii="Times New Roman" w:hAnsi="Times New Roman" w:eastAsia="宋体" w:cs="Times New Roman"/>
          <w:caps w:val="0"/>
          <w:smallCaps w:val="0"/>
          <w:color w:val="auto"/>
          <w:spacing w:val="0"/>
          <w:sz w:val="24"/>
          <w:szCs w:val="24"/>
          <w:highlight w:val="none"/>
        </w:rPr>
        <w:t>由原有的120m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/d变更为1</w:t>
      </w:r>
      <w:r>
        <w:rPr>
          <w:rFonts w:hint="eastAsia" w:ascii="Times New Roman" w:hAnsi="Times New Roman" w:eastAsia="宋体" w:cs="Times New Roman"/>
          <w:caps w:val="0"/>
          <w:smallCaps w:val="0"/>
          <w:color w:val="auto"/>
          <w:spacing w:val="0"/>
          <w:sz w:val="24"/>
          <w:szCs w:val="24"/>
          <w:highlight w:val="none"/>
          <w:lang w:val="en-US" w:eastAsia="zh-CN"/>
        </w:rPr>
        <w:t>80</w:t>
      </w:r>
      <w:r>
        <w:rPr>
          <w:rFonts w:ascii="Times New Roman" w:hAnsi="Times New Roman" w:eastAsia="宋体" w:cs="Times New Roman"/>
          <w:caps w:val="0"/>
          <w:smallCaps w:val="0"/>
          <w:color w:val="auto"/>
          <w:spacing w:val="0"/>
          <w:sz w:val="24"/>
          <w:szCs w:val="24"/>
          <w:highlight w:val="none"/>
        </w:rPr>
        <w:t>m</w:t>
      </w:r>
      <w:r>
        <w:rPr>
          <w:rFonts w:ascii="Times New Roman" w:hAnsi="Times New Roman" w:eastAsia="宋体" w:cs="Times New Roman"/>
          <w:caps w:val="0"/>
          <w:smallCaps w:val="0"/>
          <w:color w:val="auto"/>
          <w:spacing w:val="0"/>
          <w:sz w:val="24"/>
          <w:szCs w:val="24"/>
          <w:highlight w:val="none"/>
          <w:vertAlign w:val="superscript"/>
        </w:rPr>
        <w:t>3</w:t>
      </w:r>
      <w:r>
        <w:rPr>
          <w:rFonts w:ascii="Times New Roman" w:hAnsi="Times New Roman" w:eastAsia="宋体" w:cs="Times New Roman"/>
          <w:caps w:val="0"/>
          <w:smallCaps w:val="0"/>
          <w:color w:val="auto"/>
          <w:spacing w:val="0"/>
          <w:sz w:val="24"/>
          <w:szCs w:val="24"/>
          <w:highlight w:val="none"/>
        </w:rPr>
        <w:t>/d</w:t>
      </w:r>
      <w:r>
        <w:rPr>
          <w:rFonts w:hint="eastAsia"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处理能力增加30%以上</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因此</w:t>
      </w:r>
      <w:r>
        <w:rPr>
          <w:rFonts w:hint="eastAsia" w:ascii="Times New Roman" w:hAnsi="Times New Roman" w:cs="Times New Roman"/>
          <w:color w:val="auto"/>
          <w:highlight w:val="none"/>
          <w:lang w:val="en-US" w:eastAsia="zh-CN"/>
        </w:rPr>
        <w:t>本项目的工程变化情况</w:t>
      </w:r>
      <w:r>
        <w:rPr>
          <w:rFonts w:hint="default" w:ascii="Times New Roman" w:hAnsi="Times New Roman" w:cs="Times New Roman"/>
          <w:color w:val="auto"/>
          <w:highlight w:val="none"/>
          <w:lang w:val="en-US" w:eastAsia="zh-CN"/>
        </w:rPr>
        <w:t>构成重大变动</w:t>
      </w:r>
      <w:r>
        <w:rPr>
          <w:rFonts w:hint="default" w:ascii="Times New Roman" w:hAnsi="Times New Roman" w:cs="Times New Roman"/>
          <w:color w:val="auto"/>
          <w:highlight w:val="none"/>
          <w:lang w:eastAsia="zh-CN"/>
        </w:rPr>
        <w:t>。</w:t>
      </w:r>
    </w:p>
    <w:p w14:paraId="0595DEEB">
      <w:pPr>
        <w:pStyle w:val="34"/>
        <w:widowControl w:val="0"/>
        <w:spacing w:before="0" w:beforeAutospacing="0" w:after="0" w:afterAutospacing="0" w:line="360" w:lineRule="auto"/>
        <w:ind w:firstLine="480" w:firstLineChars="200"/>
        <w:rPr>
          <w:rFonts w:ascii="Times New Roman" w:hAnsi="Times New Roman" w:cs="Times New Roman"/>
          <w:caps w:val="0"/>
          <w:smallCaps w:val="0"/>
          <w:color w:val="auto"/>
          <w:spacing w:val="0"/>
          <w:highlight w:val="none"/>
          <w:shd w:val="clear" w:color="auto" w:fill="FFFFFF"/>
        </w:rPr>
      </w:pPr>
      <w:r>
        <w:rPr>
          <w:rFonts w:ascii="Times New Roman" w:hAnsi="Times New Roman" w:cs="Times New Roman"/>
          <w:caps w:val="0"/>
          <w:smallCaps w:val="0"/>
          <w:color w:val="auto"/>
          <w:spacing w:val="0"/>
          <w:highlight w:val="none"/>
          <w:shd w:val="clear" w:color="auto" w:fill="FFFFFF"/>
        </w:rPr>
        <w:t>运营期间各工艺环节产生的废气污染物均通过专用管道收集，并经各自排气筒排放（所有进行废气收集的风机均设于通风机房内）。具体处理方式如下：</w:t>
      </w:r>
    </w:p>
    <w:p w14:paraId="0298F918">
      <w:pPr>
        <w:pStyle w:val="34"/>
        <w:widowControl w:val="0"/>
        <w:spacing w:before="0" w:beforeAutospacing="0" w:after="0" w:afterAutospacing="0" w:line="360" w:lineRule="auto"/>
        <w:ind w:firstLine="480" w:firstLineChars="200"/>
        <w:jc w:val="both"/>
        <w:rPr>
          <w:rFonts w:ascii="Times New Roman" w:hAnsi="Times New Roman" w:cs="Times New Roman"/>
          <w:caps w:val="0"/>
          <w:smallCaps w:val="0"/>
          <w:color w:val="auto"/>
          <w:spacing w:val="0"/>
          <w:highlight w:val="none"/>
          <w:shd w:val="clear" w:color="auto" w:fill="FFFFFF"/>
        </w:rPr>
      </w:pPr>
      <w:r>
        <w:rPr>
          <w:rStyle w:val="40"/>
          <w:rFonts w:ascii="Times New Roman" w:hAnsi="Times New Roman" w:cs="Times New Roman"/>
          <w:b w:val="0"/>
          <w:bCs w:val="0"/>
          <w:caps w:val="0"/>
          <w:smallCaps w:val="0"/>
          <w:color w:val="auto"/>
          <w:spacing w:val="0"/>
          <w:highlight w:val="none"/>
          <w:shd w:val="clear" w:color="auto" w:fill="FFFFFF"/>
        </w:rPr>
        <w:t>1、CSS沉积镀膜、活化层活化、ZnTe背触膜层磁控溅射镀膜、背电极磁控溅射及P1-P6激光刻划工艺</w:t>
      </w:r>
      <w:r>
        <w:rPr>
          <w:rFonts w:ascii="Times New Roman" w:hAnsi="Times New Roman" w:cs="Times New Roman"/>
          <w:caps w:val="0"/>
          <w:smallCaps w:val="0"/>
          <w:color w:val="auto"/>
          <w:spacing w:val="0"/>
          <w:highlight w:val="none"/>
          <w:shd w:val="clear" w:color="auto" w:fill="FFFFFF"/>
        </w:rPr>
        <w:t>：主要产生镉及其化合物和颗粒物，</w:t>
      </w:r>
      <w:r>
        <w:rPr>
          <w:rStyle w:val="40"/>
          <w:rFonts w:ascii="Times New Roman" w:hAnsi="Times New Roman" w:cs="Times New Roman"/>
          <w:b w:val="0"/>
          <w:bCs w:val="0"/>
          <w:caps w:val="0"/>
          <w:smallCaps w:val="0"/>
          <w:color w:val="auto"/>
          <w:spacing w:val="0"/>
          <w:sz w:val="24"/>
          <w:szCs w:val="24"/>
          <w:highlight w:val="none"/>
          <w:shd w:val="clear" w:color="auto" w:fill="FFFFFF"/>
        </w:rPr>
        <w:t>CSS沉积镀膜</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废气经过</w:t>
      </w:r>
      <w:r>
        <w:rPr>
          <w:rFonts w:hint="default" w:ascii="Times New Roman" w:hAnsi="Times New Roman" w:eastAsia="宋体" w:cs="Times New Roman"/>
          <w:caps w:val="0"/>
          <w:smallCaps w:val="0"/>
          <w:color w:val="auto"/>
          <w:spacing w:val="0"/>
          <w:kern w:val="0"/>
          <w:sz w:val="24"/>
          <w:szCs w:val="24"/>
          <w:highlight w:val="none"/>
          <w:lang w:val="en-US" w:eastAsia="zh-CN" w:bidi="ar"/>
        </w:rPr>
        <w:t>1</w:t>
      </w:r>
      <w:r>
        <w:rPr>
          <w:rFonts w:hint="eastAsia" w:ascii="Times New Roman" w:hAnsi="Times New Roman" w:eastAsia="宋体" w:cs="Times New Roman"/>
          <w:caps w:val="0"/>
          <w:smallCaps w:val="0"/>
          <w:color w:val="auto"/>
          <w:spacing w:val="0"/>
          <w:kern w:val="0"/>
          <w:sz w:val="24"/>
          <w:szCs w:val="24"/>
          <w:highlight w:val="none"/>
          <w:lang w:val="en-US" w:eastAsia="zh-CN" w:bidi="ar"/>
        </w:rPr>
        <w:t>套</w:t>
      </w:r>
      <w:r>
        <w:rPr>
          <w:rFonts w:hint="default" w:ascii="Times New Roman" w:hAnsi="Times New Roman" w:eastAsia="宋体" w:cs="Times New Roman"/>
          <w:caps w:val="0"/>
          <w:smallCaps w:val="0"/>
          <w:color w:val="auto"/>
          <w:spacing w:val="0"/>
          <w:kern w:val="0"/>
          <w:sz w:val="24"/>
          <w:szCs w:val="24"/>
          <w:highlight w:val="none"/>
          <w:lang w:val="en-US" w:eastAsia="zh-CN" w:bidi="ar"/>
        </w:rPr>
        <w:t>E12</w:t>
      </w:r>
      <w:r>
        <w:rPr>
          <w:rFonts w:hint="eastAsia" w:ascii="Times New Roman" w:hAnsi="Times New Roman" w:eastAsia="宋体" w:cs="Times New Roman"/>
          <w:caps w:val="0"/>
          <w:smallCaps w:val="0"/>
          <w:color w:val="auto"/>
          <w:spacing w:val="0"/>
          <w:kern w:val="0"/>
          <w:sz w:val="24"/>
          <w:szCs w:val="24"/>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4"/>
          <w:szCs w:val="24"/>
          <w:highlight w:val="none"/>
          <w:lang w:val="en-US" w:eastAsia="zh-CN" w:bidi="ar"/>
        </w:rPr>
        <w:t>+H14</w:t>
      </w:r>
      <w:r>
        <w:rPr>
          <w:rFonts w:hint="eastAsia" w:ascii="Times New Roman" w:hAnsi="Times New Roman" w:eastAsia="宋体" w:cs="Times New Roman"/>
          <w:caps w:val="0"/>
          <w:smallCaps w:val="0"/>
          <w:color w:val="auto"/>
          <w:spacing w:val="0"/>
          <w:kern w:val="0"/>
          <w:sz w:val="24"/>
          <w:szCs w:val="24"/>
          <w:highlight w:val="none"/>
          <w:lang w:val="en-US" w:eastAsia="zh-CN" w:bidi="ar"/>
        </w:rPr>
        <w:t>级高效离子过滤器</w:t>
      </w:r>
      <w:r>
        <w:rPr>
          <w:rFonts w:hint="eastAsia" w:ascii="Times New Roman" w:hAnsi="Times New Roman" w:cs="Times New Roman"/>
          <w:caps w:val="0"/>
          <w:smallCaps w:val="0"/>
          <w:color w:val="auto"/>
          <w:spacing w:val="0"/>
          <w:kern w:val="0"/>
          <w:sz w:val="24"/>
          <w:szCs w:val="24"/>
          <w:highlight w:val="none"/>
          <w:lang w:val="en-US" w:eastAsia="zh-CN" w:bidi="ar"/>
        </w:rPr>
        <w:t>处理</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eastAsia="zh-CN"/>
        </w:rPr>
        <w:t>、</w:t>
      </w:r>
      <w:r>
        <w:rPr>
          <w:rStyle w:val="40"/>
          <w:rFonts w:ascii="Times New Roman" w:hAnsi="Times New Roman" w:cs="Times New Roman"/>
          <w:b w:val="0"/>
          <w:bCs w:val="0"/>
          <w:caps w:val="0"/>
          <w:smallCaps w:val="0"/>
          <w:color w:val="auto"/>
          <w:spacing w:val="0"/>
          <w:sz w:val="24"/>
          <w:szCs w:val="24"/>
          <w:highlight w:val="none"/>
          <w:shd w:val="clear" w:color="auto" w:fill="FFFFFF"/>
        </w:rPr>
        <w:t>活化层活化</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废气经过</w:t>
      </w:r>
      <w:r>
        <w:rPr>
          <w:rFonts w:hint="eastAsia" w:ascii="Times New Roman" w:hAnsi="Times New Roman" w:eastAsia="宋体" w:cs="Times New Roman"/>
          <w:caps w:val="0"/>
          <w:smallCaps w:val="0"/>
          <w:color w:val="auto"/>
          <w:spacing w:val="0"/>
          <w:sz w:val="24"/>
          <w:szCs w:val="24"/>
          <w:highlight w:val="none"/>
          <w:lang w:val="en-US" w:eastAsia="zh-CN"/>
        </w:rPr>
        <w:t>1套F7级过滤器+E10级高效离子过滤器+H14级高效过滤器</w:t>
      </w:r>
      <w:r>
        <w:rPr>
          <w:rFonts w:hint="eastAsia" w:ascii="Times New Roman" w:hAnsi="Times New Roman" w:cs="Times New Roman"/>
          <w:caps w:val="0"/>
          <w:smallCaps w:val="0"/>
          <w:color w:val="auto"/>
          <w:spacing w:val="0"/>
          <w:kern w:val="0"/>
          <w:sz w:val="24"/>
          <w:szCs w:val="24"/>
          <w:highlight w:val="none"/>
          <w:lang w:val="en-US" w:eastAsia="zh-CN" w:bidi="ar"/>
        </w:rPr>
        <w:t>处理</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eastAsia="zh-CN"/>
        </w:rPr>
        <w:t>、</w:t>
      </w:r>
      <w:r>
        <w:rPr>
          <w:rStyle w:val="40"/>
          <w:rFonts w:ascii="Times New Roman" w:hAnsi="Times New Roman" w:cs="Times New Roman"/>
          <w:b w:val="0"/>
          <w:bCs w:val="0"/>
          <w:caps w:val="0"/>
          <w:smallCaps w:val="0"/>
          <w:color w:val="auto"/>
          <w:spacing w:val="0"/>
          <w:sz w:val="24"/>
          <w:szCs w:val="24"/>
          <w:highlight w:val="none"/>
          <w:shd w:val="clear" w:color="auto" w:fill="FFFFFF"/>
        </w:rPr>
        <w:t>ZnTe背触膜层磁控溅射镀膜</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与</w:t>
      </w:r>
      <w:r>
        <w:rPr>
          <w:rStyle w:val="40"/>
          <w:rFonts w:ascii="Times New Roman" w:hAnsi="Times New Roman" w:cs="Times New Roman"/>
          <w:b w:val="0"/>
          <w:bCs w:val="0"/>
          <w:caps w:val="0"/>
          <w:smallCaps w:val="0"/>
          <w:color w:val="auto"/>
          <w:spacing w:val="0"/>
          <w:sz w:val="24"/>
          <w:szCs w:val="24"/>
          <w:highlight w:val="none"/>
          <w:shd w:val="clear" w:color="auto" w:fill="FFFFFF"/>
        </w:rPr>
        <w:t>背电极磁控溅射</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废气均经过</w:t>
      </w:r>
      <w:r>
        <w:rPr>
          <w:rFonts w:ascii="Times New Roman" w:hAnsi="Times New Roman" w:cs="Times New Roman"/>
          <w:caps w:val="0"/>
          <w:smallCaps w:val="0"/>
          <w:color w:val="auto"/>
          <w:spacing w:val="0"/>
          <w:sz w:val="24"/>
          <w:szCs w:val="24"/>
          <w:highlight w:val="none"/>
          <w:shd w:val="clear" w:color="auto" w:fill="FFFFFF"/>
        </w:rPr>
        <w:t>H14级高效过滤器除尘处理</w:t>
      </w:r>
      <w:r>
        <w:rPr>
          <w:rFonts w:hint="eastAsia" w:ascii="Times New Roman" w:hAnsi="Times New Roman" w:cs="Times New Roman"/>
          <w:caps w:val="0"/>
          <w:smallCaps w:val="0"/>
          <w:color w:val="auto"/>
          <w:spacing w:val="0"/>
          <w:sz w:val="24"/>
          <w:szCs w:val="24"/>
          <w:highlight w:val="none"/>
          <w:shd w:val="clear" w:color="auto" w:fill="FFFFFF"/>
          <w:lang w:eastAsia="zh-CN"/>
        </w:rPr>
        <w:t>、</w:t>
      </w:r>
      <w:r>
        <w:rPr>
          <w:rStyle w:val="40"/>
          <w:rFonts w:ascii="Times New Roman" w:hAnsi="Times New Roman" w:cs="Times New Roman"/>
          <w:b w:val="0"/>
          <w:bCs w:val="0"/>
          <w:caps w:val="0"/>
          <w:smallCaps w:val="0"/>
          <w:color w:val="auto"/>
          <w:spacing w:val="0"/>
          <w:sz w:val="24"/>
          <w:szCs w:val="24"/>
          <w:highlight w:val="none"/>
          <w:shd w:val="clear" w:color="auto" w:fill="FFFFFF"/>
        </w:rPr>
        <w:t>P1-P</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3</w:t>
      </w:r>
      <w:r>
        <w:rPr>
          <w:rStyle w:val="40"/>
          <w:rFonts w:ascii="Times New Roman" w:hAnsi="Times New Roman" w:cs="Times New Roman"/>
          <w:b w:val="0"/>
          <w:bCs w:val="0"/>
          <w:caps w:val="0"/>
          <w:smallCaps w:val="0"/>
          <w:color w:val="auto"/>
          <w:spacing w:val="0"/>
          <w:sz w:val="24"/>
          <w:szCs w:val="24"/>
          <w:highlight w:val="none"/>
          <w:shd w:val="clear" w:color="auto" w:fill="FFFFFF"/>
        </w:rPr>
        <w:t>激光刻划工艺</w:t>
      </w:r>
      <w:r>
        <w:rPr>
          <w:rFonts w:hint="eastAsia" w:ascii="Times New Roman" w:hAnsi="Times New Roman" w:cs="Times New Roman"/>
          <w:caps w:val="0"/>
          <w:smallCaps w:val="0"/>
          <w:color w:val="auto"/>
          <w:spacing w:val="0"/>
          <w:sz w:val="24"/>
          <w:szCs w:val="24"/>
          <w:highlight w:val="none"/>
          <w:shd w:val="clear" w:color="auto" w:fill="FFFFFF"/>
          <w:lang w:val="en-US" w:eastAsia="zh-CN"/>
        </w:rPr>
        <w:t>废气经过</w:t>
      </w:r>
      <w:r>
        <w:rPr>
          <w:rFonts w:hint="eastAsia" w:ascii="Times New Roman" w:hAnsi="Times New Roman" w:eastAsia="宋体" w:cs="Times New Roman"/>
          <w:caps w:val="0"/>
          <w:smallCaps w:val="0"/>
          <w:color w:val="auto"/>
          <w:spacing w:val="0"/>
          <w:kern w:val="0"/>
          <w:sz w:val="24"/>
          <w:szCs w:val="24"/>
          <w:highlight w:val="none"/>
          <w:lang w:val="en-US" w:eastAsia="zh-CN" w:bidi="ar"/>
        </w:rPr>
        <w:t>2级初效过滤器+H14级高效离子过滤器</w:t>
      </w:r>
      <w:r>
        <w:rPr>
          <w:rFonts w:hint="eastAsia" w:ascii="Times New Roman" w:hAnsi="Times New Roman" w:cs="Times New Roman"/>
          <w:caps w:val="0"/>
          <w:smallCaps w:val="0"/>
          <w:color w:val="auto"/>
          <w:spacing w:val="0"/>
          <w:kern w:val="0"/>
          <w:sz w:val="24"/>
          <w:szCs w:val="24"/>
          <w:highlight w:val="none"/>
          <w:lang w:val="en-US" w:eastAsia="zh-CN" w:bidi="ar"/>
        </w:rPr>
        <w:t>处理、</w:t>
      </w:r>
      <w:r>
        <w:rPr>
          <w:rStyle w:val="40"/>
          <w:rFonts w:ascii="Times New Roman" w:hAnsi="Times New Roman" w:cs="Times New Roman"/>
          <w:b w:val="0"/>
          <w:bCs w:val="0"/>
          <w:caps w:val="0"/>
          <w:smallCaps w:val="0"/>
          <w:color w:val="auto"/>
          <w:spacing w:val="0"/>
          <w:sz w:val="24"/>
          <w:szCs w:val="24"/>
          <w:highlight w:val="none"/>
          <w:shd w:val="clear" w:color="auto" w:fill="FFFFFF"/>
        </w:rPr>
        <w:t>P</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4</w:t>
      </w:r>
      <w:r>
        <w:rPr>
          <w:rStyle w:val="40"/>
          <w:rFonts w:ascii="Times New Roman" w:hAnsi="Times New Roman" w:cs="Times New Roman"/>
          <w:b w:val="0"/>
          <w:bCs w:val="0"/>
          <w:caps w:val="0"/>
          <w:smallCaps w:val="0"/>
          <w:color w:val="auto"/>
          <w:spacing w:val="0"/>
          <w:sz w:val="24"/>
          <w:szCs w:val="24"/>
          <w:highlight w:val="none"/>
          <w:shd w:val="clear" w:color="auto" w:fill="FFFFFF"/>
        </w:rPr>
        <w:t>-P</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5</w:t>
      </w:r>
      <w:r>
        <w:rPr>
          <w:rStyle w:val="40"/>
          <w:rFonts w:ascii="Times New Roman" w:hAnsi="Times New Roman" w:cs="Times New Roman"/>
          <w:b w:val="0"/>
          <w:bCs w:val="0"/>
          <w:caps w:val="0"/>
          <w:smallCaps w:val="0"/>
          <w:color w:val="auto"/>
          <w:spacing w:val="0"/>
          <w:sz w:val="24"/>
          <w:szCs w:val="24"/>
          <w:highlight w:val="none"/>
          <w:shd w:val="clear" w:color="auto" w:fill="FFFFFF"/>
        </w:rPr>
        <w:t>激光刻划工艺</w:t>
      </w:r>
      <w:r>
        <w:rPr>
          <w:rFonts w:hint="eastAsia" w:ascii="Times New Roman" w:hAnsi="Times New Roman" w:cs="Times New Roman"/>
          <w:caps w:val="0"/>
          <w:smallCaps w:val="0"/>
          <w:color w:val="auto"/>
          <w:spacing w:val="0"/>
          <w:sz w:val="24"/>
          <w:szCs w:val="24"/>
          <w:highlight w:val="none"/>
          <w:shd w:val="clear" w:color="auto" w:fill="FFFFFF"/>
          <w:lang w:val="en-US" w:eastAsia="zh-CN"/>
        </w:rPr>
        <w:t>废气经过</w:t>
      </w:r>
      <w:r>
        <w:rPr>
          <w:rFonts w:hint="eastAsia" w:ascii="Times New Roman" w:hAnsi="Times New Roman" w:eastAsia="宋体" w:cs="Times New Roman"/>
          <w:caps w:val="0"/>
          <w:smallCaps w:val="0"/>
          <w:color w:val="auto"/>
          <w:spacing w:val="0"/>
          <w:kern w:val="0"/>
          <w:sz w:val="24"/>
          <w:szCs w:val="24"/>
          <w:highlight w:val="none"/>
          <w:lang w:val="en-US" w:eastAsia="zh-CN" w:bidi="ar"/>
        </w:rPr>
        <w:t>H1</w:t>
      </w:r>
      <w:r>
        <w:rPr>
          <w:rFonts w:hint="eastAsia" w:ascii="Times New Roman" w:hAnsi="Times New Roman" w:cs="Times New Roman"/>
          <w:caps w:val="0"/>
          <w:smallCaps w:val="0"/>
          <w:color w:val="auto"/>
          <w:spacing w:val="0"/>
          <w:kern w:val="0"/>
          <w:sz w:val="24"/>
          <w:szCs w:val="24"/>
          <w:highlight w:val="none"/>
          <w:lang w:val="en-US" w:eastAsia="zh-CN" w:bidi="ar"/>
        </w:rPr>
        <w:t>3</w:t>
      </w:r>
      <w:r>
        <w:rPr>
          <w:rFonts w:hint="eastAsia" w:ascii="Times New Roman" w:hAnsi="Times New Roman" w:eastAsia="宋体" w:cs="Times New Roman"/>
          <w:caps w:val="0"/>
          <w:smallCaps w:val="0"/>
          <w:color w:val="auto"/>
          <w:spacing w:val="0"/>
          <w:kern w:val="0"/>
          <w:sz w:val="24"/>
          <w:szCs w:val="24"/>
          <w:highlight w:val="none"/>
          <w:lang w:val="en-US" w:eastAsia="zh-CN" w:bidi="ar"/>
        </w:rPr>
        <w:t>级高效离子过滤器+H14级高效离子过滤器</w:t>
      </w:r>
      <w:r>
        <w:rPr>
          <w:rFonts w:hint="eastAsia" w:ascii="Times New Roman" w:hAnsi="Times New Roman" w:cs="Times New Roman"/>
          <w:caps w:val="0"/>
          <w:smallCaps w:val="0"/>
          <w:color w:val="auto"/>
          <w:spacing w:val="0"/>
          <w:kern w:val="0"/>
          <w:sz w:val="24"/>
          <w:szCs w:val="24"/>
          <w:highlight w:val="none"/>
          <w:lang w:val="en-US" w:eastAsia="zh-CN" w:bidi="ar"/>
        </w:rPr>
        <w:t>处理后由排气筒排放</w:t>
      </w:r>
      <w:r>
        <w:rPr>
          <w:rFonts w:ascii="Times New Roman" w:hAnsi="Times New Roman" w:cs="Times New Roman"/>
          <w:caps w:val="0"/>
          <w:smallCaps w:val="0"/>
          <w:color w:val="auto"/>
          <w:spacing w:val="0"/>
          <w:highlight w:val="none"/>
          <w:shd w:val="clear" w:color="auto" w:fill="FFFFFF"/>
        </w:rPr>
        <w:t>。</w:t>
      </w:r>
    </w:p>
    <w:p w14:paraId="004D69B1">
      <w:pPr>
        <w:pStyle w:val="34"/>
        <w:widowControl w:val="0"/>
        <w:spacing w:before="0" w:beforeAutospacing="0" w:after="0" w:afterAutospacing="0" w:line="360" w:lineRule="auto"/>
        <w:ind w:firstLine="480" w:firstLineChars="20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shd w:val="clear" w:color="auto" w:fill="FFFFFF"/>
        </w:rPr>
        <w:t>2、</w:t>
      </w:r>
      <w:r>
        <w:rPr>
          <w:rStyle w:val="40"/>
          <w:rFonts w:ascii="Times New Roman" w:hAnsi="Times New Roman" w:cs="Times New Roman"/>
          <w:b w:val="0"/>
          <w:bCs w:val="0"/>
          <w:caps w:val="0"/>
          <w:smallCaps w:val="0"/>
          <w:color w:val="auto"/>
          <w:spacing w:val="0"/>
          <w:highlight w:val="none"/>
          <w:shd w:val="clear" w:color="auto" w:fill="FFFFFF"/>
        </w:rPr>
        <w:t>活化层清洗与蚀刻工艺</w:t>
      </w:r>
      <w:r>
        <w:rPr>
          <w:rFonts w:ascii="Times New Roman" w:hAnsi="Times New Roman" w:cs="Times New Roman"/>
          <w:caps w:val="0"/>
          <w:smallCaps w:val="0"/>
          <w:color w:val="auto"/>
          <w:spacing w:val="0"/>
          <w:highlight w:val="none"/>
          <w:shd w:val="clear" w:color="auto" w:fill="FFFFFF"/>
        </w:rPr>
        <w:t>：产生氯化氢和氮氧化物，经二级碱液喷淋净化后再通过活性炭吸附处理，最终由排气筒排放。</w:t>
      </w:r>
    </w:p>
    <w:p w14:paraId="7721D247">
      <w:pPr>
        <w:pStyle w:val="34"/>
        <w:widowControl w:val="0"/>
        <w:spacing w:before="0" w:beforeAutospacing="0" w:after="0" w:afterAutospacing="0" w:line="360" w:lineRule="auto"/>
        <w:ind w:firstLine="480" w:firstLineChars="200"/>
        <w:rPr>
          <w:rFonts w:ascii="Times New Roman" w:hAnsi="Times New Roman" w:cs="Times New Roman"/>
          <w:caps w:val="0"/>
          <w:smallCaps w:val="0"/>
          <w:color w:val="auto"/>
          <w:spacing w:val="0"/>
          <w:highlight w:val="none"/>
        </w:rPr>
      </w:pPr>
      <w:r>
        <w:rPr>
          <w:rStyle w:val="40"/>
          <w:rFonts w:ascii="Times New Roman" w:hAnsi="Times New Roman" w:cs="Times New Roman"/>
          <w:b w:val="0"/>
          <w:bCs w:val="0"/>
          <w:caps w:val="0"/>
          <w:smallCaps w:val="0"/>
          <w:color w:val="auto"/>
          <w:spacing w:val="0"/>
          <w:highlight w:val="none"/>
          <w:shd w:val="clear" w:color="auto" w:fill="FFFFFF"/>
        </w:rPr>
        <w:t>3、光刻胶干燥与曝光工艺</w:t>
      </w:r>
      <w:r>
        <w:rPr>
          <w:rFonts w:ascii="Times New Roman" w:hAnsi="Times New Roman" w:cs="Times New Roman"/>
          <w:caps w:val="0"/>
          <w:smallCaps w:val="0"/>
          <w:color w:val="auto"/>
          <w:spacing w:val="0"/>
          <w:highlight w:val="none"/>
          <w:shd w:val="clear" w:color="auto" w:fill="FFFFFF"/>
        </w:rPr>
        <w:t>：产生非甲烷总烃，经二级活性炭吸附处理后由排气筒排放。</w:t>
      </w:r>
    </w:p>
    <w:p w14:paraId="1A8651B1">
      <w:pPr>
        <w:pStyle w:val="34"/>
        <w:widowControl w:val="0"/>
        <w:spacing w:before="0" w:beforeAutospacing="0" w:after="0" w:afterAutospacing="0" w:line="360" w:lineRule="auto"/>
        <w:ind w:firstLine="480" w:firstLineChars="200"/>
        <w:rPr>
          <w:rFonts w:ascii="Times New Roman" w:hAnsi="Times New Roman" w:cs="Times New Roman"/>
          <w:caps w:val="0"/>
          <w:smallCaps w:val="0"/>
          <w:color w:val="auto"/>
          <w:spacing w:val="0"/>
          <w:highlight w:val="none"/>
        </w:rPr>
      </w:pPr>
      <w:r>
        <w:rPr>
          <w:rStyle w:val="40"/>
          <w:rFonts w:ascii="Times New Roman" w:hAnsi="Times New Roman" w:cs="Times New Roman"/>
          <w:b w:val="0"/>
          <w:bCs w:val="0"/>
          <w:caps w:val="0"/>
          <w:smallCaps w:val="0"/>
          <w:color w:val="auto"/>
          <w:spacing w:val="0"/>
          <w:highlight w:val="none"/>
          <w:shd w:val="clear" w:color="auto" w:fill="FFFFFF"/>
        </w:rPr>
        <w:t>4、离线实验室</w:t>
      </w:r>
      <w:r>
        <w:rPr>
          <w:rFonts w:ascii="Times New Roman" w:hAnsi="Times New Roman" w:cs="Times New Roman"/>
          <w:caps w:val="0"/>
          <w:smallCaps w:val="0"/>
          <w:color w:val="auto"/>
          <w:spacing w:val="0"/>
          <w:highlight w:val="none"/>
          <w:shd w:val="clear" w:color="auto" w:fill="FFFFFF"/>
        </w:rPr>
        <w:t>：产生氨气、非甲烷总烃及二甲苯，均经活性炭吸附处理后由排气筒排放。</w:t>
      </w:r>
    </w:p>
    <w:p w14:paraId="6912AA0B">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本项目不新增员工，无新增</w:t>
      </w:r>
      <w:r>
        <w:rPr>
          <w:rFonts w:hint="eastAsia" w:ascii="Times New Roman" w:hAnsi="Times New Roman" w:eastAsia="宋体" w:cs="Times New Roman"/>
          <w:caps w:val="0"/>
          <w:smallCaps w:val="0"/>
          <w:color w:val="auto"/>
          <w:spacing w:val="0"/>
          <w:szCs w:val="24"/>
          <w:highlight w:val="none"/>
        </w:rPr>
        <w:t>生活污水</w:t>
      </w:r>
      <w:r>
        <w:rPr>
          <w:rFonts w:ascii="Times New Roman" w:hAnsi="Times New Roman" w:eastAsia="宋体" w:cs="Times New Roman"/>
          <w:caps w:val="0"/>
          <w:smallCaps w:val="0"/>
          <w:color w:val="auto"/>
          <w:spacing w:val="0"/>
          <w:szCs w:val="24"/>
          <w:highlight w:val="none"/>
        </w:rPr>
        <w:t>，仅产生生产废水。根据污染物类别，生产废水分为含镉废水与不含镉废水两类。为处理这些废水，本项目建设一座污水处理站，站内设有高浓度含镉废水、低浓度含镉废水、显影废水及碱性废水处理设施。各类废水的具体处理方式如下：</w:t>
      </w:r>
    </w:p>
    <w:p w14:paraId="519B5A84">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1、碱性废水：经pH调节处理后达标排放。</w:t>
      </w:r>
    </w:p>
    <w:p w14:paraId="6AD62FF0">
      <w:pPr>
        <w:pStyle w:val="12"/>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2、显影废水：采用“</w:t>
      </w:r>
      <w:r>
        <w:rPr>
          <w:rFonts w:hint="eastAsia" w:ascii="Times New Roman" w:hAnsi="Times New Roman" w:eastAsia="宋体" w:cs="Times New Roman"/>
          <w:caps w:val="0"/>
          <w:smallCaps w:val="0"/>
          <w:color w:val="auto"/>
          <w:spacing w:val="0"/>
          <w:szCs w:val="24"/>
          <w:highlight w:val="none"/>
        </w:rPr>
        <w:t>预</w:t>
      </w:r>
      <w:r>
        <w:rPr>
          <w:rFonts w:ascii="Times New Roman" w:hAnsi="Times New Roman" w:eastAsia="宋体" w:cs="Times New Roman"/>
          <w:caps w:val="0"/>
          <w:smallCaps w:val="0"/>
          <w:color w:val="auto"/>
          <w:spacing w:val="0"/>
          <w:szCs w:val="24"/>
          <w:highlight w:val="none"/>
        </w:rPr>
        <w:t>沉淀+催化</w:t>
      </w:r>
      <w:r>
        <w:rPr>
          <w:rFonts w:hint="eastAsia" w:ascii="Times New Roman" w:hAnsi="Times New Roman" w:eastAsia="宋体" w:cs="Times New Roman"/>
          <w:caps w:val="0"/>
          <w:smallCaps w:val="0"/>
          <w:color w:val="auto"/>
          <w:spacing w:val="0"/>
          <w:szCs w:val="24"/>
          <w:highlight w:val="none"/>
          <w:lang w:val="en-US" w:eastAsia="zh-CN"/>
        </w:rPr>
        <w:t>系统（光催化+电催化）</w:t>
      </w:r>
      <w:r>
        <w:rPr>
          <w:rFonts w:ascii="Times New Roman" w:hAnsi="Times New Roman" w:eastAsia="宋体" w:cs="Times New Roman"/>
          <w:caps w:val="0"/>
          <w:smallCaps w:val="0"/>
          <w:color w:val="auto"/>
          <w:spacing w:val="0"/>
          <w:szCs w:val="24"/>
          <w:highlight w:val="none"/>
        </w:rPr>
        <w:t>+气浮+</w:t>
      </w:r>
      <w:r>
        <w:rPr>
          <w:rFonts w:hint="eastAsia" w:ascii="Times New Roman" w:hAnsi="Times New Roman" w:eastAsia="宋体" w:cs="Times New Roman"/>
          <w:caps w:val="0"/>
          <w:smallCaps w:val="0"/>
          <w:color w:val="auto"/>
          <w:spacing w:val="0"/>
          <w:szCs w:val="24"/>
          <w:highlight w:val="none"/>
          <w:lang w:val="en-US" w:eastAsia="zh-CN"/>
        </w:rPr>
        <w:t>好氧处理+厌氧处理</w:t>
      </w:r>
      <w:r>
        <w:rPr>
          <w:rFonts w:ascii="Times New Roman" w:hAnsi="Times New Roman" w:eastAsia="宋体" w:cs="Times New Roman"/>
          <w:caps w:val="0"/>
          <w:smallCaps w:val="0"/>
          <w:color w:val="auto"/>
          <w:spacing w:val="0"/>
          <w:szCs w:val="24"/>
          <w:highlight w:val="none"/>
        </w:rPr>
        <w:t>+MBR系统”进行预处理，之后与</w:t>
      </w:r>
      <w:r>
        <w:rPr>
          <w:rFonts w:hint="eastAsia" w:ascii="Times New Roman" w:hAnsi="Times New Roman" w:eastAsia="宋体" w:cs="Times New Roman"/>
          <w:caps w:val="0"/>
          <w:smallCaps w:val="0"/>
          <w:color w:val="auto"/>
          <w:spacing w:val="0"/>
          <w:szCs w:val="24"/>
          <w:highlight w:val="none"/>
        </w:rPr>
        <w:t>低浓度</w:t>
      </w:r>
      <w:r>
        <w:rPr>
          <w:rFonts w:ascii="Times New Roman" w:hAnsi="Times New Roman" w:eastAsia="宋体" w:cs="Times New Roman"/>
          <w:caps w:val="0"/>
          <w:smallCaps w:val="0"/>
          <w:color w:val="auto"/>
          <w:spacing w:val="0"/>
          <w:szCs w:val="24"/>
          <w:highlight w:val="none"/>
        </w:rPr>
        <w:t>含镉废水</w:t>
      </w:r>
      <w:r>
        <w:rPr>
          <w:rFonts w:hint="eastAsia" w:ascii="Times New Roman" w:hAnsi="Times New Roman" w:eastAsia="宋体" w:cs="Times New Roman"/>
          <w:caps w:val="0"/>
          <w:smallCaps w:val="0"/>
          <w:color w:val="auto"/>
          <w:spacing w:val="0"/>
          <w:szCs w:val="24"/>
          <w:highlight w:val="none"/>
        </w:rPr>
        <w:t>预处理后废水</w:t>
      </w:r>
      <w:r>
        <w:rPr>
          <w:rFonts w:ascii="Times New Roman" w:hAnsi="Times New Roman" w:eastAsia="宋体" w:cs="Times New Roman"/>
          <w:caps w:val="0"/>
          <w:smallCaps w:val="0"/>
          <w:color w:val="auto"/>
          <w:spacing w:val="0"/>
          <w:szCs w:val="24"/>
          <w:highlight w:val="none"/>
        </w:rPr>
        <w:t>共同进入后续</w:t>
      </w:r>
      <w:r>
        <w:rPr>
          <w:rFonts w:hint="eastAsia" w:ascii="Times New Roman" w:hAnsi="Times New Roman" w:eastAsia="宋体" w:cs="Times New Roman"/>
          <w:caps w:val="0"/>
          <w:smallCaps w:val="0"/>
          <w:color w:val="auto"/>
          <w:spacing w:val="0"/>
          <w:szCs w:val="24"/>
          <w:highlight w:val="none"/>
        </w:rPr>
        <w:t>预处理水箱</w:t>
      </w:r>
      <w:r>
        <w:rPr>
          <w:rFonts w:ascii="Times New Roman" w:hAnsi="Times New Roman" w:eastAsia="宋体" w:cs="Times New Roman"/>
          <w:caps w:val="0"/>
          <w:smallCaps w:val="0"/>
          <w:color w:val="auto"/>
          <w:spacing w:val="0"/>
          <w:szCs w:val="24"/>
          <w:highlight w:val="none"/>
        </w:rPr>
        <w:t>深度处理。</w:t>
      </w:r>
    </w:p>
    <w:p w14:paraId="2D3A6983">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3、低浓度含镉废水：采用“pH调节+TMF膜系统”进行预处理</w:t>
      </w:r>
      <w:r>
        <w:rPr>
          <w:rFonts w:hint="eastAsia" w:ascii="Times New Roman" w:hAnsi="Times New Roman" w:eastAsia="宋体" w:cs="Times New Roman"/>
          <w:caps w:val="0"/>
          <w:smallCaps w:val="0"/>
          <w:color w:val="auto"/>
          <w:spacing w:val="0"/>
          <w:szCs w:val="24"/>
          <w:highlight w:val="none"/>
        </w:rPr>
        <w:t>，之</w:t>
      </w:r>
      <w:r>
        <w:rPr>
          <w:rFonts w:ascii="Times New Roman" w:hAnsi="Times New Roman" w:eastAsia="宋体" w:cs="Times New Roman"/>
          <w:caps w:val="0"/>
          <w:smallCaps w:val="0"/>
          <w:color w:val="auto"/>
          <w:spacing w:val="0"/>
          <w:szCs w:val="24"/>
          <w:highlight w:val="none"/>
        </w:rPr>
        <w:t>后与</w:t>
      </w:r>
      <w:r>
        <w:rPr>
          <w:rFonts w:hint="eastAsia" w:ascii="Times New Roman" w:hAnsi="Times New Roman" w:eastAsia="宋体" w:cs="Times New Roman"/>
          <w:caps w:val="0"/>
          <w:smallCaps w:val="0"/>
          <w:color w:val="auto"/>
          <w:spacing w:val="0"/>
          <w:szCs w:val="24"/>
          <w:highlight w:val="none"/>
        </w:rPr>
        <w:t>显影预处理后</w:t>
      </w:r>
      <w:r>
        <w:rPr>
          <w:rFonts w:ascii="Times New Roman" w:hAnsi="Times New Roman" w:eastAsia="宋体" w:cs="Times New Roman"/>
          <w:caps w:val="0"/>
          <w:smallCaps w:val="0"/>
          <w:color w:val="auto"/>
          <w:spacing w:val="0"/>
          <w:szCs w:val="24"/>
          <w:highlight w:val="none"/>
        </w:rPr>
        <w:t>废水共同进入后续</w:t>
      </w:r>
      <w:r>
        <w:rPr>
          <w:rFonts w:hint="eastAsia" w:ascii="Times New Roman" w:hAnsi="Times New Roman" w:eastAsia="宋体" w:cs="Times New Roman"/>
          <w:caps w:val="0"/>
          <w:smallCaps w:val="0"/>
          <w:color w:val="auto"/>
          <w:spacing w:val="0"/>
          <w:szCs w:val="24"/>
          <w:highlight w:val="none"/>
        </w:rPr>
        <w:t>预处理水箱</w:t>
      </w:r>
      <w:r>
        <w:rPr>
          <w:rFonts w:ascii="Times New Roman" w:hAnsi="Times New Roman" w:eastAsia="宋体" w:cs="Times New Roman"/>
          <w:caps w:val="0"/>
          <w:smallCaps w:val="0"/>
          <w:color w:val="auto"/>
          <w:spacing w:val="0"/>
          <w:szCs w:val="24"/>
          <w:highlight w:val="none"/>
        </w:rPr>
        <w:t>深度处理。</w:t>
      </w:r>
    </w:p>
    <w:p w14:paraId="7429BD34">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4、高浓度含镉废水：采用“pH调节+</w:t>
      </w:r>
      <w:r>
        <w:rPr>
          <w:rFonts w:hint="eastAsia" w:ascii="Times New Roman" w:hAnsi="Times New Roman" w:eastAsia="宋体" w:cs="Times New Roman"/>
          <w:caps w:val="0"/>
          <w:smallCaps w:val="0"/>
          <w:color w:val="auto"/>
          <w:spacing w:val="0"/>
          <w:szCs w:val="24"/>
          <w:highlight w:val="none"/>
          <w:lang w:val="en-US" w:eastAsia="zh-CN"/>
        </w:rPr>
        <w:t>化学混凝</w:t>
      </w:r>
      <w:r>
        <w:rPr>
          <w:rFonts w:ascii="Times New Roman" w:hAnsi="Times New Roman" w:eastAsia="宋体" w:cs="Times New Roman"/>
          <w:caps w:val="0"/>
          <w:smallCaps w:val="0"/>
          <w:color w:val="auto"/>
          <w:spacing w:val="0"/>
          <w:szCs w:val="24"/>
          <w:highlight w:val="none"/>
        </w:rPr>
        <w:t>沉淀+</w:t>
      </w:r>
      <w:r>
        <w:rPr>
          <w:rFonts w:hint="eastAsia" w:ascii="Times New Roman" w:hAnsi="Times New Roman" w:eastAsia="宋体" w:cs="Times New Roman"/>
          <w:caps w:val="0"/>
          <w:smallCaps w:val="0"/>
          <w:color w:val="auto"/>
          <w:spacing w:val="0"/>
          <w:szCs w:val="24"/>
          <w:highlight w:val="none"/>
        </w:rPr>
        <w:t>三效</w:t>
      </w:r>
      <w:r>
        <w:rPr>
          <w:rFonts w:ascii="Times New Roman" w:hAnsi="Times New Roman" w:eastAsia="宋体" w:cs="Times New Roman"/>
          <w:caps w:val="0"/>
          <w:smallCaps w:val="0"/>
          <w:color w:val="auto"/>
          <w:spacing w:val="0"/>
          <w:szCs w:val="24"/>
          <w:highlight w:val="none"/>
        </w:rPr>
        <w:t>蒸发”进行预处理</w:t>
      </w:r>
      <w:r>
        <w:rPr>
          <w:rFonts w:hint="eastAsia" w:ascii="Times New Roman" w:hAnsi="Times New Roman" w:eastAsia="宋体" w:cs="Times New Roman"/>
          <w:caps w:val="0"/>
          <w:smallCaps w:val="0"/>
          <w:color w:val="auto"/>
          <w:spacing w:val="0"/>
          <w:szCs w:val="24"/>
          <w:highlight w:val="none"/>
        </w:rPr>
        <w:t>，之后进入</w:t>
      </w:r>
      <w:r>
        <w:rPr>
          <w:rFonts w:ascii="Times New Roman" w:hAnsi="Times New Roman" w:eastAsia="宋体" w:cs="Times New Roman"/>
          <w:caps w:val="0"/>
          <w:smallCaps w:val="0"/>
          <w:color w:val="auto"/>
          <w:spacing w:val="0"/>
          <w:szCs w:val="24"/>
          <w:highlight w:val="none"/>
        </w:rPr>
        <w:t>后续</w:t>
      </w:r>
      <w:r>
        <w:rPr>
          <w:rFonts w:hint="eastAsia" w:ascii="Times New Roman" w:hAnsi="Times New Roman" w:eastAsia="宋体" w:cs="Times New Roman"/>
          <w:caps w:val="0"/>
          <w:smallCaps w:val="0"/>
          <w:color w:val="auto"/>
          <w:spacing w:val="0"/>
          <w:szCs w:val="24"/>
          <w:highlight w:val="none"/>
        </w:rPr>
        <w:t>预处理水箱</w:t>
      </w:r>
      <w:r>
        <w:rPr>
          <w:rFonts w:ascii="Times New Roman" w:hAnsi="Times New Roman" w:eastAsia="宋体" w:cs="Times New Roman"/>
          <w:caps w:val="0"/>
          <w:smallCaps w:val="0"/>
          <w:color w:val="auto"/>
          <w:spacing w:val="0"/>
          <w:szCs w:val="24"/>
          <w:highlight w:val="none"/>
        </w:rPr>
        <w:t>深度处理。</w:t>
      </w:r>
    </w:p>
    <w:p w14:paraId="1ACB0125">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因此</w:t>
      </w:r>
      <w:r>
        <w:rPr>
          <w:rFonts w:ascii="Times New Roman" w:hAnsi="Times New Roman" w:eastAsia="宋体" w:cs="Times New Roman"/>
          <w:caps w:val="0"/>
          <w:smallCaps w:val="0"/>
          <w:color w:val="auto"/>
          <w:spacing w:val="0"/>
          <w:szCs w:val="24"/>
          <w:highlight w:val="none"/>
        </w:rPr>
        <w:t>上述显影废水、低浓度及高浓度含镉废水在经过各自的预处理后，</w:t>
      </w:r>
      <w:r>
        <w:rPr>
          <w:rFonts w:hint="eastAsia" w:ascii="Times New Roman" w:hAnsi="Times New Roman" w:eastAsia="宋体" w:cs="Times New Roman"/>
          <w:caps w:val="0"/>
          <w:smallCaps w:val="0"/>
          <w:color w:val="auto"/>
          <w:spacing w:val="0"/>
          <w:szCs w:val="24"/>
          <w:highlight w:val="none"/>
        </w:rPr>
        <w:t>经过预处理水箱处理后的浓水</w:t>
      </w:r>
      <w:r>
        <w:rPr>
          <w:rFonts w:ascii="Times New Roman" w:hAnsi="Times New Roman" w:eastAsia="宋体" w:cs="Times New Roman"/>
          <w:caps w:val="0"/>
          <w:smallCaps w:val="0"/>
          <w:color w:val="auto"/>
          <w:spacing w:val="0"/>
          <w:szCs w:val="24"/>
          <w:highlight w:val="none"/>
        </w:rPr>
        <w:t>统一进入“RO反</w:t>
      </w:r>
      <w:r>
        <w:rPr>
          <w:rFonts w:ascii="Times New Roman" w:hAnsi="Times New Roman" w:eastAsia="宋体" w:cs="Times New Roman"/>
          <w:caps w:val="0"/>
          <w:smallCaps w:val="0"/>
          <w:color w:val="auto"/>
          <w:spacing w:val="0"/>
          <w:szCs w:val="24"/>
          <w:highlight w:val="none"/>
        </w:rPr>
        <w:t>渗透+三效蒸发”系统进行深度处理。</w:t>
      </w:r>
      <w:r>
        <w:rPr>
          <w:rFonts w:ascii="Times New Roman" w:hAnsi="Times New Roman" w:eastAsia="宋体" w:cs="Times New Roman"/>
          <w:caps w:val="0"/>
          <w:smallCaps w:val="0"/>
          <w:color w:val="auto"/>
          <w:spacing w:val="0"/>
          <w:szCs w:val="24"/>
          <w:highlight w:val="none"/>
        </w:rPr>
        <w:t>最终产生的纯水</w:t>
      </w:r>
      <w:r>
        <w:rPr>
          <w:rFonts w:hint="eastAsia" w:ascii="Times New Roman" w:hAnsi="Times New Roman" w:eastAsia="宋体" w:cs="Times New Roman"/>
          <w:caps w:val="0"/>
          <w:smallCaps w:val="0"/>
          <w:color w:val="auto"/>
          <w:spacing w:val="0"/>
          <w:szCs w:val="24"/>
          <w:highlight w:val="none"/>
        </w:rPr>
        <w:t>进入单独的</w:t>
      </w:r>
      <w:r>
        <w:rPr>
          <w:rFonts w:hint="eastAsia" w:eastAsia="宋体" w:cs="Times New Roman"/>
          <w:caps w:val="0"/>
          <w:smallCaps w:val="0"/>
          <w:color w:val="auto"/>
          <w:spacing w:val="0"/>
          <w:szCs w:val="24"/>
          <w:highlight w:val="none"/>
        </w:rPr>
        <w:t>回用水</w:t>
      </w:r>
      <w:r>
        <w:rPr>
          <w:rFonts w:hint="eastAsia" w:ascii="Times New Roman" w:hAnsi="Times New Roman" w:eastAsia="宋体" w:cs="Times New Roman"/>
          <w:caps w:val="0"/>
          <w:smallCaps w:val="0"/>
          <w:color w:val="auto"/>
          <w:spacing w:val="0"/>
          <w:szCs w:val="24"/>
          <w:highlight w:val="none"/>
        </w:rPr>
        <w:t>纯水箱，产生的纯水需达到《城市污水再生利用工业用水水质》GBT19923-20</w:t>
      </w:r>
      <w:r>
        <w:rPr>
          <w:rFonts w:hint="eastAsia" w:ascii="Times New Roman" w:hAnsi="Times New Roman" w:eastAsia="宋体" w:cs="Times New Roman"/>
          <w:caps w:val="0"/>
          <w:smallCaps w:val="0"/>
          <w:color w:val="auto"/>
          <w:spacing w:val="0"/>
          <w:szCs w:val="24"/>
          <w:highlight w:val="none"/>
          <w:lang w:val="en-US" w:eastAsia="zh-CN"/>
        </w:rPr>
        <w:t>24</w:t>
      </w:r>
      <w:r>
        <w:rPr>
          <w:rFonts w:hint="eastAsia" w:ascii="Times New Roman" w:hAnsi="Times New Roman" w:eastAsia="宋体" w:cs="Times New Roman"/>
          <w:caps w:val="0"/>
          <w:smallCaps w:val="0"/>
          <w:color w:val="auto"/>
          <w:spacing w:val="0"/>
          <w:szCs w:val="24"/>
          <w:highlight w:val="none"/>
        </w:rPr>
        <w:t>的循环水冷却水系统补充水标准后</w:t>
      </w:r>
      <w:r>
        <w:rPr>
          <w:rFonts w:ascii="Times New Roman" w:hAnsi="Times New Roman" w:eastAsia="宋体" w:cs="Times New Roman"/>
          <w:caps w:val="0"/>
          <w:smallCaps w:val="0"/>
          <w:color w:val="auto"/>
          <w:spacing w:val="0"/>
          <w:szCs w:val="24"/>
          <w:highlight w:val="none"/>
        </w:rPr>
        <w:t>回用于生产工序，实现含镉废水零排放。</w:t>
      </w:r>
    </w:p>
    <w:p w14:paraId="46FFD4E6">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主要噪声源为生产设备和往来车辆噪声。在选用低噪声设备的前提下，并采取对于声级值较大的泵类等安装基础减振材料、输送口采用软连接、将泵类置于室内并在建筑物内墙安装吸声材料等措施，控制进出场区车辆的车速，噪声对外环境影响较小，厂界噪声可以达标。</w:t>
      </w:r>
    </w:p>
    <w:p w14:paraId="3D46F6E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本项目运行期间产生的固体废物</w:t>
      </w:r>
      <w:r>
        <w:rPr>
          <w:rFonts w:hint="eastAsia" w:eastAsia="宋体"/>
          <w:caps w:val="0"/>
          <w:smallCaps w:val="0"/>
          <w:color w:val="auto"/>
          <w:spacing w:val="0"/>
          <w:highlight w:val="none"/>
        </w:rPr>
        <w:t>分为</w:t>
      </w:r>
      <w:r>
        <w:rPr>
          <w:rFonts w:eastAsia="宋体"/>
          <w:caps w:val="0"/>
          <w:smallCaps w:val="0"/>
          <w:color w:val="auto"/>
          <w:spacing w:val="0"/>
          <w:highlight w:val="none"/>
        </w:rPr>
        <w:t>一般工业固体废弃物和危险废物，一般工业固体废物分类收集、妥善处置；收尘灰、废过滤器、废活性炭、破裂玻璃、废真空罩等危险废物，收集后存储在厂区危险废物贮存库内分区暂存，集中送有资质单位妥善处置。项目产生的固体废物处置率为100%，对环境影响很小。</w:t>
      </w:r>
    </w:p>
    <w:p w14:paraId="4E8890B4">
      <w:pPr>
        <w:pStyle w:val="4"/>
        <w:widowControl w:val="0"/>
        <w:rPr>
          <w:rFonts w:eastAsia="宋体"/>
          <w:caps w:val="0"/>
          <w:smallCaps w:val="0"/>
          <w:color w:val="auto"/>
          <w:spacing w:val="0"/>
          <w:highlight w:val="none"/>
        </w:rPr>
      </w:pPr>
      <w:bookmarkStart w:id="6" w:name="_Toc477951925"/>
      <w:bookmarkStart w:id="7" w:name="_Toc723"/>
      <w:r>
        <w:rPr>
          <w:rFonts w:eastAsia="宋体"/>
          <w:caps w:val="0"/>
          <w:smallCaps w:val="0"/>
          <w:color w:val="auto"/>
          <w:spacing w:val="0"/>
          <w:highlight w:val="none"/>
        </w:rPr>
        <w:t>1.3环境影响评价工作过程</w:t>
      </w:r>
      <w:bookmarkEnd w:id="6"/>
      <w:bookmarkEnd w:id="7"/>
    </w:p>
    <w:p w14:paraId="41BA60CC">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依据</w:t>
      </w:r>
      <w:r>
        <w:rPr>
          <w:rFonts w:eastAsia="宋体"/>
          <w:caps w:val="0"/>
          <w:smallCaps w:val="0"/>
          <w:color w:val="auto"/>
          <w:spacing w:val="0"/>
          <w:highlight w:val="none"/>
        </w:rPr>
        <w:t>《</w:t>
      </w:r>
      <w:r>
        <w:rPr>
          <w:rFonts w:hint="eastAsia" w:eastAsia="宋体"/>
          <w:caps w:val="0"/>
          <w:smallCaps w:val="0"/>
          <w:color w:val="auto"/>
          <w:spacing w:val="0"/>
          <w:highlight w:val="none"/>
        </w:rPr>
        <w:t>建设项目</w:t>
      </w:r>
      <w:r>
        <w:rPr>
          <w:rFonts w:eastAsia="宋体"/>
          <w:caps w:val="0"/>
          <w:smallCaps w:val="0"/>
          <w:color w:val="auto"/>
          <w:spacing w:val="0"/>
          <w:highlight w:val="none"/>
        </w:rPr>
        <w:t>环境影响评价技术导则总纲》（HJ2.1-2016）</w:t>
      </w:r>
      <w:r>
        <w:rPr>
          <w:rFonts w:eastAsia="宋体"/>
          <w:caps w:val="0"/>
          <w:smallCaps w:val="0"/>
          <w:color w:val="auto"/>
          <w:spacing w:val="0"/>
          <w:highlight w:val="none"/>
        </w:rPr>
        <w:t>要求，本次环评工作分为三个阶段进行。</w:t>
      </w:r>
    </w:p>
    <w:p w14:paraId="19CE63F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第一阶段、在现场踏察、项目类比调查、研究相关技术及其他有关文件基础上进行初步工程分析，开展了初步环境现状调查，进行了环境影响识别和评价因子筛选。明确了评价重点为水环境影响及大气环境影响，确定了环境保护目标和敏感目标，进一步确定评价工作等级、范围及评价标准，制定出相应工作方案。</w:t>
      </w:r>
    </w:p>
    <w:p w14:paraId="6F44E30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第二阶段、根据第一阶段工作成果，对环境现状进行了监测与评价，详细进行工程分析。对各环境要素影响进行了预测与分析。</w:t>
      </w:r>
    </w:p>
    <w:p w14:paraId="36E0CE1A">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第三阶段、提出环境保护措施，进行经济技术可行性论证，给出污染物排放清单并给出评价结论。</w:t>
      </w:r>
    </w:p>
    <w:p w14:paraId="05C5DC82">
      <w:pPr>
        <w:pStyle w:val="11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kern w:val="0"/>
          <w:highlight w:val="none"/>
        </w:rPr>
        <w:t>本项目</w:t>
      </w:r>
      <w:r>
        <w:rPr>
          <w:rFonts w:hint="eastAsia" w:ascii="Times New Roman" w:hAnsi="Times New Roman" w:cs="Times New Roman"/>
          <w:caps w:val="0"/>
          <w:smallCaps w:val="0"/>
          <w:color w:val="auto"/>
          <w:spacing w:val="0"/>
          <w:kern w:val="0"/>
          <w:highlight w:val="none"/>
        </w:rPr>
        <w:t>环境影响评价</w:t>
      </w:r>
      <w:r>
        <w:rPr>
          <w:rFonts w:ascii="Times New Roman" w:hAnsi="Times New Roman" w:cs="Times New Roman"/>
          <w:caps w:val="0"/>
          <w:smallCaps w:val="0"/>
          <w:color w:val="auto"/>
          <w:spacing w:val="0"/>
          <w:kern w:val="0"/>
          <w:highlight w:val="none"/>
        </w:rPr>
        <w:t>的工作流程见图1.3-1。</w:t>
      </w:r>
    </w:p>
    <w:p w14:paraId="376B9CEC">
      <w:pPr>
        <w:jc w:val="center"/>
        <w:rPr>
          <w:caps w:val="0"/>
          <w:smallCaps w:val="0"/>
          <w:color w:val="auto"/>
          <w:spacing w:val="0"/>
          <w:highlight w:val="none"/>
        </w:rPr>
      </w:pPr>
      <w:r>
        <w:rPr>
          <w:caps w:val="0"/>
          <w:smallCaps w:val="0"/>
          <w:color w:val="auto"/>
          <w:spacing w:val="0"/>
          <w:highlight w:val="none"/>
        </w:rPr>
        <w:drawing>
          <wp:inline distT="0" distB="0" distL="114300" distR="114300">
            <wp:extent cx="4664075" cy="4316095"/>
            <wp:effectExtent l="0" t="0" r="9525" b="1905"/>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20"/>
                    <a:srcRect l="2255" t="1851" r="3299" b="1300"/>
                    <a:stretch>
                      <a:fillRect/>
                    </a:stretch>
                  </pic:blipFill>
                  <pic:spPr>
                    <a:xfrm>
                      <a:off x="0" y="0"/>
                      <a:ext cx="4664075" cy="4316095"/>
                    </a:xfrm>
                    <a:prstGeom prst="rect">
                      <a:avLst/>
                    </a:prstGeom>
                    <a:noFill/>
                    <a:ln>
                      <a:noFill/>
                    </a:ln>
                  </pic:spPr>
                </pic:pic>
              </a:graphicData>
            </a:graphic>
          </wp:inline>
        </w:drawing>
      </w:r>
    </w:p>
    <w:p w14:paraId="4FC19806">
      <w:pPr>
        <w:pStyle w:val="65"/>
        <w:widowControl w:val="0"/>
        <w:ind w:firstLine="480"/>
        <w:jc w:val="center"/>
        <w:rPr>
          <w:rFonts w:eastAsia="宋体"/>
          <w:caps w:val="0"/>
          <w:smallCaps w:val="0"/>
          <w:color w:val="auto"/>
          <w:spacing w:val="0"/>
          <w:highlight w:val="none"/>
        </w:rPr>
      </w:pPr>
      <w:r>
        <w:rPr>
          <w:rFonts w:eastAsia="宋体"/>
          <w:caps w:val="0"/>
          <w:smallCaps w:val="0"/>
          <w:color w:val="auto"/>
          <w:spacing w:val="0"/>
          <w:highlight w:val="none"/>
        </w:rPr>
        <w:t>图1.3-1建设项目环境影响评价工作程序图</w:t>
      </w:r>
    </w:p>
    <w:p w14:paraId="785EC9D9">
      <w:pPr>
        <w:pStyle w:val="4"/>
        <w:widowControl w:val="0"/>
        <w:rPr>
          <w:rFonts w:eastAsia="宋体"/>
          <w:caps w:val="0"/>
          <w:smallCaps w:val="0"/>
          <w:color w:val="auto"/>
          <w:spacing w:val="0"/>
          <w:highlight w:val="none"/>
        </w:rPr>
      </w:pPr>
      <w:bookmarkStart w:id="8" w:name="_Toc477951926"/>
      <w:bookmarkStart w:id="9" w:name="_Toc2449"/>
      <w:r>
        <w:rPr>
          <w:rFonts w:eastAsia="宋体"/>
          <w:caps w:val="0"/>
          <w:smallCaps w:val="0"/>
          <w:color w:val="auto"/>
          <w:spacing w:val="0"/>
          <w:highlight w:val="none"/>
        </w:rPr>
        <w:t>1.4</w:t>
      </w:r>
      <w:r>
        <w:rPr>
          <w:rFonts w:hint="eastAsia" w:eastAsia="宋体"/>
          <w:caps w:val="0"/>
          <w:smallCaps w:val="0"/>
          <w:color w:val="auto"/>
          <w:spacing w:val="0"/>
          <w:highlight w:val="none"/>
        </w:rPr>
        <w:t>关注的</w:t>
      </w:r>
      <w:r>
        <w:rPr>
          <w:rFonts w:eastAsia="宋体"/>
          <w:caps w:val="0"/>
          <w:smallCaps w:val="0"/>
          <w:color w:val="auto"/>
          <w:spacing w:val="0"/>
          <w:highlight w:val="none"/>
        </w:rPr>
        <w:t>主要环境</w:t>
      </w:r>
      <w:r>
        <w:rPr>
          <w:rFonts w:hint="eastAsia" w:eastAsia="宋体"/>
          <w:caps w:val="0"/>
          <w:smallCaps w:val="0"/>
          <w:color w:val="auto"/>
          <w:spacing w:val="0"/>
          <w:highlight w:val="none"/>
        </w:rPr>
        <w:t>问题及环境</w:t>
      </w:r>
      <w:r>
        <w:rPr>
          <w:rFonts w:eastAsia="宋体"/>
          <w:caps w:val="0"/>
          <w:smallCaps w:val="0"/>
          <w:color w:val="auto"/>
          <w:spacing w:val="0"/>
          <w:highlight w:val="none"/>
        </w:rPr>
        <w:t>影响</w:t>
      </w:r>
      <w:bookmarkEnd w:id="8"/>
      <w:bookmarkEnd w:id="9"/>
    </w:p>
    <w:p w14:paraId="4902912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1、施工期</w:t>
      </w:r>
    </w:p>
    <w:p w14:paraId="37816914">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本次主要为工艺变化升级，因此本次施工期主要进行设备的安装，施工期主要环境问题为施工人员产生的生活污水；运输车辆产生的扬尘；施工噪声；以及建筑垃圾及施工人员产生的生活垃圾等对环境的影响。</w:t>
      </w:r>
    </w:p>
    <w:p w14:paraId="75FCD2F8">
      <w:pPr>
        <w:pStyle w:val="65"/>
        <w:widowControl w:val="0"/>
        <w:numPr>
          <w:ilvl w:val="0"/>
          <w:numId w:val="4"/>
        </w:numPr>
        <w:ind w:firstLine="480"/>
        <w:rPr>
          <w:rFonts w:eastAsia="宋体"/>
          <w:caps w:val="0"/>
          <w:smallCaps w:val="0"/>
          <w:color w:val="auto"/>
          <w:spacing w:val="0"/>
          <w:highlight w:val="none"/>
        </w:rPr>
      </w:pPr>
      <w:r>
        <w:rPr>
          <w:rFonts w:eastAsia="宋体"/>
          <w:caps w:val="0"/>
          <w:smallCaps w:val="0"/>
          <w:color w:val="auto"/>
          <w:spacing w:val="0"/>
          <w:highlight w:val="none"/>
        </w:rPr>
        <w:t>运行期</w:t>
      </w:r>
    </w:p>
    <w:p w14:paraId="57934D76">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本项目是</w:t>
      </w:r>
      <w:r>
        <w:rPr>
          <w:rFonts w:hint="eastAsia" w:ascii="Times New Roman" w:hAnsi="Times New Roman" w:eastAsia="宋体" w:cs="Times New Roman"/>
          <w:caps w:val="0"/>
          <w:smallCaps w:val="0"/>
          <w:color w:val="auto"/>
          <w:spacing w:val="0"/>
          <w:highlight w:val="none"/>
        </w:rPr>
        <w:t>重新报批</w:t>
      </w:r>
      <w:r>
        <w:rPr>
          <w:rFonts w:ascii="Times New Roman" w:hAnsi="Times New Roman" w:eastAsia="宋体" w:cs="Times New Roman"/>
          <w:caps w:val="0"/>
          <w:smallCaps w:val="0"/>
          <w:color w:val="auto"/>
          <w:spacing w:val="0"/>
          <w:highlight w:val="none"/>
        </w:rPr>
        <w:t>，对</w:t>
      </w:r>
      <w:r>
        <w:rPr>
          <w:rFonts w:ascii="Times New Roman" w:hAnsi="Times New Roman" w:eastAsia="宋体" w:cs="Times New Roman"/>
          <w:caps w:val="0"/>
          <w:smallCaps w:val="0"/>
          <w:color w:val="auto"/>
          <w:spacing w:val="0"/>
          <w:szCs w:val="24"/>
          <w:highlight w:val="none"/>
        </w:rPr>
        <w:t>前段镀膜进行设备升级，</w:t>
      </w:r>
      <w:r>
        <w:rPr>
          <w:rFonts w:hint="eastAsia" w:ascii="Times New Roman" w:hAnsi="Times New Roman" w:eastAsia="宋体" w:cs="Times New Roman"/>
          <w:caps w:val="0"/>
          <w:smallCaps w:val="0"/>
          <w:color w:val="auto"/>
          <w:spacing w:val="0"/>
          <w:szCs w:val="24"/>
          <w:highlight w:val="none"/>
        </w:rPr>
        <w:t>建成</w:t>
      </w:r>
      <w:r>
        <w:rPr>
          <w:rFonts w:ascii="Times New Roman" w:hAnsi="Times New Roman" w:eastAsia="宋体" w:cs="Times New Roman"/>
          <w:caps w:val="0"/>
          <w:smallCaps w:val="0"/>
          <w:color w:val="auto"/>
          <w:spacing w:val="0"/>
          <w:szCs w:val="24"/>
          <w:highlight w:val="none"/>
        </w:rPr>
        <w:t>后生产规模不变（年产100MW碲化镉弱光发电玻璃）。</w:t>
      </w:r>
    </w:p>
    <w:p w14:paraId="77C2FD4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（1）建设年产碲化镉弱光发电玻璃100MW</w:t>
      </w:r>
      <w:r>
        <w:rPr>
          <w:rFonts w:ascii="Times New Roman" w:hAnsi="Times New Roman" w:eastAsia="宋体" w:cs="Times New Roman"/>
          <w:caps w:val="0"/>
          <w:smallCaps w:val="0"/>
          <w:color w:val="auto"/>
          <w:spacing w:val="0"/>
          <w:szCs w:val="24"/>
          <w:highlight w:val="none"/>
        </w:rPr>
        <w:t>前段镀膜</w:t>
      </w:r>
      <w:r>
        <w:rPr>
          <w:rFonts w:ascii="Times New Roman" w:hAnsi="Times New Roman" w:eastAsia="宋体" w:cs="Times New Roman"/>
          <w:caps w:val="0"/>
          <w:smallCaps w:val="0"/>
          <w:color w:val="auto"/>
          <w:spacing w:val="0"/>
          <w:highlight w:val="none"/>
        </w:rPr>
        <w:t>生产线（其中包括打标机编码、CSS沉积镀膜、CdCl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涂覆，活化层活化、活化层清洗刻蚀、ZnTe背接触膜层磁控溅射镀膜、P1激光刻线刻断TCO层、光刻胶涂覆、显影、P2激光刻线、背电极磁控溅射镀膜、P3激光刻线、高温退火，P4激光清边、P5激光刻划及P6激光刻划工艺）、配套的离线实验室及污水处理站（包括高浓度含镉废水、低浓度含镉、显影废水及碱性废水）。</w:t>
      </w:r>
    </w:p>
    <w:p w14:paraId="0B46BF2F">
      <w:pPr>
        <w:pStyle w:val="203"/>
        <w:widowControl w:val="0"/>
        <w:spacing w:line="360" w:lineRule="auto"/>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r>
        <w:rPr>
          <w:rFonts w:ascii="Times New Roman" w:hAnsi="Times New Roman" w:eastAsia="宋体" w:cs="Times New Roman"/>
          <w:caps w:val="0"/>
          <w:smallCaps w:val="0"/>
          <w:color w:val="auto"/>
          <w:spacing w:val="0"/>
          <w:sz w:val="24"/>
          <w:szCs w:val="24"/>
          <w:highlight w:val="none"/>
        </w:rPr>
        <w:t>项目运行期间CSS沉积镀膜、活化层活化、P1激光刻线及P4激光清边废气产生的镉及其化合物、颗粒物经设备自带集气罩收集后，再通过各自的</w:t>
      </w:r>
      <w:r>
        <w:rPr>
          <w:rFonts w:hint="eastAsia" w:ascii="Times New Roman" w:hAnsi="Times New Roman" w:eastAsia="宋体" w:cs="Times New Roman"/>
          <w:caps w:val="0"/>
          <w:smallCaps w:val="0"/>
          <w:color w:val="auto"/>
          <w:spacing w:val="0"/>
          <w:sz w:val="24"/>
          <w:szCs w:val="24"/>
          <w:highlight w:val="none"/>
          <w:lang w:val="en-US" w:eastAsia="zh-CN"/>
        </w:rPr>
        <w:t>处理措施</w:t>
      </w:r>
      <w:r>
        <w:rPr>
          <w:rFonts w:ascii="Times New Roman" w:hAnsi="Times New Roman" w:eastAsia="宋体" w:cs="Times New Roman"/>
          <w:caps w:val="0"/>
          <w:smallCaps w:val="0"/>
          <w:color w:val="auto"/>
          <w:spacing w:val="0"/>
          <w:sz w:val="24"/>
          <w:szCs w:val="24"/>
          <w:highlight w:val="none"/>
        </w:rPr>
        <w:t>处理</w:t>
      </w:r>
      <w:r>
        <w:rPr>
          <w:rFonts w:hint="eastAsia" w:ascii="Times New Roman" w:hAnsi="Times New Roman" w:eastAsia="宋体" w:cs="Times New Roman"/>
          <w:caps w:val="0"/>
          <w:smallCaps w:val="0"/>
          <w:color w:val="auto"/>
          <w:spacing w:val="0"/>
          <w:sz w:val="24"/>
          <w:szCs w:val="24"/>
          <w:highlight w:val="none"/>
          <w:lang w:val="en-US" w:eastAsia="zh-CN"/>
        </w:rPr>
        <w:t>后</w:t>
      </w:r>
      <w:r>
        <w:rPr>
          <w:rFonts w:ascii="Times New Roman" w:hAnsi="Times New Roman" w:eastAsia="宋体" w:cs="Times New Roman"/>
          <w:caps w:val="0"/>
          <w:smallCaps w:val="0"/>
          <w:color w:val="auto"/>
          <w:spacing w:val="0"/>
          <w:sz w:val="24"/>
          <w:szCs w:val="24"/>
          <w:highlight w:val="none"/>
        </w:rPr>
        <w:t>，最终一并DA001排放；ZnTe膜层溅射废气</w:t>
      </w:r>
      <w:r>
        <w:rPr>
          <w:rFonts w:hint="eastAsia" w:ascii="Times New Roman" w:hAnsi="Times New Roman" w:eastAsia="宋体" w:cs="Times New Roman"/>
          <w:caps w:val="0"/>
          <w:smallCaps w:val="0"/>
          <w:color w:val="auto"/>
          <w:spacing w:val="0"/>
          <w:sz w:val="24"/>
          <w:szCs w:val="24"/>
          <w:highlight w:val="none"/>
          <w:lang w:val="en-US" w:eastAsia="zh-CN"/>
        </w:rPr>
        <w:t>与背电极磁控溅射废气分别经</w:t>
      </w:r>
      <w:r>
        <w:rPr>
          <w:rFonts w:ascii="Times New Roman" w:hAnsi="Times New Roman" w:eastAsia="宋体" w:cs="Times New Roman"/>
          <w:caps w:val="0"/>
          <w:smallCaps w:val="0"/>
          <w:color w:val="auto"/>
          <w:spacing w:val="0"/>
          <w:sz w:val="24"/>
          <w:szCs w:val="24"/>
          <w:highlight w:val="none"/>
        </w:rPr>
        <w:t>真空吸尘收集再经</w:t>
      </w:r>
      <w:r>
        <w:rPr>
          <w:rFonts w:hint="eastAsia" w:ascii="Times New Roman" w:hAnsi="Times New Roman" w:eastAsia="宋体" w:cs="Times New Roman"/>
          <w:caps w:val="0"/>
          <w:smallCaps w:val="0"/>
          <w:color w:val="auto"/>
          <w:spacing w:val="0"/>
          <w:sz w:val="24"/>
          <w:szCs w:val="24"/>
          <w:highlight w:val="none"/>
          <w:lang w:val="en-US" w:eastAsia="zh-CN"/>
        </w:rPr>
        <w:t>各自的</w:t>
      </w:r>
      <w:r>
        <w:rPr>
          <w:rFonts w:ascii="Times New Roman" w:hAnsi="Times New Roman" w:eastAsia="宋体" w:cs="Times New Roman"/>
          <w:caps w:val="0"/>
          <w:smallCaps w:val="0"/>
          <w:color w:val="auto"/>
          <w:spacing w:val="0"/>
          <w:sz w:val="24"/>
          <w:szCs w:val="24"/>
          <w:highlight w:val="none"/>
        </w:rPr>
        <w:t>H14级高效离子过滤器过滤处理，</w:t>
      </w:r>
      <w:r>
        <w:rPr>
          <w:rFonts w:hint="eastAsia" w:ascii="Times New Roman" w:hAnsi="Times New Roman" w:eastAsia="宋体" w:cs="Times New Roman"/>
          <w:caps w:val="0"/>
          <w:smallCaps w:val="0"/>
          <w:color w:val="auto"/>
          <w:spacing w:val="0"/>
          <w:sz w:val="24"/>
          <w:szCs w:val="24"/>
          <w:highlight w:val="none"/>
          <w:lang w:val="en-US" w:eastAsia="zh-CN"/>
        </w:rPr>
        <w:t>分别</w:t>
      </w:r>
      <w:r>
        <w:rPr>
          <w:rFonts w:ascii="Times New Roman" w:hAnsi="Times New Roman" w:eastAsia="宋体" w:cs="Times New Roman"/>
          <w:caps w:val="0"/>
          <w:smallCaps w:val="0"/>
          <w:color w:val="auto"/>
          <w:spacing w:val="0"/>
          <w:sz w:val="24"/>
          <w:szCs w:val="24"/>
          <w:highlight w:val="none"/>
        </w:rPr>
        <w:t>通过DA002</w:t>
      </w:r>
      <w:r>
        <w:rPr>
          <w:rFonts w:hint="eastAsia" w:ascii="Times New Roman" w:hAnsi="Times New Roman" w:eastAsia="宋体" w:cs="Times New Roman"/>
          <w:caps w:val="0"/>
          <w:smallCaps w:val="0"/>
          <w:color w:val="auto"/>
          <w:spacing w:val="0"/>
          <w:sz w:val="24"/>
          <w:szCs w:val="24"/>
          <w:highlight w:val="none"/>
          <w:lang w:val="en-US" w:eastAsia="zh-CN"/>
        </w:rPr>
        <w:t>和DA005</w:t>
      </w:r>
      <w:r>
        <w:rPr>
          <w:rFonts w:ascii="Times New Roman" w:hAnsi="Times New Roman" w:eastAsia="宋体" w:cs="Times New Roman"/>
          <w:caps w:val="0"/>
          <w:smallCaps w:val="0"/>
          <w:color w:val="auto"/>
          <w:spacing w:val="0"/>
          <w:sz w:val="24"/>
          <w:szCs w:val="24"/>
          <w:highlight w:val="none"/>
        </w:rPr>
        <w:t>排放；P2激光刻线生产过程中产生的镉及其化合物与颗粒物、</w:t>
      </w:r>
      <w:r>
        <w:rPr>
          <w:rFonts w:hint="eastAsia" w:ascii="Times New Roman" w:hAnsi="Times New Roman" w:eastAsia="宋体" w:cs="Times New Roman"/>
          <w:caps w:val="0"/>
          <w:smallCaps w:val="0"/>
          <w:color w:val="auto"/>
          <w:spacing w:val="0"/>
          <w:sz w:val="24"/>
          <w:szCs w:val="24"/>
          <w:highlight w:val="none"/>
          <w:lang w:val="en-US" w:eastAsia="zh-CN"/>
        </w:rPr>
        <w:t>P2和</w:t>
      </w:r>
      <w:r>
        <w:rPr>
          <w:rFonts w:ascii="Times New Roman" w:hAnsi="Times New Roman" w:eastAsia="宋体" w:cs="Times New Roman"/>
          <w:caps w:val="0"/>
          <w:smallCaps w:val="0"/>
          <w:color w:val="auto"/>
          <w:spacing w:val="0"/>
          <w:sz w:val="24"/>
          <w:szCs w:val="24"/>
          <w:highlight w:val="none"/>
        </w:rPr>
        <w:t>P3激光刻线生产过程中产生的镉及其化合物与颗粒物</w:t>
      </w:r>
      <w:r>
        <w:rPr>
          <w:rFonts w:hint="eastAsia" w:ascii="Times New Roman" w:hAnsi="Times New Roman" w:eastAsia="宋体" w:cs="Times New Roman"/>
          <w:caps w:val="0"/>
          <w:smallCaps w:val="0"/>
          <w:color w:val="auto"/>
          <w:spacing w:val="0"/>
          <w:sz w:val="24"/>
          <w:szCs w:val="24"/>
          <w:highlight w:val="none"/>
          <w:lang w:val="en-US" w:eastAsia="zh-CN"/>
        </w:rPr>
        <w:t>分别经各自</w:t>
      </w:r>
      <w:r>
        <w:rPr>
          <w:rFonts w:hint="eastAsia" w:ascii="Times New Roman" w:hAnsi="Times New Roman" w:eastAsia="宋体" w:cs="Times New Roman"/>
          <w:caps w:val="0"/>
          <w:smallCaps w:val="0"/>
          <w:color w:val="auto"/>
          <w:spacing w:val="0"/>
          <w:kern w:val="0"/>
          <w:sz w:val="24"/>
          <w:szCs w:val="24"/>
          <w:highlight w:val="none"/>
          <w:lang w:val="en-US" w:eastAsia="zh-CN" w:bidi="ar"/>
        </w:rPr>
        <w:t>2级初效过滤器+H14级高效离子过滤器处理后通过DA003和DA004排放</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P5激光刻划及P6激光刻划工艺生产过程中产生的镉及其化合物与颗粒物分别经设备自带集气罩收集后，再通过各自的</w:t>
      </w:r>
      <w:r>
        <w:rPr>
          <w:rFonts w:hint="eastAsia" w:ascii="Times New Roman" w:hAnsi="Times New Roman" w:eastAsia="宋体" w:cs="Times New Roman"/>
          <w:caps w:val="0"/>
          <w:smallCaps w:val="0"/>
          <w:color w:val="auto"/>
          <w:spacing w:val="0"/>
          <w:highlight w:val="none"/>
          <w:lang w:val="en-US" w:eastAsia="zh-CN"/>
        </w:rPr>
        <w:t>H13级高效离子过滤器</w:t>
      </w:r>
      <w:r>
        <w:rPr>
          <w:rFonts w:hint="default" w:ascii="Times New Roman" w:hAnsi="Times New Roman" w:eastAsia="宋体" w:cs="Times New Roman"/>
          <w:caps w:val="0"/>
          <w:smallCaps w:val="0"/>
          <w:color w:val="auto"/>
          <w:spacing w:val="0"/>
          <w:highlight w:val="none"/>
          <w:lang w:val="en-US" w:eastAsia="zh-CN"/>
        </w:rPr>
        <w:t>+H14</w:t>
      </w:r>
      <w:r>
        <w:rPr>
          <w:rFonts w:hint="eastAsia" w:ascii="Times New Roman" w:hAnsi="Times New Roman" w:eastAsia="宋体" w:cs="Times New Roman"/>
          <w:caps w:val="0"/>
          <w:smallCaps w:val="0"/>
          <w:color w:val="auto"/>
          <w:spacing w:val="0"/>
          <w:highlight w:val="none"/>
          <w:lang w:val="en-US" w:eastAsia="zh-CN"/>
        </w:rPr>
        <w:t>级高效离子过滤器</w:t>
      </w:r>
      <w:r>
        <w:rPr>
          <w:rFonts w:ascii="Times New Roman" w:hAnsi="Times New Roman" w:eastAsia="宋体" w:cs="Times New Roman"/>
          <w:caps w:val="0"/>
          <w:smallCaps w:val="0"/>
          <w:color w:val="auto"/>
          <w:spacing w:val="0"/>
          <w:highlight w:val="none"/>
        </w:rPr>
        <w:t>处理后经DA006排放</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光刻胶干燥曝光过程中产生的非甲烷总烃经全封闭负压收集通过二级活性炭吸附处理后，通过DA007排气筒排放；活化层清洗蚀刻过程中产生氮氧化物及氯化氢</w:t>
      </w:r>
      <w:r>
        <w:rPr>
          <w:rFonts w:hint="eastAsia" w:ascii="Times New Roman" w:hAnsi="Times New Roman" w:eastAsia="宋体" w:cs="Times New Roman"/>
          <w:caps w:val="0"/>
          <w:smallCaps w:val="0"/>
          <w:color w:val="auto"/>
          <w:spacing w:val="0"/>
          <w:highlight w:val="none"/>
        </w:rPr>
        <w:t>与</w:t>
      </w:r>
      <w:r>
        <w:rPr>
          <w:rFonts w:hint="eastAsia" w:ascii="Times New Roman" w:hAnsi="Times New Roman" w:eastAsia="宋体" w:cs="Times New Roman"/>
          <w:caps w:val="0"/>
          <w:smallCaps w:val="0"/>
          <w:color w:val="auto"/>
          <w:spacing w:val="0"/>
          <w:highlight w:val="none"/>
        </w:rPr>
        <w:t>污水处理站产生的氨气、硫化氢以及臭气浓度</w:t>
      </w:r>
      <w:r>
        <w:rPr>
          <w:rFonts w:ascii="Times New Roman" w:hAnsi="Times New Roman" w:eastAsia="宋体" w:cs="Times New Roman"/>
          <w:caps w:val="0"/>
          <w:smallCaps w:val="0"/>
          <w:color w:val="auto"/>
          <w:spacing w:val="0"/>
          <w:highlight w:val="none"/>
        </w:rPr>
        <w:t>经收集后，通过</w:t>
      </w:r>
      <w:r>
        <w:rPr>
          <w:rFonts w:hint="eastAsia" w:ascii="Times New Roman" w:hAnsi="Times New Roman" w:eastAsia="宋体" w:cs="Times New Roman"/>
          <w:caps w:val="0"/>
          <w:smallCaps w:val="0"/>
          <w:color w:val="auto"/>
          <w:spacing w:val="0"/>
          <w:highlight w:val="none"/>
        </w:rPr>
        <w:t>碱液喷淋</w:t>
      </w:r>
      <w:r>
        <w:rPr>
          <w:rFonts w:hint="eastAsia" w:ascii="Times New Roman" w:hAnsi="Times New Roman" w:eastAsia="宋体" w:cs="Times New Roman"/>
          <w:caps w:val="0"/>
          <w:smallCaps w:val="0"/>
          <w:color w:val="auto"/>
          <w:spacing w:val="0"/>
          <w:highlight w:val="none"/>
          <w:lang w:eastAsia="zh-CN"/>
        </w:rPr>
        <w:t>塔</w:t>
      </w:r>
      <w:r>
        <w:rPr>
          <w:rFonts w:ascii="Times New Roman" w:hAnsi="Times New Roman" w:eastAsia="宋体" w:cs="Times New Roman"/>
          <w:caps w:val="0"/>
          <w:smallCaps w:val="0"/>
          <w:color w:val="auto"/>
          <w:spacing w:val="0"/>
          <w:highlight w:val="none"/>
        </w:rPr>
        <w:t>装置</w:t>
      </w:r>
      <w:r>
        <w:rPr>
          <w:rFonts w:ascii="Times New Roman" w:hAnsi="Times New Roman" w:eastAsia="宋体" w:cs="Times New Roman"/>
          <w:caps w:val="0"/>
          <w:smallCaps w:val="0"/>
          <w:color w:val="auto"/>
          <w:spacing w:val="0"/>
          <w:highlight w:val="none"/>
        </w:rPr>
        <w:t>净化后</w:t>
      </w:r>
      <w:r>
        <w:rPr>
          <w:rFonts w:hint="eastAsia" w:ascii="Times New Roman" w:hAnsi="Times New Roman" w:eastAsia="宋体" w:cs="Times New Roman"/>
          <w:caps w:val="0"/>
          <w:smallCaps w:val="0"/>
          <w:color w:val="auto"/>
          <w:spacing w:val="0"/>
          <w:highlight w:val="none"/>
        </w:rPr>
        <w:t>再经活性炭吸附处理最后</w:t>
      </w:r>
      <w:r>
        <w:rPr>
          <w:rFonts w:ascii="Times New Roman" w:hAnsi="Times New Roman" w:eastAsia="宋体" w:cs="Times New Roman"/>
          <w:caps w:val="0"/>
          <w:smallCaps w:val="0"/>
          <w:color w:val="auto"/>
          <w:spacing w:val="0"/>
          <w:highlight w:val="none"/>
        </w:rPr>
        <w:t>通过</w:t>
      </w:r>
      <w:r>
        <w:rPr>
          <w:rFonts w:ascii="Times New Roman" w:hAnsi="Times New Roman" w:eastAsia="宋体" w:cs="Times New Roman"/>
          <w:caps w:val="0"/>
          <w:smallCaps w:val="0"/>
          <w:color w:val="auto"/>
          <w:spacing w:val="0"/>
          <w:highlight w:val="none"/>
        </w:rPr>
        <w:t>DA00</w:t>
      </w:r>
      <w:r>
        <w:rPr>
          <w:rFonts w:hint="eastAsia" w:ascii="Times New Roman" w:hAnsi="Times New Roman" w:eastAsia="宋体" w:cs="Times New Roman"/>
          <w:caps w:val="0"/>
          <w:smallCaps w:val="0"/>
          <w:color w:val="auto"/>
          <w:spacing w:val="0"/>
          <w:highlight w:val="none"/>
          <w:lang w:val="en-US" w:eastAsia="zh-CN"/>
        </w:rPr>
        <w:t>8</w:t>
      </w:r>
      <w:r>
        <w:rPr>
          <w:rFonts w:ascii="Times New Roman" w:hAnsi="Times New Roman" w:eastAsia="宋体" w:cs="Times New Roman"/>
          <w:caps w:val="0"/>
          <w:smallCaps w:val="0"/>
          <w:color w:val="auto"/>
          <w:spacing w:val="0"/>
          <w:highlight w:val="none"/>
        </w:rPr>
        <w:t>排气筒排放；离线实验室检测过程中产生的二甲苯、氨气及非甲烷总烃，由实验室内通风柜收集后经活性炭吸附处理后，通过</w:t>
      </w:r>
      <w:r>
        <w:rPr>
          <w:rFonts w:ascii="Times New Roman" w:hAnsi="Times New Roman" w:eastAsia="宋体" w:cs="Times New Roman"/>
          <w:caps w:val="0"/>
          <w:smallCaps w:val="0"/>
          <w:color w:val="auto"/>
          <w:spacing w:val="0"/>
          <w:highlight w:val="none"/>
        </w:rPr>
        <w:t>DA00</w:t>
      </w:r>
      <w:r>
        <w:rPr>
          <w:rFonts w:hint="eastAsia" w:ascii="Times New Roman" w:hAnsi="Times New Roman" w:eastAsia="宋体" w:cs="Times New Roman"/>
          <w:caps w:val="0"/>
          <w:smallCaps w:val="0"/>
          <w:color w:val="auto"/>
          <w:spacing w:val="0"/>
          <w:highlight w:val="none"/>
          <w:lang w:val="en-US" w:eastAsia="zh-CN"/>
        </w:rPr>
        <w:t>9</w:t>
      </w:r>
      <w:r>
        <w:rPr>
          <w:rFonts w:ascii="Times New Roman" w:hAnsi="Times New Roman" w:eastAsia="宋体" w:cs="Times New Roman"/>
          <w:caps w:val="0"/>
          <w:smallCaps w:val="0"/>
          <w:color w:val="auto"/>
          <w:spacing w:val="0"/>
          <w:highlight w:val="none"/>
        </w:rPr>
        <w:t>排</w:t>
      </w:r>
      <w:r>
        <w:rPr>
          <w:rFonts w:ascii="Times New Roman" w:hAnsi="Times New Roman" w:eastAsia="宋体" w:cs="Times New Roman"/>
          <w:caps w:val="0"/>
          <w:smallCaps w:val="0"/>
          <w:color w:val="auto"/>
          <w:spacing w:val="0"/>
          <w:highlight w:val="none"/>
        </w:rPr>
        <w:t>气筒排放。本工程涉及重点重金属Cd</w:t>
      </w:r>
      <w:r>
        <w:rPr>
          <w:rFonts w:hint="eastAsia" w:ascii="Times New Roman" w:hAnsi="Times New Roman" w:eastAsia="宋体" w:cs="Times New Roman"/>
          <w:caps w:val="0"/>
          <w:smallCaps w:val="0"/>
          <w:color w:val="auto"/>
          <w:spacing w:val="0"/>
          <w:highlight w:val="none"/>
          <w:lang w:val="en-US" w:eastAsia="zh-CN"/>
        </w:rPr>
        <w:t>氮氧化物</w:t>
      </w:r>
      <w:r>
        <w:rPr>
          <w:rFonts w:ascii="Times New Roman" w:hAnsi="Times New Roman" w:eastAsia="宋体" w:cs="Times New Roman"/>
          <w:caps w:val="0"/>
          <w:smallCaps w:val="0"/>
          <w:color w:val="auto"/>
          <w:spacing w:val="0"/>
          <w:highlight w:val="none"/>
        </w:rPr>
        <w:t>和挥发性有机物，</w:t>
      </w:r>
      <w:r>
        <w:rPr>
          <w:rFonts w:ascii="Times New Roman" w:hAnsi="Times New Roman" w:eastAsia="宋体" w:cs="Times New Roman"/>
          <w:caps w:val="0"/>
          <w:smallCaps w:val="0"/>
          <w:color w:val="auto"/>
          <w:spacing w:val="0"/>
          <w:highlight w:val="none"/>
        </w:rPr>
        <w:t>重金属Cd年排放量为0.00</w:t>
      </w:r>
      <w:r>
        <w:rPr>
          <w:rFonts w:hint="eastAsia" w:ascii="Times New Roman" w:hAnsi="Times New Roman" w:eastAsia="宋体" w:cs="Times New Roman"/>
          <w:caps w:val="0"/>
          <w:smallCaps w:val="0"/>
          <w:color w:val="auto"/>
          <w:spacing w:val="0"/>
          <w:highlight w:val="none"/>
          <w:lang w:val="en-US" w:eastAsia="zh-CN"/>
        </w:rPr>
        <w:t>0143</w:t>
      </w:r>
      <w:r>
        <w:rPr>
          <w:rFonts w:ascii="Times New Roman" w:hAnsi="Times New Roman" w:eastAsia="宋体" w:cs="Times New Roman"/>
          <w:caps w:val="0"/>
          <w:smallCaps w:val="0"/>
          <w:color w:val="auto"/>
          <w:spacing w:val="0"/>
          <w:highlight w:val="none"/>
        </w:rPr>
        <w:t>t/a，</w:t>
      </w:r>
      <w:r>
        <w:rPr>
          <w:rFonts w:hint="eastAsia" w:ascii="Times New Roman" w:hAnsi="Times New Roman" w:eastAsia="宋体" w:cs="Times New Roman"/>
          <w:caps w:val="0"/>
          <w:smallCaps w:val="0"/>
          <w:color w:val="auto"/>
          <w:spacing w:val="0"/>
          <w:highlight w:val="none"/>
          <w:lang w:val="en-US" w:eastAsia="zh-CN"/>
        </w:rPr>
        <w:t>氮氧化物排放量为0.0686t/a，</w:t>
      </w:r>
      <w:r>
        <w:rPr>
          <w:rFonts w:ascii="Times New Roman" w:hAnsi="Times New Roman" w:eastAsia="宋体" w:cs="Times New Roman"/>
          <w:caps w:val="0"/>
          <w:smallCaps w:val="0"/>
          <w:color w:val="auto"/>
          <w:spacing w:val="0"/>
          <w:highlight w:val="none"/>
        </w:rPr>
        <w:t>挥发性有机物（以非甲烷总烃计）年排放量为0.0</w:t>
      </w:r>
      <w:r>
        <w:rPr>
          <w:rFonts w:hint="eastAsia" w:ascii="Times New Roman" w:hAnsi="Times New Roman" w:eastAsia="宋体" w:cs="Times New Roman"/>
          <w:caps w:val="0"/>
          <w:smallCaps w:val="0"/>
          <w:color w:val="auto"/>
          <w:spacing w:val="0"/>
          <w:highlight w:val="none"/>
        </w:rPr>
        <w:t>0792</w:t>
      </w:r>
      <w:r>
        <w:rPr>
          <w:rFonts w:ascii="Times New Roman" w:hAnsi="Times New Roman" w:eastAsia="宋体" w:cs="Times New Roman"/>
          <w:caps w:val="0"/>
          <w:smallCaps w:val="0"/>
          <w:color w:val="auto"/>
          <w:spacing w:val="0"/>
          <w:highlight w:val="none"/>
        </w:rPr>
        <w:t>t/a。</w:t>
      </w:r>
    </w:p>
    <w:p w14:paraId="5CF04196">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（3）本项目废水为生产废水及新增纯水制备废水，生产废水分为碱性废水、显影废水、高浓度含镉废水及低浓度含镉废水，因此本项目新建1座污水处理站，污水处理能力为</w:t>
      </w:r>
      <w:r>
        <w:rPr>
          <w:rFonts w:hint="eastAsia" w:eastAsia="宋体"/>
          <w:caps w:val="0"/>
          <w:smallCaps w:val="0"/>
          <w:color w:val="auto"/>
          <w:spacing w:val="0"/>
          <w:highlight w:val="none"/>
          <w:lang w:eastAsia="zh-CN"/>
        </w:rPr>
        <w:t>180m</w:t>
      </w:r>
      <w:r>
        <w:rPr>
          <w:rFonts w:hint="eastAsia" w:eastAsia="宋体"/>
          <w:caps w:val="0"/>
          <w:smallCaps w:val="0"/>
          <w:color w:val="auto"/>
          <w:spacing w:val="0"/>
          <w:highlight w:val="none"/>
          <w:vertAlign w:val="superscript"/>
          <w:lang w:eastAsia="zh-CN"/>
        </w:rPr>
        <w:t>3</w:t>
      </w:r>
      <w:r>
        <w:rPr>
          <w:rFonts w:hint="eastAsia" w:eastAsia="宋体"/>
          <w:caps w:val="0"/>
          <w:smallCaps w:val="0"/>
          <w:color w:val="auto"/>
          <w:spacing w:val="0"/>
          <w:highlight w:val="none"/>
          <w:lang w:eastAsia="zh-CN"/>
        </w:rPr>
        <w:t>/d</w:t>
      </w:r>
      <w:r>
        <w:rPr>
          <w:rFonts w:eastAsia="宋体"/>
          <w:caps w:val="0"/>
          <w:smallCaps w:val="0"/>
          <w:color w:val="auto"/>
          <w:spacing w:val="0"/>
          <w:highlight w:val="none"/>
        </w:rPr>
        <w:t>，处理能力分别为碱性废水20m</w:t>
      </w:r>
      <w:r>
        <w:rPr>
          <w:rFonts w:eastAsia="宋体"/>
          <w:caps w:val="0"/>
          <w:smallCaps w:val="0"/>
          <w:color w:val="auto"/>
          <w:spacing w:val="0"/>
          <w:highlight w:val="none"/>
          <w:vertAlign w:val="superscript"/>
        </w:rPr>
        <w:t>3</w:t>
      </w:r>
      <w:r>
        <w:rPr>
          <w:rFonts w:eastAsia="宋体"/>
          <w:caps w:val="0"/>
          <w:smallCaps w:val="0"/>
          <w:color w:val="auto"/>
          <w:spacing w:val="0"/>
          <w:highlight w:val="none"/>
        </w:rPr>
        <w:t>/d、显影废水20m</w:t>
      </w:r>
      <w:r>
        <w:rPr>
          <w:rFonts w:eastAsia="宋体"/>
          <w:caps w:val="0"/>
          <w:smallCaps w:val="0"/>
          <w:color w:val="auto"/>
          <w:spacing w:val="0"/>
          <w:highlight w:val="none"/>
          <w:vertAlign w:val="superscript"/>
        </w:rPr>
        <w:t>3</w:t>
      </w:r>
      <w:r>
        <w:rPr>
          <w:rFonts w:eastAsia="宋体"/>
          <w:caps w:val="0"/>
          <w:smallCaps w:val="0"/>
          <w:color w:val="auto"/>
          <w:spacing w:val="0"/>
          <w:highlight w:val="none"/>
        </w:rPr>
        <w:t>/d、高浓度含镉废水1</w:t>
      </w:r>
      <w:r>
        <w:rPr>
          <w:rFonts w:hint="eastAsia" w:eastAsia="宋体"/>
          <w:caps w:val="0"/>
          <w:smallCaps w:val="0"/>
          <w:color w:val="auto"/>
          <w:spacing w:val="0"/>
          <w:highlight w:val="none"/>
        </w:rPr>
        <w:t>1</w:t>
      </w:r>
      <w:r>
        <w:rPr>
          <w:rFonts w:eastAsia="宋体"/>
          <w:caps w:val="0"/>
          <w:smallCaps w:val="0"/>
          <w:color w:val="auto"/>
          <w:spacing w:val="0"/>
          <w:highlight w:val="none"/>
        </w:rPr>
        <w:t>m</w:t>
      </w:r>
      <w:r>
        <w:rPr>
          <w:rFonts w:eastAsia="宋体"/>
          <w:caps w:val="0"/>
          <w:smallCaps w:val="0"/>
          <w:color w:val="auto"/>
          <w:spacing w:val="0"/>
          <w:highlight w:val="none"/>
          <w:vertAlign w:val="superscript"/>
        </w:rPr>
        <w:t>3</w:t>
      </w:r>
      <w:r>
        <w:rPr>
          <w:rFonts w:eastAsia="宋体"/>
          <w:caps w:val="0"/>
          <w:smallCaps w:val="0"/>
          <w:color w:val="auto"/>
          <w:spacing w:val="0"/>
          <w:highlight w:val="none"/>
        </w:rPr>
        <w:t>/d及低浓度含镉</w:t>
      </w:r>
      <w:r>
        <w:rPr>
          <w:rFonts w:hint="eastAsia" w:eastAsia="宋体"/>
          <w:caps w:val="0"/>
          <w:smallCaps w:val="0"/>
          <w:color w:val="auto"/>
          <w:spacing w:val="0"/>
          <w:highlight w:val="none"/>
        </w:rPr>
        <w:t>废水</w:t>
      </w:r>
      <w:r>
        <w:rPr>
          <w:rFonts w:eastAsia="宋体"/>
          <w:caps w:val="0"/>
          <w:smallCaps w:val="0"/>
          <w:color w:val="auto"/>
          <w:spacing w:val="0"/>
          <w:highlight w:val="none"/>
        </w:rPr>
        <w:t>12</w:t>
      </w:r>
      <w:r>
        <w:rPr>
          <w:rFonts w:hint="eastAsia" w:eastAsia="宋体"/>
          <w:caps w:val="0"/>
          <w:smallCaps w:val="0"/>
          <w:color w:val="auto"/>
          <w:spacing w:val="0"/>
          <w:highlight w:val="none"/>
          <w:lang w:val="en-US" w:eastAsia="zh-CN"/>
        </w:rPr>
        <w:t>9</w:t>
      </w:r>
      <w:r>
        <w:rPr>
          <w:rFonts w:eastAsia="宋体"/>
          <w:caps w:val="0"/>
          <w:smallCaps w:val="0"/>
          <w:color w:val="auto"/>
          <w:spacing w:val="0"/>
          <w:highlight w:val="none"/>
        </w:rPr>
        <w:t>m</w:t>
      </w:r>
      <w:r>
        <w:rPr>
          <w:rFonts w:eastAsia="宋体"/>
          <w:caps w:val="0"/>
          <w:smallCaps w:val="0"/>
          <w:color w:val="auto"/>
          <w:spacing w:val="0"/>
          <w:highlight w:val="none"/>
          <w:vertAlign w:val="superscript"/>
        </w:rPr>
        <w:t>3</w:t>
      </w:r>
      <w:r>
        <w:rPr>
          <w:rFonts w:eastAsia="宋体"/>
          <w:caps w:val="0"/>
          <w:smallCaps w:val="0"/>
          <w:color w:val="auto"/>
          <w:spacing w:val="0"/>
          <w:highlight w:val="none"/>
        </w:rPr>
        <w:t>/d，碱性废水通过污水处理系统pH调节池处理后达标排放，进入园区排水管网，纯水制备废水直接进入园区排水管网；项目产生的含镉废水及显影废水经RO</w:t>
      </w:r>
      <w:r>
        <w:rPr>
          <w:rFonts w:hint="eastAsia" w:eastAsia="宋体"/>
          <w:caps w:val="0"/>
          <w:smallCaps w:val="0"/>
          <w:color w:val="auto"/>
          <w:spacing w:val="0"/>
          <w:highlight w:val="none"/>
        </w:rPr>
        <w:t>反渗透</w:t>
      </w:r>
      <w:r>
        <w:rPr>
          <w:rFonts w:eastAsia="宋体"/>
          <w:caps w:val="0"/>
          <w:smallCaps w:val="0"/>
          <w:color w:val="auto"/>
          <w:spacing w:val="0"/>
          <w:highlight w:val="none"/>
        </w:rPr>
        <w:t>+三效蒸发</w:t>
      </w:r>
      <w:r>
        <w:rPr>
          <w:rFonts w:hint="eastAsia" w:eastAsia="宋体"/>
          <w:caps w:val="0"/>
          <w:smallCaps w:val="0"/>
          <w:color w:val="auto"/>
          <w:spacing w:val="0"/>
          <w:highlight w:val="none"/>
        </w:rPr>
        <w:t>进行深度处理</w:t>
      </w:r>
      <w:r>
        <w:rPr>
          <w:rFonts w:eastAsia="宋体"/>
          <w:caps w:val="0"/>
          <w:smallCaps w:val="0"/>
          <w:color w:val="auto"/>
          <w:spacing w:val="0"/>
          <w:highlight w:val="none"/>
        </w:rPr>
        <w:t>后产生的纯水</w:t>
      </w:r>
      <w:r>
        <w:rPr>
          <w:rFonts w:hint="eastAsia" w:eastAsia="宋体"/>
          <w:caps w:val="0"/>
          <w:smallCaps w:val="0"/>
          <w:color w:val="auto"/>
          <w:spacing w:val="0"/>
          <w:szCs w:val="24"/>
          <w:highlight w:val="none"/>
        </w:rPr>
        <w:t>进入单独的回用水纯水箱，回用水纯水箱设回用水监测口，回用水纯水箱水质需达到《城市污水再生利用工业用水水质》（GBT19923-2005）的循环水冷却水系统补充水标准后</w:t>
      </w:r>
      <w:r>
        <w:rPr>
          <w:rFonts w:eastAsia="宋体"/>
          <w:caps w:val="0"/>
          <w:smallCaps w:val="0"/>
          <w:color w:val="auto"/>
          <w:spacing w:val="0"/>
          <w:szCs w:val="24"/>
          <w:highlight w:val="none"/>
        </w:rPr>
        <w:t>回用于生产工序</w:t>
      </w:r>
      <w:r>
        <w:rPr>
          <w:rFonts w:eastAsia="宋体"/>
          <w:caps w:val="0"/>
          <w:smallCaps w:val="0"/>
          <w:color w:val="auto"/>
          <w:spacing w:val="0"/>
          <w:highlight w:val="none"/>
        </w:rPr>
        <w:t>，实现含镉废水零排放。</w:t>
      </w:r>
    </w:p>
    <w:p w14:paraId="6FCC091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4）本项目主要噪声源为生产设备和往来车辆噪声。在选用低噪声设备的前提下，并采取对于声级值较大的泵类等安装基础减振材料、输送口采用软连接、将泵类置于室内并在建筑物内墙安装吸声材料等措施，控制进出场区车辆的车速，噪声对外环境影响较小，厂界噪声可以达标。</w:t>
      </w:r>
    </w:p>
    <w:p w14:paraId="23E028F9">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（5）本项目运行期间产生的固体废物</w:t>
      </w:r>
      <w:r>
        <w:rPr>
          <w:rFonts w:hint="eastAsia" w:eastAsia="宋体"/>
          <w:caps w:val="0"/>
          <w:smallCaps w:val="0"/>
          <w:color w:val="auto"/>
          <w:spacing w:val="0"/>
          <w:highlight w:val="none"/>
        </w:rPr>
        <w:t>分为</w:t>
      </w:r>
      <w:r>
        <w:rPr>
          <w:rFonts w:eastAsia="宋体"/>
          <w:caps w:val="0"/>
          <w:smallCaps w:val="0"/>
          <w:color w:val="auto"/>
          <w:spacing w:val="0"/>
          <w:highlight w:val="none"/>
        </w:rPr>
        <w:t>一般工业固体废弃物和危险废物，一般工业固体废物分类收集、妥善处置，产品废包装物委托环卫部门处理，纯水制备废渗透膜、废靶材及废防溅射板统一收集由厂家回收处置；收尘灰、废过滤器、废活性炭、废水处理过程中产生的废过滤膜、废反渗透膜及污泥、蒸发结晶盐、废电池组件、破裂玻璃、废真空罩、废石墨舟、废UV灯管、废润滑油、沾染危险废物的废手套、沾染危险废物的废包装及废铅酸蓄电池等均属危险废物，收集后存储在厂区危险废物贮存库内分区暂存，集中送有资质单位妥善处置。项目产生的固体废物处置率为100%，对环境影响很小。</w:t>
      </w:r>
    </w:p>
    <w:p w14:paraId="20672C77">
      <w:pPr>
        <w:pStyle w:val="48"/>
        <w:spacing w:line="360" w:lineRule="auto"/>
        <w:ind w:firstLine="480" w:firstLineChars="200"/>
        <w:jc w:val="both"/>
        <w:rPr>
          <w:rFonts w:ascii="Times New Roman" w:cs="Times New Roman"/>
          <w:caps w:val="0"/>
          <w:smallCaps w:val="0"/>
          <w:color w:val="auto"/>
          <w:spacing w:val="0"/>
          <w:highlight w:val="none"/>
        </w:rPr>
      </w:pPr>
      <w:r>
        <w:rPr>
          <w:rFonts w:hint="eastAsia" w:cs="Times New Roman"/>
          <w:caps w:val="0"/>
          <w:smallCaps w:val="0"/>
          <w:color w:val="auto"/>
          <w:spacing w:val="0"/>
          <w:highlight w:val="none"/>
        </w:rPr>
        <w:t>（6）本项目地下水</w:t>
      </w:r>
      <w:r>
        <w:rPr>
          <w:rFonts w:ascii="Times New Roman" w:cs="Times New Roman"/>
          <w:caps w:val="0"/>
          <w:smallCaps w:val="0"/>
          <w:color w:val="auto"/>
          <w:spacing w:val="0"/>
          <w:highlight w:val="none"/>
        </w:rPr>
        <w:t>污染途径包括</w:t>
      </w:r>
      <w:r>
        <w:rPr>
          <w:rFonts w:hint="eastAsia" w:cs="Times New Roman"/>
          <w:caps w:val="0"/>
          <w:smallCaps w:val="0"/>
          <w:color w:val="auto"/>
          <w:spacing w:val="0"/>
          <w:highlight w:val="none"/>
        </w:rPr>
        <w:t>正常工况下的含镉废水管道的渗漏，以及非正常工况下的污水处理设施或系统的故障破损，厂区按要求进行分区防渗，</w:t>
      </w:r>
      <w:r>
        <w:rPr>
          <w:rFonts w:ascii="Times New Roman" w:cs="Times New Roman"/>
          <w:caps w:val="0"/>
          <w:smallCaps w:val="0"/>
          <w:color w:val="auto"/>
          <w:spacing w:val="0"/>
          <w:highlight w:val="none"/>
        </w:rPr>
        <w:t>项目评价区域地下水流向下游有一处宏伟村分散式饮用水水井，在距离厂区北侧18</w:t>
      </w:r>
      <w:r>
        <w:rPr>
          <w:rFonts w:hint="eastAsia" w:ascii="Times New Roman" w:cs="Times New Roman"/>
          <w:caps w:val="0"/>
          <w:smallCaps w:val="0"/>
          <w:color w:val="auto"/>
          <w:spacing w:val="0"/>
          <w:highlight w:val="none"/>
        </w:rPr>
        <w:t>00</w:t>
      </w:r>
      <w:r>
        <w:rPr>
          <w:rFonts w:ascii="Times New Roman" w:cs="Times New Roman"/>
          <w:caps w:val="0"/>
          <w:smallCaps w:val="0"/>
          <w:color w:val="auto"/>
          <w:spacing w:val="0"/>
          <w:highlight w:val="none"/>
        </w:rPr>
        <w:t>m处，</w:t>
      </w:r>
      <w:r>
        <w:rPr>
          <w:rFonts w:hint="eastAsia" w:ascii="Times New Roman" w:cs="Times New Roman"/>
          <w:caps w:val="0"/>
          <w:smallCaps w:val="0"/>
          <w:color w:val="auto"/>
          <w:spacing w:val="0"/>
          <w:highlight w:val="none"/>
        </w:rPr>
        <w:t>经预测</w:t>
      </w:r>
      <w:r>
        <w:rPr>
          <w:rFonts w:ascii="Times New Roman" w:cs="Times New Roman"/>
          <w:caps w:val="0"/>
          <w:smallCaps w:val="0"/>
          <w:color w:val="auto"/>
          <w:spacing w:val="0"/>
          <w:highlight w:val="none"/>
        </w:rPr>
        <w:t>非正常工况下，污水渗漏不会对地下水流向下游居民点地下饮用水造成影响</w:t>
      </w:r>
      <w:r>
        <w:rPr>
          <w:rFonts w:hint="eastAsia" w:ascii="Times New Roman" w:cs="Times New Roman"/>
          <w:caps w:val="0"/>
          <w:smallCaps w:val="0"/>
          <w:color w:val="auto"/>
          <w:spacing w:val="0"/>
          <w:highlight w:val="none"/>
        </w:rPr>
        <w:t>，且在水流向下游</w:t>
      </w:r>
      <w:r>
        <w:rPr>
          <w:rFonts w:ascii="Times New Roman" w:cs="Times New Roman"/>
          <w:caps w:val="0"/>
          <w:smallCaps w:val="0"/>
          <w:color w:val="auto"/>
          <w:spacing w:val="0"/>
          <w:highlight w:val="none"/>
        </w:rPr>
        <w:t>厂区西北角布设的一个长期监测孔作为地下水污染监测点，</w:t>
      </w:r>
      <w:r>
        <w:rPr>
          <w:rFonts w:hint="eastAsia" w:ascii="Times New Roman" w:cs="Times New Roman"/>
          <w:caps w:val="0"/>
          <w:smallCaps w:val="0"/>
          <w:color w:val="auto"/>
          <w:spacing w:val="0"/>
          <w:highlight w:val="none"/>
        </w:rPr>
        <w:t>定期检测，影响可控，</w:t>
      </w:r>
      <w:r>
        <w:rPr>
          <w:rFonts w:ascii="Times New Roman" w:cs="Times New Roman"/>
          <w:caps w:val="0"/>
          <w:smallCaps w:val="0"/>
          <w:color w:val="auto"/>
          <w:spacing w:val="0"/>
          <w:highlight w:val="none"/>
        </w:rPr>
        <w:t>项目建设对区域地下水环境影响较小。</w:t>
      </w:r>
    </w:p>
    <w:p w14:paraId="0B1E876B">
      <w:pPr>
        <w:pStyle w:val="65"/>
        <w:widowControl w:val="0"/>
        <w:ind w:firstLine="480"/>
        <w:jc w:val="both"/>
        <w:rPr>
          <w:rFonts w:eastAsia="宋体"/>
          <w:caps w:val="0"/>
          <w:smallCaps w:val="0"/>
          <w:color w:val="auto"/>
          <w:spacing w:val="0"/>
          <w:szCs w:val="28"/>
          <w:highlight w:val="none"/>
        </w:rPr>
      </w:pPr>
      <w:r>
        <w:rPr>
          <w:rFonts w:hint="eastAsia" w:eastAsia="宋体"/>
          <w:caps w:val="0"/>
          <w:smallCaps w:val="0"/>
          <w:color w:val="auto"/>
          <w:spacing w:val="0"/>
          <w:highlight w:val="none"/>
        </w:rPr>
        <w:t>（7）</w:t>
      </w:r>
      <w:r>
        <w:rPr>
          <w:rFonts w:eastAsia="宋体"/>
          <w:caps w:val="0"/>
          <w:smallCaps w:val="0"/>
          <w:color w:val="auto"/>
          <w:spacing w:val="0"/>
          <w:szCs w:val="28"/>
          <w:highlight w:val="none"/>
        </w:rPr>
        <w:t>本目碲化镉、硒化镉、钼不溶于水，碲化镉、硒化镉、氯化镉、钼在原料仓库都为固态，发生火灾时以分解产物排放至大气环境中，遇水情况下只有氯化镉会溶于水中进入水环境。</w:t>
      </w:r>
      <w:r>
        <w:rPr>
          <w:rFonts w:hint="eastAsia" w:eastAsia="宋体"/>
          <w:caps w:val="0"/>
          <w:smallCaps w:val="0"/>
          <w:color w:val="auto"/>
          <w:spacing w:val="0"/>
          <w:szCs w:val="28"/>
          <w:highlight w:val="none"/>
        </w:rPr>
        <w:t>硝酸、盐酸存储在酸桶中，二甲苯存储在实验柜中，上述三种化学品均为液体且具有挥发性，泄漏时可能进入水环境，并挥发至大气中，</w:t>
      </w:r>
      <w:r>
        <w:rPr>
          <w:rFonts w:eastAsia="宋体"/>
          <w:caps w:val="0"/>
          <w:smallCaps w:val="0"/>
          <w:color w:val="auto"/>
          <w:spacing w:val="0"/>
          <w:szCs w:val="28"/>
          <w:highlight w:val="none"/>
        </w:rPr>
        <w:t>设定情形如主</w:t>
      </w:r>
      <w:r>
        <w:rPr>
          <w:rFonts w:hint="eastAsia" w:eastAsia="宋体"/>
          <w:caps w:val="0"/>
          <w:smallCaps w:val="0"/>
          <w:color w:val="auto"/>
          <w:spacing w:val="0"/>
          <w:szCs w:val="28"/>
          <w:highlight w:val="none"/>
        </w:rPr>
        <w:t>要有</w:t>
      </w:r>
      <w:r>
        <w:rPr>
          <w:rFonts w:eastAsia="宋体"/>
          <w:caps w:val="0"/>
          <w:smallCaps w:val="0"/>
          <w:color w:val="auto"/>
          <w:spacing w:val="0"/>
          <w:szCs w:val="28"/>
          <w:highlight w:val="none"/>
        </w:rPr>
        <w:t>以下几种情况：</w:t>
      </w:r>
    </w:p>
    <w:p w14:paraId="6FC7651C">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1、氯化镉溶液滚涂设备容</w:t>
      </w:r>
      <w:r>
        <w:rPr>
          <w:rFonts w:hint="eastAsia" w:ascii="Times New Roman" w:hAnsi="Times New Roman" w:eastAsia="宋体" w:cs="Times New Roman"/>
          <w:caps w:val="0"/>
          <w:smallCaps w:val="0"/>
          <w:color w:val="auto"/>
          <w:spacing w:val="0"/>
          <w:szCs w:val="28"/>
          <w:highlight w:val="none"/>
          <w:lang w:eastAsia="zh-CN"/>
        </w:rPr>
        <w:t>器完</w:t>
      </w:r>
      <w:r>
        <w:rPr>
          <w:rFonts w:ascii="Times New Roman" w:hAnsi="Times New Roman" w:eastAsia="宋体" w:cs="Times New Roman"/>
          <w:caps w:val="0"/>
          <w:smallCaps w:val="0"/>
          <w:color w:val="auto"/>
          <w:spacing w:val="0"/>
          <w:szCs w:val="28"/>
          <w:highlight w:val="none"/>
        </w:rPr>
        <w:t>全破裂，溶液进入地表水环境或地下水环境。</w:t>
      </w:r>
    </w:p>
    <w:p w14:paraId="3D0EC93B">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2、发生火灾情况下，碲化镉、硒化镉、氯化镉、钼以粉尘和烟雾形式排放到大气环境中。</w:t>
      </w:r>
    </w:p>
    <w:p w14:paraId="4BE933ED">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3、发生火灾情况下，碲化镉、硒化镉、氯化镉、钼分解，</w:t>
      </w:r>
      <w:r>
        <w:rPr>
          <w:rFonts w:ascii="Times New Roman" w:hAnsi="Times New Roman" w:eastAsia="宋体" w:cs="Times New Roman"/>
          <w:caps w:val="0"/>
          <w:smallCaps w:val="0"/>
          <w:color w:val="auto"/>
          <w:spacing w:val="0"/>
          <w:szCs w:val="28"/>
          <w:highlight w:val="none"/>
        </w:rPr>
        <w:t>氧化镉</w:t>
      </w:r>
      <w:r>
        <w:rPr>
          <w:rFonts w:hint="eastAsia" w:ascii="Times New Roman" w:hAnsi="Times New Roman" w:eastAsia="宋体" w:cs="Times New Roman"/>
          <w:caps w:val="0"/>
          <w:smallCaps w:val="0"/>
          <w:color w:val="auto"/>
          <w:spacing w:val="0"/>
          <w:szCs w:val="28"/>
          <w:highlight w:val="none"/>
          <w:lang w:eastAsia="zh-CN"/>
        </w:rPr>
        <w:t>、</w:t>
      </w:r>
      <w:r>
        <w:rPr>
          <w:rFonts w:ascii="Times New Roman" w:hAnsi="Times New Roman" w:eastAsia="宋体" w:cs="Times New Roman"/>
          <w:caps w:val="0"/>
          <w:smallCaps w:val="0"/>
          <w:color w:val="auto"/>
          <w:spacing w:val="0"/>
          <w:szCs w:val="28"/>
          <w:highlight w:val="none"/>
        </w:rPr>
        <w:t>三氧化钼</w:t>
      </w:r>
      <w:r>
        <w:rPr>
          <w:rFonts w:hint="eastAsia" w:ascii="Times New Roman" w:hAnsi="Times New Roman" w:eastAsia="宋体" w:cs="Times New Roman"/>
          <w:caps w:val="0"/>
          <w:smallCaps w:val="0"/>
          <w:color w:val="auto"/>
          <w:spacing w:val="0"/>
          <w:szCs w:val="28"/>
          <w:highlight w:val="none"/>
          <w:lang w:eastAsia="zh-CN"/>
        </w:rPr>
        <w:t>、</w:t>
      </w:r>
      <w:r>
        <w:rPr>
          <w:rFonts w:hint="eastAsia" w:ascii="Times New Roman" w:hAnsi="Times New Roman" w:eastAsia="宋体" w:cs="Times New Roman"/>
          <w:caps w:val="0"/>
          <w:smallCaps w:val="0"/>
          <w:color w:val="auto"/>
          <w:spacing w:val="0"/>
          <w:szCs w:val="28"/>
          <w:highlight w:val="none"/>
          <w:lang w:val="en-US" w:eastAsia="zh-CN"/>
        </w:rPr>
        <w:t>氯化氢、镉</w:t>
      </w:r>
      <w:r>
        <w:rPr>
          <w:rFonts w:ascii="Times New Roman" w:hAnsi="Times New Roman" w:eastAsia="宋体" w:cs="Times New Roman"/>
          <w:caps w:val="0"/>
          <w:smallCaps w:val="0"/>
          <w:color w:val="auto"/>
          <w:spacing w:val="0"/>
          <w:szCs w:val="28"/>
          <w:highlight w:val="none"/>
        </w:rPr>
        <w:t>次生产物释放到大气环境中。</w:t>
      </w:r>
    </w:p>
    <w:p w14:paraId="6CDB035D">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4、发生火灾情况下，氯化镉溶于消防水进入水环境。</w:t>
      </w:r>
    </w:p>
    <w:p w14:paraId="2503F088">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5、硝酸、盐酸及二甲苯发生泄漏</w:t>
      </w:r>
      <w:r>
        <w:rPr>
          <w:rFonts w:ascii="Times New Roman" w:hAnsi="Times New Roman" w:eastAsia="宋体" w:cs="Times New Roman"/>
          <w:caps w:val="0"/>
          <w:smallCaps w:val="0"/>
          <w:color w:val="auto"/>
          <w:spacing w:val="0"/>
          <w:szCs w:val="28"/>
          <w:highlight w:val="none"/>
        </w:rPr>
        <w:t>情况下</w:t>
      </w:r>
      <w:r>
        <w:rPr>
          <w:rFonts w:hint="eastAsia" w:ascii="Times New Roman" w:hAnsi="Times New Roman" w:eastAsia="宋体" w:cs="Times New Roman"/>
          <w:caps w:val="0"/>
          <w:smallCaps w:val="0"/>
          <w:color w:val="auto"/>
          <w:spacing w:val="0"/>
          <w:szCs w:val="28"/>
          <w:highlight w:val="none"/>
        </w:rPr>
        <w:t>，硝酸、盐酸及二甲苯进入</w:t>
      </w:r>
      <w:r>
        <w:rPr>
          <w:rFonts w:ascii="Times New Roman" w:hAnsi="Times New Roman" w:eastAsia="宋体" w:cs="Times New Roman"/>
          <w:caps w:val="0"/>
          <w:smallCaps w:val="0"/>
          <w:color w:val="auto"/>
          <w:spacing w:val="0"/>
          <w:szCs w:val="28"/>
          <w:highlight w:val="none"/>
        </w:rPr>
        <w:t>表水环境或地下水环境</w:t>
      </w:r>
      <w:r>
        <w:rPr>
          <w:rFonts w:hint="eastAsia" w:ascii="Times New Roman" w:hAnsi="Times New Roman" w:eastAsia="宋体" w:cs="Times New Roman"/>
          <w:caps w:val="0"/>
          <w:smallCaps w:val="0"/>
          <w:color w:val="auto"/>
          <w:spacing w:val="0"/>
          <w:szCs w:val="28"/>
          <w:highlight w:val="none"/>
        </w:rPr>
        <w:t>，并挥发至大气环境中</w:t>
      </w:r>
    </w:p>
    <w:p w14:paraId="21E803B1">
      <w:pPr>
        <w:spacing w:line="360" w:lineRule="auto"/>
        <w:ind w:firstLine="480" w:firstLineChars="200"/>
        <w:rPr>
          <w:rFonts w:eastAsia="宋体"/>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本工程储酸区、生产装置区、事故水池和污水处理站地面等均进行严格的防渗处理；各储酸桶区设置围堰，发生泄漏事故时，泄漏物料主要集中在围堰内；本工程设1座事故水池，容积为400m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，以容纳事故状态下项目产生的消防废水、雨水、生产废水</w:t>
      </w:r>
      <w:r>
        <w:rPr>
          <w:rFonts w:hint="eastAsia" w:ascii="Times New Roman" w:hAnsi="Times New Roman" w:eastAsia="宋体" w:cs="Times New Roman"/>
          <w:caps w:val="0"/>
          <w:smallCaps w:val="0"/>
          <w:color w:val="auto"/>
          <w:spacing w:val="0"/>
          <w:highlight w:val="none"/>
        </w:rPr>
        <w:t>。</w:t>
      </w:r>
    </w:p>
    <w:p w14:paraId="08F4EC45">
      <w:pPr>
        <w:pStyle w:val="4"/>
        <w:widowControl w:val="0"/>
        <w:rPr>
          <w:rFonts w:eastAsia="宋体"/>
          <w:caps w:val="0"/>
          <w:smallCaps w:val="0"/>
          <w:color w:val="auto"/>
          <w:spacing w:val="0"/>
          <w:highlight w:val="none"/>
        </w:rPr>
      </w:pPr>
      <w:bookmarkStart w:id="10" w:name="_Toc23611"/>
      <w:r>
        <w:rPr>
          <w:rFonts w:eastAsia="宋体"/>
          <w:caps w:val="0"/>
          <w:smallCaps w:val="0"/>
          <w:color w:val="auto"/>
          <w:spacing w:val="0"/>
          <w:highlight w:val="none"/>
        </w:rPr>
        <w:t>1.5项目相关情况判定</w:t>
      </w:r>
      <w:bookmarkEnd w:id="10"/>
    </w:p>
    <w:p w14:paraId="78B214CA">
      <w:pPr>
        <w:pStyle w:val="5"/>
        <w:widowControl w:val="0"/>
        <w:rPr>
          <w:rFonts w:eastAsia="宋体"/>
          <w:caps w:val="0"/>
          <w:smallCaps w:val="0"/>
          <w:color w:val="auto"/>
          <w:spacing w:val="0"/>
          <w:sz w:val="30"/>
          <w:szCs w:val="30"/>
          <w:highlight w:val="none"/>
        </w:rPr>
      </w:pPr>
      <w:bookmarkStart w:id="11" w:name="_Toc22973"/>
      <w:r>
        <w:rPr>
          <w:rFonts w:eastAsia="宋体"/>
          <w:caps w:val="0"/>
          <w:smallCaps w:val="0"/>
          <w:color w:val="auto"/>
          <w:spacing w:val="0"/>
          <w:sz w:val="30"/>
          <w:szCs w:val="30"/>
          <w:highlight w:val="none"/>
        </w:rPr>
        <w:t>1.5.1产业政策符合性分析</w:t>
      </w:r>
      <w:bookmarkEnd w:id="11"/>
    </w:p>
    <w:p w14:paraId="44B9D484">
      <w:pPr>
        <w:pStyle w:val="65"/>
        <w:widowControl w:val="0"/>
        <w:ind w:firstLine="480"/>
        <w:jc w:val="both"/>
        <w:rPr>
          <w:rFonts w:ascii="宋体" w:hAnsi="宋体" w:cs="宋体"/>
          <w:caps w:val="0"/>
          <w:smallCaps w:val="0"/>
          <w:color w:val="auto"/>
          <w:spacing w:val="0"/>
          <w:highlight w:val="none"/>
        </w:rPr>
      </w:pPr>
      <w:r>
        <w:rPr>
          <w:rFonts w:eastAsia="宋体"/>
          <w:caps w:val="0"/>
          <w:smallCaps w:val="0"/>
          <w:color w:val="auto"/>
          <w:spacing w:val="0"/>
          <w:highlight w:val="none"/>
        </w:rPr>
        <w:t>本项目为碲化镉</w:t>
      </w:r>
      <w:r>
        <w:rPr>
          <w:rFonts w:hint="eastAsia" w:eastAsia="宋体"/>
          <w:caps w:val="0"/>
          <w:smallCaps w:val="0"/>
          <w:color w:val="auto"/>
          <w:spacing w:val="0"/>
          <w:highlight w:val="none"/>
          <w:lang w:val="en-US" w:eastAsia="zh-CN"/>
        </w:rPr>
        <w:t>弱</w:t>
      </w:r>
      <w:r>
        <w:rPr>
          <w:rFonts w:eastAsia="宋体"/>
          <w:caps w:val="0"/>
          <w:smallCaps w:val="0"/>
          <w:color w:val="auto"/>
          <w:spacing w:val="0"/>
          <w:highlight w:val="none"/>
        </w:rPr>
        <w:t>光发电玻璃项目，属薄膜太阳能光伏电池生产，年产量为100MW，电池转化效率不小于16%，</w:t>
      </w:r>
      <w:r>
        <w:rPr>
          <w:caps w:val="0"/>
          <w:smallCaps w:val="0"/>
          <w:color w:val="auto"/>
          <w:spacing w:val="0"/>
          <w:highlight w:val="none"/>
        </w:rPr>
        <w:t>不属于国家《产业结构调整指导目录(2024年本)》中鼓励类、限制类或淘汰类项目，</w:t>
      </w:r>
      <w:r>
        <w:rPr>
          <w:rFonts w:hint="eastAsia" w:ascii="宋体" w:hAnsi="宋体" w:cs="宋体"/>
          <w:caps w:val="0"/>
          <w:smallCaps w:val="0"/>
          <w:color w:val="auto"/>
          <w:spacing w:val="0"/>
          <w:highlight w:val="none"/>
        </w:rPr>
        <w:t>本项目产业类别、所采用的生产工艺及设备不在“限制类”或“淘汰类”设备名录内。根据“目录”中相关说明“鼓励类、限</w:t>
      </w:r>
      <w:r>
        <w:rPr>
          <w:caps w:val="0"/>
          <w:smallCaps w:val="0"/>
          <w:color w:val="auto"/>
          <w:spacing w:val="0"/>
          <w:highlight w:val="none"/>
        </w:rPr>
        <w:t>制类和淘汰类之外的，且符合国家有关法律、法规和政策规定的属于允许类。”本项目依法进行环境影响评价，</w:t>
      </w:r>
      <w:r>
        <w:rPr>
          <w:rFonts w:hint="eastAsia" w:ascii="宋体" w:hAnsi="宋体" w:cs="宋体"/>
          <w:caps w:val="0"/>
          <w:smallCaps w:val="0"/>
          <w:color w:val="auto"/>
          <w:spacing w:val="0"/>
          <w:highlight w:val="none"/>
        </w:rPr>
        <w:t>符合“生态环境分区管控”要求，本项目各污染物均设置相应的污染防治措施，污染物排放均可达到相应标准。</w:t>
      </w:r>
    </w:p>
    <w:p w14:paraId="07920731">
      <w:pPr>
        <w:adjustRightInd w:val="0"/>
        <w:snapToGrid w:val="0"/>
        <w:spacing w:line="360" w:lineRule="auto"/>
        <w:ind w:firstLine="480" w:firstLineChars="200"/>
        <w:rPr>
          <w:caps w:val="0"/>
          <w:smallCaps w:val="0"/>
          <w:color w:val="auto"/>
          <w:spacing w:val="0"/>
          <w:highlight w:val="none"/>
        </w:rPr>
      </w:pPr>
      <w:r>
        <w:rPr>
          <w:rFonts w:hint="eastAsia" w:ascii="宋体" w:hAnsi="宋体" w:cs="宋体"/>
          <w:caps w:val="0"/>
          <w:smallCaps w:val="0"/>
          <w:color w:val="auto"/>
          <w:spacing w:val="0"/>
          <w:highlight w:val="none"/>
        </w:rPr>
        <w:t>综上，本项目属于“允许类”，符</w:t>
      </w:r>
      <w:r>
        <w:rPr>
          <w:caps w:val="0"/>
          <w:smallCaps w:val="0"/>
          <w:color w:val="auto"/>
          <w:spacing w:val="0"/>
          <w:highlight w:val="none"/>
        </w:rPr>
        <w:t>合《产业结构调整指导目录（2024年本）》要求。</w:t>
      </w:r>
    </w:p>
    <w:p w14:paraId="5CB33112">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根据中华人民共和国工业和信息化部印发的《光伏制造行业规范条件（2024年本）》，薄膜电池组件年产能不低于50MWp；新建CdTe薄膜电池组件的最低光电转换效率不低于14%；薄膜电池组件项目平均电耗小于50万千瓦时/MWp；电池项目水耗低于1500吨/MWp。</w:t>
      </w:r>
    </w:p>
    <w:p w14:paraId="39200C2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本项目薄膜电池组件年产100MW，转换效率不低于16%，电耗约36.5万千瓦时/MWp，水耗为</w:t>
      </w:r>
      <w:r>
        <w:rPr>
          <w:rFonts w:hint="eastAsia" w:eastAsia="宋体"/>
          <w:caps w:val="0"/>
          <w:smallCaps w:val="0"/>
          <w:color w:val="auto"/>
          <w:spacing w:val="0"/>
          <w:highlight w:val="none"/>
          <w:lang w:eastAsia="zh-CN"/>
        </w:rPr>
        <w:t>630.26</w:t>
      </w:r>
      <w:r>
        <w:rPr>
          <w:rFonts w:eastAsia="宋体"/>
          <w:caps w:val="0"/>
          <w:smallCaps w:val="0"/>
          <w:color w:val="auto"/>
          <w:spacing w:val="0"/>
          <w:highlight w:val="none"/>
        </w:rPr>
        <w:t>吨/MWp，符合《光伏制造行业规范条件（2024年本）》中相关要求。</w:t>
      </w:r>
    </w:p>
    <w:p w14:paraId="3607F354">
      <w:pPr>
        <w:pStyle w:val="5"/>
        <w:widowControl w:val="0"/>
        <w:rPr>
          <w:rFonts w:eastAsia="宋体"/>
          <w:caps w:val="0"/>
          <w:smallCaps w:val="0"/>
          <w:color w:val="auto"/>
          <w:spacing w:val="0"/>
          <w:sz w:val="30"/>
          <w:szCs w:val="30"/>
          <w:highlight w:val="none"/>
        </w:rPr>
      </w:pPr>
      <w:bookmarkStart w:id="12" w:name="_Toc16933"/>
      <w:r>
        <w:rPr>
          <w:rFonts w:eastAsia="宋体"/>
          <w:caps w:val="0"/>
          <w:smallCaps w:val="0"/>
          <w:color w:val="auto"/>
          <w:spacing w:val="0"/>
          <w:sz w:val="30"/>
          <w:szCs w:val="30"/>
          <w:highlight w:val="none"/>
        </w:rPr>
        <w:t>1.5.</w:t>
      </w:r>
      <w:r>
        <w:rPr>
          <w:rFonts w:hint="eastAsia" w:eastAsia="宋体"/>
          <w:caps w:val="0"/>
          <w:smallCaps w:val="0"/>
          <w:color w:val="auto"/>
          <w:spacing w:val="0"/>
          <w:sz w:val="30"/>
          <w:szCs w:val="30"/>
          <w:highlight w:val="none"/>
        </w:rPr>
        <w:t>2与《佳木斯高新技术产业开发区总体规划（2016-2030年）》符合性分析</w:t>
      </w:r>
      <w:bookmarkEnd w:id="12"/>
    </w:p>
    <w:p w14:paraId="073EFA4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高新技术产业开发区东至佳木斯东郊机场东侧，北至松花江，南至同三公路，西至水源山公园东侧。规划占地面积约40平方公里，含机场、宏力港区等区域性基础设施用地。其中建设用地约35.80平方公里，其他为水域和生态用地。</w:t>
      </w:r>
    </w:p>
    <w:p w14:paraId="6C61943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高新技术产业开发区产业体系主体定位为：以机械生产、新能源、新材料和生物科技为主，大力发展循环经济，同时加强四大产业提档升级：改造提升装备制造业（四机一缆及退城进园）、绿色有机食品与农副产品加工业、能源造纸、生物医药、秸秆与林木产品精深加工业，以及依托区位优势和周边资源，努力培育和发展其他新兴产业。</w:t>
      </w:r>
    </w:p>
    <w:p w14:paraId="1CA1AE1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技术产业开发区发挥铁路物流基地和佳木斯综合保税区作用，重点发展绿色食品、装备制造、秸秆综合利用、林业深加工、新型建材等优势特色产业，大力发展新能源、新材料、生物医药等战略新兴产业，协调发展研发设计、检验检测、现代物流、电子商务、人力资源服务等生产性服务业，不断增强产业集聚，科技孵化、研发创新、对俄合作、公共服务功能，打造国内具有一定影响力的高新技术产业集聚区和产城</w:t>
      </w:r>
      <w:r>
        <w:rPr>
          <w:rFonts w:hint="eastAsia" w:ascii="Times New Roman" w:hAnsi="Times New Roman" w:eastAsia="宋体" w:cs="Times New Roman"/>
          <w:caps w:val="0"/>
          <w:smallCaps w:val="0"/>
          <w:color w:val="auto"/>
          <w:spacing w:val="0"/>
          <w:highlight w:val="none"/>
        </w:rPr>
        <w:t>融合</w:t>
      </w:r>
      <w:r>
        <w:rPr>
          <w:rFonts w:ascii="Times New Roman" w:hAnsi="Times New Roman" w:eastAsia="宋体" w:cs="Times New Roman"/>
          <w:caps w:val="0"/>
          <w:smallCaps w:val="0"/>
          <w:color w:val="auto"/>
          <w:spacing w:val="0"/>
          <w:highlight w:val="none"/>
        </w:rPr>
        <w:t>的综合性产业新城。</w:t>
      </w:r>
    </w:p>
    <w:p w14:paraId="46678AC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技术产业开发区位于佳木斯市东风区境内，按照多元化发展思路，规划为“六园三区”。即农机及机械装备制造产业园、农副产品加工产业园、轻工产业园（含新材料）、能源造纸园、秸秆综合利用示范产业园、生物医药产业园以及为产业发展配套的综合配套服务区、公铁物流园区及佳木斯综合保税区。</w:t>
      </w:r>
    </w:p>
    <w:p w14:paraId="21F45D69">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轻工产业园（含新材料）位于双合路中段两侧，占地面积约580公顷，包含东兴煤化工、玻璃厂等，依托现有铁路专用线发展园区大宗货物物流平台，东兴煤化工周边区域可适当发展新型材料（如发电玻璃、电缆防火材料等）、包装</w:t>
      </w:r>
      <w:r>
        <w:rPr>
          <w:rFonts w:hint="eastAsia" w:ascii="Times New Roman" w:hAnsi="Times New Roman" w:eastAsia="宋体" w:cs="Times New Roman"/>
          <w:caps w:val="0"/>
          <w:smallCaps w:val="0"/>
          <w:color w:val="auto"/>
          <w:spacing w:val="0"/>
          <w:szCs w:val="22"/>
          <w:highlight w:val="none"/>
        </w:rPr>
        <w:t>及</w:t>
      </w:r>
      <w:r>
        <w:rPr>
          <w:rFonts w:ascii="Times New Roman" w:hAnsi="Times New Roman" w:eastAsia="宋体" w:cs="Times New Roman"/>
          <w:caps w:val="0"/>
          <w:smallCaps w:val="0"/>
          <w:color w:val="auto"/>
          <w:spacing w:val="0"/>
          <w:szCs w:val="22"/>
          <w:highlight w:val="none"/>
        </w:rPr>
        <w:t>造纸等轻工产业。邻近高新区生活区，模范村东侧和南侧地块占地面积约170公顷，主要布局较为洁净的生产企业，目前已布置了东北粮食科技等项目。</w:t>
      </w:r>
    </w:p>
    <w:p w14:paraId="6FA9D91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本项目属于发电玻璃，本项目位置及东兴煤电化工在园区中位置见图1.5-1及图1.5-2，且本项目距离</w:t>
      </w:r>
      <w:r>
        <w:rPr>
          <w:rFonts w:ascii="Times New Roman" w:hAnsi="Times New Roman" w:eastAsia="宋体" w:cs="Times New Roman"/>
          <w:caps w:val="0"/>
          <w:smallCaps w:val="0"/>
          <w:color w:val="auto"/>
          <w:spacing w:val="0"/>
          <w:szCs w:val="22"/>
          <w:highlight w:val="none"/>
        </w:rPr>
        <w:t>东兴煤化工</w:t>
      </w:r>
      <w:r>
        <w:rPr>
          <w:rFonts w:hint="eastAsia" w:ascii="Times New Roman" w:hAnsi="Times New Roman" w:eastAsia="宋体" w:cs="Times New Roman"/>
          <w:caps w:val="0"/>
          <w:smallCaps w:val="0"/>
          <w:color w:val="auto"/>
          <w:spacing w:val="0"/>
          <w:szCs w:val="22"/>
          <w:highlight w:val="none"/>
        </w:rPr>
        <w:t>约2.8km，符合</w:t>
      </w:r>
      <w:r>
        <w:rPr>
          <w:rFonts w:ascii="Times New Roman" w:hAnsi="Times New Roman" w:eastAsia="宋体" w:cs="Times New Roman"/>
          <w:caps w:val="0"/>
          <w:smallCaps w:val="0"/>
          <w:color w:val="auto"/>
          <w:spacing w:val="0"/>
          <w:szCs w:val="22"/>
          <w:highlight w:val="none"/>
        </w:rPr>
        <w:t>轻工产业园（含新材料）</w:t>
      </w:r>
      <w:r>
        <w:rPr>
          <w:rFonts w:hint="eastAsia" w:ascii="Times New Roman" w:hAnsi="Times New Roman" w:eastAsia="宋体" w:cs="Times New Roman"/>
          <w:caps w:val="0"/>
          <w:smallCaps w:val="0"/>
          <w:color w:val="auto"/>
          <w:spacing w:val="0"/>
          <w:szCs w:val="22"/>
          <w:highlight w:val="none"/>
        </w:rPr>
        <w:t>定位。</w:t>
      </w:r>
    </w:p>
    <w:p w14:paraId="438F256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园区生活用水水源引自佳木斯高新经济技术开发区自来水管网。佳木斯高新技术开发区的生活用水水源采用市政供水为水源，近期供水量6.8万m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/d，远期供水量10.5万m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/d，生产用水通过园区原水管道取水，原水引自松花江；本项目用水引自佳木斯高新经济技术开发区自来水管网。园区现有供水规划及供水量可以满足本项目需要。</w:t>
      </w:r>
    </w:p>
    <w:p w14:paraId="26C9C99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园区污水处理厂设计处理规模为7.0万m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/d，（一期规模为3.5万m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/d，预留扩建用地）。该区内各工业企业的污水须自行处理达到污水处理厂接管要求后，排入园区污水管道，通过污水管道进入开发区污水处理厂。园区污水处理厂设计为二级处理工艺，</w:t>
      </w:r>
      <w:r>
        <w:rPr>
          <w:rFonts w:hint="eastAsia" w:ascii="Times New Roman" w:hAnsi="Times New Roman" w:eastAsia="宋体" w:cs="Times New Roman"/>
          <w:caps w:val="0"/>
          <w:smallCaps w:val="0"/>
          <w:color w:val="auto"/>
          <w:spacing w:val="0"/>
          <w:highlight w:val="none"/>
        </w:rPr>
        <w:t>污水处理厂</w:t>
      </w:r>
      <w:r>
        <w:rPr>
          <w:rFonts w:ascii="Times New Roman" w:hAnsi="Times New Roman" w:eastAsia="宋体" w:cs="Times New Roman"/>
          <w:caps w:val="0"/>
          <w:smallCaps w:val="0"/>
          <w:color w:val="auto"/>
          <w:spacing w:val="0"/>
          <w:highlight w:val="none"/>
        </w:rPr>
        <w:t>出水水质达到《城镇污水处理厂污染物排放标准》（GB18918-2002）中的一级A标准后，排入</w:t>
      </w:r>
      <w:r>
        <w:rPr>
          <w:rFonts w:hint="eastAsia" w:ascii="Times New Roman" w:hAnsi="Times New Roman" w:eastAsia="宋体" w:cs="Times New Roman"/>
          <w:caps w:val="0"/>
          <w:smallCaps w:val="0"/>
          <w:color w:val="auto"/>
          <w:spacing w:val="0"/>
          <w:highlight w:val="none"/>
          <w:lang w:eastAsia="zh-CN"/>
        </w:rPr>
        <w:t>铃铛麦河途经音达木河</w:t>
      </w:r>
      <w:r>
        <w:rPr>
          <w:rFonts w:ascii="Times New Roman" w:hAnsi="Times New Roman" w:eastAsia="宋体" w:cs="Times New Roman"/>
          <w:caps w:val="0"/>
          <w:smallCaps w:val="0"/>
          <w:color w:val="auto"/>
          <w:spacing w:val="0"/>
          <w:highlight w:val="none"/>
        </w:rPr>
        <w:t>汇入松花江。</w:t>
      </w:r>
    </w:p>
    <w:p w14:paraId="06CDFAE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本项目拟建含镉工艺污水处理站，处理后的污水回用于含镉生产工艺。其余碱性废水经中和后与纯水制备废水排放园区污水管网，出水可满足污水处理厂接管要求，排入园区污水处理厂。</w:t>
      </w:r>
    </w:p>
    <w:p w14:paraId="1A0F2C9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现有110kV工业变电站一座，变电站位于宏伟街东侧、富民路北侧。该变电站建设31.5MVA变压器2台，110千伏出线2回，10千伏出线8回，装设1台站用变，无功补偿安装2组电容器。目前已接入负荷约7000kW，110kV变电站可以满足本项目的建设和发展需要。</w:t>
      </w:r>
    </w:p>
    <w:p w14:paraId="77D23F01">
      <w:pPr>
        <w:widowControl w:val="0"/>
        <w:spacing w:line="360" w:lineRule="auto"/>
        <w:ind w:firstLine="480" w:firstLineChars="200"/>
        <w:jc w:val="both"/>
        <w:rPr>
          <w:rFonts w:hint="default" w:ascii="Times New Roman" w:hAnsi="Times New Roman" w:eastAsia="宋体" w:cs="Times New Roman"/>
          <w:caps w:val="0"/>
          <w:smallCaps w:val="0"/>
          <w:color w:val="auto"/>
          <w:spacing w:val="0"/>
          <w:highlight w:val="none"/>
          <w:lang w:val="en-US" w:eastAsia="zh-CN"/>
        </w:rPr>
      </w:pPr>
      <w:r>
        <w:rPr>
          <w:rFonts w:ascii="Times New Roman" w:hAnsi="Times New Roman" w:eastAsia="宋体" w:cs="Times New Roman"/>
          <w:caps w:val="0"/>
          <w:smallCaps w:val="0"/>
          <w:color w:val="auto"/>
          <w:spacing w:val="0"/>
          <w:highlight w:val="none"/>
        </w:rPr>
        <w:t>现阶段，佳木斯市高新技术产业开发区已经完成园区规划环评，并已经取得了黑龙江省生态环境厅关于“佳木斯市高新技术产业开发区已经完成园区规划环评”的审查意见，文号为“黑环函</w:t>
      </w:r>
      <w:r>
        <w:rPr>
          <w:rFonts w:hint="eastAsia" w:ascii="Times New Roman" w:hAnsi="Times New Roman" w:eastAsia="宋体" w:cs="Times New Roman"/>
          <w:caps w:val="0"/>
          <w:smallCaps w:val="0"/>
          <w:color w:val="auto"/>
          <w:spacing w:val="0"/>
          <w:highlight w:val="none"/>
        </w:rPr>
        <w:t>〔2019〕410号</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，综上本项目与《佳木斯高新技术产业开发区总体规划（2016-2030年）》相符</w:t>
      </w:r>
      <w:r>
        <w:rPr>
          <w:rFonts w:hint="eastAsia" w:ascii="Times New Roman" w:hAnsi="Times New Roman" w:eastAsia="宋体" w:cs="Times New Roman"/>
          <w:caps w:val="0"/>
          <w:smallCaps w:val="0"/>
          <w:color w:val="auto"/>
          <w:spacing w:val="0"/>
          <w:highlight w:val="none"/>
          <w:lang w:val="en-US" w:eastAsia="zh-CN"/>
        </w:rPr>
        <w:t>。</w:t>
      </w:r>
    </w:p>
    <w:p w14:paraId="1891E42D">
      <w:pPr>
        <w:pStyle w:val="5"/>
        <w:widowControl w:val="0"/>
        <w:rPr>
          <w:rFonts w:eastAsia="宋体"/>
          <w:caps w:val="0"/>
          <w:smallCaps w:val="0"/>
          <w:color w:val="auto"/>
          <w:spacing w:val="0"/>
          <w:sz w:val="30"/>
          <w:szCs w:val="30"/>
          <w:highlight w:val="none"/>
        </w:rPr>
      </w:pPr>
      <w:bookmarkStart w:id="13" w:name="_Toc25051"/>
      <w:r>
        <w:rPr>
          <w:rFonts w:eastAsia="宋体"/>
          <w:caps w:val="0"/>
          <w:smallCaps w:val="0"/>
          <w:color w:val="auto"/>
          <w:spacing w:val="0"/>
          <w:sz w:val="30"/>
          <w:szCs w:val="30"/>
          <w:highlight w:val="none"/>
        </w:rPr>
        <w:t>1.5.</w:t>
      </w:r>
      <w:r>
        <w:rPr>
          <w:rFonts w:hint="eastAsia" w:eastAsia="宋体"/>
          <w:caps w:val="0"/>
          <w:smallCaps w:val="0"/>
          <w:color w:val="auto"/>
          <w:spacing w:val="0"/>
          <w:sz w:val="30"/>
          <w:szCs w:val="30"/>
          <w:highlight w:val="none"/>
        </w:rPr>
        <w:t>3与《佳木斯高新技术产业开发区总体规划调整环境影响报告书》符合性分析</w:t>
      </w:r>
      <w:bookmarkEnd w:id="13"/>
    </w:p>
    <w:p w14:paraId="4444449F">
      <w:pPr>
        <w:widowControl w:val="0"/>
        <w:wordWrap w:val="0"/>
        <w:topLinePunct/>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本项目位于</w:t>
      </w:r>
      <w:r>
        <w:rPr>
          <w:rFonts w:ascii="Times New Roman" w:hAnsi="Times New Roman" w:eastAsia="宋体" w:cs="Times New Roman"/>
          <w:caps w:val="0"/>
          <w:smallCaps w:val="0"/>
          <w:color w:val="auto"/>
          <w:spacing w:val="0"/>
          <w:szCs w:val="24"/>
          <w:highlight w:val="none"/>
        </w:rPr>
        <w:t>轻工产业园（含新材料）</w:t>
      </w:r>
      <w:r>
        <w:rPr>
          <w:rFonts w:hint="eastAsia" w:ascii="Times New Roman" w:hAnsi="Times New Roman" w:eastAsia="宋体" w:cs="Times New Roman"/>
          <w:caps w:val="0"/>
          <w:smallCaps w:val="0"/>
          <w:color w:val="auto"/>
          <w:spacing w:val="0"/>
          <w:szCs w:val="24"/>
          <w:highlight w:val="none"/>
        </w:rPr>
        <w:t>，根据《佳木斯高新技术产业开发区总体规划调整环境影响报告书》，该产业园负面清单如下表：</w:t>
      </w:r>
    </w:p>
    <w:p w14:paraId="6299600B">
      <w:pPr>
        <w:widowControl w:val="0"/>
        <w:wordWrap w:val="0"/>
        <w:topLinePunct/>
        <w:adjustRightInd w:val="0"/>
        <w:snapToGrid w:val="0"/>
        <w:spacing w:line="360" w:lineRule="auto"/>
        <w:jc w:val="center"/>
        <w:textAlignment w:val="baseline"/>
        <w:rPr>
          <w:rFonts w:ascii="Times New Roman" w:hAnsi="Times New Roman" w:eastAsia="宋体" w:cs="Times New Roman"/>
          <w:b/>
          <w:bCs/>
          <w:caps w:val="0"/>
          <w:smallCaps w:val="0"/>
          <w:color w:val="auto"/>
          <w:spacing w:val="0"/>
          <w:szCs w:val="24"/>
          <w:highlight w:val="none"/>
        </w:rPr>
      </w:pPr>
      <w:r>
        <w:rPr>
          <w:rFonts w:hint="eastAsia" w:ascii="Times New Roman" w:hAnsi="Times New Roman" w:eastAsia="宋体" w:cs="Times New Roman"/>
          <w:b/>
          <w:bCs/>
          <w:caps w:val="0"/>
          <w:smallCaps w:val="0"/>
          <w:color w:val="auto"/>
          <w:spacing w:val="0"/>
          <w:szCs w:val="24"/>
          <w:highlight w:val="none"/>
        </w:rPr>
        <w:t>表1.5-1 本项目与规划环评报告书符合性分析</w:t>
      </w:r>
    </w:p>
    <w:tbl>
      <w:tblPr>
        <w:tblStyle w:val="3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3677"/>
        <w:gridCol w:w="3544"/>
        <w:gridCol w:w="1339"/>
      </w:tblGrid>
      <w:tr w14:paraId="123E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top w:val="single" w:color="auto" w:sz="12" w:space="0"/>
              <w:left w:val="nil"/>
            </w:tcBorders>
            <w:vAlign w:val="center"/>
          </w:tcPr>
          <w:p w14:paraId="1E069901">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序号</w:t>
            </w:r>
          </w:p>
        </w:tc>
        <w:tc>
          <w:tcPr>
            <w:tcW w:w="3677" w:type="dxa"/>
            <w:tcBorders>
              <w:top w:val="single" w:color="auto" w:sz="12" w:space="0"/>
            </w:tcBorders>
            <w:vAlign w:val="center"/>
          </w:tcPr>
          <w:p w14:paraId="34B6D277">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规划环评报告书要求</w:t>
            </w:r>
          </w:p>
        </w:tc>
        <w:tc>
          <w:tcPr>
            <w:tcW w:w="3544" w:type="dxa"/>
            <w:tcBorders>
              <w:top w:val="single" w:color="auto" w:sz="12" w:space="0"/>
            </w:tcBorders>
            <w:vAlign w:val="center"/>
          </w:tcPr>
          <w:p w14:paraId="0263908C">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本项目情况</w:t>
            </w:r>
          </w:p>
        </w:tc>
        <w:tc>
          <w:tcPr>
            <w:tcW w:w="1339" w:type="dxa"/>
            <w:tcBorders>
              <w:top w:val="single" w:color="auto" w:sz="12" w:space="0"/>
              <w:right w:val="nil"/>
            </w:tcBorders>
            <w:vAlign w:val="center"/>
          </w:tcPr>
          <w:p w14:paraId="43CEAAE1">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符合性</w:t>
            </w:r>
          </w:p>
        </w:tc>
      </w:tr>
      <w:tr w14:paraId="1C43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64D023C2">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w:t>
            </w:r>
          </w:p>
        </w:tc>
        <w:tc>
          <w:tcPr>
            <w:tcW w:w="3677" w:type="dxa"/>
            <w:vAlign w:val="center"/>
          </w:tcPr>
          <w:p w14:paraId="1AB0CD14">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对于排放有机废气企业应采取有效污染防治措施，确保有机废气去除率≥90%，且达到国家相关排放限值要求；</w:t>
            </w:r>
          </w:p>
        </w:tc>
        <w:tc>
          <w:tcPr>
            <w:tcW w:w="3544" w:type="dxa"/>
            <w:vAlign w:val="center"/>
          </w:tcPr>
          <w:p w14:paraId="0FD6491E">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本项目光刻胶涂覆曝光固化废气全封闭设备负压收集经两级活性炭吸附处理后，处理效率9</w:t>
            </w:r>
            <w:r>
              <w:rPr>
                <w:rFonts w:hint="eastAsia" w:ascii="Times New Roman" w:hAnsi="Times New Roman" w:eastAsia="宋体" w:cs="Times New Roman"/>
                <w:caps w:val="0"/>
                <w:smallCaps w:val="0"/>
                <w:color w:val="auto"/>
                <w:spacing w:val="0"/>
                <w:kern w:val="0"/>
                <w:sz w:val="21"/>
                <w:highlight w:val="none"/>
                <w:lang w:val="en-US" w:eastAsia="zh-CN" w:bidi="ar"/>
              </w:rPr>
              <w:t>0</w:t>
            </w:r>
            <w:r>
              <w:rPr>
                <w:rFonts w:ascii="Times New Roman" w:hAnsi="Times New Roman" w:eastAsia="宋体" w:cs="Times New Roman"/>
                <w:caps w:val="0"/>
                <w:smallCaps w:val="0"/>
                <w:color w:val="auto"/>
                <w:spacing w:val="0"/>
                <w:kern w:val="0"/>
                <w:sz w:val="21"/>
                <w:highlight w:val="none"/>
                <w:lang w:bidi="ar"/>
              </w:rPr>
              <w:t>%，实验室废气由通风橱收集后经活性炭吸附处理后，处理效率90%</w:t>
            </w:r>
          </w:p>
        </w:tc>
        <w:tc>
          <w:tcPr>
            <w:tcW w:w="1339" w:type="dxa"/>
            <w:tcBorders>
              <w:right w:val="nil"/>
            </w:tcBorders>
            <w:vAlign w:val="center"/>
          </w:tcPr>
          <w:p w14:paraId="7976EA6E">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r w14:paraId="278B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28219ECA">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w:t>
            </w:r>
          </w:p>
        </w:tc>
        <w:tc>
          <w:tcPr>
            <w:tcW w:w="3677" w:type="dxa"/>
            <w:vAlign w:val="center"/>
          </w:tcPr>
          <w:p w14:paraId="590494F3">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禁止引进不符合园区产业定位的高能耗、高污染金属材料企业；</w:t>
            </w:r>
          </w:p>
        </w:tc>
        <w:tc>
          <w:tcPr>
            <w:tcW w:w="3544" w:type="dxa"/>
            <w:vAlign w:val="center"/>
          </w:tcPr>
          <w:p w14:paraId="5619B0E9">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本项目位于轻工产业园（含新材料）内，符合园区产业定位，不属于高能耗、高污染金属材料企业</w:t>
            </w:r>
          </w:p>
        </w:tc>
        <w:tc>
          <w:tcPr>
            <w:tcW w:w="1339" w:type="dxa"/>
            <w:tcBorders>
              <w:right w:val="nil"/>
            </w:tcBorders>
            <w:vAlign w:val="center"/>
          </w:tcPr>
          <w:p w14:paraId="67FBCFA2">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r w14:paraId="1A84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57C679A8">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w:t>
            </w:r>
          </w:p>
        </w:tc>
        <w:tc>
          <w:tcPr>
            <w:tcW w:w="3677" w:type="dxa"/>
            <w:vAlign w:val="center"/>
          </w:tcPr>
          <w:p w14:paraId="74D4E495">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禁止引入使用人造革、发泡胶等涉及有毒原材料的塑料制品企业；</w:t>
            </w:r>
          </w:p>
        </w:tc>
        <w:tc>
          <w:tcPr>
            <w:tcW w:w="3544" w:type="dxa"/>
            <w:vAlign w:val="center"/>
          </w:tcPr>
          <w:p w14:paraId="28D2EC98">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本项目不涉及</w:t>
            </w:r>
          </w:p>
        </w:tc>
        <w:tc>
          <w:tcPr>
            <w:tcW w:w="1339" w:type="dxa"/>
            <w:tcBorders>
              <w:right w:val="nil"/>
            </w:tcBorders>
            <w:vAlign w:val="center"/>
          </w:tcPr>
          <w:p w14:paraId="533FC7A9">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r w14:paraId="3BC6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1E56CB69">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w:t>
            </w:r>
          </w:p>
        </w:tc>
        <w:tc>
          <w:tcPr>
            <w:tcW w:w="3677" w:type="dxa"/>
            <w:vAlign w:val="center"/>
          </w:tcPr>
          <w:p w14:paraId="3B840927">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不得引进生产难降解化工材料企业，如生产难降解的涂料、染料、颜料、油墨</w:t>
            </w:r>
            <w:r>
              <w:rPr>
                <w:rFonts w:hint="eastAsia" w:ascii="Times New Roman" w:hAnsi="Times New Roman" w:eastAsia="宋体" w:cs="Times New Roman"/>
                <w:caps w:val="0"/>
                <w:smallCaps w:val="0"/>
                <w:color w:val="auto"/>
                <w:spacing w:val="0"/>
                <w:kern w:val="0"/>
                <w:sz w:val="21"/>
                <w:highlight w:val="none"/>
                <w:lang w:bidi="ar"/>
              </w:rPr>
              <w:t>及</w:t>
            </w:r>
            <w:r>
              <w:rPr>
                <w:rFonts w:ascii="Times New Roman" w:hAnsi="Times New Roman" w:eastAsia="宋体" w:cs="Times New Roman"/>
                <w:caps w:val="0"/>
                <w:smallCaps w:val="0"/>
                <w:color w:val="auto"/>
                <w:spacing w:val="0"/>
                <w:kern w:val="0"/>
                <w:sz w:val="21"/>
                <w:highlight w:val="none"/>
                <w:lang w:bidi="ar"/>
              </w:rPr>
              <w:t>类似化工产品等的企业（单纯混合或分装的企业除外）；</w:t>
            </w:r>
          </w:p>
        </w:tc>
        <w:tc>
          <w:tcPr>
            <w:tcW w:w="3544" w:type="dxa"/>
            <w:vAlign w:val="center"/>
          </w:tcPr>
          <w:p w14:paraId="56A9347C">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本项目不涉及</w:t>
            </w:r>
          </w:p>
        </w:tc>
        <w:tc>
          <w:tcPr>
            <w:tcW w:w="1339" w:type="dxa"/>
            <w:tcBorders>
              <w:right w:val="nil"/>
            </w:tcBorders>
            <w:vAlign w:val="center"/>
          </w:tcPr>
          <w:p w14:paraId="6FC25A4C">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r w14:paraId="29F1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06677736">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w:t>
            </w:r>
          </w:p>
        </w:tc>
        <w:tc>
          <w:tcPr>
            <w:tcW w:w="3677" w:type="dxa"/>
            <w:vAlign w:val="center"/>
          </w:tcPr>
          <w:p w14:paraId="7A5A0BDA">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敏感保护目标搬迁以前禁止引入项目环境防护距离内存在敏感保护目标的项目；</w:t>
            </w:r>
          </w:p>
        </w:tc>
        <w:tc>
          <w:tcPr>
            <w:tcW w:w="3544" w:type="dxa"/>
            <w:vAlign w:val="center"/>
          </w:tcPr>
          <w:p w14:paraId="7EFEB1A9">
            <w:pPr>
              <w:widowControl/>
              <w:spacing w:line="240" w:lineRule="auto"/>
              <w:jc w:val="left"/>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本项目周边无需搬迁的敏感保护目标，无环境防护距离要求</w:t>
            </w:r>
          </w:p>
        </w:tc>
        <w:tc>
          <w:tcPr>
            <w:tcW w:w="1339" w:type="dxa"/>
            <w:tcBorders>
              <w:right w:val="nil"/>
            </w:tcBorders>
            <w:vAlign w:val="center"/>
          </w:tcPr>
          <w:p w14:paraId="47DDF688">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r w14:paraId="4438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bottom w:val="single" w:color="auto" w:sz="12" w:space="0"/>
            </w:tcBorders>
            <w:vAlign w:val="center"/>
          </w:tcPr>
          <w:p w14:paraId="7887FE47">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w:t>
            </w:r>
          </w:p>
        </w:tc>
        <w:tc>
          <w:tcPr>
            <w:tcW w:w="3677" w:type="dxa"/>
            <w:tcBorders>
              <w:bottom w:val="single" w:color="auto" w:sz="12" w:space="0"/>
            </w:tcBorders>
            <w:vAlign w:val="center"/>
          </w:tcPr>
          <w:p w14:paraId="620717EC">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禁止引入生产废水排放量超出污水处理厂处理能力的企业；</w:t>
            </w:r>
          </w:p>
        </w:tc>
        <w:tc>
          <w:tcPr>
            <w:tcW w:w="3544" w:type="dxa"/>
            <w:tcBorders>
              <w:bottom w:val="single" w:color="auto" w:sz="12" w:space="0"/>
            </w:tcBorders>
            <w:vAlign w:val="center"/>
          </w:tcPr>
          <w:p w14:paraId="659BA7A4">
            <w:pPr>
              <w:widowControl/>
              <w:spacing w:line="240" w:lineRule="auto"/>
              <w:jc w:val="both"/>
              <w:rPr>
                <w:rFonts w:ascii="Times New Roman" w:hAnsi="Times New Roman" w:eastAsia="宋体" w:cs="Times New Roman"/>
                <w:b/>
                <w:bCs/>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本项目生产废水排放量未超出污水处理厂处理能力</w:t>
            </w:r>
          </w:p>
        </w:tc>
        <w:tc>
          <w:tcPr>
            <w:tcW w:w="1339" w:type="dxa"/>
            <w:tcBorders>
              <w:bottom w:val="single" w:color="auto" w:sz="12" w:space="0"/>
              <w:right w:val="nil"/>
            </w:tcBorders>
            <w:vAlign w:val="center"/>
          </w:tcPr>
          <w:p w14:paraId="57B87D65">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bl>
    <w:p w14:paraId="233AD13F">
      <w:pPr>
        <w:pStyle w:val="5"/>
        <w:widowControl w:val="0"/>
        <w:rPr>
          <w:rFonts w:eastAsia="宋体"/>
          <w:caps w:val="0"/>
          <w:smallCaps w:val="0"/>
          <w:color w:val="auto"/>
          <w:spacing w:val="0"/>
          <w:sz w:val="30"/>
          <w:szCs w:val="30"/>
          <w:highlight w:val="none"/>
        </w:rPr>
      </w:pPr>
      <w:bookmarkStart w:id="14" w:name="_Toc17629"/>
      <w:r>
        <w:rPr>
          <w:rFonts w:eastAsia="宋体"/>
          <w:caps w:val="0"/>
          <w:smallCaps w:val="0"/>
          <w:color w:val="auto"/>
          <w:spacing w:val="0"/>
          <w:sz w:val="30"/>
          <w:szCs w:val="30"/>
          <w:highlight w:val="none"/>
        </w:rPr>
        <w:t>1.5.</w:t>
      </w:r>
      <w:r>
        <w:rPr>
          <w:rFonts w:hint="eastAsia" w:eastAsia="宋体"/>
          <w:caps w:val="0"/>
          <w:smallCaps w:val="0"/>
          <w:color w:val="auto"/>
          <w:spacing w:val="0"/>
          <w:sz w:val="30"/>
          <w:szCs w:val="30"/>
          <w:highlight w:val="none"/>
        </w:rPr>
        <w:t>4与《佳木斯高新技术产业开发区总体规划调整环境影响报告书》审查意见符合性分析</w:t>
      </w:r>
      <w:bookmarkEnd w:id="14"/>
    </w:p>
    <w:p w14:paraId="5FF2E1A2">
      <w:pPr>
        <w:widowControl w:val="0"/>
        <w:wordWrap w:val="0"/>
        <w:topLinePunct/>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2023</w:t>
      </w:r>
      <w:r>
        <w:rPr>
          <w:rFonts w:hint="eastAsia" w:ascii="Times New Roman" w:hAnsi="Times New Roman" w:eastAsia="宋体" w:cs="Times New Roman"/>
          <w:caps w:val="0"/>
          <w:smallCaps w:val="0"/>
          <w:color w:val="auto"/>
          <w:spacing w:val="0"/>
          <w:szCs w:val="24"/>
          <w:highlight w:val="none"/>
        </w:rPr>
        <w:t>年</w:t>
      </w:r>
      <w:r>
        <w:rPr>
          <w:rFonts w:ascii="Times New Roman" w:hAnsi="Times New Roman" w:eastAsia="宋体" w:cs="Times New Roman"/>
          <w:caps w:val="0"/>
          <w:smallCaps w:val="0"/>
          <w:color w:val="auto"/>
          <w:spacing w:val="0"/>
          <w:szCs w:val="24"/>
          <w:highlight w:val="none"/>
        </w:rPr>
        <w:t>5</w:t>
      </w:r>
      <w:r>
        <w:rPr>
          <w:rFonts w:hint="eastAsia" w:ascii="Times New Roman" w:hAnsi="Times New Roman" w:eastAsia="宋体" w:cs="Times New Roman"/>
          <w:caps w:val="0"/>
          <w:smallCaps w:val="0"/>
          <w:color w:val="auto"/>
          <w:spacing w:val="0"/>
          <w:szCs w:val="24"/>
          <w:highlight w:val="none"/>
        </w:rPr>
        <w:t>月由黑龙江省恒发环境咨询有限公司编制完成了《佳木斯高新技术产业开发区总体规划调整环境影响报告书》，并于</w:t>
      </w:r>
      <w:r>
        <w:rPr>
          <w:rFonts w:ascii="Times New Roman" w:hAnsi="Times New Roman" w:eastAsia="宋体" w:cs="Times New Roman"/>
          <w:caps w:val="0"/>
          <w:smallCaps w:val="0"/>
          <w:color w:val="auto"/>
          <w:spacing w:val="0"/>
          <w:szCs w:val="24"/>
          <w:highlight w:val="none"/>
        </w:rPr>
        <w:t>2023</w:t>
      </w:r>
      <w:r>
        <w:rPr>
          <w:rFonts w:hint="eastAsia" w:ascii="Times New Roman" w:hAnsi="Times New Roman" w:eastAsia="宋体" w:cs="Times New Roman"/>
          <w:caps w:val="0"/>
          <w:smallCaps w:val="0"/>
          <w:color w:val="auto"/>
          <w:spacing w:val="0"/>
          <w:szCs w:val="24"/>
          <w:highlight w:val="none"/>
        </w:rPr>
        <w:t>年</w:t>
      </w:r>
      <w:r>
        <w:rPr>
          <w:rFonts w:ascii="Times New Roman" w:hAnsi="Times New Roman" w:eastAsia="宋体" w:cs="Times New Roman"/>
          <w:caps w:val="0"/>
          <w:smallCaps w:val="0"/>
          <w:color w:val="auto"/>
          <w:spacing w:val="0"/>
          <w:szCs w:val="24"/>
          <w:highlight w:val="none"/>
        </w:rPr>
        <w:t>5</w:t>
      </w:r>
      <w:r>
        <w:rPr>
          <w:rFonts w:hint="eastAsia" w:ascii="Times New Roman" w:hAnsi="Times New Roman" w:eastAsia="宋体" w:cs="Times New Roman"/>
          <w:caps w:val="0"/>
          <w:smallCaps w:val="0"/>
          <w:color w:val="auto"/>
          <w:spacing w:val="0"/>
          <w:szCs w:val="24"/>
          <w:highlight w:val="none"/>
        </w:rPr>
        <w:t>月</w:t>
      </w:r>
      <w:r>
        <w:rPr>
          <w:rFonts w:ascii="Times New Roman" w:hAnsi="Times New Roman" w:eastAsia="宋体" w:cs="Times New Roman"/>
          <w:caps w:val="0"/>
          <w:smallCaps w:val="0"/>
          <w:color w:val="auto"/>
          <w:spacing w:val="0"/>
          <w:szCs w:val="24"/>
          <w:highlight w:val="none"/>
        </w:rPr>
        <w:t>31</w:t>
      </w:r>
      <w:r>
        <w:rPr>
          <w:rFonts w:hint="eastAsia" w:ascii="Times New Roman" w:hAnsi="Times New Roman" w:eastAsia="宋体" w:cs="Times New Roman"/>
          <w:caps w:val="0"/>
          <w:smallCaps w:val="0"/>
          <w:color w:val="auto"/>
          <w:spacing w:val="0"/>
          <w:szCs w:val="24"/>
          <w:highlight w:val="none"/>
        </w:rPr>
        <w:t>日取得了黑龙江省生态环境厅关于《佳木斯高新技术产业开发区总体规划调整环境影响报告》的审查意见（黑环函〔</w:t>
      </w:r>
      <w:r>
        <w:rPr>
          <w:rFonts w:ascii="Times New Roman" w:hAnsi="Times New Roman" w:eastAsia="宋体" w:cs="Times New Roman"/>
          <w:caps w:val="0"/>
          <w:smallCaps w:val="0"/>
          <w:color w:val="auto"/>
          <w:spacing w:val="0"/>
          <w:szCs w:val="24"/>
          <w:highlight w:val="none"/>
        </w:rPr>
        <w:t>2023</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111</w:t>
      </w:r>
      <w:r>
        <w:rPr>
          <w:rFonts w:hint="eastAsia" w:ascii="Times New Roman" w:hAnsi="Times New Roman" w:eastAsia="宋体" w:cs="Times New Roman"/>
          <w:caps w:val="0"/>
          <w:smallCaps w:val="0"/>
          <w:color w:val="auto"/>
          <w:spacing w:val="0"/>
          <w:szCs w:val="24"/>
          <w:highlight w:val="none"/>
        </w:rPr>
        <w:t>号）。本项目位于</w:t>
      </w:r>
      <w:r>
        <w:rPr>
          <w:rFonts w:ascii="Times New Roman" w:hAnsi="Times New Roman" w:eastAsia="宋体" w:cs="Times New Roman"/>
          <w:caps w:val="0"/>
          <w:smallCaps w:val="0"/>
          <w:color w:val="auto"/>
          <w:spacing w:val="0"/>
          <w:szCs w:val="24"/>
          <w:highlight w:val="none"/>
        </w:rPr>
        <w:t>轻工产业园（含新材料）</w:t>
      </w:r>
      <w:r>
        <w:rPr>
          <w:rFonts w:hint="eastAsia" w:ascii="Times New Roman" w:hAnsi="Times New Roman" w:eastAsia="宋体" w:cs="Times New Roman"/>
          <w:caps w:val="0"/>
          <w:smallCaps w:val="0"/>
          <w:color w:val="auto"/>
          <w:spacing w:val="0"/>
          <w:szCs w:val="24"/>
          <w:highlight w:val="none"/>
        </w:rPr>
        <w:t>，与《佳木斯高新技术产业开发区总体规划调整环境影响报告》审查意见的相符性详见表</w:t>
      </w:r>
      <w:r>
        <w:rPr>
          <w:rFonts w:ascii="Times New Roman" w:hAnsi="Times New Roman" w:eastAsia="宋体" w:cs="Times New Roman"/>
          <w:caps w:val="0"/>
          <w:smallCaps w:val="0"/>
          <w:color w:val="auto"/>
          <w:spacing w:val="0"/>
          <w:szCs w:val="24"/>
          <w:highlight w:val="none"/>
        </w:rPr>
        <w:t>1</w:t>
      </w:r>
      <w:r>
        <w:rPr>
          <w:rFonts w:hint="eastAsia" w:ascii="Times New Roman" w:hAnsi="Times New Roman" w:eastAsia="宋体" w:cs="Times New Roman"/>
          <w:caps w:val="0"/>
          <w:smallCaps w:val="0"/>
          <w:color w:val="auto"/>
          <w:spacing w:val="0"/>
          <w:szCs w:val="24"/>
          <w:highlight w:val="none"/>
        </w:rPr>
        <w:t>.5</w:t>
      </w:r>
      <w:r>
        <w:rPr>
          <w:rFonts w:ascii="Times New Roman" w:hAnsi="Times New Roman" w:eastAsia="宋体" w:cs="Times New Roman"/>
          <w:caps w:val="0"/>
          <w:smallCaps w:val="0"/>
          <w:color w:val="auto"/>
          <w:spacing w:val="0"/>
          <w:szCs w:val="24"/>
          <w:highlight w:val="none"/>
        </w:rPr>
        <w:t>-2</w:t>
      </w:r>
      <w:r>
        <w:rPr>
          <w:rFonts w:hint="eastAsia" w:ascii="Times New Roman" w:hAnsi="Times New Roman" w:eastAsia="宋体" w:cs="Times New Roman"/>
          <w:caps w:val="0"/>
          <w:smallCaps w:val="0"/>
          <w:color w:val="auto"/>
          <w:spacing w:val="0"/>
          <w:szCs w:val="24"/>
          <w:highlight w:val="none"/>
        </w:rPr>
        <w:t>。</w:t>
      </w:r>
    </w:p>
    <w:p w14:paraId="6C05AD40">
      <w:pPr>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kern w:val="0"/>
          <w:szCs w:val="24"/>
          <w:highlight w:val="none"/>
          <w:lang w:bidi="ar"/>
        </w:rPr>
        <w:t>表1.5-2 本项目与规划环评审查意见的符合性分析</w:t>
      </w:r>
    </w:p>
    <w:tbl>
      <w:tblPr>
        <w:tblStyle w:val="3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3677"/>
        <w:gridCol w:w="3544"/>
        <w:gridCol w:w="1339"/>
      </w:tblGrid>
      <w:tr w14:paraId="1242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top w:val="single" w:color="auto" w:sz="12" w:space="0"/>
              <w:left w:val="nil"/>
            </w:tcBorders>
            <w:vAlign w:val="center"/>
          </w:tcPr>
          <w:p w14:paraId="1838B7ED">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序号</w:t>
            </w:r>
          </w:p>
        </w:tc>
        <w:tc>
          <w:tcPr>
            <w:tcW w:w="3677" w:type="dxa"/>
            <w:tcBorders>
              <w:top w:val="single" w:color="auto" w:sz="12" w:space="0"/>
            </w:tcBorders>
            <w:vAlign w:val="center"/>
          </w:tcPr>
          <w:p w14:paraId="11E71183">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审</w:t>
            </w:r>
            <w:r>
              <w:rPr>
                <w:rFonts w:hint="eastAsia" w:ascii="Times New Roman" w:hAnsi="Times New Roman" w:eastAsia="宋体" w:cs="Times New Roman"/>
                <w:caps w:val="0"/>
                <w:smallCaps w:val="0"/>
                <w:color w:val="auto"/>
                <w:spacing w:val="0"/>
                <w:kern w:val="0"/>
                <w:sz w:val="21"/>
                <w:highlight w:val="none"/>
                <w:lang w:val="en-US" w:eastAsia="zh-CN" w:bidi="ar"/>
              </w:rPr>
              <w:t>查</w:t>
            </w:r>
            <w:r>
              <w:rPr>
                <w:rFonts w:hint="eastAsia" w:ascii="Times New Roman" w:hAnsi="Times New Roman" w:eastAsia="宋体" w:cs="Times New Roman"/>
                <w:caps w:val="0"/>
                <w:smallCaps w:val="0"/>
                <w:color w:val="auto"/>
                <w:spacing w:val="0"/>
                <w:kern w:val="0"/>
                <w:sz w:val="21"/>
                <w:highlight w:val="none"/>
                <w:lang w:bidi="ar"/>
              </w:rPr>
              <w:t>意见</w:t>
            </w:r>
          </w:p>
        </w:tc>
        <w:tc>
          <w:tcPr>
            <w:tcW w:w="3544" w:type="dxa"/>
            <w:tcBorders>
              <w:top w:val="single" w:color="auto" w:sz="12" w:space="0"/>
            </w:tcBorders>
            <w:vAlign w:val="center"/>
          </w:tcPr>
          <w:p w14:paraId="4761F6FB">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本项目情况</w:t>
            </w:r>
          </w:p>
        </w:tc>
        <w:tc>
          <w:tcPr>
            <w:tcW w:w="1339" w:type="dxa"/>
            <w:tcBorders>
              <w:top w:val="single" w:color="auto" w:sz="12" w:space="0"/>
              <w:right w:val="nil"/>
            </w:tcBorders>
            <w:vAlign w:val="center"/>
          </w:tcPr>
          <w:p w14:paraId="0F93342A">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符合性</w:t>
            </w:r>
          </w:p>
        </w:tc>
      </w:tr>
      <w:tr w14:paraId="556C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2851CF8A">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w:t>
            </w:r>
          </w:p>
        </w:tc>
        <w:tc>
          <w:tcPr>
            <w:tcW w:w="3677" w:type="dxa"/>
            <w:vAlign w:val="center"/>
          </w:tcPr>
          <w:p w14:paraId="5F4A99DC">
            <w:pPr>
              <w:widowControl/>
              <w:spacing w:line="240" w:lineRule="auto"/>
              <w:jc w:val="left"/>
              <w:rPr>
                <w:rFonts w:ascii="Times New Roman" w:hAnsi="Times New Roman" w:eastAsia="宋体" w:cs="Times New Roman"/>
                <w:caps w:val="0"/>
                <w:smallCaps w:val="0"/>
                <w:color w:val="auto"/>
                <w:spacing w:val="0"/>
                <w:kern w:val="0"/>
                <w:sz w:val="21"/>
                <w:highlight w:val="none"/>
                <w:lang w:bidi="ar"/>
              </w:rPr>
            </w:pPr>
            <w:r>
              <w:rPr>
                <w:rFonts w:hint="eastAsia" w:ascii="宋体" w:hAnsi="宋体" w:eastAsia="宋体" w:cs="宋体"/>
                <w:caps w:val="0"/>
                <w:smallCaps w:val="0"/>
                <w:color w:val="auto"/>
                <w:spacing w:val="0"/>
                <w:kern w:val="0"/>
                <w:sz w:val="21"/>
                <w:highlight w:val="none"/>
                <w:lang w:bidi="ar"/>
              </w:rPr>
              <w:t>根据环境准入和环境影响结论，优化企业布局</w:t>
            </w:r>
          </w:p>
        </w:tc>
        <w:tc>
          <w:tcPr>
            <w:tcW w:w="3544" w:type="dxa"/>
            <w:vAlign w:val="center"/>
          </w:tcPr>
          <w:p w14:paraId="6999CAAC">
            <w:pPr>
              <w:widowControl/>
              <w:spacing w:line="240" w:lineRule="auto"/>
              <w:jc w:val="left"/>
              <w:rPr>
                <w:rFonts w:ascii="Times New Roman" w:hAnsi="Times New Roman" w:eastAsia="宋体" w:cs="Times New Roman"/>
                <w:caps w:val="0"/>
                <w:smallCaps w:val="0"/>
                <w:color w:val="auto"/>
                <w:spacing w:val="0"/>
                <w:kern w:val="0"/>
                <w:sz w:val="21"/>
                <w:highlight w:val="none"/>
                <w:lang w:bidi="ar"/>
              </w:rPr>
            </w:pPr>
            <w:r>
              <w:rPr>
                <w:rFonts w:hint="eastAsia" w:ascii="宋体" w:hAnsi="宋体" w:eastAsia="宋体" w:cs="宋体"/>
                <w:caps w:val="0"/>
                <w:smallCaps w:val="0"/>
                <w:color w:val="auto"/>
                <w:spacing w:val="0"/>
                <w:kern w:val="0"/>
                <w:sz w:val="21"/>
                <w:highlight w:val="none"/>
                <w:lang w:bidi="ar"/>
              </w:rPr>
              <w:t>本项目位于轻工产业园（含新材料），项目选址符合园区规划产业布局，且不属于负面清单中禁止准入及限制准入项目。</w:t>
            </w:r>
          </w:p>
        </w:tc>
        <w:tc>
          <w:tcPr>
            <w:tcW w:w="1339" w:type="dxa"/>
            <w:tcBorders>
              <w:right w:val="nil"/>
            </w:tcBorders>
            <w:vAlign w:val="center"/>
          </w:tcPr>
          <w:p w14:paraId="67A3C0BA">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r w14:paraId="6057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6" w:type="dxa"/>
            <w:tcBorders>
              <w:left w:val="nil"/>
            </w:tcBorders>
            <w:vAlign w:val="center"/>
          </w:tcPr>
          <w:p w14:paraId="07776C0D">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w:t>
            </w:r>
          </w:p>
        </w:tc>
        <w:tc>
          <w:tcPr>
            <w:tcW w:w="3677" w:type="dxa"/>
            <w:vAlign w:val="center"/>
          </w:tcPr>
          <w:p w14:paraId="66876569">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进一步完善基础设施建设，优化中水回用方案，完善园区环境风险防范体系建设。</w:t>
            </w:r>
          </w:p>
        </w:tc>
        <w:tc>
          <w:tcPr>
            <w:tcW w:w="3544" w:type="dxa"/>
            <w:vAlign w:val="center"/>
          </w:tcPr>
          <w:p w14:paraId="7D6C0F02">
            <w:pPr>
              <w:widowControl/>
              <w:spacing w:line="240" w:lineRule="auto"/>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本项目</w:t>
            </w:r>
            <w:r>
              <w:rPr>
                <w:rFonts w:hint="eastAsia" w:ascii="Times New Roman" w:hAnsi="Times New Roman" w:eastAsia="宋体" w:cs="Times New Roman"/>
                <w:caps w:val="0"/>
                <w:smallCaps w:val="0"/>
                <w:color w:val="auto"/>
                <w:spacing w:val="0"/>
                <w:kern w:val="0"/>
                <w:sz w:val="21"/>
                <w:highlight w:val="none"/>
                <w:lang w:bidi="ar"/>
              </w:rPr>
              <w:t>已优化废水回用方案</w:t>
            </w:r>
            <w:r>
              <w:rPr>
                <w:rFonts w:ascii="Times New Roman" w:hAnsi="Times New Roman" w:eastAsia="宋体" w:cs="Times New Roman"/>
                <w:caps w:val="0"/>
                <w:smallCaps w:val="0"/>
                <w:color w:val="auto"/>
                <w:spacing w:val="0"/>
                <w:kern w:val="0"/>
                <w:sz w:val="21"/>
                <w:highlight w:val="none"/>
                <w:lang w:bidi="ar"/>
              </w:rPr>
              <w:t>，</w:t>
            </w:r>
            <w:r>
              <w:rPr>
                <w:rFonts w:hint="eastAsia" w:ascii="Times New Roman" w:hAnsi="Times New Roman" w:eastAsia="宋体" w:cs="Times New Roman"/>
                <w:caps w:val="0"/>
                <w:smallCaps w:val="0"/>
                <w:color w:val="auto"/>
                <w:spacing w:val="0"/>
                <w:kern w:val="0"/>
                <w:sz w:val="21"/>
                <w:highlight w:val="none"/>
                <w:lang w:bidi="ar"/>
              </w:rPr>
              <w:t>并已</w:t>
            </w:r>
            <w:r>
              <w:rPr>
                <w:rFonts w:ascii="Times New Roman" w:hAnsi="Times New Roman" w:eastAsia="宋体" w:cs="Times New Roman"/>
                <w:caps w:val="0"/>
                <w:smallCaps w:val="0"/>
                <w:color w:val="auto"/>
                <w:spacing w:val="0"/>
                <w:kern w:val="0"/>
                <w:sz w:val="21"/>
                <w:highlight w:val="none"/>
                <w:lang w:bidi="ar"/>
              </w:rPr>
              <w:t>建立环境风险防范体系。</w:t>
            </w:r>
          </w:p>
        </w:tc>
        <w:tc>
          <w:tcPr>
            <w:tcW w:w="1339" w:type="dxa"/>
            <w:tcBorders>
              <w:right w:val="nil"/>
            </w:tcBorders>
            <w:vAlign w:val="center"/>
          </w:tcPr>
          <w:p w14:paraId="6A037F92">
            <w:pPr>
              <w:widowControl/>
              <w:spacing w:line="240" w:lineRule="auto"/>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符合</w:t>
            </w:r>
          </w:p>
        </w:tc>
      </w:tr>
    </w:tbl>
    <w:p w14:paraId="5B2D3AA5">
      <w:pPr>
        <w:pStyle w:val="5"/>
        <w:widowControl w:val="0"/>
        <w:rPr>
          <w:rFonts w:eastAsia="宋体"/>
          <w:caps w:val="0"/>
          <w:smallCaps w:val="0"/>
          <w:color w:val="auto"/>
          <w:spacing w:val="0"/>
          <w:sz w:val="30"/>
          <w:szCs w:val="30"/>
          <w:highlight w:val="none"/>
        </w:rPr>
      </w:pPr>
      <w:bookmarkStart w:id="15" w:name="_Toc11930"/>
      <w:r>
        <w:rPr>
          <w:rFonts w:eastAsia="宋体"/>
          <w:caps w:val="0"/>
          <w:smallCaps w:val="0"/>
          <w:color w:val="auto"/>
          <w:spacing w:val="0"/>
          <w:sz w:val="30"/>
          <w:szCs w:val="30"/>
          <w:highlight w:val="none"/>
        </w:rPr>
        <w:t>1.5.</w:t>
      </w:r>
      <w:r>
        <w:rPr>
          <w:rFonts w:hint="eastAsia" w:eastAsia="宋体"/>
          <w:caps w:val="0"/>
          <w:smallCaps w:val="0"/>
          <w:color w:val="auto"/>
          <w:spacing w:val="0"/>
          <w:sz w:val="30"/>
          <w:szCs w:val="30"/>
          <w:highlight w:val="none"/>
        </w:rPr>
        <w:t>5</w:t>
      </w:r>
      <w:r>
        <w:rPr>
          <w:rFonts w:eastAsia="宋体"/>
          <w:caps w:val="0"/>
          <w:smallCaps w:val="0"/>
          <w:color w:val="auto"/>
          <w:spacing w:val="0"/>
          <w:sz w:val="30"/>
          <w:szCs w:val="30"/>
          <w:highlight w:val="none"/>
        </w:rPr>
        <w:t>生态环境分区管控符合性分析</w:t>
      </w:r>
      <w:bookmarkEnd w:id="15"/>
    </w:p>
    <w:p w14:paraId="60E82C1C">
      <w:pPr>
        <w:widowControl w:val="0"/>
        <w:wordWrap w:val="0"/>
        <w:topLinePunct/>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关于发布2023年生态环境分区管控动态更新成果的通知》（黑环发〔2024〕1号）、《黑龙江省人民政府关于实施“三线一单”生态环境分区管控的意见》（黑政发〔2020〕14号）、《佳木斯市人民政府关于实施“三线一单”生态环境分区管控的意见》（佳政规〔2021〕4号）中要求，结合本项目生产工艺、排污状况和区域环境及环境质量现状进行调查的基础上，根据黑龙江省生态分区管控数据应用平台出具的《生态环境分区管控分析报告》可知，本项目环境管控单元编码为ZH23080520001，属于重点管控单元。</w:t>
      </w:r>
    </w:p>
    <w:p w14:paraId="77A1BDA4">
      <w:pPr>
        <w:widowControl w:val="0"/>
        <w:wordWrap w:val="0"/>
        <w:topLinePunct/>
        <w:adjustRightInd w:val="0"/>
        <w:snapToGrid w:val="0"/>
        <w:spacing w:line="360" w:lineRule="auto"/>
        <w:ind w:firstLine="482" w:firstLineChars="200"/>
        <w:jc w:val="both"/>
        <w:textAlignment w:val="baseline"/>
        <w:rPr>
          <w:rFonts w:ascii="Times New Roman" w:hAnsi="Times New Roman" w:cs="Times New Roman"/>
          <w:b/>
          <w:bCs/>
          <w:caps w:val="0"/>
          <w:smallCaps w:val="0"/>
          <w:color w:val="auto"/>
          <w:spacing w:val="0"/>
          <w:kern w:val="0"/>
          <w:highlight w:val="none"/>
        </w:rPr>
      </w:pPr>
      <w:r>
        <w:rPr>
          <w:rFonts w:ascii="Times New Roman" w:hAnsi="Times New Roman" w:cs="Times New Roman"/>
          <w:b/>
          <w:bCs/>
          <w:caps w:val="0"/>
          <w:smallCaps w:val="0"/>
          <w:color w:val="auto"/>
          <w:spacing w:val="0"/>
          <w:kern w:val="0"/>
          <w:highlight w:val="none"/>
        </w:rPr>
        <w:t>（1）“一图”</w:t>
      </w:r>
    </w:p>
    <w:p w14:paraId="58F69844">
      <w:pPr>
        <w:autoSpaceDE w:val="0"/>
        <w:autoSpaceDN w:val="0"/>
        <w:adjustRightInd w:val="0"/>
        <w:snapToGrid w:val="0"/>
        <w:spacing w:line="360" w:lineRule="auto"/>
        <w:ind w:firstLine="480" w:firstLineChars="20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本项目位于黑龙江省</w:t>
      </w:r>
      <w:r>
        <w:rPr>
          <w:rFonts w:ascii="Times New Roman" w:hAnsi="Times New Roman" w:eastAsia="宋体" w:cs="Times New Roman"/>
          <w:caps w:val="0"/>
          <w:smallCaps w:val="0"/>
          <w:color w:val="auto"/>
          <w:spacing w:val="0"/>
          <w:szCs w:val="24"/>
          <w:highlight w:val="none"/>
        </w:rPr>
        <w:t>佳木斯市东风区</w:t>
      </w:r>
      <w:r>
        <w:rPr>
          <w:rFonts w:ascii="Times New Roman" w:hAnsi="Times New Roman" w:cs="Times New Roman"/>
          <w:caps w:val="0"/>
          <w:smallCaps w:val="0"/>
          <w:color w:val="auto"/>
          <w:spacing w:val="0"/>
          <w:kern w:val="0"/>
          <w:highlight w:val="none"/>
        </w:rPr>
        <w:t>，</w:t>
      </w:r>
      <w:r>
        <w:rPr>
          <w:rFonts w:ascii="Times New Roman" w:hAnsi="Times New Roman" w:cs="Times New Roman"/>
          <w:caps w:val="0"/>
          <w:smallCaps w:val="0"/>
          <w:color w:val="auto"/>
          <w:spacing w:val="0"/>
          <w:highlight w:val="none"/>
        </w:rPr>
        <w:t>根据《关于发布2023年生态环境分区管控动态更新成果的通知》（黑环发〔2024〕1号）、《黑龙江省人民政府关于实施“三线一单”生态环境分区管控的意见（黑政发〔2020〕4号）》、</w:t>
      </w:r>
      <w:r>
        <w:rPr>
          <w:rFonts w:ascii="Times New Roman" w:hAnsi="Times New Roman" w:eastAsia="宋体" w:cs="Times New Roman"/>
          <w:caps w:val="0"/>
          <w:smallCaps w:val="0"/>
          <w:color w:val="auto"/>
          <w:spacing w:val="0"/>
          <w:szCs w:val="24"/>
          <w:highlight w:val="none"/>
        </w:rPr>
        <w:t>《佳木斯市人民政府关于实施“三线一单”生态环境分区管控的意见》（佳政规〔2021〕4号）</w:t>
      </w:r>
      <w:r>
        <w:rPr>
          <w:rFonts w:ascii="Times New Roman" w:hAnsi="Times New Roman" w:cs="Times New Roman"/>
          <w:caps w:val="0"/>
          <w:smallCaps w:val="0"/>
          <w:color w:val="auto"/>
          <w:spacing w:val="0"/>
          <w:highlight w:val="none"/>
        </w:rPr>
        <w:t>、《佳木斯市生态环境准入清单(2023年版)》及《佳木斯中建材光电材料有限公司黑龙江省佳木斯市高新区年产100MW碲化镉弱光发电玻璃项目（重新报批）生态环境分区管控分析报告》，项目所在地属于重点管控单元，本项目与重点管控单元交集面积占项目总占地面积的100%，生态环境分区管控分析报告见附件7。</w:t>
      </w:r>
    </w:p>
    <w:p w14:paraId="0FAA95FC">
      <w:pPr>
        <w:pStyle w:val="36"/>
        <w:ind w:firstLine="240"/>
        <w:rPr>
          <w:caps w:val="0"/>
          <w:smallCaps w:val="0"/>
          <w:color w:val="auto"/>
          <w:spacing w:val="0"/>
          <w:highlight w:val="none"/>
        </w:rPr>
      </w:pPr>
      <w:r>
        <w:rPr>
          <w:caps w:val="0"/>
          <w:smallCaps w:val="0"/>
          <w:color w:val="auto"/>
          <w:spacing w:val="0"/>
          <w:highlight w:val="none"/>
        </w:rPr>
        <w:drawing>
          <wp:inline distT="0" distB="0" distL="114300" distR="114300">
            <wp:extent cx="5758180" cy="2985135"/>
            <wp:effectExtent l="0" t="0" r="13970" b="5715"/>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21"/>
                    <a:stretch>
                      <a:fillRect/>
                    </a:stretch>
                  </pic:blipFill>
                  <pic:spPr>
                    <a:xfrm>
                      <a:off x="0" y="0"/>
                      <a:ext cx="5758180" cy="2985135"/>
                    </a:xfrm>
                    <a:prstGeom prst="rect">
                      <a:avLst/>
                    </a:prstGeom>
                    <a:noFill/>
                    <a:ln>
                      <a:noFill/>
                    </a:ln>
                  </pic:spPr>
                </pic:pic>
              </a:graphicData>
            </a:graphic>
          </wp:inline>
        </w:drawing>
      </w:r>
    </w:p>
    <w:p w14:paraId="1C70B372">
      <w:pPr>
        <w:pStyle w:val="50"/>
        <w:ind w:firstLine="482"/>
        <w:jc w:val="center"/>
        <w:rPr>
          <w:caps w:val="0"/>
          <w:smallCaps w:val="0"/>
          <w:color w:val="auto"/>
          <w:spacing w:val="0"/>
          <w:highlight w:val="none"/>
        </w:rPr>
      </w:pPr>
      <w:r>
        <w:rPr>
          <w:b/>
          <w:bCs/>
          <w:caps w:val="0"/>
          <w:smallCaps w:val="0"/>
          <w:color w:val="auto"/>
          <w:spacing w:val="0"/>
          <w:kern w:val="0"/>
          <w:highlight w:val="none"/>
        </w:rPr>
        <w:t>图</w:t>
      </w:r>
      <w:r>
        <w:rPr>
          <w:rFonts w:hint="default" w:ascii="Times New Roman" w:hAnsi="Times New Roman" w:cs="Times New Roman"/>
          <w:b/>
          <w:bCs/>
          <w:caps w:val="0"/>
          <w:smallCaps w:val="0"/>
          <w:color w:val="auto"/>
          <w:spacing w:val="0"/>
          <w:kern w:val="0"/>
          <w:highlight w:val="none"/>
        </w:rPr>
        <w:t>1.5-</w:t>
      </w:r>
      <w:r>
        <w:rPr>
          <w:rFonts w:hint="default" w:ascii="Times New Roman" w:hAnsi="Times New Roman" w:cs="Times New Roman"/>
          <w:b/>
          <w:bCs/>
          <w:caps w:val="0"/>
          <w:smallCaps w:val="0"/>
          <w:color w:val="auto"/>
          <w:spacing w:val="0"/>
          <w:kern w:val="0"/>
          <w:highlight w:val="none"/>
          <w:lang w:val="en-US" w:eastAsia="zh-CN"/>
        </w:rPr>
        <w:t>1</w:t>
      </w:r>
      <w:r>
        <w:rPr>
          <w:b/>
          <w:bCs/>
          <w:caps w:val="0"/>
          <w:smallCaps w:val="0"/>
          <w:color w:val="auto"/>
          <w:spacing w:val="0"/>
          <w:kern w:val="0"/>
          <w:highlight w:val="none"/>
        </w:rPr>
        <w:t xml:space="preserve"> 本项目与环境管控单元叠加图</w:t>
      </w:r>
    </w:p>
    <w:p w14:paraId="2A6C929C">
      <w:pPr>
        <w:widowControl w:val="0"/>
        <w:wordWrap w:val="0"/>
        <w:topLinePunct/>
        <w:adjustRightInd w:val="0"/>
        <w:snapToGrid w:val="0"/>
        <w:spacing w:line="360" w:lineRule="auto"/>
        <w:ind w:firstLine="482" w:firstLineChars="200"/>
        <w:jc w:val="both"/>
        <w:textAlignment w:val="baseline"/>
        <w:rPr>
          <w:b/>
          <w:bCs/>
          <w:caps w:val="0"/>
          <w:smallCaps w:val="0"/>
          <w:color w:val="auto"/>
          <w:spacing w:val="0"/>
          <w:kern w:val="0"/>
          <w:highlight w:val="none"/>
        </w:rPr>
      </w:pPr>
      <w:r>
        <w:rPr>
          <w:rFonts w:hint="eastAsia"/>
          <w:b/>
          <w:bCs/>
          <w:caps w:val="0"/>
          <w:smallCaps w:val="0"/>
          <w:color w:val="auto"/>
          <w:spacing w:val="0"/>
          <w:kern w:val="0"/>
          <w:highlight w:val="none"/>
        </w:rPr>
        <w:t>（2）“一表”</w:t>
      </w:r>
    </w:p>
    <w:p w14:paraId="64504BF9">
      <w:pPr>
        <w:widowControl w:val="0"/>
        <w:wordWrap w:val="0"/>
        <w:topLinePunct/>
        <w:adjustRightInd w:val="0"/>
        <w:snapToGrid w:val="0"/>
        <w:spacing w:line="233" w:lineRule="auto"/>
        <w:ind w:left="2519"/>
        <w:textAlignment w:val="baseline"/>
        <w:rPr>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表1.5-</w:t>
      </w:r>
      <w:r>
        <w:rPr>
          <w:rFonts w:hint="eastAsia" w:ascii="Times New Roman" w:hAnsi="Times New Roman" w:eastAsia="宋体" w:cs="Times New Roman"/>
          <w:b/>
          <w:bCs/>
          <w:caps w:val="0"/>
          <w:smallCaps w:val="0"/>
          <w:color w:val="auto"/>
          <w:spacing w:val="0"/>
          <w:szCs w:val="24"/>
          <w:highlight w:val="none"/>
        </w:rPr>
        <w:t>3</w:t>
      </w:r>
      <w:r>
        <w:rPr>
          <w:rFonts w:ascii="Times New Roman" w:hAnsi="Times New Roman" w:eastAsia="宋体" w:cs="Times New Roman"/>
          <w:b/>
          <w:bCs/>
          <w:caps w:val="0"/>
          <w:smallCaps w:val="0"/>
          <w:color w:val="auto"/>
          <w:spacing w:val="0"/>
          <w:szCs w:val="24"/>
          <w:highlight w:val="none"/>
        </w:rPr>
        <w:t>生态环境准入清单符合性分析</w:t>
      </w:r>
    </w:p>
    <w:tbl>
      <w:tblPr>
        <w:tblStyle w:val="37"/>
        <w:tblW w:w="827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5279"/>
        <w:gridCol w:w="1807"/>
      </w:tblGrid>
      <w:tr w14:paraId="6DF17F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751424B3">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环境管控单元名称</w:t>
            </w:r>
          </w:p>
        </w:tc>
        <w:tc>
          <w:tcPr>
            <w:tcW w:w="7086" w:type="dxa"/>
            <w:gridSpan w:val="2"/>
            <w:tcBorders>
              <w:tl2br w:val="nil"/>
              <w:tr2bl w:val="nil"/>
            </w:tcBorders>
            <w:vAlign w:val="center"/>
          </w:tcPr>
          <w:p w14:paraId="7B19D3CF">
            <w:pPr>
              <w:widowControl w:val="0"/>
              <w:adjustRightIn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佳木斯高新技术产业开发区</w:t>
            </w:r>
          </w:p>
        </w:tc>
      </w:tr>
      <w:tr w14:paraId="087B27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3AEB042C">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环境管控单元编码</w:t>
            </w:r>
          </w:p>
        </w:tc>
        <w:tc>
          <w:tcPr>
            <w:tcW w:w="7086" w:type="dxa"/>
            <w:gridSpan w:val="2"/>
            <w:tcBorders>
              <w:tl2br w:val="nil"/>
              <w:tr2bl w:val="nil"/>
            </w:tcBorders>
            <w:vAlign w:val="center"/>
          </w:tcPr>
          <w:p w14:paraId="3FC74588">
            <w:pPr>
              <w:widowControl w:val="0"/>
              <w:adjustRightIn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ZH23080520001</w:t>
            </w:r>
          </w:p>
        </w:tc>
      </w:tr>
      <w:tr w14:paraId="5F8990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00702171">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管控单元类别</w:t>
            </w:r>
          </w:p>
        </w:tc>
        <w:tc>
          <w:tcPr>
            <w:tcW w:w="7086" w:type="dxa"/>
            <w:gridSpan w:val="2"/>
            <w:tcBorders>
              <w:tl2br w:val="nil"/>
              <w:tr2bl w:val="nil"/>
            </w:tcBorders>
            <w:vAlign w:val="center"/>
          </w:tcPr>
          <w:p w14:paraId="341B5BE9">
            <w:pPr>
              <w:widowControl w:val="0"/>
              <w:adjustRightIn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重点管控单元</w:t>
            </w:r>
          </w:p>
        </w:tc>
      </w:tr>
      <w:tr w14:paraId="731D70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65" w:type="dxa"/>
            <w:gridSpan w:val="2"/>
            <w:tcBorders>
              <w:tl2br w:val="nil"/>
              <w:tr2bl w:val="nil"/>
            </w:tcBorders>
            <w:vAlign w:val="center"/>
          </w:tcPr>
          <w:p w14:paraId="3F732860">
            <w:pPr>
              <w:widowControl w:val="0"/>
              <w:adjustRightIn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管控要求</w:t>
            </w:r>
          </w:p>
        </w:tc>
        <w:tc>
          <w:tcPr>
            <w:tcW w:w="1807" w:type="dxa"/>
            <w:tcBorders>
              <w:tl2br w:val="nil"/>
              <w:tr2bl w:val="nil"/>
            </w:tcBorders>
            <w:vAlign w:val="center"/>
          </w:tcPr>
          <w:p w14:paraId="7CD80E4F">
            <w:pPr>
              <w:widowControl w:val="0"/>
              <w:adjustRightIn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符合性分析</w:t>
            </w:r>
          </w:p>
        </w:tc>
      </w:tr>
      <w:tr w14:paraId="49CE51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2" w:hRule="atLeast"/>
          <w:jc w:val="center"/>
        </w:trPr>
        <w:tc>
          <w:tcPr>
            <w:tcW w:w="1186" w:type="dxa"/>
            <w:tcBorders>
              <w:tl2br w:val="nil"/>
              <w:tr2bl w:val="nil"/>
            </w:tcBorders>
            <w:vAlign w:val="center"/>
          </w:tcPr>
          <w:p w14:paraId="623FE664">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空间布局约束</w:t>
            </w:r>
          </w:p>
        </w:tc>
        <w:tc>
          <w:tcPr>
            <w:tcW w:w="5279" w:type="dxa"/>
            <w:tcBorders>
              <w:tl2br w:val="nil"/>
              <w:tr2bl w:val="nil"/>
            </w:tcBorders>
            <w:vAlign w:val="center"/>
          </w:tcPr>
          <w:p w14:paraId="0F6150DB">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机械制造类企业：限制含产生挥发性污染物工艺、产生异味较大、污染严重、耗水大企业入区。2.对于存在未依法开展规划环境影响评价，或环境风险隐患突出且未完成限期整改，或未按期完成污染物排放总量控制计划的工业园区，暂停受理除污染治理、生态恢复建设和循环经济类以外的入园建设项目环境影响评价文件。3.新、改、扩建钢铁、石化、化工、焦化、建材、有色等项目的环境影响评价，应满足区域、规划环评要求。4.禁止引进国家现行产业政策明令禁止或淘汰的产业及工艺。5.重大项目原则上布局在重点开发区，并符合国土空间规划。6.新建化工项目须进入合规设立的化工园区。7.园区规划及规划环评变更后执行新的园区规划和规划环评管控要求。8.同时执行：①入园建设项目开展环评工作时，应以产业园区规划环评为依据，重点分析项目环评与规划环评结论及审查意见的符合性；产业园区招商引资、入园建设项目环评审批等应将规划环评结论及审查意见作为重要依据。②新建、扩建石化、化工、焦化、有色金属冶炼、平板玻璃项目应布设在依法合规设立并经规划环评的产业园区。煤化工产业项目选址及污染控制措施等须满足安全、环境准入要求，新建项目需布局在一般或较低安全风险等级的化工园区。③重大制造业项目、依托能源和矿产资源的资源加工业项目原则上布局在重点开发区。④未纳入国家有关领域产业规划的，一律不得新建改扩建炼油和新建乙烯、对二甲苯、煤制烯烃项目。⑤禁止引进国家产业政策明令淘汰和限制的产品、技术、工艺、设备及行为。⑥编制产业园区开发建设规划时应依法开展规划环评。⑦规划审批机关在审批规划时，应将规划环评结论及审查意见作为决策的重要依据，在审批中未采纳环境影响报告书结论及审查意见的，应当作出说明并存档备查。⑧产业园区招商引资、入园建设项目环评审批等应将规划环评结论及审查意见作为重要依据。⑨产业园区开发建设规划应符合国家政策和相关法律法规要求，规划发生重大调整或修订的，应当依法重新或补充开展规划环评工作。9.水环境工业污染重点管控区同时执行：①区域内严格控制高耗水、高污染行业发展。②加快淘汰落后产能，大力推进产业结构调整和优化升级。③根据水资源和水环境承载能力，以水定城、以水定地、以水定人、以水定产。10.大气环境布局敏感重点管控区同时执行：①严控“两高”行业产能。严格执行钢铁、水泥、平板玻璃等行业产能置换实施办法。②利用水泥窑协同处置城市生活垃圾、危险废弃物、电石渣等固废伴生水泥项目，必须依托现有新型干法水泥熟料生产线进行不扩产能改造。</w:t>
            </w:r>
          </w:p>
        </w:tc>
        <w:tc>
          <w:tcPr>
            <w:tcW w:w="1807" w:type="dxa"/>
            <w:tcBorders>
              <w:tl2br w:val="nil"/>
              <w:tr2bl w:val="nil"/>
            </w:tcBorders>
            <w:vAlign w:val="center"/>
          </w:tcPr>
          <w:p w14:paraId="1DA352A5">
            <w:pPr>
              <w:widowControl w:val="0"/>
              <w:tabs>
                <w:tab w:val="left" w:pos="265"/>
              </w:tabs>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本项目为</w:t>
            </w:r>
            <w:r>
              <w:rPr>
                <w:rFonts w:hint="eastAsia" w:ascii="Times New Roman" w:hAnsi="Times New Roman" w:eastAsia="宋体" w:cs="Times New Roman"/>
                <w:caps w:val="0"/>
                <w:smallCaps w:val="0"/>
                <w:color w:val="auto"/>
                <w:spacing w:val="0"/>
                <w:sz w:val="21"/>
                <w:highlight w:val="none"/>
                <w:lang w:eastAsia="zh-CN"/>
              </w:rPr>
              <w:t>碲化镉弱光发</w:t>
            </w:r>
            <w:r>
              <w:rPr>
                <w:rFonts w:ascii="Times New Roman" w:hAnsi="Times New Roman" w:eastAsia="宋体" w:cs="Times New Roman"/>
                <w:caps w:val="0"/>
                <w:smallCaps w:val="0"/>
                <w:color w:val="auto"/>
                <w:spacing w:val="0"/>
                <w:sz w:val="21"/>
                <w:highlight w:val="none"/>
              </w:rPr>
              <w:t>电玻璃项目，属薄膜太阳能光伏电池生产企业，不属于.新、改、扩建钢铁、石化、化工、焦化、建材、有色等项目。本项目位于佳木斯市高新技术产业开发区轻工产业园（含新材料）内，符合园区规划，根据《产业结构调整指导目录（2024年本）》本项目不属于淘汰落后产能，不属于“两高行业”，为允许类项目，符合空间布局约束要求。</w:t>
            </w:r>
          </w:p>
        </w:tc>
      </w:tr>
      <w:tr w14:paraId="407B4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00D0487E">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污染物排放管控</w:t>
            </w:r>
          </w:p>
        </w:tc>
        <w:tc>
          <w:tcPr>
            <w:tcW w:w="5279" w:type="dxa"/>
            <w:tcBorders>
              <w:tl2br w:val="nil"/>
              <w:tr2bl w:val="nil"/>
            </w:tcBorders>
            <w:vAlign w:val="center"/>
          </w:tcPr>
          <w:p w14:paraId="745E4976">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机械制造类企业：挥发性气体通过密闭收集、高空排放，安装活性炭吸附、吸附塔等有效设备；加强员工环保意识，从源头削减，使各项环保措施处于正常运行状态；焊接烟气及粉尘集中收集处理。2.锻造及铸造企业：烟气采取湿式除尘器处理，铸件清理</w:t>
            </w:r>
            <w:r>
              <w:rPr>
                <w:rFonts w:hint="eastAsia" w:ascii="Times New Roman" w:hAnsi="Times New Roman" w:eastAsia="宋体" w:cs="Times New Roman"/>
                <w:caps w:val="0"/>
                <w:smallCaps w:val="0"/>
                <w:color w:val="auto"/>
                <w:spacing w:val="0"/>
                <w:kern w:val="0"/>
                <w:sz w:val="21"/>
                <w:highlight w:val="none"/>
                <w:lang w:bidi="ar"/>
              </w:rPr>
              <w:t>工序</w:t>
            </w:r>
            <w:r>
              <w:rPr>
                <w:rFonts w:ascii="Times New Roman" w:hAnsi="Times New Roman" w:eastAsia="宋体" w:cs="Times New Roman"/>
                <w:caps w:val="0"/>
                <w:smallCaps w:val="0"/>
                <w:color w:val="auto"/>
                <w:spacing w:val="0"/>
                <w:kern w:val="0"/>
                <w:sz w:val="21"/>
                <w:highlight w:val="none"/>
                <w:lang w:bidi="ar"/>
              </w:rPr>
              <w:t>采用旋风除尘器处理后由排气筒排放；砂处理工序粉尘封闭处理，除尘器处理后排气筒排放。3.同时执行：</w:t>
            </w:r>
            <w:r>
              <w:rPr>
                <w:rFonts w:ascii="Times New Roman" w:hAnsi="Times New Roman" w:eastAsia="宋体" w:cs="Times New Roman"/>
                <w:caps w:val="0"/>
                <w:smallCaps w:val="0"/>
                <w:color w:val="auto"/>
                <w:spacing w:val="0"/>
                <w:sz w:val="21"/>
                <w:highlight w:val="none"/>
              </w:rPr>
              <w:t>①</w:t>
            </w:r>
            <w:r>
              <w:rPr>
                <w:rFonts w:ascii="Times New Roman" w:hAnsi="Times New Roman" w:eastAsia="宋体" w:cs="Times New Roman"/>
                <w:caps w:val="0"/>
                <w:smallCaps w:val="0"/>
                <w:color w:val="auto"/>
                <w:spacing w:val="0"/>
                <w:kern w:val="0"/>
                <w:sz w:val="21"/>
                <w:highlight w:val="none"/>
                <w:lang w:bidi="ar"/>
              </w:rPr>
              <w:t>应按规定建设污水集中处理设施，并安装自动在线监控装置。</w:t>
            </w:r>
            <w:r>
              <w:rPr>
                <w:rFonts w:ascii="Times New Roman" w:hAnsi="Times New Roman" w:eastAsia="宋体" w:cs="Times New Roman"/>
                <w:caps w:val="0"/>
                <w:smallCaps w:val="0"/>
                <w:color w:val="auto"/>
                <w:spacing w:val="0"/>
                <w:sz w:val="21"/>
                <w:highlight w:val="none"/>
              </w:rPr>
              <w:t>②</w:t>
            </w:r>
            <w:r>
              <w:rPr>
                <w:rFonts w:ascii="Times New Roman" w:hAnsi="Times New Roman" w:eastAsia="宋体" w:cs="Times New Roman"/>
                <w:caps w:val="0"/>
                <w:smallCaps w:val="0"/>
                <w:color w:val="auto"/>
                <w:spacing w:val="0"/>
                <w:kern w:val="0"/>
                <w:sz w:val="21"/>
                <w:highlight w:val="none"/>
                <w:lang w:bidi="ar"/>
              </w:rPr>
              <w:t>新建、扩建“两高”项目应采用先进适用的工艺技术和装备，单位产品物耗、能耗、水耗等达到清洁生产先进水平，依法制定并严格落实防治土壤与地下水污染的措施。严把新上项目碳排放关，新建、改建、扩建煤电、石化、化工、钢铁、有色冶炼、建材等高耗能、高排放项目，要充分论证，确保能耗、物耗、水耗达到清洁生产先进水平。</w:t>
            </w:r>
            <w:r>
              <w:rPr>
                <w:rFonts w:ascii="Times New Roman" w:hAnsi="Times New Roman" w:eastAsia="宋体" w:cs="Times New Roman"/>
                <w:caps w:val="0"/>
                <w:smallCaps w:val="0"/>
                <w:color w:val="auto"/>
                <w:spacing w:val="0"/>
                <w:sz w:val="21"/>
                <w:highlight w:val="none"/>
              </w:rPr>
              <w:t>③</w:t>
            </w:r>
            <w:r>
              <w:rPr>
                <w:rFonts w:ascii="Times New Roman" w:hAnsi="Times New Roman" w:eastAsia="宋体" w:cs="Times New Roman"/>
                <w:caps w:val="0"/>
                <w:smallCaps w:val="0"/>
                <w:color w:val="auto"/>
                <w:spacing w:val="0"/>
                <w:kern w:val="0"/>
                <w:sz w:val="21"/>
                <w:highlight w:val="none"/>
                <w:lang w:bidi="ar"/>
              </w:rPr>
              <w:t>新、改、扩建涉重金属重点行业建设项目必须遵循重点重金属污染物排放“减量置换”或“等量替换”原则。</w:t>
            </w:r>
            <w:r>
              <w:rPr>
                <w:rFonts w:ascii="Times New Roman" w:hAnsi="Times New Roman" w:eastAsia="宋体" w:cs="Times New Roman"/>
                <w:caps w:val="0"/>
                <w:smallCaps w:val="0"/>
                <w:color w:val="auto"/>
                <w:spacing w:val="0"/>
                <w:sz w:val="21"/>
                <w:highlight w:val="none"/>
              </w:rPr>
              <w:t>④</w:t>
            </w:r>
            <w:r>
              <w:rPr>
                <w:rFonts w:ascii="Times New Roman" w:hAnsi="Times New Roman" w:eastAsia="宋体" w:cs="Times New Roman"/>
                <w:caps w:val="0"/>
                <w:smallCaps w:val="0"/>
                <w:color w:val="auto"/>
                <w:spacing w:val="0"/>
                <w:kern w:val="0"/>
                <w:sz w:val="21"/>
                <w:highlight w:val="none"/>
                <w:lang w:bidi="ar"/>
              </w:rPr>
              <w:t>对于含有毒有害水污染物的工业废水和生活污水混合处理的污水处理厂产生的污泥，不能采用土地利用方式。</w:t>
            </w:r>
            <w:r>
              <w:rPr>
                <w:rFonts w:ascii="Times New Roman" w:hAnsi="Times New Roman" w:eastAsia="宋体" w:cs="Times New Roman"/>
                <w:caps w:val="0"/>
                <w:smallCaps w:val="0"/>
                <w:color w:val="auto"/>
                <w:spacing w:val="0"/>
                <w:sz w:val="21"/>
                <w:highlight w:val="none"/>
              </w:rPr>
              <w:t>⑤</w:t>
            </w:r>
            <w:r>
              <w:rPr>
                <w:rFonts w:ascii="Times New Roman" w:hAnsi="Times New Roman" w:eastAsia="宋体" w:cs="Times New Roman"/>
                <w:caps w:val="0"/>
                <w:smallCaps w:val="0"/>
                <w:color w:val="auto"/>
                <w:spacing w:val="0"/>
                <w:kern w:val="0"/>
                <w:sz w:val="21"/>
                <w:highlight w:val="none"/>
                <w:lang w:bidi="ar"/>
              </w:rPr>
              <w:t>加强消耗臭氧层物质和氢氟碳化物环境管理，加强泡沫、制冷、氟化工等行业治理，逐步淘汰氢氯氟烃使用。</w:t>
            </w:r>
            <w:r>
              <w:rPr>
                <w:rFonts w:ascii="Times New Roman" w:hAnsi="Times New Roman" w:eastAsia="宋体" w:cs="Times New Roman"/>
                <w:caps w:val="0"/>
                <w:smallCaps w:val="0"/>
                <w:color w:val="auto"/>
                <w:spacing w:val="0"/>
                <w:sz w:val="21"/>
                <w:highlight w:val="none"/>
              </w:rPr>
              <w:t>⑥</w:t>
            </w:r>
            <w:r>
              <w:rPr>
                <w:rFonts w:ascii="Times New Roman" w:hAnsi="Times New Roman" w:eastAsia="宋体" w:cs="Times New Roman"/>
                <w:caps w:val="0"/>
                <w:smallCaps w:val="0"/>
                <w:color w:val="auto"/>
                <w:spacing w:val="0"/>
                <w:kern w:val="0"/>
                <w:sz w:val="21"/>
                <w:highlight w:val="none"/>
                <w:lang w:bidi="ar"/>
              </w:rPr>
              <w:t>新建煤制烯烃、新建煤制对二甲苯(PX)项目纳入《现代煤化工产业创新发展布局方案》后，由省级政府核准。新建年产超过100万吨的煤制甲醇项目，由省级政府核准。</w:t>
            </w:r>
            <w:r>
              <w:rPr>
                <w:rFonts w:ascii="Times New Roman" w:hAnsi="Times New Roman" w:eastAsia="宋体" w:cs="Times New Roman"/>
                <w:caps w:val="0"/>
                <w:smallCaps w:val="0"/>
                <w:color w:val="auto"/>
                <w:spacing w:val="0"/>
                <w:sz w:val="21"/>
                <w:highlight w:val="none"/>
              </w:rPr>
              <w:t>⑦</w:t>
            </w:r>
            <w:r>
              <w:rPr>
                <w:rFonts w:ascii="Times New Roman" w:hAnsi="Times New Roman" w:eastAsia="宋体" w:cs="Times New Roman"/>
                <w:caps w:val="0"/>
                <w:smallCaps w:val="0"/>
                <w:color w:val="auto"/>
                <w:spacing w:val="0"/>
                <w:kern w:val="0"/>
                <w:sz w:val="21"/>
                <w:highlight w:val="none"/>
                <w:lang w:bidi="ar"/>
              </w:rPr>
              <w:t>各地不得新建、扩建二氟甲烷、1,1,1,2-四氟乙烷、五氟乙烷、1,1,1-三氟乙烷、1.1.1.3.3-五氟丙烷用作制冷剂、发泡剂等受控用途的HFCs化工生产设施（不含</w:t>
            </w:r>
            <w:r>
              <w:rPr>
                <w:rFonts w:hint="eastAsia" w:ascii="Times New Roman" w:hAnsi="Times New Roman" w:eastAsia="宋体" w:cs="Times New Roman"/>
                <w:caps w:val="0"/>
                <w:smallCaps w:val="0"/>
                <w:color w:val="auto"/>
                <w:spacing w:val="0"/>
                <w:kern w:val="0"/>
                <w:sz w:val="21"/>
                <w:highlight w:val="none"/>
                <w:lang w:bidi="ar"/>
              </w:rPr>
              <w:t>独立</w:t>
            </w:r>
            <w:r>
              <w:rPr>
                <w:rFonts w:ascii="Times New Roman" w:hAnsi="Times New Roman" w:eastAsia="宋体" w:cs="Times New Roman"/>
                <w:caps w:val="0"/>
                <w:smallCaps w:val="0"/>
                <w:color w:val="auto"/>
                <w:spacing w:val="0"/>
                <w:kern w:val="0"/>
                <w:sz w:val="21"/>
                <w:highlight w:val="none"/>
                <w:lang w:bidi="ar"/>
              </w:rPr>
              <w:t>设施），环境影响报告书（表）已通过审批的除外。4.水环境工业污染重点管控区同时执行：</w:t>
            </w:r>
            <w:r>
              <w:rPr>
                <w:rFonts w:ascii="Times New Roman" w:hAnsi="Times New Roman" w:eastAsia="宋体" w:cs="Times New Roman"/>
                <w:caps w:val="0"/>
                <w:smallCaps w:val="0"/>
                <w:color w:val="auto"/>
                <w:spacing w:val="0"/>
                <w:sz w:val="21"/>
                <w:highlight w:val="none"/>
              </w:rPr>
              <w:t>①</w:t>
            </w:r>
            <w:r>
              <w:rPr>
                <w:rFonts w:ascii="Times New Roman" w:hAnsi="Times New Roman" w:eastAsia="宋体" w:cs="Times New Roman"/>
                <w:caps w:val="0"/>
                <w:smallCaps w:val="0"/>
                <w:color w:val="auto"/>
                <w:spacing w:val="0"/>
                <w:kern w:val="0"/>
                <w:sz w:val="21"/>
                <w:highlight w:val="none"/>
                <w:lang w:bidi="ar"/>
              </w:rPr>
              <w:t>新建、改建和扩建项目应当优先采用资源利用率高以及污染物产生量少的清洁生产技术、工艺和设备。</w:t>
            </w:r>
            <w:r>
              <w:rPr>
                <w:rFonts w:ascii="Times New Roman" w:hAnsi="Times New Roman" w:eastAsia="宋体" w:cs="Times New Roman"/>
                <w:caps w:val="0"/>
                <w:smallCaps w:val="0"/>
                <w:color w:val="auto"/>
                <w:spacing w:val="0"/>
                <w:sz w:val="21"/>
                <w:highlight w:val="none"/>
              </w:rPr>
              <w:t>②</w:t>
            </w:r>
            <w:r>
              <w:rPr>
                <w:rFonts w:ascii="Times New Roman" w:hAnsi="Times New Roman" w:eastAsia="宋体" w:cs="Times New Roman"/>
                <w:caps w:val="0"/>
                <w:smallCaps w:val="0"/>
                <w:color w:val="auto"/>
                <w:spacing w:val="0"/>
                <w:kern w:val="0"/>
                <w:sz w:val="21"/>
                <w:highlight w:val="none"/>
                <w:lang w:bidi="ar"/>
              </w:rPr>
              <w:t>集中治理工业集聚区内工业废水，区内工业废水必须经预处理达到集中处理要求后，方可进入污水集中处理设施。新建、升级工业集聚区应同步规划和建设污水、垃圾集中处理等污染治理设施。5.大气环境布局敏感重点管控区同时执行：</w:t>
            </w:r>
            <w:r>
              <w:rPr>
                <w:rFonts w:ascii="Times New Roman" w:hAnsi="Times New Roman" w:eastAsia="宋体" w:cs="Times New Roman"/>
                <w:caps w:val="0"/>
                <w:smallCaps w:val="0"/>
                <w:color w:val="auto"/>
                <w:spacing w:val="0"/>
                <w:sz w:val="21"/>
                <w:highlight w:val="none"/>
              </w:rPr>
              <w:t>①</w:t>
            </w:r>
            <w:r>
              <w:rPr>
                <w:rFonts w:ascii="Times New Roman" w:hAnsi="Times New Roman" w:eastAsia="宋体" w:cs="Times New Roman"/>
                <w:caps w:val="0"/>
                <w:smallCaps w:val="0"/>
                <w:color w:val="auto"/>
                <w:spacing w:val="0"/>
                <w:kern w:val="0"/>
                <w:sz w:val="21"/>
                <w:highlight w:val="none"/>
                <w:lang w:bidi="ar"/>
              </w:rPr>
              <w:t>对以煤、石焦油、渣油、重油等为燃料的锅炉和工业炉窑，加快使用清洁低碳能源以及工厂余热、电力热力等进行替代。</w:t>
            </w:r>
            <w:r>
              <w:rPr>
                <w:rFonts w:ascii="Times New Roman" w:hAnsi="Times New Roman" w:eastAsia="宋体" w:cs="Times New Roman"/>
                <w:caps w:val="0"/>
                <w:smallCaps w:val="0"/>
                <w:color w:val="auto"/>
                <w:spacing w:val="0"/>
                <w:sz w:val="21"/>
                <w:highlight w:val="none"/>
              </w:rPr>
              <w:t>②</w:t>
            </w:r>
            <w:r>
              <w:rPr>
                <w:rFonts w:ascii="Times New Roman" w:hAnsi="Times New Roman" w:eastAsia="宋体" w:cs="Times New Roman"/>
                <w:caps w:val="0"/>
                <w:smallCaps w:val="0"/>
                <w:color w:val="auto"/>
                <w:spacing w:val="0"/>
                <w:kern w:val="0"/>
                <w:sz w:val="21"/>
                <w:highlight w:val="none"/>
                <w:lang w:bidi="ar"/>
              </w:rPr>
              <w:t>到2025年，在用65蒸吨/小时以上的燃煤锅炉（含电力）实现超低排放，钢铁企业基本实现超低排放。</w:t>
            </w:r>
          </w:p>
        </w:tc>
        <w:tc>
          <w:tcPr>
            <w:tcW w:w="1807" w:type="dxa"/>
            <w:tcBorders>
              <w:tl2br w:val="nil"/>
              <w:tr2bl w:val="nil"/>
            </w:tcBorders>
            <w:vAlign w:val="center"/>
          </w:tcPr>
          <w:p w14:paraId="481E29EB">
            <w:pPr>
              <w:widowControl w:val="0"/>
              <w:tabs>
                <w:tab w:val="left" w:pos="265"/>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本项目为</w:t>
            </w:r>
            <w:r>
              <w:rPr>
                <w:rFonts w:hint="eastAsia" w:ascii="Times New Roman" w:hAnsi="Times New Roman" w:eastAsia="宋体" w:cs="Times New Roman"/>
                <w:caps w:val="0"/>
                <w:smallCaps w:val="0"/>
                <w:color w:val="auto"/>
                <w:spacing w:val="0"/>
                <w:kern w:val="0"/>
                <w:sz w:val="21"/>
                <w:highlight w:val="none"/>
                <w:lang w:eastAsia="zh-CN" w:bidi="ar"/>
              </w:rPr>
              <w:t>碲化镉弱光发</w:t>
            </w:r>
            <w:r>
              <w:rPr>
                <w:rFonts w:ascii="Times New Roman" w:hAnsi="Times New Roman" w:eastAsia="宋体" w:cs="Times New Roman"/>
                <w:caps w:val="0"/>
                <w:smallCaps w:val="0"/>
                <w:color w:val="auto"/>
                <w:spacing w:val="0"/>
                <w:kern w:val="0"/>
                <w:sz w:val="21"/>
                <w:highlight w:val="none"/>
                <w:lang w:bidi="ar"/>
              </w:rPr>
              <w:t>电玻璃项目，属薄膜太阳能光伏电池生产企业，本项目在光刻胶干燥曝光过程中产生的非甲烷总烃经全封闭负压收集通过二级活性炭吸附处理后经排气筒排放，生产工艺过程中产生的颗粒物与镉及其化合物均经H14级高效离子过滤器</w:t>
            </w:r>
            <w:r>
              <w:rPr>
                <w:rFonts w:hint="eastAsia" w:ascii="Times New Roman" w:hAnsi="Times New Roman" w:eastAsia="宋体" w:cs="Times New Roman"/>
                <w:caps w:val="0"/>
                <w:smallCaps w:val="0"/>
                <w:color w:val="auto"/>
                <w:spacing w:val="0"/>
                <w:kern w:val="0"/>
                <w:sz w:val="21"/>
                <w:highlight w:val="none"/>
                <w:lang w:val="en-US" w:eastAsia="zh-CN" w:bidi="ar"/>
              </w:rPr>
              <w:t>或</w:t>
            </w:r>
            <w:r>
              <w:rPr>
                <w:rFonts w:ascii="Times New Roman" w:hAnsi="Times New Roman" w:eastAsia="宋体" w:cs="Times New Roman"/>
                <w:caps w:val="0"/>
                <w:smallCaps w:val="0"/>
                <w:color w:val="auto"/>
                <w:spacing w:val="0"/>
                <w:kern w:val="0"/>
                <w:sz w:val="21"/>
                <w:highlight w:val="none"/>
                <w:lang w:bidi="ar"/>
              </w:rPr>
              <w:t>H14级</w:t>
            </w:r>
            <w:r>
              <w:rPr>
                <w:rFonts w:hint="eastAsia" w:ascii="Times New Roman" w:hAnsi="Times New Roman" w:eastAsia="宋体" w:cs="Times New Roman"/>
                <w:caps w:val="0"/>
                <w:smallCaps w:val="0"/>
                <w:color w:val="auto"/>
                <w:spacing w:val="0"/>
                <w:kern w:val="0"/>
                <w:sz w:val="21"/>
                <w:highlight w:val="none"/>
                <w:lang w:val="en-US" w:eastAsia="zh-CN" w:bidi="ar"/>
              </w:rPr>
              <w:t>以上处理措施</w:t>
            </w:r>
            <w:r>
              <w:rPr>
                <w:rFonts w:ascii="Times New Roman" w:hAnsi="Times New Roman" w:eastAsia="宋体" w:cs="Times New Roman"/>
                <w:caps w:val="0"/>
                <w:smallCaps w:val="0"/>
                <w:color w:val="auto"/>
                <w:spacing w:val="0"/>
                <w:kern w:val="0"/>
                <w:sz w:val="21"/>
                <w:highlight w:val="none"/>
                <w:lang w:bidi="ar"/>
              </w:rPr>
              <w:t>过滤处理后通过21m高排气筒排放，且不属于两高项目。本项目</w:t>
            </w:r>
            <w:r>
              <w:rPr>
                <w:rFonts w:hint="eastAsia" w:ascii="Times New Roman" w:hAnsi="Times New Roman" w:eastAsia="宋体" w:cs="Times New Roman"/>
                <w:caps w:val="0"/>
                <w:smallCaps w:val="0"/>
                <w:color w:val="auto"/>
                <w:spacing w:val="0"/>
                <w:kern w:val="0"/>
                <w:sz w:val="21"/>
                <w:highlight w:val="none"/>
                <w:lang w:bidi="ar"/>
              </w:rPr>
              <w:t>虽</w:t>
            </w:r>
            <w:r>
              <w:rPr>
                <w:rFonts w:ascii="Times New Roman" w:hAnsi="Times New Roman" w:eastAsia="宋体" w:cs="Times New Roman"/>
                <w:caps w:val="0"/>
                <w:smallCaps w:val="0"/>
                <w:color w:val="auto"/>
                <w:spacing w:val="0"/>
                <w:kern w:val="0"/>
                <w:sz w:val="21"/>
                <w:highlight w:val="none"/>
                <w:lang w:bidi="ar"/>
              </w:rPr>
              <w:t>涉及重金属但不属于重点行业，生产废水不含镉废水经厂区污水处理站中和处理后排入污水管网进入佳木斯市高新区污水处理厂，含镉废水经厂区污水处理站处理后全部回用于生产，实现含镉废水零排放。符合污染物排放管控要求</w:t>
            </w:r>
          </w:p>
        </w:tc>
      </w:tr>
      <w:tr w14:paraId="1E5DB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1C7E2DE8">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环境风险防控</w:t>
            </w:r>
          </w:p>
        </w:tc>
        <w:tc>
          <w:tcPr>
            <w:tcW w:w="5279" w:type="dxa"/>
            <w:tcBorders>
              <w:tl2br w:val="nil"/>
              <w:tr2bl w:val="nil"/>
            </w:tcBorders>
            <w:vAlign w:val="center"/>
          </w:tcPr>
          <w:p w14:paraId="335E68AD">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1.加强环境应急预案管理和风</w:t>
            </w:r>
            <w:r>
              <w:rPr>
                <w:rFonts w:hint="eastAsia" w:ascii="Times New Roman" w:hAnsi="Times New Roman" w:eastAsia="宋体" w:cs="Times New Roman"/>
                <w:caps w:val="0"/>
                <w:smallCaps w:val="0"/>
                <w:color w:val="auto"/>
                <w:spacing w:val="0"/>
                <w:kern w:val="0"/>
                <w:sz w:val="21"/>
                <w:highlight w:val="none"/>
                <w:lang w:bidi="ar"/>
              </w:rPr>
              <w:t>险预</w:t>
            </w:r>
            <w:r>
              <w:rPr>
                <w:rFonts w:ascii="Times New Roman" w:hAnsi="Times New Roman" w:eastAsia="宋体" w:cs="Times New Roman"/>
                <w:caps w:val="0"/>
                <w:smallCaps w:val="0"/>
                <w:color w:val="auto"/>
                <w:spacing w:val="0"/>
                <w:kern w:val="0"/>
                <w:sz w:val="21"/>
                <w:highlight w:val="none"/>
                <w:lang w:bidi="ar"/>
              </w:rPr>
              <w:t>警。园区及园区内企业应当结合经营性质、规模、组织体系，建立健全环境应急预案体系，并强化企业、园区以及上级政府环境应急预案之间的衔接。加强环境应急预案演练、评估与修订。园区管理机构应当组织建设有毒有害气体环境风险预警体系，建设园区环境风险防范设施。2.在居住和工业企业混住区域，应加强环境风险防控。3.同时执行加强环境应急预案管理和风险预警。园区及园区内企业应当结合经营性质、规模、组织体系，建立健全环境应急预案体系，并强化企业、园区以及上级政府环境应急预案之间的衔接。加强环境应急预案演练、评估与修订。园区管理机构应当组织建设有毒有害气体环境风险预警体系，建设园区环境风险防范设施。4.水环境工业污染重点管控区同时执行：排放《有毒有害水污染物名录》所列有毒有害水污染物的企业事业单位和其他生产经营者，应当对排污口和周边环境进行监测，评估环境风险，排查环境安全隐患，并公开有毒有害水污染物信息，采取有效措施防范环境风险。5.大气环境布局敏感重点管控区同时执行：禁止在居民区、学校、医疗和养老机构等周边新建有色金属冶炼、焦化等行业企业。</w:t>
            </w:r>
          </w:p>
        </w:tc>
        <w:tc>
          <w:tcPr>
            <w:tcW w:w="1807" w:type="dxa"/>
            <w:tcBorders>
              <w:tl2br w:val="nil"/>
              <w:tr2bl w:val="nil"/>
            </w:tcBorders>
            <w:vAlign w:val="center"/>
          </w:tcPr>
          <w:p w14:paraId="416E0DF8">
            <w:pPr>
              <w:widowControl w:val="0"/>
              <w:tabs>
                <w:tab w:val="left" w:pos="265"/>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企业已完成企业事业单位突发环境事件应急预案备案，企业定期对预案进行</w:t>
            </w:r>
            <w:r>
              <w:rPr>
                <w:rFonts w:ascii="Times New Roman" w:hAnsi="Times New Roman" w:eastAsia="宋体" w:cs="Times New Roman"/>
                <w:caps w:val="0"/>
                <w:smallCaps w:val="0"/>
                <w:color w:val="auto"/>
                <w:spacing w:val="0"/>
                <w:kern w:val="0"/>
                <w:sz w:val="21"/>
                <w:highlight w:val="none"/>
                <w:lang w:bidi="ar"/>
              </w:rPr>
              <w:t>演练、评估与修订；生产废水不含镉废水经厂区污水处理站中和处理后排入污水管网进入佳木斯市高新区污水处理厂，含镉废水经厂区污水处理站处理后全部回用于生产，实现含镉废水零排放，本项目不属于有色金属冶炼、焦化等行业企业。符合环境风险防控</w:t>
            </w:r>
          </w:p>
        </w:tc>
      </w:tr>
      <w:tr w14:paraId="6CD790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1E918410">
            <w:pPr>
              <w:widowControl w:val="0"/>
              <w:adjustRightIn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资源开发效率要求</w:t>
            </w:r>
          </w:p>
        </w:tc>
        <w:tc>
          <w:tcPr>
            <w:tcW w:w="5279" w:type="dxa"/>
            <w:tcBorders>
              <w:tl2br w:val="nil"/>
              <w:tr2bl w:val="nil"/>
            </w:tcBorders>
            <w:vAlign w:val="center"/>
          </w:tcPr>
          <w:p w14:paraId="7DE62E5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逐步取缔燃煤锅炉，持续加强燃气、生物质和油、电锅炉的废气治理监管，推广清洁能源替代。2.高污染燃料禁燃区同时执行：①在禁燃区内，禁止销售、燃用高污染燃料；禁止新建、扩建燃用高污染燃料的设施，已建成的，应当在城市人民政府规定的期限内改用天然气、页岩气、液化石油气、电或者其他清洁能源。②城市建设应当统筹规划，在燃煤供热地区，推进热电联产和集中供热。在集中供热管网覆盖地区，禁止新建、扩建分散燃煤供热锅炉；已建成的不能达标排放的燃煤供热锅炉，应当在城市人民政府规定的期限内拆除。3.同时执行：①落实最严格的水资源管理制度，实行水资源消耗总量和强度双控。②全面推行清洁生产，依法在“双超双有高耗能”行业实施强制性清洁生产审核。</w:t>
            </w:r>
          </w:p>
        </w:tc>
        <w:tc>
          <w:tcPr>
            <w:tcW w:w="1807" w:type="dxa"/>
            <w:tcBorders>
              <w:tl2br w:val="nil"/>
              <w:tr2bl w:val="nil"/>
            </w:tcBorders>
            <w:vAlign w:val="center"/>
          </w:tcPr>
          <w:p w14:paraId="4D46C8AA">
            <w:pPr>
              <w:widowControl w:val="0"/>
              <w:tabs>
                <w:tab w:val="left" w:pos="265"/>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厂区现有4台燃气锅炉。其中1台3.3t/h、1台6.6t/h已报停，另外1台3.3t/h、1台6.6t/h作为备用锅炉，项目生产用热和采暖用热进行外购蒸汽。本项目不属于“双超双有高耗能”行业。符合资源开发效率要求</w:t>
            </w:r>
          </w:p>
        </w:tc>
      </w:tr>
      <w:tr w14:paraId="7CF378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1C5F7BFF">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环境管控单元名称</w:t>
            </w:r>
          </w:p>
        </w:tc>
        <w:tc>
          <w:tcPr>
            <w:tcW w:w="7086" w:type="dxa"/>
            <w:gridSpan w:val="2"/>
            <w:tcBorders>
              <w:tl2br w:val="nil"/>
              <w:tr2bl w:val="nil"/>
            </w:tcBorders>
            <w:vAlign w:val="center"/>
          </w:tcPr>
          <w:p w14:paraId="26A39738">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东风区地下水环境二级管控区</w:t>
            </w:r>
          </w:p>
        </w:tc>
      </w:tr>
      <w:tr w14:paraId="6C3596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74CB6A01">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环境管控单元编码</w:t>
            </w:r>
          </w:p>
        </w:tc>
        <w:tc>
          <w:tcPr>
            <w:tcW w:w="7086" w:type="dxa"/>
            <w:gridSpan w:val="2"/>
            <w:tcBorders>
              <w:tl2br w:val="nil"/>
              <w:tr2bl w:val="nil"/>
            </w:tcBorders>
            <w:vAlign w:val="center"/>
          </w:tcPr>
          <w:p w14:paraId="200D09E1">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YS2308056220002</w:t>
            </w:r>
          </w:p>
        </w:tc>
      </w:tr>
      <w:tr w14:paraId="56E723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761550DF">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管控单元类别</w:t>
            </w:r>
          </w:p>
        </w:tc>
        <w:tc>
          <w:tcPr>
            <w:tcW w:w="7086" w:type="dxa"/>
            <w:gridSpan w:val="2"/>
            <w:tcBorders>
              <w:tl2br w:val="nil"/>
              <w:tr2bl w:val="nil"/>
            </w:tcBorders>
            <w:vAlign w:val="center"/>
          </w:tcPr>
          <w:p w14:paraId="2EDEF2AF">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重点管控区</w:t>
            </w:r>
          </w:p>
        </w:tc>
      </w:tr>
      <w:tr w14:paraId="4E0A2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65" w:type="dxa"/>
            <w:gridSpan w:val="2"/>
            <w:tcBorders>
              <w:tl2br w:val="nil"/>
              <w:tr2bl w:val="nil"/>
            </w:tcBorders>
            <w:vAlign w:val="center"/>
          </w:tcPr>
          <w:p w14:paraId="563F3FF6">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管控要求</w:t>
            </w:r>
          </w:p>
        </w:tc>
        <w:tc>
          <w:tcPr>
            <w:tcW w:w="1807" w:type="dxa"/>
            <w:tcBorders>
              <w:tl2br w:val="nil"/>
              <w:tr2bl w:val="nil"/>
            </w:tcBorders>
            <w:vAlign w:val="center"/>
          </w:tcPr>
          <w:p w14:paraId="0B508947">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符合性分析</w:t>
            </w:r>
          </w:p>
        </w:tc>
      </w:tr>
      <w:tr w14:paraId="0A454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3F84760D">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空间布局约束</w:t>
            </w:r>
          </w:p>
        </w:tc>
        <w:tc>
          <w:tcPr>
            <w:tcW w:w="5279" w:type="dxa"/>
            <w:tcBorders>
              <w:tl2br w:val="nil"/>
              <w:tr2bl w:val="nil"/>
            </w:tcBorders>
            <w:vAlign w:val="center"/>
          </w:tcPr>
          <w:p w14:paraId="17BBA60E">
            <w:pPr>
              <w:widowControl w:val="0"/>
              <w:jc w:val="both"/>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1.严格建设项目土壤环境影响评价制度。对涉及有毒有害物质可能造成土壤污染的新（改、扩）建项目，依法进行环境影响评价，提出并落实防腐蚀、防渗漏、防遗撒等土壤污染防治具体措施。2.合理规划污染地块用途，从严管控农药、化工等行业中的重度污染地块规划用途，确需开发利用的，鼓励用于拓展生态空间。3.污染地块未经治理与修复，或者经治理与修复但未达到相关规划用地土壤环境质量要求的，有关环境保护主管部门不予批准选址涉及该污染地块的建设项目环境影响报告书或者报告表。</w:t>
            </w:r>
          </w:p>
        </w:tc>
        <w:tc>
          <w:tcPr>
            <w:tcW w:w="1807" w:type="dxa"/>
            <w:tcBorders>
              <w:tl2br w:val="nil"/>
              <w:tr2bl w:val="nil"/>
            </w:tcBorders>
            <w:vAlign w:val="center"/>
          </w:tcPr>
          <w:p w14:paraId="7C0A8658">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本项目主要涉及重金属Cd，依法进行环境影响评价，提出防渗防漏措施，本</w:t>
            </w:r>
            <w:r>
              <w:rPr>
                <w:rFonts w:hint="eastAsia" w:ascii="Times New Roman" w:hAnsi="Times New Roman" w:eastAsia="宋体" w:cs="Times New Roman"/>
                <w:caps w:val="0"/>
                <w:smallCaps w:val="0"/>
                <w:color w:val="auto"/>
                <w:spacing w:val="0"/>
                <w:kern w:val="0"/>
                <w:sz w:val="21"/>
                <w:highlight w:val="none"/>
                <w:lang w:eastAsia="zh-CN" w:bidi="ar"/>
              </w:rPr>
              <w:t>项目</w:t>
            </w:r>
            <w:r>
              <w:rPr>
                <w:rFonts w:hint="eastAsia" w:ascii="Times New Roman" w:hAnsi="Times New Roman" w:eastAsia="宋体" w:cs="Times New Roman"/>
                <w:caps w:val="0"/>
                <w:smallCaps w:val="0"/>
                <w:color w:val="auto"/>
                <w:spacing w:val="0"/>
                <w:kern w:val="0"/>
                <w:sz w:val="21"/>
                <w:highlight w:val="none"/>
                <w:lang w:bidi="ar"/>
              </w:rPr>
              <w:t>用地不涉及污染地块。符合空间布局约束。</w:t>
            </w:r>
          </w:p>
        </w:tc>
      </w:tr>
      <w:tr w14:paraId="1C07FB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7B0305F2">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hint="eastAsia" w:ascii="Times New Roman" w:hAnsi="Times New Roman" w:eastAsia="宋体" w:cs="Times New Roman"/>
                <w:b/>
                <w:bCs/>
                <w:caps w:val="0"/>
                <w:smallCaps w:val="0"/>
                <w:color w:val="auto"/>
                <w:spacing w:val="0"/>
                <w:sz w:val="21"/>
                <w:highlight w:val="none"/>
              </w:rPr>
              <w:t>环境风险防控</w:t>
            </w:r>
          </w:p>
        </w:tc>
        <w:tc>
          <w:tcPr>
            <w:tcW w:w="5279" w:type="dxa"/>
            <w:tcBorders>
              <w:tl2br w:val="nil"/>
              <w:tr2bl w:val="nil"/>
            </w:tcBorders>
            <w:vAlign w:val="center"/>
          </w:tcPr>
          <w:p w14:paraId="5BF3BBB3">
            <w:pPr>
              <w:widowControl w:val="0"/>
              <w:jc w:val="both"/>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1.化学品生产企业以及工业集聚区、矿山开采区、尾矿库、危险废物处置场、垃圾填埋场等的运营、管理单位，应当采取防渗漏等措施，并建设地下水水质监测井进行监测，防止地下水污染。2.指导地下水污染防治重点排污单位优先开展地下水污染渗漏排查，针对存在问题的设施，采取污染防渗改造措施。3.重点单位在隐患排查、监测等活动中发现工矿用地土壤和地下水存在污染迹象的，应当排查污染源，查明污染原因，采取措施防止新增污染，并参照污染地块土壤环境管理有关规定及时开展土壤和地下水环境调查与风险评估，根据调查与风险评估结果采取风险管控或者治理与修复等措施。</w:t>
            </w:r>
          </w:p>
        </w:tc>
        <w:tc>
          <w:tcPr>
            <w:tcW w:w="1807" w:type="dxa"/>
            <w:tcBorders>
              <w:tl2br w:val="nil"/>
              <w:tr2bl w:val="nil"/>
            </w:tcBorders>
            <w:vAlign w:val="center"/>
          </w:tcPr>
          <w:p w14:paraId="179219CF">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本项目为</w:t>
            </w:r>
            <w:r>
              <w:rPr>
                <w:rFonts w:hint="eastAsia" w:ascii="Times New Roman" w:hAnsi="Times New Roman" w:eastAsia="宋体" w:cs="Times New Roman"/>
                <w:caps w:val="0"/>
                <w:smallCaps w:val="0"/>
                <w:color w:val="auto"/>
                <w:spacing w:val="0"/>
                <w:kern w:val="0"/>
                <w:sz w:val="21"/>
                <w:highlight w:val="none"/>
                <w:lang w:eastAsia="zh-CN" w:bidi="ar"/>
              </w:rPr>
              <w:t>碲化镉弱光发</w:t>
            </w:r>
            <w:r>
              <w:rPr>
                <w:rFonts w:hint="eastAsia" w:ascii="Times New Roman" w:hAnsi="Times New Roman" w:eastAsia="宋体" w:cs="Times New Roman"/>
                <w:caps w:val="0"/>
                <w:smallCaps w:val="0"/>
                <w:color w:val="auto"/>
                <w:spacing w:val="0"/>
                <w:kern w:val="0"/>
                <w:sz w:val="21"/>
                <w:highlight w:val="none"/>
                <w:lang w:bidi="ar"/>
              </w:rPr>
              <w:t>电玻璃项目，属薄膜太阳能光伏电池生产项目，并按要求建设地下水监测井，厂区采取分区防渗，污水处理站及危险废物贮存点等区域采取重点防渗。符合环境风险防控。</w:t>
            </w:r>
          </w:p>
        </w:tc>
      </w:tr>
      <w:tr w14:paraId="06AC4D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6" w:type="dxa"/>
            <w:tcBorders>
              <w:tl2br w:val="nil"/>
              <w:tr2bl w:val="nil"/>
            </w:tcBorders>
            <w:vAlign w:val="center"/>
          </w:tcPr>
          <w:p w14:paraId="0414CAA2">
            <w:pPr>
              <w:widowControl w:val="0"/>
              <w:adjustRightInd w:val="0"/>
              <w:jc w:val="center"/>
              <w:textAlignment w:val="baseline"/>
              <w:rPr>
                <w:rFonts w:ascii="Times New Roman" w:hAnsi="Times New Roman" w:eastAsia="宋体" w:cs="Times New Roman"/>
                <w:b/>
                <w:bCs/>
                <w:caps w:val="0"/>
                <w:smallCaps w:val="0"/>
                <w:color w:val="auto"/>
                <w:spacing w:val="0"/>
                <w:sz w:val="21"/>
                <w:highlight w:val="none"/>
              </w:rPr>
            </w:pPr>
            <w:r>
              <w:rPr>
                <w:rFonts w:hint="eastAsia" w:ascii="Times New Roman" w:hAnsi="Times New Roman" w:eastAsia="宋体" w:cs="Times New Roman"/>
                <w:b/>
                <w:bCs/>
                <w:caps w:val="0"/>
                <w:smallCaps w:val="0"/>
                <w:color w:val="auto"/>
                <w:spacing w:val="0"/>
                <w:sz w:val="21"/>
                <w:highlight w:val="none"/>
              </w:rPr>
              <w:t>污染物排放管控</w:t>
            </w:r>
          </w:p>
        </w:tc>
        <w:tc>
          <w:tcPr>
            <w:tcW w:w="5279" w:type="dxa"/>
            <w:tcBorders>
              <w:tl2br w:val="nil"/>
              <w:tr2bl w:val="nil"/>
            </w:tcBorders>
            <w:vAlign w:val="center"/>
          </w:tcPr>
          <w:p w14:paraId="5CD7096B">
            <w:pPr>
              <w:widowControl w:val="0"/>
              <w:jc w:val="both"/>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新建、扩建“两高”项目应采用先进适用的工艺技术和装备，单位产品物耗、能耗、水耗等达到清洁生产先进水平，依法制定并严格落实防治地下水污染的措施。</w:t>
            </w:r>
          </w:p>
        </w:tc>
        <w:tc>
          <w:tcPr>
            <w:tcW w:w="1807" w:type="dxa"/>
            <w:tcBorders>
              <w:tl2br w:val="nil"/>
              <w:tr2bl w:val="nil"/>
            </w:tcBorders>
            <w:vAlign w:val="center"/>
          </w:tcPr>
          <w:p w14:paraId="19F0EF44">
            <w:pPr>
              <w:widowControl w:val="0"/>
              <w:tabs>
                <w:tab w:val="left" w:pos="265"/>
              </w:tabs>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本项目为重新报批项目，重大变动原因为对设备工艺升级，采用先进的工艺技术且水耗、物耗、能耗达到清洁生产先进水平，并制定地下水污染防治措施。符合污染物排放管控。</w:t>
            </w:r>
          </w:p>
        </w:tc>
      </w:tr>
    </w:tbl>
    <w:p w14:paraId="0EFF71AF">
      <w:pPr>
        <w:widowControl w:val="0"/>
        <w:wordWrap w:val="0"/>
        <w:topLinePunct/>
        <w:adjustRightInd w:val="0"/>
        <w:snapToGrid w:val="0"/>
        <w:spacing w:line="360" w:lineRule="auto"/>
        <w:ind w:firstLine="482" w:firstLineChars="200"/>
        <w:jc w:val="both"/>
        <w:textAlignment w:val="baseline"/>
        <w:rPr>
          <w:rFonts w:ascii="Times New Roman" w:hAnsi="Times New Roman" w:eastAsia="宋体" w:cs="Times New Roman"/>
          <w:caps w:val="0"/>
          <w:smallCaps w:val="0"/>
          <w:color w:val="auto"/>
          <w:spacing w:val="0"/>
          <w:szCs w:val="24"/>
          <w:highlight w:val="none"/>
        </w:rPr>
      </w:pPr>
      <w:r>
        <w:rPr>
          <w:rFonts w:hint="eastAsia"/>
          <w:b/>
          <w:bCs/>
          <w:caps w:val="0"/>
          <w:smallCaps w:val="0"/>
          <w:color w:val="auto"/>
          <w:spacing w:val="0"/>
          <w:kern w:val="0"/>
          <w:highlight w:val="none"/>
        </w:rPr>
        <w:t>（3）“一说明”</w:t>
      </w:r>
    </w:p>
    <w:p w14:paraId="76059A29">
      <w:pPr>
        <w:widowControl w:val="0"/>
        <w:wordWrap w:val="0"/>
        <w:topLinePunct/>
        <w:adjustRightInd w:val="0"/>
        <w:snapToGrid w:val="0"/>
        <w:spacing w:line="360" w:lineRule="auto"/>
        <w:ind w:firstLine="480" w:firstLineChars="200"/>
        <w:jc w:val="both"/>
        <w:textAlignment w:val="baseline"/>
        <w:rPr>
          <w:rFonts w:hint="default" w:ascii="Times New Roman" w:hAnsi="Times New Roman" w:eastAsia="宋体" w:cs="Times New Roman"/>
          <w:caps w:val="0"/>
          <w:smallCaps w:val="0"/>
          <w:color w:val="auto"/>
          <w:spacing w:val="0"/>
          <w:szCs w:val="24"/>
          <w:highlight w:val="none"/>
        </w:rPr>
      </w:pPr>
      <w:r>
        <w:rPr>
          <w:rFonts w:hint="default" w:ascii="Times New Roman" w:hAnsi="Times New Roman" w:cs="Times New Roman"/>
          <w:bCs/>
          <w:caps w:val="0"/>
          <w:smallCaps w:val="0"/>
          <w:color w:val="auto"/>
          <w:spacing w:val="0"/>
          <w:highlight w:val="none"/>
        </w:rPr>
        <w:t>本项目的建设符合《黑龙江省人民政府关于实施“三线一单”生态环境分区管控的意见》（黑政发〔2020〕14号）及《佳木斯市生态环境准入清单》（2023年版）中的要求。根据黑龙江省生态环境分区管控数据应用平台提供的</w:t>
      </w:r>
      <w:r>
        <w:rPr>
          <w:rFonts w:hint="default" w:ascii="Times New Roman" w:hAnsi="Times New Roman" w:cs="Times New Roman"/>
          <w:caps w:val="0"/>
          <w:smallCaps w:val="0"/>
          <w:color w:val="auto"/>
          <w:spacing w:val="0"/>
          <w:highlight w:val="none"/>
        </w:rPr>
        <w:t>《佳木斯中建材光电材料有限公司黑龙江省佳木斯市高新区年产100MW碲化镉弱光发电玻璃项目（重新报批）生态环境分区管控分析报告》</w:t>
      </w:r>
      <w:r>
        <w:rPr>
          <w:rFonts w:hint="default" w:ascii="Times New Roman" w:hAnsi="Times New Roman" w:cs="Times New Roman"/>
          <w:bCs/>
          <w:caps w:val="0"/>
          <w:smallCaps w:val="0"/>
          <w:color w:val="auto"/>
          <w:spacing w:val="0"/>
          <w:highlight w:val="none"/>
        </w:rPr>
        <w:t>，佳木斯中建材光电材料有限公司黑龙江省佳木斯市高新区年产100MW碲化镉弱光发电玻璃项目（重新报批）位置涉及</w:t>
      </w:r>
      <w:r>
        <w:rPr>
          <w:rFonts w:hint="default" w:ascii="Times New Roman" w:hAnsi="Times New Roman" w:eastAsia="宋体" w:cs="Times New Roman"/>
          <w:caps w:val="0"/>
          <w:smallCaps w:val="0"/>
          <w:color w:val="auto"/>
          <w:spacing w:val="0"/>
          <w:szCs w:val="24"/>
          <w:highlight w:val="none"/>
        </w:rPr>
        <w:t>佳木斯市东风区；项目占地总面积0.11平方公里。与生态保护红线交集面积为0.00平方公里，占项目占地面积的0.00%。与自然保护地整合优化方案数据交集面积为0.00平方公里，占项目占地面积的0.00%。保护地涉及等类型。与自然保护地（现状管理数据）交集面积为0.00平方公里，占项目占地面积的0.00%。保护地涉及等类型。与饮用水水源保护区、国家级水产种质资源保护区无交集。与环境管控单元优先保护单元、一般管控单元交集无交集；重点管控单元交集面积为0.11平方公里，占项目占地面积的100.00%。与地下水环境优先保护区交集、地下水环境一般管控区无交集；与地下水环境重点管控区交集面积为0.11平方公里，占项目占地面积的100.00%。</w:t>
      </w:r>
    </w:p>
    <w:p w14:paraId="18137A22">
      <w:pPr>
        <w:widowControl w:val="0"/>
        <w:wordWrap w:val="0"/>
        <w:topLinePunct/>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hint="default" w:ascii="Times New Roman" w:hAnsi="Times New Roman" w:eastAsia="宋体" w:cs="Times New Roman"/>
          <w:caps w:val="0"/>
          <w:smallCaps w:val="0"/>
          <w:color w:val="auto"/>
          <w:spacing w:val="0"/>
          <w:szCs w:val="24"/>
          <w:highlight w:val="none"/>
        </w:rPr>
        <w:t>本项目选址合理，采取了有效、可行的污染治理措施，各项污染物均可达标排放，本项目建设对周围环境影响较小，因此本项目符合《黑龙江省人民政府关于实施“三线一单”生态环境分区管控的意见》（黑政发〔2020〕14号）、《佳木斯市人民政府关于实施“三线一单”生态环境分区管控的意见》（佳政规〔2021〕4号）及《佳木斯市生态</w:t>
      </w:r>
      <w:r>
        <w:rPr>
          <w:rFonts w:ascii="Times New Roman" w:hAnsi="Times New Roman" w:eastAsia="宋体" w:cs="Times New Roman"/>
          <w:caps w:val="0"/>
          <w:smallCaps w:val="0"/>
          <w:color w:val="auto"/>
          <w:spacing w:val="0"/>
          <w:szCs w:val="24"/>
          <w:highlight w:val="none"/>
        </w:rPr>
        <w:t>环境准入清单（2023年版）》中要求。</w:t>
      </w:r>
    </w:p>
    <w:p w14:paraId="5660636E">
      <w:pPr>
        <w:pStyle w:val="5"/>
        <w:widowControl w:val="0"/>
        <w:rPr>
          <w:rFonts w:eastAsia="宋体"/>
          <w:caps w:val="0"/>
          <w:smallCaps w:val="0"/>
          <w:color w:val="auto"/>
          <w:spacing w:val="0"/>
          <w:sz w:val="30"/>
          <w:szCs w:val="30"/>
          <w:highlight w:val="none"/>
        </w:rPr>
      </w:pPr>
      <w:bookmarkStart w:id="16" w:name="_Toc28043"/>
      <w:r>
        <w:rPr>
          <w:rFonts w:eastAsia="宋体"/>
          <w:caps w:val="0"/>
          <w:smallCaps w:val="0"/>
          <w:color w:val="auto"/>
          <w:spacing w:val="0"/>
          <w:sz w:val="30"/>
          <w:szCs w:val="30"/>
          <w:highlight w:val="none"/>
        </w:rPr>
        <w:t>1.5.</w:t>
      </w:r>
      <w:r>
        <w:rPr>
          <w:rFonts w:hint="eastAsia" w:eastAsia="宋体"/>
          <w:caps w:val="0"/>
          <w:smallCaps w:val="0"/>
          <w:color w:val="auto"/>
          <w:spacing w:val="0"/>
          <w:sz w:val="30"/>
          <w:szCs w:val="30"/>
          <w:highlight w:val="none"/>
        </w:rPr>
        <w:t>6</w:t>
      </w:r>
      <w:r>
        <w:rPr>
          <w:rFonts w:eastAsia="宋体"/>
          <w:caps w:val="0"/>
          <w:smallCaps w:val="0"/>
          <w:color w:val="auto"/>
          <w:spacing w:val="0"/>
          <w:sz w:val="30"/>
          <w:szCs w:val="30"/>
          <w:highlight w:val="none"/>
        </w:rPr>
        <w:t>与相关政策符合性分析</w:t>
      </w:r>
      <w:bookmarkEnd w:id="16"/>
    </w:p>
    <w:p w14:paraId="12BD741E">
      <w:pPr>
        <w:widowControl w:val="0"/>
        <w:spacing w:line="360" w:lineRule="auto"/>
        <w:ind w:firstLine="482" w:firstLineChars="200"/>
        <w:jc w:val="both"/>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1、与</w:t>
      </w:r>
      <w:r>
        <w:rPr>
          <w:rFonts w:hint="eastAsia" w:ascii="Times New Roman" w:hAnsi="Times New Roman" w:eastAsia="宋体" w:cs="Times New Roman"/>
          <w:b/>
          <w:bCs/>
          <w:caps w:val="0"/>
          <w:smallCaps w:val="0"/>
          <w:color w:val="auto"/>
          <w:spacing w:val="0"/>
          <w:szCs w:val="24"/>
          <w:highlight w:val="none"/>
        </w:rPr>
        <w:t>《</w:t>
      </w:r>
      <w:r>
        <w:rPr>
          <w:rFonts w:ascii="Times New Roman" w:hAnsi="Times New Roman" w:eastAsia="宋体" w:cs="Times New Roman"/>
          <w:b/>
          <w:bCs/>
          <w:caps w:val="0"/>
          <w:smallCaps w:val="0"/>
          <w:color w:val="auto"/>
          <w:spacing w:val="0"/>
          <w:szCs w:val="24"/>
          <w:highlight w:val="none"/>
        </w:rPr>
        <w:t>黑龙江省水污染防治条例</w:t>
      </w:r>
      <w:r>
        <w:rPr>
          <w:rFonts w:hint="eastAsia" w:ascii="Times New Roman" w:hAnsi="Times New Roman" w:eastAsia="宋体" w:cs="Times New Roman"/>
          <w:b/>
          <w:bCs/>
          <w:caps w:val="0"/>
          <w:smallCaps w:val="0"/>
          <w:color w:val="auto"/>
          <w:spacing w:val="0"/>
          <w:szCs w:val="24"/>
          <w:highlight w:val="none"/>
        </w:rPr>
        <w:t>》</w:t>
      </w:r>
      <w:r>
        <w:rPr>
          <w:rFonts w:ascii="Times New Roman" w:hAnsi="Times New Roman" w:eastAsia="宋体" w:cs="Times New Roman"/>
          <w:b/>
          <w:bCs/>
          <w:caps w:val="0"/>
          <w:smallCaps w:val="0"/>
          <w:color w:val="auto"/>
          <w:spacing w:val="0"/>
          <w:szCs w:val="24"/>
          <w:highlight w:val="none"/>
        </w:rPr>
        <w:t>符合性分析</w:t>
      </w:r>
    </w:p>
    <w:p w14:paraId="47D11938">
      <w:pPr>
        <w:pStyle w:val="13"/>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w:t>
      </w:r>
      <w:r>
        <w:rPr>
          <w:rFonts w:ascii="Times New Roman" w:hAnsi="Times New Roman" w:eastAsia="宋体" w:cs="Times New Roman"/>
          <w:b/>
          <w:bCs/>
          <w:caps w:val="0"/>
          <w:smallCaps w:val="0"/>
          <w:color w:val="auto"/>
          <w:spacing w:val="0"/>
          <w:szCs w:val="24"/>
          <w:highlight w:val="none"/>
        </w:rPr>
        <w:t>《黑龙江省水污染防治条例》中要求。</w:t>
      </w:r>
      <w:r>
        <w:rPr>
          <w:rFonts w:hint="eastAsia" w:ascii="Times New Roman" w:hAnsi="Times New Roman" w:eastAsia="宋体" w:cs="Times New Roman"/>
          <w:caps w:val="0"/>
          <w:smallCaps w:val="0"/>
          <w:color w:val="auto"/>
          <w:spacing w:val="0"/>
          <w:highlight w:val="none"/>
        </w:rPr>
        <w:t>排放工业废水的企业应当采取有效措施，收集和处理产生的全部废水，防止污染环境。含有毒有害水污染物的工业废水应当分类收集和处理，不得稀释排放。新建冶金、电镀、化工、印染、原料药制造等工业企业，排放的含重金属或者难以生化降解废水，以及有关工业企业排放的高盐废水，不得排入城镇污水集中处理设施，但具有工业废水处理资质且出水达到国家标准的原料药制造企业除外；对已经接入城镇污水集中处理设施的工业企业进行排查、评估，经评估认定污染物不能被城镇污水处理厂有效处理或者可能影响城镇污水处理厂出水稳定达标的，限期退出城镇污水管网。</w:t>
      </w:r>
    </w:p>
    <w:p w14:paraId="34D41C60">
      <w:pPr>
        <w:pStyle w:val="13"/>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化学品生产企业以及工业集聚区、矿山开采区、尾矿库、危险废物处置场、垃圾填埋场等的运营、管理单位，应当采取防渗漏等措施，并建设地下水水质监测井进行监测。</w:t>
      </w:r>
    </w:p>
    <w:p w14:paraId="3535C166">
      <w:pPr>
        <w:pStyle w:val="65"/>
        <w:widowControl w:val="0"/>
        <w:ind w:firstLine="480"/>
        <w:jc w:val="both"/>
        <w:rPr>
          <w:rFonts w:eastAsia="宋体"/>
          <w:caps w:val="0"/>
          <w:smallCaps w:val="0"/>
          <w:color w:val="auto"/>
          <w:spacing w:val="0"/>
          <w:highlight w:val="none"/>
        </w:rPr>
      </w:pPr>
      <w:r>
        <w:rPr>
          <w:rFonts w:hint="eastAsia" w:eastAsia="宋体"/>
          <w:caps w:val="0"/>
          <w:smallCaps w:val="0"/>
          <w:color w:val="auto"/>
          <w:spacing w:val="0"/>
          <w:highlight w:val="none"/>
        </w:rPr>
        <w:t>本项目生产过程中产生的碱性清洗废水经厂区pH中和后排入市政管网进入厂区污水处理厂，生产过程中产生的含镉废水，经厂区污水处理系统处理后</w:t>
      </w:r>
      <w:r>
        <w:rPr>
          <w:rFonts w:eastAsia="宋体"/>
          <w:caps w:val="0"/>
          <w:smallCaps w:val="0"/>
          <w:color w:val="auto"/>
          <w:spacing w:val="0"/>
          <w:highlight w:val="none"/>
        </w:rPr>
        <w:t>回用于生产工艺，项目不涉及重金属排放，</w:t>
      </w:r>
      <w:r>
        <w:rPr>
          <w:rFonts w:hint="eastAsia" w:eastAsia="宋体"/>
          <w:caps w:val="0"/>
          <w:smallCaps w:val="0"/>
          <w:color w:val="auto"/>
          <w:spacing w:val="0"/>
          <w:highlight w:val="none"/>
        </w:rPr>
        <w:t>厂区污水处理站采取重点防渗，在厂区下游设置地下水监测井</w:t>
      </w:r>
      <w:r>
        <w:rPr>
          <w:rFonts w:eastAsia="宋体"/>
          <w:caps w:val="0"/>
          <w:smallCaps w:val="0"/>
          <w:color w:val="auto"/>
          <w:spacing w:val="0"/>
          <w:highlight w:val="none"/>
        </w:rPr>
        <w:t>。符合政策要求。</w:t>
      </w:r>
    </w:p>
    <w:p w14:paraId="6BF3A86F">
      <w:pPr>
        <w:widowControl w:val="0"/>
        <w:spacing w:line="360" w:lineRule="auto"/>
        <w:ind w:firstLine="482" w:firstLineChars="200"/>
        <w:jc w:val="both"/>
        <w:rPr>
          <w:rFonts w:ascii="Times New Roman" w:hAnsi="Times New Roman" w:eastAsia="宋体" w:cs="Times New Roman"/>
          <w:b/>
          <w:bCs/>
          <w:caps w:val="0"/>
          <w:smallCaps w:val="0"/>
          <w:color w:val="auto"/>
          <w:spacing w:val="0"/>
          <w:szCs w:val="24"/>
          <w:highlight w:val="none"/>
        </w:rPr>
      </w:pPr>
      <w:r>
        <w:rPr>
          <w:rFonts w:hint="eastAsia" w:ascii="Times New Roman" w:hAnsi="Times New Roman" w:eastAsia="宋体" w:cs="Times New Roman"/>
          <w:b/>
          <w:bCs/>
          <w:caps w:val="0"/>
          <w:smallCaps w:val="0"/>
          <w:color w:val="auto"/>
          <w:spacing w:val="0"/>
          <w:szCs w:val="24"/>
          <w:highlight w:val="none"/>
        </w:rPr>
        <w:t>2、</w:t>
      </w:r>
      <w:r>
        <w:rPr>
          <w:rFonts w:ascii="Times New Roman" w:hAnsi="Times New Roman" w:eastAsia="宋体" w:cs="Times New Roman"/>
          <w:b/>
          <w:bCs/>
          <w:caps w:val="0"/>
          <w:smallCaps w:val="0"/>
          <w:color w:val="auto"/>
          <w:spacing w:val="0"/>
          <w:szCs w:val="24"/>
          <w:highlight w:val="none"/>
        </w:rPr>
        <w:t>与《佳木斯市“十四五”生态环境保护规划》符合性分析</w:t>
      </w:r>
    </w:p>
    <w:p w14:paraId="6B914612">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推进产业结构调整。持续压减淘汰落后产能，实施差别化环境准入政策，从严控制高能耗、高物耗、高水耗、低水平重复建设项目及涉危、涉重和其他重大环境风险项目。推进城市建成区重点企业搬迁改造，加快重点污染工业企业退城、搬迁、改造、关停。加强重点行业绿色转型，支持企业开展能效提升、清洁生产、超低排放等绿色化改造，实施重点行业和企业循环化改造，推动资源循环再生利用，提升行业资源能源利用效率。推进产业集群和园区升级改造，鼓励创建绿色工厂、绿色工业园区，加强园区能源梯级利用，推进集中供热，推动佳木斯高新区晋升为国家级高新区，支持各县(市)区产业园区培育壮大特色产业集群。</w:t>
      </w:r>
    </w:p>
    <w:p w14:paraId="7089649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开展VOCs(挥发性有机物)全过程综合整治。持续开展石化、化工、包装印刷、工业涂装等重点行业VOCs全过程综合整治。提高VOCs含量低(无)的绿色原辅材料替代比例，开展原油、成品油、有机化学品等涉VOCs物质储罐排查，按规定逐步取消煤化工、制药、农药、化工、工业涂装、包装印刷等企业非必要VOCs废气排放系统旁路。鼓励涂装类工业企业统筹规划建设集中涂装中心、活性炭集中处理中心、溶剂回收中心。加强汽修、餐饮等行业VOCs综合治理。加强对加油站、储油库、油罐车的油气回收设施运行监管。</w:t>
      </w:r>
    </w:p>
    <w:p w14:paraId="4D2F244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本项目为碲化镉薄膜光伏组件项目，属薄膜太阳能光伏电池生产</w:t>
      </w:r>
      <w:r>
        <w:rPr>
          <w:rFonts w:hint="eastAsia" w:ascii="Times New Roman" w:hAnsi="Times New Roman" w:eastAsia="宋体" w:cs="Times New Roman"/>
          <w:caps w:val="0"/>
          <w:smallCaps w:val="0"/>
          <w:color w:val="auto"/>
          <w:spacing w:val="0"/>
          <w:highlight w:val="none"/>
        </w:rPr>
        <w:t>项目，不属于淘汰落后产能，及</w:t>
      </w:r>
      <w:r>
        <w:rPr>
          <w:rFonts w:ascii="Times New Roman" w:hAnsi="Times New Roman" w:eastAsia="宋体" w:cs="Times New Roman"/>
          <w:caps w:val="0"/>
          <w:smallCaps w:val="0"/>
          <w:color w:val="auto"/>
          <w:spacing w:val="0"/>
          <w:highlight w:val="none"/>
        </w:rPr>
        <w:t>高能耗、高物耗、高水耗、低水平重复建设项目及涉危、涉重和其他重大环境风险项目</w:t>
      </w:r>
      <w:r>
        <w:rPr>
          <w:rFonts w:hint="eastAsia" w:ascii="Times New Roman" w:hAnsi="Times New Roman" w:eastAsia="宋体" w:cs="Times New Roman"/>
          <w:caps w:val="0"/>
          <w:smallCaps w:val="0"/>
          <w:color w:val="auto"/>
          <w:spacing w:val="0"/>
          <w:highlight w:val="none"/>
        </w:rPr>
        <w:t>，且本项目位于佳木斯高新区，符合园区规划。为减少VOCs排放，</w:t>
      </w:r>
      <w:r>
        <w:rPr>
          <w:rFonts w:ascii="Times New Roman" w:hAnsi="Times New Roman" w:eastAsia="宋体" w:cs="Times New Roman"/>
          <w:caps w:val="0"/>
          <w:smallCaps w:val="0"/>
          <w:color w:val="auto"/>
          <w:spacing w:val="0"/>
          <w:highlight w:val="none"/>
        </w:rPr>
        <w:t>项目光刻胶涂覆固化曝光工序产生的有机废气</w:t>
      </w:r>
      <w:r>
        <w:rPr>
          <w:rFonts w:hint="eastAsia" w:ascii="Times New Roman" w:hAnsi="Times New Roman" w:eastAsia="宋体" w:cs="Times New Roman"/>
          <w:caps w:val="0"/>
          <w:smallCaps w:val="0"/>
          <w:color w:val="auto"/>
          <w:spacing w:val="0"/>
          <w:highlight w:val="none"/>
        </w:rPr>
        <w:t>由无组织改为有组织，</w:t>
      </w:r>
      <w:r>
        <w:rPr>
          <w:rFonts w:ascii="Times New Roman" w:hAnsi="Times New Roman" w:eastAsia="宋体" w:cs="Times New Roman"/>
          <w:caps w:val="0"/>
          <w:smallCaps w:val="0"/>
          <w:color w:val="auto"/>
          <w:spacing w:val="0"/>
          <w:highlight w:val="none"/>
        </w:rPr>
        <w:t>经全封闭设备收集/集气罩负压收集+两级活性炭吸附装置处理通过</w:t>
      </w:r>
      <w:r>
        <w:rPr>
          <w:rFonts w:hint="eastAsia" w:ascii="Times New Roman" w:hAnsi="Times New Roman" w:eastAsia="宋体" w:cs="Times New Roman"/>
          <w:caps w:val="0"/>
          <w:smallCaps w:val="0"/>
          <w:color w:val="auto"/>
          <w:spacing w:val="0"/>
          <w:highlight w:val="none"/>
        </w:rPr>
        <w:t>排气筒</w:t>
      </w:r>
      <w:r>
        <w:rPr>
          <w:rFonts w:ascii="Times New Roman" w:hAnsi="Times New Roman" w:eastAsia="宋体" w:cs="Times New Roman"/>
          <w:caps w:val="0"/>
          <w:smallCaps w:val="0"/>
          <w:color w:val="auto"/>
          <w:spacing w:val="0"/>
          <w:highlight w:val="none"/>
        </w:rPr>
        <w:t>达标排放。符合政策要求。</w:t>
      </w:r>
    </w:p>
    <w:p w14:paraId="361A14D1">
      <w:pPr>
        <w:widowControl w:val="0"/>
        <w:spacing w:line="360" w:lineRule="auto"/>
        <w:ind w:firstLine="480" w:firstLineChars="200"/>
        <w:jc w:val="both"/>
        <w:rPr>
          <w:rFonts w:ascii="Times New Roman" w:hAnsi="Times New Roman" w:eastAsia="宋体" w:cs="Times New Roman"/>
          <w:b/>
          <w:bCs/>
          <w:caps w:val="0"/>
          <w:smallCaps w:val="0"/>
          <w:color w:val="auto"/>
          <w:spacing w:val="0"/>
          <w:szCs w:val="24"/>
          <w:highlight w:val="none"/>
        </w:rPr>
      </w:pPr>
      <w:r>
        <w:rPr>
          <w:rFonts w:hint="eastAsia" w:ascii="Times New Roman" w:hAnsi="Times New Roman" w:eastAsia="宋体" w:cs="Times New Roman"/>
          <w:caps w:val="0"/>
          <w:smallCaps w:val="0"/>
          <w:color w:val="auto"/>
          <w:spacing w:val="0"/>
          <w:highlight w:val="none"/>
        </w:rPr>
        <w:t>3、</w:t>
      </w:r>
      <w:r>
        <w:rPr>
          <w:rFonts w:ascii="Times New Roman" w:hAnsi="Times New Roman" w:eastAsia="宋体" w:cs="Times New Roman"/>
          <w:b/>
          <w:bCs/>
          <w:caps w:val="0"/>
          <w:smallCaps w:val="0"/>
          <w:color w:val="auto"/>
          <w:spacing w:val="0"/>
          <w:szCs w:val="24"/>
          <w:highlight w:val="none"/>
        </w:rPr>
        <w:t>与《挥发性有机物(VOCs)污染防治技术政策》(原环境保护部公告2013年第31号)符合性分析</w:t>
      </w:r>
    </w:p>
    <w:p w14:paraId="435C2AD1">
      <w:pPr>
        <w:pStyle w:val="13"/>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w:t>
      </w:r>
      <w:r>
        <w:rPr>
          <w:rFonts w:ascii="Times New Roman" w:hAnsi="Times New Roman" w:eastAsia="宋体" w:cs="Times New Roman"/>
          <w:b/>
          <w:bCs/>
          <w:caps w:val="0"/>
          <w:smallCaps w:val="0"/>
          <w:color w:val="auto"/>
          <w:spacing w:val="0"/>
          <w:szCs w:val="24"/>
          <w:highlight w:val="none"/>
        </w:rPr>
        <w:t>《挥发性有机物(VOCs)污染防治技术政策》(原环境保护部公告2013年第31号)中要求。</w:t>
      </w:r>
      <w:r>
        <w:rPr>
          <w:rFonts w:ascii="Times New Roman" w:hAnsi="Times New Roman" w:eastAsia="宋体" w:cs="Times New Roman"/>
          <w:caps w:val="0"/>
          <w:smallCaps w:val="0"/>
          <w:color w:val="auto"/>
          <w:spacing w:val="0"/>
          <w:highlight w:val="none"/>
        </w:rPr>
        <w:t>对于含低浓度VOCs的废气，有回收价值时可采用吸附技术、吸收技术对有机溶剂回收后达标排放；不宜回收时，可采用吸附浓缩燃烧技术、生物技术、吸收技术，等离子体技术或紫外光高级氧化技术等净化后达标排放。企业应建立健全VOCs治理设施的运行维护规程和台账等日常管理制度。并根据工艺要求定期对各类设备、电器、自控仪表等进行检修维护，确保设施的稳定运行。</w:t>
      </w:r>
    </w:p>
    <w:p w14:paraId="02543CE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本项目生产过程对产生的VOCs无回收价值，项目光刻胶涂覆固化曝光工序产生的有机废气经全封闭设备收集/集气罩负压收集+两级活性炭吸附装置处理通过</w:t>
      </w:r>
      <w:r>
        <w:rPr>
          <w:rFonts w:hint="eastAsia" w:ascii="Times New Roman" w:hAnsi="Times New Roman" w:eastAsia="宋体" w:cs="Times New Roman"/>
          <w:caps w:val="0"/>
          <w:smallCaps w:val="0"/>
          <w:color w:val="auto"/>
          <w:spacing w:val="0"/>
          <w:highlight w:val="none"/>
        </w:rPr>
        <w:t>排气筒</w:t>
      </w:r>
      <w:r>
        <w:rPr>
          <w:rFonts w:ascii="Times New Roman" w:hAnsi="Times New Roman" w:eastAsia="宋体" w:cs="Times New Roman"/>
          <w:caps w:val="0"/>
          <w:smallCaps w:val="0"/>
          <w:color w:val="auto"/>
          <w:spacing w:val="0"/>
          <w:highlight w:val="none"/>
        </w:rPr>
        <w:t>达标排放。项目运营后，企业将按照要求完善VOCs治理设施管理及维护台账制度，确保设施的稳定运行，符合政策要求。</w:t>
      </w:r>
    </w:p>
    <w:p w14:paraId="78BFC97F">
      <w:pPr>
        <w:pStyle w:val="27"/>
        <w:numPr>
          <w:ilvl w:val="0"/>
          <w:numId w:val="4"/>
        </w:numPr>
        <w:ind w:firstLine="482" w:firstLineChars="2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《佳木斯市空气质量持续改善行动计划实施方案》</w:t>
      </w:r>
      <w:r>
        <w:rPr>
          <w:rFonts w:hint="eastAsia" w:ascii="Times New Roman" w:hAnsi="Times New Roman" w:eastAsia="宋体" w:cs="Times New Roman"/>
          <w:caps w:val="0"/>
          <w:smallCaps w:val="0"/>
          <w:color w:val="auto"/>
          <w:spacing w:val="0"/>
          <w:sz w:val="24"/>
          <w:szCs w:val="24"/>
          <w:highlight w:val="none"/>
        </w:rPr>
        <w:t>符合性分析</w:t>
      </w:r>
    </w:p>
    <w:p w14:paraId="55D65004">
      <w:pPr>
        <w:pStyle w:val="65"/>
        <w:widowControl w:val="0"/>
        <w:ind w:firstLine="482"/>
        <w:jc w:val="both"/>
        <w:rPr>
          <w:rFonts w:eastAsia="宋体"/>
          <w:caps w:val="0"/>
          <w:smallCaps w:val="0"/>
          <w:color w:val="auto"/>
          <w:spacing w:val="0"/>
          <w:highlight w:val="none"/>
        </w:rPr>
      </w:pPr>
      <w:r>
        <w:rPr>
          <w:rFonts w:hint="eastAsia" w:eastAsia="宋体"/>
          <w:b/>
          <w:bCs/>
          <w:caps w:val="0"/>
          <w:smallCaps w:val="0"/>
          <w:color w:val="auto"/>
          <w:spacing w:val="0"/>
          <w:szCs w:val="24"/>
          <w:highlight w:val="none"/>
        </w:rPr>
        <w:t>根据</w:t>
      </w:r>
      <w:r>
        <w:rPr>
          <w:rFonts w:eastAsia="宋体"/>
          <w:b/>
          <w:bCs/>
          <w:caps w:val="0"/>
          <w:smallCaps w:val="0"/>
          <w:color w:val="auto"/>
          <w:spacing w:val="0"/>
          <w:szCs w:val="24"/>
          <w:highlight w:val="none"/>
        </w:rPr>
        <w:t>《佳木斯市空气质量持续改善行动计划实施方案》</w:t>
      </w:r>
      <w:r>
        <w:rPr>
          <w:rFonts w:hint="eastAsia" w:eastAsia="宋体"/>
          <w:b/>
          <w:bCs/>
          <w:caps w:val="0"/>
          <w:smallCaps w:val="0"/>
          <w:color w:val="auto"/>
          <w:spacing w:val="0"/>
          <w:szCs w:val="24"/>
          <w:highlight w:val="none"/>
        </w:rPr>
        <w:t>中要求。</w:t>
      </w:r>
      <w:r>
        <w:rPr>
          <w:rFonts w:hint="eastAsia" w:eastAsia="宋体"/>
          <w:caps w:val="0"/>
          <w:smallCaps w:val="0"/>
          <w:color w:val="auto"/>
          <w:spacing w:val="0"/>
          <w:highlight w:val="none"/>
        </w:rPr>
        <w:t>严格新建项目准入。坚决遏制“两高一低”项目盲目发展，推进生态环境分区管控成果在“两高一低”行业产业布局和结构调整、重大项目选址中的应用。新改扩建高耗能、高排放、低水平项目，应按照产业规划和政策、生态环境分区管控、园区规划和规划环评、节能审查，以及产能置换、总量控制、碳达峰等相关要求执行，原则上采用清洁运输方式。涉及产能置换的项目，被置换产能及其配套设施同步关停后，新建项目方可投产。严格控制生产和使用高VOCs含量溶剂型涂料、油墨、胶粘剂、清洗剂等建设项目审批。</w:t>
      </w:r>
    </w:p>
    <w:p w14:paraId="0F5BD189">
      <w:pPr>
        <w:pStyle w:val="65"/>
        <w:widowControl w:val="0"/>
        <w:ind w:firstLine="480"/>
        <w:jc w:val="both"/>
        <w:rPr>
          <w:rFonts w:eastAsia="宋体"/>
          <w:caps w:val="0"/>
          <w:smallCaps w:val="0"/>
          <w:color w:val="auto"/>
          <w:spacing w:val="0"/>
          <w:highlight w:val="none"/>
        </w:rPr>
      </w:pPr>
      <w:r>
        <w:rPr>
          <w:rFonts w:hint="eastAsia" w:eastAsia="宋体"/>
          <w:caps w:val="0"/>
          <w:smallCaps w:val="0"/>
          <w:color w:val="auto"/>
          <w:spacing w:val="0"/>
          <w:highlight w:val="none"/>
        </w:rPr>
        <w:t>指导落后产能淘汰退出。根据《产业结构调整指导目录（2024年本）》，加大淘汰类落后生产工艺装备、产品退出力度，引导限制类生产工艺装备、产品淘汰改造。</w:t>
      </w:r>
    </w:p>
    <w:p w14:paraId="77BE081A">
      <w:pPr>
        <w:pStyle w:val="65"/>
        <w:widowControl w:val="0"/>
        <w:ind w:firstLine="480"/>
        <w:jc w:val="both"/>
        <w:rPr>
          <w:rFonts w:eastAsia="宋体"/>
          <w:caps w:val="0"/>
          <w:smallCaps w:val="0"/>
          <w:color w:val="auto"/>
          <w:spacing w:val="0"/>
          <w:highlight w:val="none"/>
        </w:rPr>
      </w:pPr>
      <w:r>
        <w:rPr>
          <w:rFonts w:hint="eastAsia" w:eastAsia="宋体"/>
          <w:caps w:val="0"/>
          <w:smallCaps w:val="0"/>
          <w:color w:val="auto"/>
          <w:spacing w:val="0"/>
          <w:highlight w:val="none"/>
        </w:rPr>
        <w:t>实施传统产业集群整治计划。对现有产业集群制定专项整治方案，按照“疏堵结合、分类施治”原则，依法淘汰关停一批、搬迁入园一批、就地改造一批、做优做强一批。各县（市）区要根据产业集群特点，建设集中的热、汽供应中心；鼓励农机装备及配件制造等涂料类企业集中的产业集群建设集中喷涂中心，安装高效VOCs治理设施，替代企业独立喷涂工序；推进普遍使用有机溶剂的产业集群建设集中回收处置中心；统筹活性炭使用量大的产业集群建设集中再生中心，对活性炭进行统一处理。</w:t>
      </w:r>
    </w:p>
    <w:p w14:paraId="1CDF969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本项目为碲化镉薄膜光伏组件项目，属薄膜太阳能光伏电池生产</w:t>
      </w:r>
      <w:r>
        <w:rPr>
          <w:rFonts w:hint="eastAsia" w:eastAsia="宋体"/>
          <w:caps w:val="0"/>
          <w:smallCaps w:val="0"/>
          <w:color w:val="auto"/>
          <w:spacing w:val="0"/>
          <w:highlight w:val="none"/>
        </w:rPr>
        <w:t>项目，不属于“两高一低”项目，不属于淘汰落后生产工艺及产能，使用的光刻胶及粘合剂VOCs容量较低，同时为减少VOCs排放，</w:t>
      </w:r>
      <w:r>
        <w:rPr>
          <w:rFonts w:eastAsia="宋体"/>
          <w:caps w:val="0"/>
          <w:smallCaps w:val="0"/>
          <w:color w:val="auto"/>
          <w:spacing w:val="0"/>
          <w:highlight w:val="none"/>
        </w:rPr>
        <w:t>项目光刻胶涂覆固化曝光工序产生的有机废气</w:t>
      </w:r>
      <w:r>
        <w:rPr>
          <w:rFonts w:hint="eastAsia" w:eastAsia="宋体"/>
          <w:caps w:val="0"/>
          <w:smallCaps w:val="0"/>
          <w:color w:val="auto"/>
          <w:spacing w:val="0"/>
          <w:highlight w:val="none"/>
        </w:rPr>
        <w:t>由无组织改为有组织，</w:t>
      </w:r>
      <w:r>
        <w:rPr>
          <w:rFonts w:eastAsia="宋体"/>
          <w:caps w:val="0"/>
          <w:smallCaps w:val="0"/>
          <w:color w:val="auto"/>
          <w:spacing w:val="0"/>
          <w:highlight w:val="none"/>
        </w:rPr>
        <w:t>经全封闭设备收集/集气罩负压收集+两级活性炭吸附装置处理通过排</w:t>
      </w:r>
      <w:r>
        <w:rPr>
          <w:rFonts w:hint="eastAsia" w:eastAsia="宋体"/>
          <w:caps w:val="0"/>
          <w:smallCaps w:val="0"/>
          <w:color w:val="auto"/>
          <w:spacing w:val="0"/>
          <w:highlight w:val="none"/>
        </w:rPr>
        <w:t>气筒</w:t>
      </w:r>
      <w:r>
        <w:rPr>
          <w:rFonts w:eastAsia="宋体"/>
          <w:caps w:val="0"/>
          <w:smallCaps w:val="0"/>
          <w:color w:val="auto"/>
          <w:spacing w:val="0"/>
          <w:highlight w:val="none"/>
        </w:rPr>
        <w:t>达标排放</w:t>
      </w:r>
      <w:r>
        <w:rPr>
          <w:rFonts w:hint="eastAsia" w:eastAsia="宋体"/>
          <w:caps w:val="0"/>
          <w:smallCaps w:val="0"/>
          <w:color w:val="auto"/>
          <w:spacing w:val="0"/>
          <w:highlight w:val="none"/>
        </w:rPr>
        <w:t>，环保设施产生的废活性炭集中收集暂存于危险废物贮存库内，定期交由有资质的单位处置。</w:t>
      </w:r>
      <w:r>
        <w:rPr>
          <w:rFonts w:eastAsia="宋体"/>
          <w:caps w:val="0"/>
          <w:smallCaps w:val="0"/>
          <w:color w:val="auto"/>
          <w:spacing w:val="0"/>
          <w:highlight w:val="none"/>
        </w:rPr>
        <w:t>符合政策要求。</w:t>
      </w:r>
    </w:p>
    <w:p w14:paraId="5C0CE81B">
      <w:pPr>
        <w:widowControl w:val="0"/>
        <w:numPr>
          <w:ilvl w:val="0"/>
          <w:numId w:val="4"/>
        </w:numPr>
        <w:spacing w:line="360" w:lineRule="auto"/>
        <w:ind w:firstLine="482" w:firstLineChars="200"/>
        <w:jc w:val="both"/>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《关于进一步加强重金属污染防控的意见（环固体</w:t>
      </w:r>
      <w:r>
        <w:rPr>
          <w:rFonts w:hint="eastAsia" w:ascii="Times New Roman" w:hAnsi="Times New Roman" w:eastAsia="宋体" w:cs="Times New Roman"/>
          <w:b/>
          <w:bCs/>
          <w:caps w:val="0"/>
          <w:smallCaps w:val="0"/>
          <w:color w:val="auto"/>
          <w:spacing w:val="0"/>
          <w:szCs w:val="24"/>
          <w:highlight w:val="none"/>
        </w:rPr>
        <w:t>〔2022〕17号</w:t>
      </w:r>
      <w:r>
        <w:rPr>
          <w:rFonts w:ascii="Times New Roman" w:hAnsi="Times New Roman" w:eastAsia="宋体" w:cs="Times New Roman"/>
          <w:b/>
          <w:bCs/>
          <w:caps w:val="0"/>
          <w:smallCaps w:val="0"/>
          <w:color w:val="auto"/>
          <w:spacing w:val="0"/>
          <w:szCs w:val="24"/>
          <w:highlight w:val="none"/>
        </w:rPr>
        <w:t>）》</w:t>
      </w:r>
    </w:p>
    <w:p w14:paraId="5D4E761B">
      <w:pPr>
        <w:pStyle w:val="13"/>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w:t>
      </w:r>
      <w:r>
        <w:rPr>
          <w:rFonts w:ascii="Times New Roman" w:hAnsi="Times New Roman" w:eastAsia="宋体" w:cs="Times New Roman"/>
          <w:b/>
          <w:bCs/>
          <w:caps w:val="0"/>
          <w:smallCaps w:val="0"/>
          <w:color w:val="auto"/>
          <w:spacing w:val="0"/>
          <w:szCs w:val="24"/>
          <w:highlight w:val="none"/>
        </w:rPr>
        <w:t>关于进一步加强重金属污染防控的意见（环固体</w:t>
      </w:r>
      <w:r>
        <w:rPr>
          <w:rFonts w:hint="eastAsia" w:ascii="Times New Roman" w:hAnsi="Times New Roman" w:eastAsia="宋体" w:cs="Times New Roman"/>
          <w:b/>
          <w:bCs/>
          <w:caps w:val="0"/>
          <w:smallCaps w:val="0"/>
          <w:color w:val="auto"/>
          <w:spacing w:val="0"/>
          <w:szCs w:val="24"/>
          <w:highlight w:val="none"/>
        </w:rPr>
        <w:t>〔2022〕17号</w:t>
      </w:r>
      <w:r>
        <w:rPr>
          <w:rFonts w:ascii="Times New Roman" w:hAnsi="Times New Roman" w:eastAsia="宋体" w:cs="Times New Roman"/>
          <w:b/>
          <w:bCs/>
          <w:caps w:val="0"/>
          <w:smallCaps w:val="0"/>
          <w:color w:val="auto"/>
          <w:spacing w:val="0"/>
          <w:szCs w:val="24"/>
          <w:highlight w:val="none"/>
        </w:rPr>
        <w:t>）</w:t>
      </w:r>
      <w:r>
        <w:rPr>
          <w:rFonts w:ascii="Times New Roman" w:hAnsi="Times New Roman" w:eastAsia="宋体" w:cs="Times New Roman"/>
          <w:caps w:val="0"/>
          <w:smallCaps w:val="0"/>
          <w:color w:val="auto"/>
          <w:spacing w:val="0"/>
          <w:highlight w:val="none"/>
        </w:rPr>
        <w:t>》中要求：二、防控重点1、重点重金属污染物。重点防控的重金属污染物是铅汞、镉、铬、砷、铊和锑，并对铅、汞、镉、铬和砷五种重点重金属污染物排放量实施总量控制。2、重点行业。包括重有色金属矿采选业</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铜、铅锌、镍钴、锡、锑和汞矿采选</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，重有色金属冶炼业</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铜、铅锌、镍钴、锡、锑和汞冶炼</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，铅蓄电池制造业，电镀行业，化学原料及化学制品制造业</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电石法(聚)氣乙烯制造、铬盐制造、以工业固体废物为原料的锌无机化合物工业)，皮革鞣制加工业等6个行业。3、重点区域。依据重金属污染物排放状况、环境质量改善和环境风险防控需求，划定重金属污染防控重点区域。</w:t>
      </w:r>
    </w:p>
    <w:p w14:paraId="58FB874B">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为碲化镉薄膜光伏组件项目，属薄膜太阳能光伏电池生产，不属于重点行业。涉及的重点重金属污染物为镉，项目含镉废水经废水处理设施(“调节+沉淀+TMF膜+催化+气浮+生化+MBR+RO反渗透+三效蒸发”工艺)处理后产生的纯水回用于生产工序不外排，含镉污泥、蒸发结晶作为危废处置，因此不需要排放总量控制。</w:t>
      </w:r>
    </w:p>
    <w:p w14:paraId="1DED34D7">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该项目符合产业规划和其他规划，选址符合园区规划；场址周围敏感度一般；污染物实现达标排放、对周围环境的影响较小；满足大气环境防护距离、卫生防护距离及安全防护距离的要求；当地公众未对本项目提出意见。因此，工程可行。</w:t>
      </w:r>
    </w:p>
    <w:p w14:paraId="669DAEDF">
      <w:pPr>
        <w:widowControl w:val="0"/>
        <w:spacing w:line="360" w:lineRule="auto"/>
        <w:ind w:firstLine="482" w:firstLineChars="200"/>
        <w:jc w:val="both"/>
        <w:rPr>
          <w:rFonts w:ascii="Times New Roman" w:hAnsi="Times New Roman" w:eastAsia="宋体" w:cs="Times New Roman"/>
          <w:b/>
          <w:bCs/>
          <w:caps w:val="0"/>
          <w:smallCaps w:val="0"/>
          <w:color w:val="auto"/>
          <w:spacing w:val="0"/>
          <w:szCs w:val="24"/>
          <w:highlight w:val="none"/>
        </w:rPr>
      </w:pPr>
      <w:r>
        <w:rPr>
          <w:rFonts w:hint="eastAsia" w:ascii="Times New Roman" w:hAnsi="Times New Roman" w:eastAsia="宋体" w:cs="Times New Roman"/>
          <w:b/>
          <w:bCs/>
          <w:caps w:val="0"/>
          <w:smallCaps w:val="0"/>
          <w:color w:val="auto"/>
          <w:spacing w:val="0"/>
          <w:szCs w:val="24"/>
          <w:highlight w:val="none"/>
          <w:lang w:val="en-US" w:eastAsia="zh-CN"/>
        </w:rPr>
        <w:t>5</w:t>
      </w:r>
      <w:r>
        <w:rPr>
          <w:rFonts w:ascii="Times New Roman" w:hAnsi="Times New Roman" w:eastAsia="宋体" w:cs="Times New Roman"/>
          <w:b/>
          <w:bCs/>
          <w:caps w:val="0"/>
          <w:smallCaps w:val="0"/>
          <w:color w:val="auto"/>
          <w:spacing w:val="0"/>
          <w:szCs w:val="24"/>
          <w:highlight w:val="none"/>
        </w:rPr>
        <w:t>、与《黑龙江省大气污染防治条例》符合性分析</w:t>
      </w:r>
    </w:p>
    <w:p w14:paraId="11C08384">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黑龙江省人民代表大会常务委员会发布的《黑龙江省大气污染防治条例》（2018年12月27日修正），第三章大气污染防治措施、第二节、工业污染防治中第四十条下列产生含挥发性有机物废气的活动，应当按照国家规定在密闭空间或者设备中进行，并按照规定安装、使用污染防治设施；无法密闭的，应当采取措施减少废气排放：（一）煤炭加工与转化、石油化工生产；（二）燃油、溶剂的储存、运输和销售；（三）涂料、油墨、胶粘剂、农药等以挥发性有机物为原材料的生产；（四）涂装、印刷、粘合和工业清洗；（五）其他产生含挥发性有机物废气的活动。</w:t>
      </w:r>
    </w:p>
    <w:p w14:paraId="26C7CC96">
      <w:pPr>
        <w:pStyle w:val="65"/>
        <w:widowControl w:val="0"/>
        <w:ind w:firstLine="480"/>
        <w:jc w:val="both"/>
        <w:rPr>
          <w:rFonts w:eastAsia="宋体"/>
          <w:bCs/>
          <w:caps w:val="0"/>
          <w:smallCaps w:val="0"/>
          <w:color w:val="auto"/>
          <w:spacing w:val="0"/>
          <w:highlight w:val="none"/>
        </w:rPr>
      </w:pPr>
      <w:r>
        <w:rPr>
          <w:rFonts w:eastAsia="宋体"/>
          <w:bCs/>
          <w:caps w:val="0"/>
          <w:smallCaps w:val="0"/>
          <w:color w:val="auto"/>
          <w:spacing w:val="0"/>
          <w:highlight w:val="none"/>
        </w:rPr>
        <w:t>本项目光刻胶涂覆中使用的光刻胶为水基型胶黏剂</w:t>
      </w:r>
      <w:r>
        <w:rPr>
          <w:rFonts w:eastAsia="宋体"/>
          <w:caps w:val="0"/>
          <w:smallCaps w:val="0"/>
          <w:color w:val="auto"/>
          <w:spacing w:val="0"/>
          <w:highlight w:val="none"/>
        </w:rPr>
        <w:t>含有少量挥发性有机物，产生的</w:t>
      </w:r>
      <w:r>
        <w:rPr>
          <w:rFonts w:eastAsia="宋体"/>
          <w:caps w:val="0"/>
          <w:smallCaps w:val="0"/>
          <w:color w:val="auto"/>
          <w:spacing w:val="0"/>
          <w:kern w:val="0"/>
          <w:szCs w:val="24"/>
          <w:highlight w:val="none"/>
          <w:lang w:bidi="ar"/>
        </w:rPr>
        <w:t>废气经全封闭设备负压收集+两级活性炭吸附装置处理+21m高排气筒(DA007)排放，</w:t>
      </w:r>
      <w:r>
        <w:rPr>
          <w:rFonts w:eastAsia="宋体"/>
          <w:caps w:val="0"/>
          <w:smallCaps w:val="0"/>
          <w:color w:val="auto"/>
          <w:spacing w:val="0"/>
          <w:highlight w:val="none"/>
        </w:rPr>
        <w:t>符合</w:t>
      </w:r>
      <w:r>
        <w:rPr>
          <w:rFonts w:eastAsia="宋体"/>
          <w:bCs/>
          <w:caps w:val="0"/>
          <w:smallCaps w:val="0"/>
          <w:color w:val="auto"/>
          <w:spacing w:val="0"/>
          <w:highlight w:val="none"/>
        </w:rPr>
        <w:t>以上政策要求。</w:t>
      </w:r>
    </w:p>
    <w:p w14:paraId="3FE81912">
      <w:pPr>
        <w:widowControl w:val="0"/>
        <w:spacing w:line="360" w:lineRule="auto"/>
        <w:ind w:firstLine="482" w:firstLineChars="200"/>
        <w:jc w:val="both"/>
        <w:rPr>
          <w:rFonts w:ascii="Times New Roman" w:hAnsi="Times New Roman" w:eastAsia="宋体" w:cs="Times New Roman"/>
          <w:b/>
          <w:bCs/>
          <w:caps w:val="0"/>
          <w:smallCaps w:val="0"/>
          <w:color w:val="auto"/>
          <w:spacing w:val="0"/>
          <w:szCs w:val="24"/>
          <w:highlight w:val="none"/>
        </w:rPr>
      </w:pPr>
      <w:r>
        <w:rPr>
          <w:rFonts w:hint="eastAsia" w:ascii="Times New Roman" w:hAnsi="Times New Roman" w:eastAsia="宋体" w:cs="Times New Roman"/>
          <w:b/>
          <w:bCs/>
          <w:caps w:val="0"/>
          <w:smallCaps w:val="0"/>
          <w:color w:val="auto"/>
          <w:spacing w:val="0"/>
          <w:szCs w:val="24"/>
          <w:highlight w:val="none"/>
          <w:lang w:val="en-US" w:eastAsia="zh-CN"/>
        </w:rPr>
        <w:t>6</w:t>
      </w:r>
      <w:r>
        <w:rPr>
          <w:rFonts w:ascii="Times New Roman" w:hAnsi="Times New Roman" w:eastAsia="宋体" w:cs="Times New Roman"/>
          <w:b/>
          <w:bCs/>
          <w:caps w:val="0"/>
          <w:smallCaps w:val="0"/>
          <w:color w:val="auto"/>
          <w:spacing w:val="0"/>
          <w:szCs w:val="24"/>
          <w:highlight w:val="none"/>
        </w:rPr>
        <w:t>、与《黑龙江省空气质量持续改善行动计划实施方案》（黑政发〔2023〕19号）符合性分析</w:t>
      </w:r>
    </w:p>
    <w:p w14:paraId="515D7756">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黑龙江省空气质量持续改善行动计划实施方案》（黑政发〔2023〕19号），二、持续推进产业结构调整（四）严格环境准入要求。新改扩建高耗能、高排放、低水平项目，要严格遵照产业规划和政策、生态环境分区管控、规划环评、项目环评、节能审查以及产能置换、总量控制、区域污染物削减、碳达峰等相关要求执行，原则上采用清洁运输方式。涉及产能置换的项目，被置换产能及其配套设施同步关停后，新建项目方能投产。坚决遏制“两高一低”项目盲目上马。（七）积极推进含VOCs原辅材料和产品源头替代。严格控制生产和使用高VOCs含量溶剂型涂料、油墨、胶粘剂、清洗剂等建设项目。提高水性、高固体分、无溶剂、粉末等低（无）VOCs含量产品的比重。工业涂装、包装印刷、电子等行业企业要加大低（无）VOCs含量原辅材料的源头替代力度。</w:t>
      </w:r>
    </w:p>
    <w:p w14:paraId="71DE43A4">
      <w:pPr>
        <w:pStyle w:val="65"/>
        <w:widowControl w:val="0"/>
        <w:ind w:firstLine="480"/>
        <w:jc w:val="both"/>
        <w:rPr>
          <w:rFonts w:eastAsia="宋体"/>
          <w:bCs/>
          <w:caps w:val="0"/>
          <w:smallCaps w:val="0"/>
          <w:color w:val="auto"/>
          <w:spacing w:val="0"/>
          <w:highlight w:val="none"/>
        </w:rPr>
      </w:pPr>
      <w:r>
        <w:rPr>
          <w:rFonts w:eastAsia="宋体"/>
          <w:caps w:val="0"/>
          <w:smallCaps w:val="0"/>
          <w:color w:val="auto"/>
          <w:spacing w:val="0"/>
          <w:highlight w:val="none"/>
        </w:rPr>
        <w:t>本项目薄膜电池组件年产100MW，转换效率不低于16%，电耗约36.5万千瓦时/MWp，水耗为</w:t>
      </w:r>
      <w:r>
        <w:rPr>
          <w:rFonts w:hint="eastAsia" w:eastAsia="宋体"/>
          <w:caps w:val="0"/>
          <w:smallCaps w:val="0"/>
          <w:color w:val="auto"/>
          <w:spacing w:val="0"/>
          <w:highlight w:val="none"/>
          <w:lang w:eastAsia="zh-CN"/>
        </w:rPr>
        <w:t>630.26</w:t>
      </w:r>
      <w:r>
        <w:rPr>
          <w:rFonts w:eastAsia="宋体"/>
          <w:caps w:val="0"/>
          <w:smallCaps w:val="0"/>
          <w:color w:val="auto"/>
          <w:spacing w:val="0"/>
          <w:highlight w:val="none"/>
        </w:rPr>
        <w:t>吨/MWp，符合《光伏制造行业规范条件（2024年本）》中相关要求，属于《产业结构调整指导目录（2024年本）》中允许类项目，不属于“两高一低”项目。</w:t>
      </w:r>
      <w:r>
        <w:rPr>
          <w:rFonts w:eastAsia="宋体"/>
          <w:bCs/>
          <w:caps w:val="0"/>
          <w:smallCaps w:val="0"/>
          <w:color w:val="auto"/>
          <w:spacing w:val="0"/>
          <w:highlight w:val="none"/>
        </w:rPr>
        <w:t>本项目使用的光刻胶为水基型胶黏剂</w:t>
      </w:r>
      <w:r>
        <w:rPr>
          <w:rFonts w:eastAsia="宋体"/>
          <w:caps w:val="0"/>
          <w:smallCaps w:val="0"/>
          <w:color w:val="auto"/>
          <w:spacing w:val="0"/>
          <w:highlight w:val="none"/>
        </w:rPr>
        <w:t>含有少量挥发性有机物，产生的</w:t>
      </w:r>
      <w:r>
        <w:rPr>
          <w:rFonts w:eastAsia="宋体"/>
          <w:caps w:val="0"/>
          <w:smallCaps w:val="0"/>
          <w:color w:val="auto"/>
          <w:spacing w:val="0"/>
          <w:kern w:val="0"/>
          <w:szCs w:val="24"/>
          <w:highlight w:val="none"/>
          <w:lang w:bidi="ar"/>
        </w:rPr>
        <w:t>废气经全封闭设备负压收集+两级活性炭吸附装置处理+21m高排气筒(DA007)排放，</w:t>
      </w:r>
      <w:r>
        <w:rPr>
          <w:rFonts w:eastAsia="宋体"/>
          <w:caps w:val="0"/>
          <w:smallCaps w:val="0"/>
          <w:color w:val="auto"/>
          <w:spacing w:val="0"/>
          <w:highlight w:val="none"/>
        </w:rPr>
        <w:t>符合</w:t>
      </w:r>
      <w:r>
        <w:rPr>
          <w:rFonts w:eastAsia="宋体"/>
          <w:bCs/>
          <w:caps w:val="0"/>
          <w:smallCaps w:val="0"/>
          <w:color w:val="auto"/>
          <w:spacing w:val="0"/>
          <w:highlight w:val="none"/>
        </w:rPr>
        <w:t>以上政策要求。</w:t>
      </w:r>
    </w:p>
    <w:p w14:paraId="4E5384A4">
      <w:pPr>
        <w:widowControl w:val="0"/>
        <w:spacing w:line="360" w:lineRule="auto"/>
        <w:ind w:firstLine="482" w:firstLineChars="200"/>
        <w:jc w:val="both"/>
        <w:rPr>
          <w:rFonts w:ascii="Times New Roman" w:hAnsi="Times New Roman" w:eastAsia="宋体" w:cs="Times New Roman"/>
          <w:b/>
          <w:bCs/>
          <w:caps w:val="0"/>
          <w:smallCaps w:val="0"/>
          <w:color w:val="auto"/>
          <w:spacing w:val="0"/>
          <w:szCs w:val="24"/>
          <w:highlight w:val="none"/>
        </w:rPr>
      </w:pPr>
      <w:r>
        <w:rPr>
          <w:rFonts w:hint="eastAsia" w:ascii="Times New Roman" w:hAnsi="Times New Roman" w:eastAsia="宋体" w:cs="Times New Roman"/>
          <w:b/>
          <w:bCs/>
          <w:caps w:val="0"/>
          <w:smallCaps w:val="0"/>
          <w:color w:val="auto"/>
          <w:spacing w:val="0"/>
          <w:szCs w:val="24"/>
          <w:highlight w:val="none"/>
          <w:lang w:val="en-US" w:eastAsia="zh-CN"/>
        </w:rPr>
        <w:t>7</w:t>
      </w:r>
      <w:r>
        <w:rPr>
          <w:rFonts w:ascii="Times New Roman" w:hAnsi="Times New Roman" w:eastAsia="宋体" w:cs="Times New Roman"/>
          <w:b/>
          <w:bCs/>
          <w:caps w:val="0"/>
          <w:smallCaps w:val="0"/>
          <w:color w:val="auto"/>
          <w:spacing w:val="0"/>
          <w:szCs w:val="24"/>
          <w:highlight w:val="none"/>
        </w:rPr>
        <w:t>、与《光伏制造行业规范条件(20</w:t>
      </w:r>
      <w:r>
        <w:rPr>
          <w:rFonts w:hint="eastAsia" w:ascii="Times New Roman" w:hAnsi="Times New Roman" w:eastAsia="宋体" w:cs="Times New Roman"/>
          <w:b/>
          <w:bCs/>
          <w:caps w:val="0"/>
          <w:smallCaps w:val="0"/>
          <w:color w:val="auto"/>
          <w:spacing w:val="0"/>
          <w:szCs w:val="24"/>
          <w:highlight w:val="none"/>
        </w:rPr>
        <w:t>24</w:t>
      </w:r>
      <w:r>
        <w:rPr>
          <w:rFonts w:ascii="Times New Roman" w:hAnsi="Times New Roman" w:eastAsia="宋体" w:cs="Times New Roman"/>
          <w:b/>
          <w:bCs/>
          <w:caps w:val="0"/>
          <w:smallCaps w:val="0"/>
          <w:color w:val="auto"/>
          <w:spacing w:val="0"/>
          <w:szCs w:val="24"/>
          <w:highlight w:val="none"/>
        </w:rPr>
        <w:t>年本)》相符性分析</w:t>
      </w:r>
    </w:p>
    <w:p w14:paraId="2247F6B8">
      <w:pPr>
        <w:pStyle w:val="194"/>
        <w:widowControl w:val="0"/>
        <w:spacing w:line="360" w:lineRule="auto"/>
        <w:ind w:firstLine="480"/>
        <w:jc w:val="both"/>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2024年11月，工信部发布《光伏制造行业规范条件（2024年本）》，本工程与其相符性分析见下表。</w:t>
      </w:r>
    </w:p>
    <w:p w14:paraId="232E2E36">
      <w:pPr>
        <w:pStyle w:val="194"/>
        <w:widowControl w:val="0"/>
        <w:ind w:left="560" w:firstLine="0" w:firstLineChars="0"/>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表1.5-</w:t>
      </w:r>
      <w:r>
        <w:rPr>
          <w:rFonts w:hint="eastAsia" w:ascii="Times New Roman" w:hAnsi="Times New Roman" w:eastAsia="宋体" w:cs="Times New Roman"/>
          <w:b/>
          <w:caps w:val="0"/>
          <w:smallCaps w:val="0"/>
          <w:color w:val="auto"/>
          <w:spacing w:val="0"/>
          <w:szCs w:val="24"/>
          <w:highlight w:val="none"/>
          <w:lang w:val="en-US" w:eastAsia="zh-CN"/>
        </w:rPr>
        <w:t>4</w:t>
      </w:r>
      <w:r>
        <w:rPr>
          <w:rFonts w:ascii="Times New Roman" w:hAnsi="Times New Roman" w:eastAsia="宋体" w:cs="Times New Roman"/>
          <w:b/>
          <w:caps w:val="0"/>
          <w:smallCaps w:val="0"/>
          <w:color w:val="auto"/>
          <w:spacing w:val="0"/>
          <w:szCs w:val="24"/>
          <w:highlight w:val="none"/>
        </w:rPr>
        <w:t>与规范条件相符性分析</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4267"/>
        <w:gridCol w:w="3455"/>
        <w:gridCol w:w="864"/>
      </w:tblGrid>
      <w:tr w14:paraId="2BE88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967" w:type="dxa"/>
            <w:gridSpan w:val="2"/>
            <w:tcBorders>
              <w:tl2br w:val="nil"/>
              <w:tr2bl w:val="nil"/>
            </w:tcBorders>
          </w:tcPr>
          <w:p w14:paraId="1BC65908">
            <w:pPr>
              <w:pStyle w:val="194"/>
              <w:widowControl w:val="0"/>
              <w:spacing w:line="320" w:lineRule="exact"/>
              <w:ind w:firstLine="0" w:firstLineChars="0"/>
              <w:jc w:val="center"/>
              <w:rPr>
                <w:rFonts w:ascii="Times New Roman" w:hAnsi="Times New Roman" w:eastAsia="宋体" w:cs="Times New Roman"/>
                <w:b/>
                <w:caps w:val="0"/>
                <w:smallCaps w:val="0"/>
                <w:color w:val="auto"/>
                <w:spacing w:val="0"/>
                <w:sz w:val="21"/>
                <w:szCs w:val="21"/>
                <w:highlight w:val="none"/>
              </w:rPr>
            </w:pPr>
            <w:r>
              <w:rPr>
                <w:rFonts w:ascii="Times New Roman" w:hAnsi="Times New Roman" w:eastAsia="宋体" w:cs="Times New Roman"/>
                <w:b/>
                <w:caps w:val="0"/>
                <w:smallCaps w:val="0"/>
                <w:color w:val="auto"/>
                <w:spacing w:val="0"/>
                <w:sz w:val="21"/>
                <w:szCs w:val="21"/>
                <w:highlight w:val="none"/>
              </w:rPr>
              <w:t>规范条件</w:t>
            </w:r>
          </w:p>
        </w:tc>
        <w:tc>
          <w:tcPr>
            <w:tcW w:w="3455" w:type="dxa"/>
            <w:tcBorders>
              <w:tl2br w:val="nil"/>
              <w:tr2bl w:val="nil"/>
            </w:tcBorders>
          </w:tcPr>
          <w:p w14:paraId="5C24E976">
            <w:pPr>
              <w:pStyle w:val="194"/>
              <w:widowControl w:val="0"/>
              <w:spacing w:line="320" w:lineRule="exact"/>
              <w:ind w:firstLine="0" w:firstLineChars="0"/>
              <w:jc w:val="center"/>
              <w:rPr>
                <w:rFonts w:ascii="Times New Roman" w:hAnsi="Times New Roman" w:eastAsia="宋体" w:cs="Times New Roman"/>
                <w:b/>
                <w:caps w:val="0"/>
                <w:smallCaps w:val="0"/>
                <w:color w:val="auto"/>
                <w:spacing w:val="0"/>
                <w:sz w:val="21"/>
                <w:szCs w:val="21"/>
                <w:highlight w:val="none"/>
              </w:rPr>
            </w:pPr>
            <w:r>
              <w:rPr>
                <w:rFonts w:ascii="Times New Roman" w:hAnsi="Times New Roman" w:eastAsia="宋体" w:cs="Times New Roman"/>
                <w:b/>
                <w:caps w:val="0"/>
                <w:smallCaps w:val="0"/>
                <w:color w:val="auto"/>
                <w:spacing w:val="0"/>
                <w:sz w:val="21"/>
                <w:szCs w:val="21"/>
                <w:highlight w:val="none"/>
              </w:rPr>
              <w:t>本工程</w:t>
            </w:r>
          </w:p>
        </w:tc>
        <w:tc>
          <w:tcPr>
            <w:tcW w:w="864" w:type="dxa"/>
            <w:tcBorders>
              <w:tl2br w:val="nil"/>
              <w:tr2bl w:val="nil"/>
            </w:tcBorders>
          </w:tcPr>
          <w:p w14:paraId="18B74B0D">
            <w:pPr>
              <w:pStyle w:val="194"/>
              <w:widowControl w:val="0"/>
              <w:spacing w:line="320" w:lineRule="exact"/>
              <w:ind w:firstLine="0" w:firstLineChars="0"/>
              <w:jc w:val="center"/>
              <w:rPr>
                <w:rFonts w:ascii="Times New Roman" w:hAnsi="Times New Roman" w:eastAsia="宋体" w:cs="Times New Roman"/>
                <w:b/>
                <w:caps w:val="0"/>
                <w:smallCaps w:val="0"/>
                <w:color w:val="auto"/>
                <w:spacing w:val="0"/>
                <w:sz w:val="21"/>
                <w:szCs w:val="21"/>
                <w:highlight w:val="none"/>
              </w:rPr>
            </w:pPr>
            <w:r>
              <w:rPr>
                <w:rFonts w:ascii="Times New Roman" w:hAnsi="Times New Roman" w:eastAsia="宋体" w:cs="Times New Roman"/>
                <w:b/>
                <w:caps w:val="0"/>
                <w:smallCaps w:val="0"/>
                <w:color w:val="auto"/>
                <w:spacing w:val="0"/>
                <w:sz w:val="21"/>
                <w:szCs w:val="21"/>
                <w:highlight w:val="none"/>
              </w:rPr>
              <w:t>相符性</w:t>
            </w:r>
          </w:p>
        </w:tc>
      </w:tr>
      <w:tr w14:paraId="32DB8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restart"/>
            <w:tcBorders>
              <w:tl2br w:val="nil"/>
              <w:tr2bl w:val="nil"/>
            </w:tcBorders>
            <w:vAlign w:val="center"/>
          </w:tcPr>
          <w:p w14:paraId="22F63529">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一、生产布局与项目设立</w:t>
            </w:r>
          </w:p>
        </w:tc>
        <w:tc>
          <w:tcPr>
            <w:tcW w:w="4267" w:type="dxa"/>
            <w:tcBorders>
              <w:tl2br w:val="nil"/>
              <w:tr2bl w:val="nil"/>
            </w:tcBorders>
            <w:vAlign w:val="center"/>
          </w:tcPr>
          <w:p w14:paraId="14F22D3B">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一）光伏制造企业及项目应符合国家资源开发利用、环境保护、节能管理等法律法规要求，符合国家产业政策和相关产业规划及布局要求，符合当地土地利用总体规划、社会经济发展规划和环境保护规划等要求，符合区域生态环境分区管控及规划环评要求</w:t>
            </w:r>
          </w:p>
        </w:tc>
        <w:tc>
          <w:tcPr>
            <w:tcW w:w="3455" w:type="dxa"/>
            <w:tcBorders>
              <w:tl2br w:val="nil"/>
              <w:tr2bl w:val="nil"/>
            </w:tcBorders>
            <w:vAlign w:val="center"/>
          </w:tcPr>
          <w:p w14:paraId="36DB1604">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符合国家资源开发利用、环境保护、节能管理等法律法规要求，符合国家产业政策和相关产业规划及布局要求，符合当地土地利用总体规划、社会经济发展规划和环境保护规划等要求，符合区域生态环境分区管控及规划环评要求</w:t>
            </w:r>
          </w:p>
        </w:tc>
        <w:tc>
          <w:tcPr>
            <w:tcW w:w="864" w:type="dxa"/>
            <w:tcBorders>
              <w:tl2br w:val="nil"/>
              <w:tr2bl w:val="nil"/>
            </w:tcBorders>
            <w:vAlign w:val="center"/>
          </w:tcPr>
          <w:p w14:paraId="074DFE7E">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6CBD2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468CC249">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6CF25430">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二）光伏制造项目未建设在国家法律法规、规章及规划确定或省级以上人民政府批准的自然保护区、饮用水水源保护区、生态功能保护区，已划定的永久基本农田及生态保护红线，以及法律、法规规定禁止建设工业企业的区域内。上述区域内的现有企业应按照法律法规要求拆除关闭，或严格控制规模、逐步迁出。生态保护红线内零星分布的已有光伏设施严禁扩大现有规模与范围，项目到期后由建设单位负责做好生态修复。</w:t>
            </w:r>
          </w:p>
        </w:tc>
        <w:tc>
          <w:tcPr>
            <w:tcW w:w="3455" w:type="dxa"/>
            <w:tcBorders>
              <w:tl2br w:val="nil"/>
              <w:tr2bl w:val="nil"/>
            </w:tcBorders>
            <w:vAlign w:val="center"/>
          </w:tcPr>
          <w:p w14:paraId="1C215F0B">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建设地点位于佳木斯市高新技术产业开发区轻工产业园（含新材料）内，不在不得建设的永久基本农田保护区、饮用水水源保护区、自然保护区、风景名胜区、生态保护红线和生态环境敏感区、脆弱区等法律、法规规定禁止建设工业企业的区域</w:t>
            </w:r>
          </w:p>
        </w:tc>
        <w:tc>
          <w:tcPr>
            <w:tcW w:w="864" w:type="dxa"/>
            <w:tcBorders>
              <w:tl2br w:val="nil"/>
              <w:tr2bl w:val="nil"/>
            </w:tcBorders>
            <w:vAlign w:val="center"/>
          </w:tcPr>
          <w:p w14:paraId="2BD2B646">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2FA35F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63BD2A6C">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vAlign w:val="center"/>
          </w:tcPr>
          <w:p w14:paraId="5EF68F84">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三）引导地方依据资源禀赋和产业基础合理布局光伏制造项目，鼓励集约化、集群化发展。引导光伏企业减少单纯扩大产能的光伏制造项目，加强技术创新、提高产品质量、降低生产成本。新建和改扩建光伏制造项目，最低资本金比例为30%</w:t>
            </w:r>
          </w:p>
        </w:tc>
        <w:tc>
          <w:tcPr>
            <w:tcW w:w="3455" w:type="dxa"/>
            <w:tcBorders>
              <w:tl2br w:val="nil"/>
              <w:tr2bl w:val="nil"/>
            </w:tcBorders>
          </w:tcPr>
          <w:p w14:paraId="61EF5998">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佳木斯市暂无碲化镉薄膜发电玻璃生产项目，由于碲化镉薄膜发电玻璃具有高光吸收率和高转换效率，是理想的光伏材料，且生产成本低于晶体硅和其他材料的太阳能电池技术</w:t>
            </w:r>
            <w:r>
              <w:rPr>
                <w:rFonts w:hint="eastAsia" w:ascii="Times New Roman" w:hAnsi="Times New Roman" w:eastAsia="宋体" w:cs="Times New Roman"/>
                <w:caps w:val="0"/>
                <w:smallCaps w:val="0"/>
                <w:color w:val="auto"/>
                <w:spacing w:val="0"/>
                <w:sz w:val="21"/>
                <w:szCs w:val="21"/>
                <w:highlight w:val="none"/>
              </w:rPr>
              <w:t>且本次重新变动为技术升级</w:t>
            </w:r>
            <w:r>
              <w:rPr>
                <w:rFonts w:ascii="Times New Roman" w:hAnsi="Times New Roman" w:eastAsia="宋体" w:cs="Times New Roman"/>
                <w:caps w:val="0"/>
                <w:smallCaps w:val="0"/>
                <w:color w:val="auto"/>
                <w:spacing w:val="0"/>
                <w:sz w:val="21"/>
                <w:szCs w:val="21"/>
                <w:highlight w:val="none"/>
              </w:rPr>
              <w:t>，因此本工程符合加强技术创新、提高产品质量、降低生产成本的要求，本工程资本金比例大于</w:t>
            </w:r>
            <w:r>
              <w:rPr>
                <w:rFonts w:hint="eastAsia" w:ascii="Times New Roman" w:hAnsi="Times New Roman" w:eastAsia="宋体" w:cs="Times New Roman"/>
                <w:caps w:val="0"/>
                <w:smallCaps w:val="0"/>
                <w:color w:val="auto"/>
                <w:spacing w:val="0"/>
                <w:sz w:val="21"/>
                <w:szCs w:val="21"/>
                <w:highlight w:val="none"/>
              </w:rPr>
              <w:t>3</w:t>
            </w:r>
            <w:r>
              <w:rPr>
                <w:rFonts w:ascii="Times New Roman" w:hAnsi="Times New Roman" w:eastAsia="宋体" w:cs="Times New Roman"/>
                <w:caps w:val="0"/>
                <w:smallCaps w:val="0"/>
                <w:color w:val="auto"/>
                <w:spacing w:val="0"/>
                <w:sz w:val="21"/>
                <w:szCs w:val="21"/>
                <w:highlight w:val="none"/>
              </w:rPr>
              <w:t>0%</w:t>
            </w:r>
          </w:p>
        </w:tc>
        <w:tc>
          <w:tcPr>
            <w:tcW w:w="864" w:type="dxa"/>
            <w:tcBorders>
              <w:tl2br w:val="nil"/>
              <w:tr2bl w:val="nil"/>
            </w:tcBorders>
            <w:vAlign w:val="center"/>
          </w:tcPr>
          <w:p w14:paraId="12DC58DD">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5C71C6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restart"/>
            <w:tcBorders>
              <w:tl2br w:val="nil"/>
              <w:tr2bl w:val="nil"/>
            </w:tcBorders>
            <w:vAlign w:val="center"/>
          </w:tcPr>
          <w:p w14:paraId="01E8D5E4">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二、工艺技术</w:t>
            </w:r>
          </w:p>
        </w:tc>
        <w:tc>
          <w:tcPr>
            <w:tcW w:w="4267" w:type="dxa"/>
            <w:tcBorders>
              <w:tl2br w:val="nil"/>
              <w:tr2bl w:val="nil"/>
            </w:tcBorders>
            <w:vAlign w:val="center"/>
          </w:tcPr>
          <w:p w14:paraId="6D771230">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（一）光伏制造企业应采用工艺先进、安全可靠、节能环保、产品质量好、生产成本低的生产技术和设备，并实现高品质产品的批量化生产。</w:t>
            </w:r>
          </w:p>
        </w:tc>
        <w:tc>
          <w:tcPr>
            <w:tcW w:w="3455" w:type="dxa"/>
            <w:tcBorders>
              <w:tl2br w:val="nil"/>
              <w:tr2bl w:val="nil"/>
            </w:tcBorders>
          </w:tcPr>
          <w:p w14:paraId="0FED7C9F">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本工程使用高质量的原辅材料，采用先进的生产工艺和专用设备，生产过程采用高效离子过滤器等节能环保技术，产品质量达到国内先进水平</w:t>
            </w:r>
          </w:p>
        </w:tc>
        <w:tc>
          <w:tcPr>
            <w:tcW w:w="864" w:type="dxa"/>
            <w:tcBorders>
              <w:tl2br w:val="nil"/>
              <w:tr2bl w:val="nil"/>
            </w:tcBorders>
            <w:vAlign w:val="center"/>
          </w:tcPr>
          <w:p w14:paraId="546B4302">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3752BA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0891DA39">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5A7D99DE">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（二）光伏制造企业应具备以下条件：在中华人民共和国境内依法注册成立，具有独立法人资格；具有太阳能光伏产品独立生产、供应和售后服务能力</w:t>
            </w:r>
            <w:r>
              <w:rPr>
                <w:rFonts w:ascii="宋体" w:hAnsi="宋体" w:eastAsia="宋体" w:cs="宋体"/>
                <w:caps w:val="0"/>
                <w:smallCaps w:val="0"/>
                <w:color w:val="auto"/>
                <w:spacing w:val="0"/>
                <w:szCs w:val="24"/>
                <w:highlight w:val="none"/>
              </w:rPr>
              <w:t>；</w:t>
            </w:r>
            <w:r>
              <w:rPr>
                <w:rFonts w:ascii="Times New Roman" w:hAnsi="Times New Roman" w:eastAsia="宋体" w:cs="Times New Roman"/>
                <w:caps w:val="0"/>
                <w:smallCaps w:val="0"/>
                <w:color w:val="auto"/>
                <w:spacing w:val="0"/>
                <w:sz w:val="21"/>
                <w:szCs w:val="21"/>
                <w:highlight w:val="none"/>
              </w:rPr>
              <w:t>具有应用于主营业务并实现产业化的核心专利，研发生产的产品应符合知识产权保护方面的法律规定，且近三年未出现被专利执法机构裁定的侵权行为；每年用于研发及工艺改进的费用不低于总销售额的3%且不少于1000万元人民币；申报符合规范名单时上一年实际产量不低于上一年实际产能的50%</w:t>
            </w:r>
          </w:p>
        </w:tc>
        <w:tc>
          <w:tcPr>
            <w:tcW w:w="3455" w:type="dxa"/>
            <w:tcBorders>
              <w:tl2br w:val="nil"/>
              <w:tr2bl w:val="nil"/>
            </w:tcBorders>
            <w:vAlign w:val="center"/>
          </w:tcPr>
          <w:p w14:paraId="44873414">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佳木斯中建材光电材料有限公司于2018年在佳木斯市依法注册成立，具有独立法人资格，具有太阳能光伏产品独立生产、供应和售后服务能力，每年用于研发及工艺改进的费用不低于总销售额的3%</w:t>
            </w:r>
          </w:p>
        </w:tc>
        <w:tc>
          <w:tcPr>
            <w:tcW w:w="864" w:type="dxa"/>
            <w:tcBorders>
              <w:tl2br w:val="nil"/>
              <w:tr2bl w:val="nil"/>
            </w:tcBorders>
            <w:vAlign w:val="center"/>
          </w:tcPr>
          <w:p w14:paraId="453E4BCB">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5C15A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637FB0BC">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394B263C">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（三）现有光伏制造企业及项目产品应满足以下要求：5.硅基、铜铟镓硒（CIGS）、碲化镉（CdTe）及钙钛矿等其他薄膜组件的平均光电转换效率分别不低于12%、15%、15%、14%</w:t>
            </w:r>
          </w:p>
        </w:tc>
        <w:tc>
          <w:tcPr>
            <w:tcW w:w="3455" w:type="dxa"/>
            <w:tcBorders>
              <w:tl2br w:val="nil"/>
              <w:tr2bl w:val="nil"/>
            </w:tcBorders>
            <w:vAlign w:val="center"/>
          </w:tcPr>
          <w:p w14:paraId="013FBB1F">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本工程CdTe薄膜电池组件光电转换效率不低于16%</w:t>
            </w:r>
          </w:p>
        </w:tc>
        <w:tc>
          <w:tcPr>
            <w:tcW w:w="864" w:type="dxa"/>
            <w:tcBorders>
              <w:tl2br w:val="nil"/>
              <w:tr2bl w:val="nil"/>
            </w:tcBorders>
            <w:vAlign w:val="center"/>
          </w:tcPr>
          <w:p w14:paraId="059E9A8F">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2C113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560986D8">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57A9BEF7">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 xml:space="preserve">（五）P型晶硅组件衰减率首年不高于2%，后续每年不高于0.55%，25年内不高于15%，N型晶硅组件衰减率首年不高于1%，后续每年不高于0.4%，25年内不高于11%；薄膜组件衰减率首年不高于4%，后续每年不高于0.4%，25年内不高于14%。 </w:t>
            </w:r>
          </w:p>
        </w:tc>
        <w:tc>
          <w:tcPr>
            <w:tcW w:w="3455" w:type="dxa"/>
            <w:tcBorders>
              <w:tl2br w:val="nil"/>
              <w:tr2bl w:val="nil"/>
            </w:tcBorders>
            <w:vAlign w:val="center"/>
          </w:tcPr>
          <w:p w14:paraId="08CC9E52">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本工程CdTe薄膜电池组件光电玻璃衰减率首年低于1%，后续每年低于0.4%，25年内不高于14%。</w:t>
            </w:r>
          </w:p>
        </w:tc>
        <w:tc>
          <w:tcPr>
            <w:tcW w:w="864" w:type="dxa"/>
            <w:tcBorders>
              <w:tl2br w:val="nil"/>
              <w:tr2bl w:val="nil"/>
            </w:tcBorders>
            <w:vAlign w:val="center"/>
          </w:tcPr>
          <w:p w14:paraId="53F8F194">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28662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583EAE2E">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353DD64C">
            <w:pPr>
              <w:pStyle w:val="194"/>
              <w:widowControl w:val="0"/>
              <w:spacing w:line="240" w:lineRule="auto"/>
              <w:ind w:firstLine="0" w:firstLineChars="0"/>
              <w:jc w:val="both"/>
              <w:rPr>
                <w:rFonts w:ascii="Times New Roman" w:hAnsi="Times New Roman" w:eastAsia="宋体" w:cs="Times New Roman"/>
                <w:caps w:val="0"/>
                <w:smallCaps w:val="0"/>
                <w:color w:val="auto"/>
                <w:spacing w:val="0"/>
                <w:kern w:val="0"/>
                <w:sz w:val="21"/>
                <w:szCs w:val="21"/>
                <w:highlight w:val="none"/>
              </w:rPr>
            </w:pPr>
            <w:r>
              <w:rPr>
                <w:rFonts w:ascii="Times New Roman" w:hAnsi="Times New Roman" w:eastAsia="宋体" w:cs="Times New Roman"/>
                <w:caps w:val="0"/>
                <w:smallCaps w:val="0"/>
                <w:color w:val="auto"/>
                <w:spacing w:val="0"/>
                <w:kern w:val="0"/>
                <w:sz w:val="21"/>
                <w:szCs w:val="21"/>
                <w:highlight w:val="none"/>
              </w:rPr>
              <w:t xml:space="preserve">（六）光伏组件非金属材料的燃烧性能不低于《建筑材料及制品燃烧性能分级》（GB8624）规定的B1级。 </w:t>
            </w:r>
          </w:p>
        </w:tc>
        <w:tc>
          <w:tcPr>
            <w:tcW w:w="3455" w:type="dxa"/>
            <w:tcBorders>
              <w:tl2br w:val="nil"/>
              <w:tr2bl w:val="nil"/>
            </w:tcBorders>
          </w:tcPr>
          <w:p w14:paraId="4F270F6A">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kern w:val="0"/>
                <w:sz w:val="21"/>
                <w:szCs w:val="21"/>
                <w:highlight w:val="none"/>
              </w:rPr>
              <w:t>本工程</w:t>
            </w:r>
            <w:r>
              <w:rPr>
                <w:rFonts w:ascii="Times New Roman" w:hAnsi="Times New Roman" w:eastAsia="宋体" w:cs="Times New Roman"/>
                <w:caps w:val="0"/>
                <w:smallCaps w:val="0"/>
                <w:color w:val="auto"/>
                <w:spacing w:val="0"/>
                <w:kern w:val="0"/>
                <w:sz w:val="21"/>
                <w:szCs w:val="21"/>
                <w:highlight w:val="none"/>
              </w:rPr>
              <w:t>光伏组件非金属材料的燃烧性能不低于《建筑材料及制品燃烧性能分级》（GB8624）规定的B1级。</w:t>
            </w:r>
          </w:p>
        </w:tc>
        <w:tc>
          <w:tcPr>
            <w:tcW w:w="864" w:type="dxa"/>
            <w:tcBorders>
              <w:tl2br w:val="nil"/>
              <w:tr2bl w:val="nil"/>
            </w:tcBorders>
            <w:vAlign w:val="center"/>
          </w:tcPr>
          <w:p w14:paraId="5FD9A1DF">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25024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restart"/>
            <w:tcBorders>
              <w:tl2br w:val="nil"/>
              <w:tr2bl w:val="nil"/>
            </w:tcBorders>
            <w:vAlign w:val="center"/>
          </w:tcPr>
          <w:p w14:paraId="3BFB4FE4">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三、资源综合利用及能耗</w:t>
            </w:r>
          </w:p>
        </w:tc>
        <w:tc>
          <w:tcPr>
            <w:tcW w:w="4267" w:type="dxa"/>
            <w:tcBorders>
              <w:tl2br w:val="nil"/>
              <w:tr2bl w:val="nil"/>
            </w:tcBorders>
          </w:tcPr>
          <w:p w14:paraId="7E338F0E">
            <w:pPr>
              <w:pStyle w:val="194"/>
              <w:widowControl w:val="0"/>
              <w:spacing w:line="240" w:lineRule="auto"/>
              <w:ind w:firstLine="0" w:firstLineChars="0"/>
              <w:jc w:val="both"/>
              <w:rPr>
                <w:rFonts w:ascii="Times New Roman" w:hAnsi="Times New Roman" w:eastAsia="宋体" w:cs="Times New Roman"/>
                <w:caps w:val="0"/>
                <w:smallCaps w:val="0"/>
                <w:color w:val="auto"/>
                <w:spacing w:val="0"/>
                <w:kern w:val="0"/>
                <w:sz w:val="21"/>
                <w:szCs w:val="21"/>
                <w:highlight w:val="none"/>
              </w:rPr>
            </w:pPr>
            <w:r>
              <w:rPr>
                <w:rFonts w:ascii="Times New Roman" w:hAnsi="Times New Roman" w:eastAsia="宋体" w:cs="Times New Roman"/>
                <w:caps w:val="0"/>
                <w:smallCaps w:val="0"/>
                <w:color w:val="auto"/>
                <w:spacing w:val="0"/>
                <w:sz w:val="21"/>
                <w:szCs w:val="21"/>
                <w:highlight w:val="none"/>
              </w:rPr>
              <w:t>（一）光伏制造企业和项目用地应符合国家已出台的土地使用标准，严格保护耕地，节约集约用地</w:t>
            </w:r>
          </w:p>
        </w:tc>
        <w:tc>
          <w:tcPr>
            <w:tcW w:w="3455" w:type="dxa"/>
            <w:tcBorders>
              <w:tl2br w:val="nil"/>
              <w:tr2bl w:val="nil"/>
            </w:tcBorders>
            <w:vAlign w:val="center"/>
          </w:tcPr>
          <w:p w14:paraId="5514AEE0">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本工程厂址位于佳木斯高新技术产业开发区轻工产业园（含新材料）内，不占用耕地</w:t>
            </w:r>
          </w:p>
        </w:tc>
        <w:tc>
          <w:tcPr>
            <w:tcW w:w="864" w:type="dxa"/>
            <w:tcBorders>
              <w:tl2br w:val="nil"/>
              <w:tr2bl w:val="nil"/>
            </w:tcBorders>
            <w:vAlign w:val="center"/>
          </w:tcPr>
          <w:p w14:paraId="08C367FA">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0713D0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1D591BCE">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52CFB21C">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（二）光伏制造项目电耗应满足以下要求：</w:t>
            </w:r>
          </w:p>
          <w:p w14:paraId="0C7CF010">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6.薄膜电池组件项目平均电耗小于</w:t>
            </w:r>
            <w:r>
              <w:rPr>
                <w:rFonts w:hint="eastAsia" w:ascii="Times New Roman" w:hAnsi="Times New Roman" w:eastAsia="宋体" w:cs="Times New Roman"/>
                <w:caps w:val="0"/>
                <w:smallCaps w:val="0"/>
                <w:color w:val="auto"/>
                <w:spacing w:val="0"/>
                <w:sz w:val="21"/>
                <w:szCs w:val="21"/>
                <w:highlight w:val="none"/>
              </w:rPr>
              <w:t>4</w:t>
            </w:r>
            <w:r>
              <w:rPr>
                <w:rFonts w:ascii="Times New Roman" w:hAnsi="Times New Roman" w:eastAsia="宋体" w:cs="Times New Roman"/>
                <w:caps w:val="0"/>
                <w:smallCaps w:val="0"/>
                <w:color w:val="auto"/>
                <w:spacing w:val="0"/>
                <w:sz w:val="21"/>
                <w:szCs w:val="21"/>
                <w:highlight w:val="none"/>
              </w:rPr>
              <w:t>0万千瓦时/MWp</w:t>
            </w:r>
          </w:p>
        </w:tc>
        <w:tc>
          <w:tcPr>
            <w:tcW w:w="3455" w:type="dxa"/>
            <w:tcBorders>
              <w:tl2br w:val="nil"/>
              <w:tr2bl w:val="nil"/>
            </w:tcBorders>
          </w:tcPr>
          <w:p w14:paraId="5C86DE06">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本工程碲化镉薄膜发电玻璃电耗为36.5万kW·h/MW，低于</w:t>
            </w:r>
            <w:r>
              <w:rPr>
                <w:rFonts w:hint="eastAsia" w:ascii="Times New Roman" w:hAnsi="Times New Roman" w:eastAsia="宋体" w:cs="Times New Roman"/>
                <w:caps w:val="0"/>
                <w:smallCaps w:val="0"/>
                <w:color w:val="auto"/>
                <w:spacing w:val="0"/>
                <w:sz w:val="21"/>
                <w:szCs w:val="21"/>
                <w:highlight w:val="none"/>
              </w:rPr>
              <w:t>4</w:t>
            </w:r>
            <w:r>
              <w:rPr>
                <w:rFonts w:ascii="Times New Roman" w:hAnsi="Times New Roman" w:eastAsia="宋体" w:cs="Times New Roman"/>
                <w:caps w:val="0"/>
                <w:smallCaps w:val="0"/>
                <w:color w:val="auto"/>
                <w:spacing w:val="0"/>
                <w:sz w:val="21"/>
                <w:szCs w:val="21"/>
                <w:highlight w:val="none"/>
              </w:rPr>
              <w:t>0万千瓦时/MWp电耗指标</w:t>
            </w:r>
          </w:p>
        </w:tc>
        <w:tc>
          <w:tcPr>
            <w:tcW w:w="864" w:type="dxa"/>
            <w:tcBorders>
              <w:tl2br w:val="nil"/>
              <w:tr2bl w:val="nil"/>
            </w:tcBorders>
            <w:vAlign w:val="center"/>
          </w:tcPr>
          <w:p w14:paraId="5F21B4D2">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761D24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055331B5">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465B74A4">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（三）光伏制造项目生产水耗应满足以下要求：</w:t>
            </w:r>
          </w:p>
          <w:p w14:paraId="3A9A9561">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3.电池项目水耗低于1500吨/MWp</w:t>
            </w:r>
          </w:p>
        </w:tc>
        <w:tc>
          <w:tcPr>
            <w:tcW w:w="3455" w:type="dxa"/>
            <w:tcBorders>
              <w:tl2br w:val="nil"/>
              <w:tr2bl w:val="nil"/>
            </w:tcBorders>
          </w:tcPr>
          <w:p w14:paraId="286DF672">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本工程水耗为</w:t>
            </w:r>
            <w:r>
              <w:rPr>
                <w:rFonts w:hint="eastAsia" w:ascii="Times New Roman" w:hAnsi="Times New Roman" w:eastAsia="宋体" w:cs="Times New Roman"/>
                <w:caps w:val="0"/>
                <w:smallCaps w:val="0"/>
                <w:color w:val="auto"/>
                <w:spacing w:val="0"/>
                <w:sz w:val="21"/>
                <w:szCs w:val="21"/>
                <w:highlight w:val="none"/>
              </w:rPr>
              <w:t>6</w:t>
            </w:r>
            <w:r>
              <w:rPr>
                <w:rFonts w:hint="eastAsia" w:ascii="Times New Roman" w:hAnsi="Times New Roman" w:eastAsia="宋体" w:cs="Times New Roman"/>
                <w:caps w:val="0"/>
                <w:smallCaps w:val="0"/>
                <w:color w:val="auto"/>
                <w:spacing w:val="0"/>
                <w:sz w:val="21"/>
                <w:szCs w:val="21"/>
                <w:highlight w:val="none"/>
                <w:lang w:val="en-US" w:eastAsia="zh-CN"/>
              </w:rPr>
              <w:t>30.26</w:t>
            </w:r>
            <w:r>
              <w:rPr>
                <w:rFonts w:ascii="Times New Roman" w:hAnsi="Times New Roman" w:eastAsia="宋体" w:cs="Times New Roman"/>
                <w:caps w:val="0"/>
                <w:smallCaps w:val="0"/>
                <w:color w:val="auto"/>
                <w:spacing w:val="0"/>
                <w:sz w:val="21"/>
                <w:szCs w:val="21"/>
                <w:highlight w:val="none"/>
              </w:rPr>
              <w:t>t/MWp，低于1500吨/MWp水耗指标</w:t>
            </w:r>
          </w:p>
        </w:tc>
        <w:tc>
          <w:tcPr>
            <w:tcW w:w="864" w:type="dxa"/>
            <w:tcBorders>
              <w:tl2br w:val="nil"/>
              <w:tr2bl w:val="nil"/>
            </w:tcBorders>
            <w:vAlign w:val="center"/>
          </w:tcPr>
          <w:p w14:paraId="48A25F8B">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7BE48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restart"/>
            <w:tcBorders>
              <w:tl2br w:val="nil"/>
              <w:tr2bl w:val="nil"/>
            </w:tcBorders>
          </w:tcPr>
          <w:p w14:paraId="08C7CE1B">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四、智能制造和绿色制造</w:t>
            </w:r>
          </w:p>
        </w:tc>
        <w:tc>
          <w:tcPr>
            <w:tcW w:w="4267" w:type="dxa"/>
            <w:tcBorders>
              <w:tl2br w:val="nil"/>
              <w:tr2bl w:val="nil"/>
            </w:tcBorders>
          </w:tcPr>
          <w:p w14:paraId="7369F603">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一）鼓励企业将自动化、信息化、智能化及绿色化等贯穿于设计、生产、管理、检测和服务的各个环节，积极开展智能制造，提升本质安全水平，降低运营成本，缩短产品生产周期，提高生产效率，降低产品不良品率，提高能源利用率。</w:t>
            </w:r>
          </w:p>
        </w:tc>
        <w:tc>
          <w:tcPr>
            <w:tcW w:w="3455" w:type="dxa"/>
            <w:tcBorders>
              <w:tl2br w:val="nil"/>
              <w:tr2bl w:val="nil"/>
            </w:tcBorders>
          </w:tcPr>
          <w:p w14:paraId="671F78A0">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本工程对前段镀膜生产线进行设备工艺升级，产品合格率由原来的92%提高至95%，</w:t>
            </w:r>
            <w:r>
              <w:rPr>
                <w:rFonts w:ascii="Times New Roman" w:hAnsi="Times New Roman" w:eastAsia="宋体" w:cs="Times New Roman"/>
                <w:caps w:val="0"/>
                <w:smallCaps w:val="0"/>
                <w:color w:val="auto"/>
                <w:spacing w:val="0"/>
                <w:sz w:val="21"/>
                <w:szCs w:val="21"/>
                <w:highlight w:val="none"/>
              </w:rPr>
              <w:t>提高生产效率，降低产品不良品率，提高能源利用率。</w:t>
            </w:r>
          </w:p>
        </w:tc>
        <w:tc>
          <w:tcPr>
            <w:tcW w:w="864" w:type="dxa"/>
            <w:tcBorders>
              <w:tl2br w:val="nil"/>
              <w:tr2bl w:val="nil"/>
            </w:tcBorders>
            <w:vAlign w:val="center"/>
          </w:tcPr>
          <w:p w14:paraId="3547E3A7">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符合</w:t>
            </w:r>
          </w:p>
        </w:tc>
      </w:tr>
      <w:tr w14:paraId="053BCF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294FB180">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0B89A925">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二）鼓励企业参与光伏行业绿色低碳相关标准制修订工作。参照光伏行业绿色制造相关标准要求，开展绿色产品认证、绿色工厂、绿色供应链评价等工作。鼓励企业推广技术先进、显示度高、可复制的绿色设计典型案例和应用场景。鼓励企业在生产制造过程中优先使用绿色清洁电力，采用购买绿色电力证书、建设应用工业绿色微电网等方式满足绿色制造要求。</w:t>
            </w:r>
          </w:p>
        </w:tc>
        <w:tc>
          <w:tcPr>
            <w:tcW w:w="3455" w:type="dxa"/>
            <w:tcBorders>
              <w:tl2br w:val="nil"/>
              <w:tr2bl w:val="nil"/>
            </w:tcBorders>
          </w:tcPr>
          <w:p w14:paraId="67828B67">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企业</w:t>
            </w:r>
            <w:r>
              <w:rPr>
                <w:rFonts w:hint="eastAsia" w:ascii="Times New Roman" w:hAnsi="Times New Roman" w:eastAsia="宋体" w:cs="Times New Roman"/>
                <w:caps w:val="0"/>
                <w:smallCaps w:val="0"/>
                <w:color w:val="auto"/>
                <w:spacing w:val="0"/>
                <w:sz w:val="21"/>
                <w:szCs w:val="21"/>
                <w:highlight w:val="none"/>
              </w:rPr>
              <w:t>积极</w:t>
            </w:r>
            <w:r>
              <w:rPr>
                <w:rFonts w:ascii="Times New Roman" w:hAnsi="Times New Roman" w:eastAsia="宋体" w:cs="Times New Roman"/>
                <w:caps w:val="0"/>
                <w:smallCaps w:val="0"/>
                <w:color w:val="auto"/>
                <w:spacing w:val="0"/>
                <w:sz w:val="21"/>
                <w:szCs w:val="21"/>
                <w:highlight w:val="none"/>
              </w:rPr>
              <w:t>参与光伏行业绿色低碳相关标准制修订工作。</w:t>
            </w:r>
            <w:r>
              <w:rPr>
                <w:rFonts w:hint="eastAsia" w:ascii="Times New Roman" w:hAnsi="Times New Roman" w:eastAsia="宋体" w:cs="Times New Roman"/>
                <w:caps w:val="0"/>
                <w:smallCaps w:val="0"/>
                <w:color w:val="auto"/>
                <w:spacing w:val="0"/>
                <w:sz w:val="21"/>
                <w:szCs w:val="21"/>
                <w:highlight w:val="none"/>
              </w:rPr>
              <w:t>并</w:t>
            </w:r>
            <w:r>
              <w:rPr>
                <w:rFonts w:ascii="Times New Roman" w:hAnsi="Times New Roman" w:eastAsia="宋体" w:cs="Times New Roman"/>
                <w:caps w:val="0"/>
                <w:smallCaps w:val="0"/>
                <w:color w:val="auto"/>
                <w:spacing w:val="0"/>
                <w:sz w:val="21"/>
                <w:szCs w:val="21"/>
                <w:highlight w:val="none"/>
              </w:rPr>
              <w:t>参照光伏行业绿色制造相关标准要求，开展绿色产品认证、绿色工厂、绿色供应链评价等工作。企业</w:t>
            </w:r>
            <w:r>
              <w:rPr>
                <w:rFonts w:hint="eastAsia" w:ascii="Times New Roman" w:hAnsi="Times New Roman" w:eastAsia="宋体" w:cs="Times New Roman"/>
                <w:caps w:val="0"/>
                <w:smallCaps w:val="0"/>
                <w:color w:val="auto"/>
                <w:spacing w:val="0"/>
                <w:sz w:val="21"/>
                <w:szCs w:val="21"/>
                <w:highlight w:val="none"/>
              </w:rPr>
              <w:t>积极</w:t>
            </w:r>
            <w:r>
              <w:rPr>
                <w:rFonts w:ascii="Times New Roman" w:hAnsi="Times New Roman" w:eastAsia="宋体" w:cs="Times New Roman"/>
                <w:caps w:val="0"/>
                <w:smallCaps w:val="0"/>
                <w:color w:val="auto"/>
                <w:spacing w:val="0"/>
                <w:sz w:val="21"/>
                <w:szCs w:val="21"/>
                <w:highlight w:val="none"/>
              </w:rPr>
              <w:t>推广技术先进、显示度高、可复制的绿色设计典型案例和应用场景。企业在生产制造过程中优先使用绿色清洁电力，采用购买绿色电力证书、建设应用工业绿色微电网等方式满足绿色制造要求。</w:t>
            </w:r>
          </w:p>
        </w:tc>
        <w:tc>
          <w:tcPr>
            <w:tcW w:w="864" w:type="dxa"/>
            <w:tcBorders>
              <w:tl2br w:val="nil"/>
              <w:tr2bl w:val="nil"/>
            </w:tcBorders>
            <w:vAlign w:val="center"/>
          </w:tcPr>
          <w:p w14:paraId="08C3B33F">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5D663C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297C0843">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705B65F8">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（三）企业应履行生产者责任延伸制度，开展光伏产品回收利用技术研发及产业化应用。</w:t>
            </w:r>
          </w:p>
        </w:tc>
        <w:tc>
          <w:tcPr>
            <w:tcW w:w="3455" w:type="dxa"/>
            <w:tcBorders>
              <w:tl2br w:val="nil"/>
              <w:tr2bl w:val="nil"/>
            </w:tcBorders>
          </w:tcPr>
          <w:p w14:paraId="6BE721E7">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企业</w:t>
            </w:r>
            <w:r>
              <w:rPr>
                <w:rFonts w:hint="eastAsia" w:ascii="Times New Roman" w:hAnsi="Times New Roman" w:eastAsia="宋体" w:cs="Times New Roman"/>
                <w:caps w:val="0"/>
                <w:smallCaps w:val="0"/>
                <w:color w:val="auto"/>
                <w:spacing w:val="0"/>
                <w:sz w:val="21"/>
                <w:szCs w:val="21"/>
                <w:highlight w:val="none"/>
              </w:rPr>
              <w:t>认真</w:t>
            </w:r>
            <w:r>
              <w:rPr>
                <w:rFonts w:ascii="Times New Roman" w:hAnsi="Times New Roman" w:eastAsia="宋体" w:cs="Times New Roman"/>
                <w:caps w:val="0"/>
                <w:smallCaps w:val="0"/>
                <w:color w:val="auto"/>
                <w:spacing w:val="0"/>
                <w:sz w:val="21"/>
                <w:szCs w:val="21"/>
                <w:highlight w:val="none"/>
              </w:rPr>
              <w:t>履行生产者责任延伸制度，开展光伏产品回收利用技术研发及产业化应用。</w:t>
            </w:r>
          </w:p>
        </w:tc>
        <w:tc>
          <w:tcPr>
            <w:tcW w:w="864" w:type="dxa"/>
            <w:tcBorders>
              <w:tl2br w:val="nil"/>
              <w:tr2bl w:val="nil"/>
            </w:tcBorders>
            <w:vAlign w:val="center"/>
          </w:tcPr>
          <w:p w14:paraId="27F97C6F">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符合</w:t>
            </w:r>
          </w:p>
        </w:tc>
      </w:tr>
      <w:tr w14:paraId="6CC85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restart"/>
            <w:tcBorders>
              <w:tl2br w:val="nil"/>
              <w:tr2bl w:val="nil"/>
            </w:tcBorders>
            <w:vAlign w:val="center"/>
          </w:tcPr>
          <w:p w14:paraId="6547C8F5">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五</w:t>
            </w:r>
            <w:r>
              <w:rPr>
                <w:rFonts w:ascii="Times New Roman" w:hAnsi="Times New Roman" w:eastAsia="宋体" w:cs="Times New Roman"/>
                <w:caps w:val="0"/>
                <w:smallCaps w:val="0"/>
                <w:color w:val="auto"/>
                <w:spacing w:val="0"/>
                <w:sz w:val="21"/>
                <w:szCs w:val="21"/>
                <w:highlight w:val="none"/>
              </w:rPr>
              <w:t>、环境保护</w:t>
            </w:r>
          </w:p>
        </w:tc>
        <w:tc>
          <w:tcPr>
            <w:tcW w:w="4267" w:type="dxa"/>
            <w:tcBorders>
              <w:tl2br w:val="nil"/>
              <w:tr2bl w:val="nil"/>
            </w:tcBorders>
          </w:tcPr>
          <w:p w14:paraId="7FD0508F">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（一）企业应依法进行环境影响评价，落实环境保护设施“三同时”制度要求，按规定进行竣工环境保护验收。新建项目禁止配套建设自备燃煤电站。</w:t>
            </w:r>
          </w:p>
        </w:tc>
        <w:tc>
          <w:tcPr>
            <w:tcW w:w="3455" w:type="dxa"/>
            <w:tcBorders>
              <w:tl2br w:val="nil"/>
              <w:tr2bl w:val="nil"/>
            </w:tcBorders>
          </w:tcPr>
          <w:p w14:paraId="62E09AD6">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佳木斯中建材光电材料有限公司已委托开展环评工作，</w:t>
            </w:r>
            <w:r>
              <w:rPr>
                <w:rFonts w:hint="eastAsia" w:ascii="Times New Roman" w:hAnsi="Times New Roman" w:eastAsia="宋体" w:cs="Times New Roman"/>
                <w:caps w:val="0"/>
                <w:smallCaps w:val="0"/>
                <w:color w:val="auto"/>
                <w:spacing w:val="0"/>
                <w:sz w:val="21"/>
                <w:szCs w:val="21"/>
                <w:highlight w:val="none"/>
              </w:rPr>
              <w:t>后端组装工段已</w:t>
            </w:r>
            <w:r>
              <w:rPr>
                <w:rFonts w:ascii="Times New Roman" w:hAnsi="Times New Roman" w:eastAsia="宋体" w:cs="Times New Roman"/>
                <w:caps w:val="0"/>
                <w:smallCaps w:val="0"/>
                <w:color w:val="auto"/>
                <w:spacing w:val="0"/>
                <w:sz w:val="21"/>
                <w:szCs w:val="21"/>
                <w:highlight w:val="none"/>
              </w:rPr>
              <w:t>落实环保设施三同时制度</w:t>
            </w:r>
            <w:r>
              <w:rPr>
                <w:rFonts w:ascii="Times New Roman" w:hAnsi="Times New Roman" w:eastAsia="宋体" w:cs="Times New Roman"/>
                <w:caps w:val="0"/>
                <w:smallCaps w:val="0"/>
                <w:color w:val="auto"/>
                <w:spacing w:val="0"/>
                <w:kern w:val="0"/>
                <w:sz w:val="21"/>
                <w:szCs w:val="21"/>
                <w:highlight w:val="none"/>
              </w:rPr>
              <w:t>，</w:t>
            </w:r>
            <w:r>
              <w:rPr>
                <w:rFonts w:ascii="Times New Roman" w:hAnsi="Times New Roman" w:eastAsia="宋体" w:cs="Times New Roman"/>
                <w:caps w:val="0"/>
                <w:smallCaps w:val="0"/>
                <w:color w:val="auto"/>
                <w:spacing w:val="0"/>
                <w:sz w:val="21"/>
                <w:szCs w:val="21"/>
                <w:highlight w:val="none"/>
              </w:rPr>
              <w:t>进行竣工环境保护验收</w:t>
            </w:r>
            <w:r>
              <w:rPr>
                <w:rFonts w:hint="eastAsia" w:ascii="Times New Roman" w:hAnsi="Times New Roman" w:eastAsia="宋体" w:cs="Times New Roman"/>
                <w:caps w:val="0"/>
                <w:smallCaps w:val="0"/>
                <w:color w:val="auto"/>
                <w:spacing w:val="0"/>
                <w:sz w:val="21"/>
                <w:szCs w:val="21"/>
                <w:highlight w:val="none"/>
              </w:rPr>
              <w:t>，厂区内无</w:t>
            </w:r>
            <w:r>
              <w:rPr>
                <w:rFonts w:ascii="Times New Roman" w:hAnsi="Times New Roman" w:eastAsia="宋体" w:cs="Times New Roman"/>
                <w:caps w:val="0"/>
                <w:smallCaps w:val="0"/>
                <w:color w:val="auto"/>
                <w:spacing w:val="0"/>
                <w:sz w:val="21"/>
                <w:szCs w:val="21"/>
                <w:highlight w:val="none"/>
              </w:rPr>
              <w:t>自备燃煤电站</w:t>
            </w:r>
            <w:r>
              <w:rPr>
                <w:rFonts w:hint="eastAsia" w:ascii="Times New Roman" w:hAnsi="Times New Roman" w:eastAsia="宋体" w:cs="Times New Roman"/>
                <w:caps w:val="0"/>
                <w:smallCaps w:val="0"/>
                <w:color w:val="auto"/>
                <w:spacing w:val="0"/>
                <w:sz w:val="21"/>
                <w:szCs w:val="21"/>
                <w:highlight w:val="none"/>
              </w:rPr>
              <w:t>。</w:t>
            </w:r>
          </w:p>
        </w:tc>
        <w:tc>
          <w:tcPr>
            <w:tcW w:w="864" w:type="dxa"/>
            <w:tcBorders>
              <w:tl2br w:val="nil"/>
              <w:tr2bl w:val="nil"/>
            </w:tcBorders>
            <w:vAlign w:val="center"/>
          </w:tcPr>
          <w:p w14:paraId="1BA42CE9">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r w14:paraId="397A0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vAlign w:val="center"/>
          </w:tcPr>
          <w:p w14:paraId="52CD1AA4">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tcPr>
          <w:p w14:paraId="1BE5DA8F">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（二）企业应有健全的企业环境管理机构，制定有效的企业环境管理制度，符合环保法律法规要求，依法依规在规定时限内申领并取得排污许可证，并严格按证排放污染物，定期开展清洁生产审核并通过评估验收</w:t>
            </w:r>
          </w:p>
        </w:tc>
        <w:tc>
          <w:tcPr>
            <w:tcW w:w="3455" w:type="dxa"/>
            <w:tcBorders>
              <w:tl2br w:val="nil"/>
              <w:tr2bl w:val="nil"/>
            </w:tcBorders>
          </w:tcPr>
          <w:p w14:paraId="76AF34BA">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企业拥有</w:t>
            </w:r>
            <w:r>
              <w:rPr>
                <w:rFonts w:ascii="Times New Roman" w:hAnsi="Times New Roman" w:eastAsia="宋体" w:cs="Times New Roman"/>
                <w:caps w:val="0"/>
                <w:smallCaps w:val="0"/>
                <w:color w:val="auto"/>
                <w:spacing w:val="0"/>
                <w:sz w:val="21"/>
                <w:szCs w:val="21"/>
                <w:highlight w:val="none"/>
              </w:rPr>
              <w:t>健全的企业环境管理机构和环境管理制度，依法依规在规定时限内申领并取得排污许可证，并严格按证排放污染物，定期开展清洁生产审核并通过评估验收</w:t>
            </w:r>
            <w:r>
              <w:rPr>
                <w:rFonts w:hint="eastAsia" w:ascii="Times New Roman" w:hAnsi="Times New Roman" w:eastAsia="宋体" w:cs="Times New Roman"/>
                <w:caps w:val="0"/>
                <w:smallCaps w:val="0"/>
                <w:color w:val="auto"/>
                <w:spacing w:val="0"/>
                <w:sz w:val="21"/>
                <w:szCs w:val="21"/>
                <w:highlight w:val="none"/>
              </w:rPr>
              <w:t>。</w:t>
            </w:r>
          </w:p>
        </w:tc>
        <w:tc>
          <w:tcPr>
            <w:tcW w:w="864" w:type="dxa"/>
            <w:tcBorders>
              <w:tl2br w:val="nil"/>
              <w:tr2bl w:val="nil"/>
            </w:tcBorders>
            <w:vAlign w:val="center"/>
          </w:tcPr>
          <w:p w14:paraId="12622FE0">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符合</w:t>
            </w:r>
          </w:p>
        </w:tc>
      </w:tr>
      <w:tr w14:paraId="67D84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tcBorders>
              <w:tl2br w:val="nil"/>
              <w:tr2bl w:val="nil"/>
            </w:tcBorders>
          </w:tcPr>
          <w:p w14:paraId="663AA792">
            <w:pPr>
              <w:pStyle w:val="194"/>
              <w:widowControl w:val="0"/>
              <w:spacing w:line="320" w:lineRule="exact"/>
              <w:ind w:firstLine="0" w:firstLineChars="0"/>
              <w:rPr>
                <w:rFonts w:ascii="Times New Roman" w:hAnsi="Times New Roman" w:eastAsia="宋体" w:cs="Times New Roman"/>
                <w:caps w:val="0"/>
                <w:smallCaps w:val="0"/>
                <w:color w:val="auto"/>
                <w:spacing w:val="0"/>
                <w:sz w:val="21"/>
                <w:szCs w:val="21"/>
                <w:highlight w:val="none"/>
              </w:rPr>
            </w:pPr>
          </w:p>
        </w:tc>
        <w:tc>
          <w:tcPr>
            <w:tcW w:w="4267" w:type="dxa"/>
            <w:tcBorders>
              <w:tl2br w:val="nil"/>
              <w:tr2bl w:val="nil"/>
            </w:tcBorders>
            <w:vAlign w:val="center"/>
          </w:tcPr>
          <w:p w14:paraId="699C043C">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三</w:t>
            </w:r>
            <w:r>
              <w:rPr>
                <w:rFonts w:ascii="Times New Roman" w:hAnsi="Times New Roman" w:eastAsia="宋体" w:cs="Times New Roman"/>
                <w:caps w:val="0"/>
                <w:smallCaps w:val="0"/>
                <w:color w:val="auto"/>
                <w:spacing w:val="0"/>
                <w:sz w:val="21"/>
                <w:szCs w:val="21"/>
                <w:highlight w:val="none"/>
              </w:rPr>
              <w:t>）废气、废水排放应符合国家和地方大气及水污染物排放标准和总量控制要求；恶臭污染物排放应符合《恶臭污染物排放标准》(GB14554)，工业固体废物应依法分类贮存、转移、处置或综合利用，企业危险废物贮存应符合《危险废物贮存污染控制标准》（GB18597）相关要求，一般工业固体废物贮存应符合《一般工业固体废物贮存、处置场污染控制标准》（GB18559）相关要求，采用库房、包装工具（罐、桶、包装袋等）贮存一般工业固体废物应满足相应防渗漏、防雨淋、防扬尘等环境保护要求。产生危险废物的单位，应按照国家</w:t>
            </w:r>
            <w:r>
              <w:rPr>
                <w:rFonts w:hint="eastAsia" w:ascii="Times New Roman" w:hAnsi="Times New Roman" w:eastAsia="宋体" w:cs="Times New Roman"/>
                <w:caps w:val="0"/>
                <w:smallCaps w:val="0"/>
                <w:color w:val="auto"/>
                <w:spacing w:val="0"/>
                <w:sz w:val="21"/>
                <w:szCs w:val="21"/>
                <w:highlight w:val="none"/>
              </w:rPr>
              <w:t>有关</w:t>
            </w:r>
            <w:r>
              <w:rPr>
                <w:rFonts w:ascii="Times New Roman" w:hAnsi="Times New Roman" w:eastAsia="宋体" w:cs="Times New Roman"/>
                <w:caps w:val="0"/>
                <w:smallCaps w:val="0"/>
                <w:color w:val="auto"/>
                <w:spacing w:val="0"/>
                <w:sz w:val="21"/>
                <w:szCs w:val="21"/>
                <w:highlight w:val="none"/>
              </w:rPr>
              <w:t>规定制定危险废物管理计划，建立危险废物管理台账，并依法利用、处置危险废物。厂界噪声符合《工业企业厂界环境噪声排放标准》（GB12348）。新建和改扩建光伏制造项目污染物产生应符合《光伏电池行业清洁生产评价指标体系》中I级基准值要求，现有项目应满足</w:t>
            </w:r>
            <w:r>
              <w:rPr>
                <w:rFonts w:hint="eastAsia" w:ascii="Times New Roman" w:hAnsi="Times New Roman" w:eastAsia="宋体" w:cs="Times New Roman"/>
                <w:caps w:val="0"/>
                <w:smallCaps w:val="0"/>
                <w:color w:val="auto"/>
                <w:spacing w:val="0"/>
                <w:sz w:val="21"/>
                <w:szCs w:val="21"/>
                <w:highlight w:val="none"/>
              </w:rPr>
              <w:t>Ⅱ级</w:t>
            </w:r>
            <w:r>
              <w:rPr>
                <w:rFonts w:ascii="Times New Roman" w:hAnsi="Times New Roman" w:eastAsia="宋体" w:cs="Times New Roman"/>
                <w:caps w:val="0"/>
                <w:smallCaps w:val="0"/>
                <w:color w:val="auto"/>
                <w:spacing w:val="0"/>
                <w:sz w:val="21"/>
                <w:szCs w:val="21"/>
                <w:highlight w:val="none"/>
              </w:rPr>
              <w:t>基准值要求</w:t>
            </w:r>
          </w:p>
        </w:tc>
        <w:tc>
          <w:tcPr>
            <w:tcW w:w="3455" w:type="dxa"/>
            <w:tcBorders>
              <w:tl2br w:val="nil"/>
              <w:tr2bl w:val="nil"/>
            </w:tcBorders>
          </w:tcPr>
          <w:p w14:paraId="75B676EB">
            <w:pPr>
              <w:pStyle w:val="194"/>
              <w:widowControl w:val="0"/>
              <w:spacing w:line="240" w:lineRule="auto"/>
              <w:ind w:firstLine="0" w:firstLineChars="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本工程废气、废水排放应符合国家和地方大气及水污染物排放标准和总量控制要求；工业固体废物应依法分类贮存、转移、处置或综合利用，危险废物贮存库符合《危险废物贮存污染控制标准》（GB18597）相关要求，一般固废堆存间符合《一般工业固体废物贮存、处置场污染控制标准》（GB18559）相关要求，危废定期交由有资质单位进行处置；</w:t>
            </w:r>
            <w:r>
              <w:rPr>
                <w:rFonts w:hint="eastAsia" w:ascii="Times New Roman" w:hAnsi="Times New Roman" w:eastAsia="宋体" w:cs="Times New Roman"/>
                <w:caps w:val="0"/>
                <w:smallCaps w:val="0"/>
                <w:color w:val="auto"/>
                <w:spacing w:val="0"/>
                <w:sz w:val="21"/>
                <w:szCs w:val="21"/>
                <w:highlight w:val="none"/>
              </w:rPr>
              <w:t>本项目原料库采取相应的</w:t>
            </w:r>
            <w:r>
              <w:rPr>
                <w:rFonts w:ascii="Times New Roman" w:hAnsi="Times New Roman" w:eastAsia="宋体" w:cs="Times New Roman"/>
                <w:caps w:val="0"/>
                <w:smallCaps w:val="0"/>
                <w:color w:val="auto"/>
                <w:spacing w:val="0"/>
                <w:sz w:val="21"/>
                <w:szCs w:val="21"/>
                <w:highlight w:val="none"/>
              </w:rPr>
              <w:t>渗漏、防雨淋、防扬尘等环境保护要求。</w:t>
            </w:r>
            <w:r>
              <w:rPr>
                <w:rFonts w:hint="eastAsia" w:ascii="Times New Roman" w:hAnsi="Times New Roman" w:eastAsia="宋体" w:cs="Times New Roman"/>
                <w:caps w:val="0"/>
                <w:smallCaps w:val="0"/>
                <w:color w:val="auto"/>
                <w:spacing w:val="0"/>
                <w:sz w:val="21"/>
                <w:szCs w:val="21"/>
                <w:highlight w:val="none"/>
              </w:rPr>
              <w:t>已</w:t>
            </w:r>
            <w:r>
              <w:rPr>
                <w:rFonts w:ascii="Times New Roman" w:hAnsi="Times New Roman" w:eastAsia="宋体" w:cs="Times New Roman"/>
                <w:caps w:val="0"/>
                <w:smallCaps w:val="0"/>
                <w:color w:val="auto"/>
                <w:spacing w:val="0"/>
                <w:sz w:val="21"/>
                <w:szCs w:val="21"/>
                <w:highlight w:val="none"/>
              </w:rPr>
              <w:t>建立危险废物管理台账，并依法利用、处置危险废物。厂界噪声符合《工业企业厂界环境噪声排放标准》（GB12348）。污染物产生应符合《光伏电池行业清洁生产评价指标体系》中I级基准值要求</w:t>
            </w:r>
            <w:r>
              <w:rPr>
                <w:rFonts w:hint="eastAsia" w:ascii="Times New Roman" w:hAnsi="Times New Roman" w:eastAsia="宋体" w:cs="Times New Roman"/>
                <w:caps w:val="0"/>
                <w:smallCaps w:val="0"/>
                <w:color w:val="auto"/>
                <w:spacing w:val="0"/>
                <w:sz w:val="21"/>
                <w:szCs w:val="21"/>
                <w:highlight w:val="none"/>
              </w:rPr>
              <w:t>。</w:t>
            </w:r>
          </w:p>
        </w:tc>
        <w:tc>
          <w:tcPr>
            <w:tcW w:w="864" w:type="dxa"/>
            <w:tcBorders>
              <w:tl2br w:val="nil"/>
              <w:tr2bl w:val="nil"/>
            </w:tcBorders>
            <w:vAlign w:val="center"/>
          </w:tcPr>
          <w:p w14:paraId="4A998680">
            <w:pPr>
              <w:pStyle w:val="194"/>
              <w:widowControl w:val="0"/>
              <w:spacing w:line="320" w:lineRule="exact"/>
              <w:ind w:firstLine="0" w:firstLineChars="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符合</w:t>
            </w:r>
          </w:p>
        </w:tc>
      </w:tr>
    </w:tbl>
    <w:p w14:paraId="1410D939">
      <w:pPr>
        <w:pStyle w:val="194"/>
        <w:widowControl w:val="0"/>
        <w:ind w:firstLine="480"/>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综上分析，本工程符合</w:t>
      </w:r>
      <w:r>
        <w:rPr>
          <w:rFonts w:ascii="Times New Roman" w:hAnsi="Times New Roman" w:eastAsia="宋体" w:cs="Times New Roman"/>
          <w:caps w:val="0"/>
          <w:smallCaps w:val="0"/>
          <w:color w:val="auto"/>
          <w:spacing w:val="0"/>
          <w:szCs w:val="21"/>
          <w:highlight w:val="none"/>
        </w:rPr>
        <w:t>《光伏制造行业规范条件</w:t>
      </w:r>
      <w:r>
        <w:rPr>
          <w:rFonts w:hint="eastAsia" w:ascii="Times New Roman" w:hAnsi="Times New Roman" w:eastAsia="宋体" w:cs="Times New Roman"/>
          <w:caps w:val="0"/>
          <w:smallCaps w:val="0"/>
          <w:color w:val="auto"/>
          <w:spacing w:val="0"/>
          <w:szCs w:val="21"/>
          <w:highlight w:val="none"/>
        </w:rPr>
        <w:t>（</w:t>
      </w:r>
      <w:r>
        <w:rPr>
          <w:rFonts w:ascii="Times New Roman" w:hAnsi="Times New Roman" w:eastAsia="宋体" w:cs="Times New Roman"/>
          <w:caps w:val="0"/>
          <w:smallCaps w:val="0"/>
          <w:color w:val="auto"/>
          <w:spacing w:val="0"/>
          <w:szCs w:val="21"/>
          <w:highlight w:val="none"/>
        </w:rPr>
        <w:t>20</w:t>
      </w:r>
      <w:r>
        <w:rPr>
          <w:rFonts w:hint="eastAsia" w:ascii="Times New Roman" w:hAnsi="Times New Roman" w:eastAsia="宋体" w:cs="Times New Roman"/>
          <w:caps w:val="0"/>
          <w:smallCaps w:val="0"/>
          <w:color w:val="auto"/>
          <w:spacing w:val="0"/>
          <w:szCs w:val="21"/>
          <w:highlight w:val="none"/>
        </w:rPr>
        <w:t>24</w:t>
      </w:r>
      <w:r>
        <w:rPr>
          <w:rFonts w:ascii="Times New Roman" w:hAnsi="Times New Roman" w:eastAsia="宋体" w:cs="Times New Roman"/>
          <w:caps w:val="0"/>
          <w:smallCaps w:val="0"/>
          <w:color w:val="auto"/>
          <w:spacing w:val="0"/>
          <w:szCs w:val="21"/>
          <w:highlight w:val="none"/>
        </w:rPr>
        <w:t>年本</w:t>
      </w:r>
      <w:r>
        <w:rPr>
          <w:rFonts w:hint="eastAsia" w:ascii="Times New Roman" w:hAnsi="Times New Roman" w:eastAsia="宋体" w:cs="Times New Roman"/>
          <w:caps w:val="0"/>
          <w:smallCaps w:val="0"/>
          <w:color w:val="auto"/>
          <w:spacing w:val="0"/>
          <w:szCs w:val="21"/>
          <w:highlight w:val="none"/>
        </w:rPr>
        <w:t>）</w:t>
      </w:r>
      <w:r>
        <w:rPr>
          <w:rFonts w:ascii="Times New Roman" w:hAnsi="Times New Roman" w:eastAsia="宋体" w:cs="Times New Roman"/>
          <w:caps w:val="0"/>
          <w:smallCaps w:val="0"/>
          <w:color w:val="auto"/>
          <w:spacing w:val="0"/>
          <w:szCs w:val="21"/>
          <w:highlight w:val="none"/>
        </w:rPr>
        <w:t>》</w:t>
      </w:r>
      <w:r>
        <w:rPr>
          <w:rFonts w:ascii="Times New Roman" w:hAnsi="Times New Roman" w:eastAsia="宋体" w:cs="Times New Roman"/>
          <w:caps w:val="0"/>
          <w:smallCaps w:val="0"/>
          <w:color w:val="auto"/>
          <w:spacing w:val="0"/>
          <w:szCs w:val="21"/>
          <w:highlight w:val="none"/>
        </w:rPr>
        <w:t>相关要求。</w:t>
      </w:r>
    </w:p>
    <w:p w14:paraId="6546B800">
      <w:pPr>
        <w:pStyle w:val="5"/>
        <w:widowControl w:val="0"/>
        <w:rPr>
          <w:rFonts w:eastAsia="宋体"/>
          <w:caps w:val="0"/>
          <w:smallCaps w:val="0"/>
          <w:color w:val="auto"/>
          <w:spacing w:val="0"/>
          <w:sz w:val="30"/>
          <w:szCs w:val="30"/>
          <w:highlight w:val="none"/>
        </w:rPr>
      </w:pPr>
      <w:bookmarkStart w:id="17" w:name="_Toc24301"/>
      <w:r>
        <w:rPr>
          <w:rFonts w:eastAsia="宋体"/>
          <w:caps w:val="0"/>
          <w:smallCaps w:val="0"/>
          <w:color w:val="auto"/>
          <w:spacing w:val="0"/>
          <w:sz w:val="30"/>
          <w:szCs w:val="30"/>
          <w:highlight w:val="none"/>
        </w:rPr>
        <w:t>1.5.</w:t>
      </w:r>
      <w:r>
        <w:rPr>
          <w:rFonts w:hint="eastAsia" w:eastAsia="宋体"/>
          <w:caps w:val="0"/>
          <w:smallCaps w:val="0"/>
          <w:color w:val="auto"/>
          <w:spacing w:val="0"/>
          <w:sz w:val="30"/>
          <w:szCs w:val="30"/>
          <w:highlight w:val="none"/>
        </w:rPr>
        <w:t>7</w:t>
      </w:r>
      <w:r>
        <w:rPr>
          <w:rFonts w:eastAsia="宋体"/>
          <w:caps w:val="0"/>
          <w:smallCaps w:val="0"/>
          <w:color w:val="auto"/>
          <w:spacing w:val="0"/>
          <w:sz w:val="30"/>
          <w:szCs w:val="30"/>
          <w:highlight w:val="none"/>
        </w:rPr>
        <w:t>选址合理性分析</w:t>
      </w:r>
      <w:bookmarkEnd w:id="17"/>
    </w:p>
    <w:p w14:paraId="65E3625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1、规划符合性分析</w:t>
      </w:r>
    </w:p>
    <w:p w14:paraId="53564F3A">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位于佳木斯市高新技术产业开发区轻工产业园（含新材料）内，本项目是碲化镉弱光发电玻璃项目。该产业园园区定位为依托现有铁路专用线发展园区大宗货物物流平台，东兴煤化工周边区域可适当发展新型材料（如发电玻璃、电缆防火材料等）、包装</w:t>
      </w:r>
      <w:r>
        <w:rPr>
          <w:rFonts w:hint="eastAsia" w:eastAsia="宋体"/>
          <w:caps w:val="0"/>
          <w:smallCaps w:val="0"/>
          <w:color w:val="auto"/>
          <w:spacing w:val="0"/>
          <w:highlight w:val="none"/>
        </w:rPr>
        <w:t>、以</w:t>
      </w:r>
      <w:r>
        <w:rPr>
          <w:rFonts w:eastAsia="宋体"/>
          <w:caps w:val="0"/>
          <w:smallCaps w:val="0"/>
          <w:color w:val="auto"/>
          <w:spacing w:val="0"/>
          <w:highlight w:val="none"/>
        </w:rPr>
        <w:t>及造纸等轻工产业</w:t>
      </w:r>
      <w:r>
        <w:rPr>
          <w:rFonts w:hint="eastAsia" w:eastAsia="宋体"/>
          <w:caps w:val="0"/>
          <w:smallCaps w:val="0"/>
          <w:color w:val="auto"/>
          <w:spacing w:val="0"/>
          <w:highlight w:val="none"/>
        </w:rPr>
        <w:t>，</w:t>
      </w:r>
      <w:r>
        <w:rPr>
          <w:rFonts w:hint="eastAsia" w:eastAsia="宋体"/>
          <w:caps w:val="0"/>
          <w:smallCaps w:val="0"/>
          <w:color w:val="auto"/>
          <w:spacing w:val="0"/>
          <w:highlight w:val="none"/>
        </w:rPr>
        <w:t>本项目属于发电玻璃，本项目位置及东兴煤电化工在园区中位置见图1.5-</w:t>
      </w:r>
      <w:r>
        <w:rPr>
          <w:rFonts w:hint="eastAsia" w:eastAsia="宋体"/>
          <w:caps w:val="0"/>
          <w:smallCaps w:val="0"/>
          <w:color w:val="auto"/>
          <w:spacing w:val="0"/>
          <w:highlight w:val="none"/>
          <w:lang w:val="en-US" w:eastAsia="zh-CN"/>
        </w:rPr>
        <w:t>2</w:t>
      </w:r>
      <w:r>
        <w:rPr>
          <w:rFonts w:hint="eastAsia" w:eastAsia="宋体"/>
          <w:caps w:val="0"/>
          <w:smallCaps w:val="0"/>
          <w:color w:val="auto"/>
          <w:spacing w:val="0"/>
          <w:highlight w:val="none"/>
        </w:rPr>
        <w:t>及图1.5-</w:t>
      </w:r>
      <w:r>
        <w:rPr>
          <w:rFonts w:hint="eastAsia" w:eastAsia="宋体"/>
          <w:caps w:val="0"/>
          <w:smallCaps w:val="0"/>
          <w:color w:val="auto"/>
          <w:spacing w:val="0"/>
          <w:highlight w:val="none"/>
          <w:lang w:val="en-US" w:eastAsia="zh-CN"/>
        </w:rPr>
        <w:t>3</w:t>
      </w:r>
      <w:r>
        <w:rPr>
          <w:rFonts w:hint="eastAsia" w:eastAsia="宋体"/>
          <w:caps w:val="0"/>
          <w:smallCaps w:val="0"/>
          <w:color w:val="auto"/>
          <w:spacing w:val="0"/>
          <w:highlight w:val="none"/>
        </w:rPr>
        <w:t>，且本项目距离</w:t>
      </w:r>
      <w:r>
        <w:rPr>
          <w:rFonts w:eastAsia="宋体"/>
          <w:caps w:val="0"/>
          <w:smallCaps w:val="0"/>
          <w:color w:val="auto"/>
          <w:spacing w:val="0"/>
          <w:szCs w:val="22"/>
          <w:highlight w:val="none"/>
        </w:rPr>
        <w:t>东兴煤化工</w:t>
      </w:r>
      <w:r>
        <w:rPr>
          <w:rFonts w:hint="eastAsia" w:eastAsia="宋体"/>
          <w:caps w:val="0"/>
          <w:smallCaps w:val="0"/>
          <w:color w:val="auto"/>
          <w:spacing w:val="0"/>
          <w:szCs w:val="22"/>
          <w:highlight w:val="none"/>
        </w:rPr>
        <w:t>约2.8km，符合</w:t>
      </w:r>
      <w:r>
        <w:rPr>
          <w:rFonts w:eastAsia="宋体"/>
          <w:caps w:val="0"/>
          <w:smallCaps w:val="0"/>
          <w:color w:val="auto"/>
          <w:spacing w:val="0"/>
          <w:szCs w:val="22"/>
          <w:highlight w:val="none"/>
        </w:rPr>
        <w:t>轻工产业园（含新材料）</w:t>
      </w:r>
      <w:r>
        <w:rPr>
          <w:rFonts w:hint="eastAsia" w:eastAsia="宋体"/>
          <w:caps w:val="0"/>
          <w:smallCaps w:val="0"/>
          <w:color w:val="auto"/>
          <w:spacing w:val="0"/>
          <w:szCs w:val="22"/>
          <w:highlight w:val="none"/>
        </w:rPr>
        <w:t>定位</w:t>
      </w:r>
      <w:r>
        <w:rPr>
          <w:rFonts w:hint="eastAsia" w:eastAsia="宋体"/>
          <w:caps w:val="0"/>
          <w:smallCaps w:val="0"/>
          <w:color w:val="auto"/>
          <w:spacing w:val="0"/>
          <w:highlight w:val="none"/>
        </w:rPr>
        <w:t>，</w:t>
      </w:r>
      <w:r>
        <w:rPr>
          <w:rFonts w:eastAsia="宋体"/>
          <w:caps w:val="0"/>
          <w:smallCaps w:val="0"/>
          <w:color w:val="auto"/>
          <w:spacing w:val="0"/>
          <w:highlight w:val="none"/>
        </w:rPr>
        <w:t>项目的建立符合园区总体规划要求，本项目选址符合佳木斯高新技术产业开发区规划要求。</w:t>
      </w:r>
    </w:p>
    <w:p w14:paraId="4CB3C9C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2、用地相符性</w:t>
      </w:r>
    </w:p>
    <w:p w14:paraId="54942EEE">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建设地点位于黑龙江省佳木斯市高新技术产业开发区轻工产业园（含新材料）内，用地性质为工业用地。项目不涉及基本农田保护区、风景名胜区、温泉疗养区、水产养殖区、饮用水水源保护区、自然保护区等环境敏感区。环境质量现状良好，无重大环境制约因素。园区内通信、供电、供水等方面具备良好的条件。</w:t>
      </w:r>
    </w:p>
    <w:p w14:paraId="7475747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3、外环境相容性</w:t>
      </w:r>
    </w:p>
    <w:p w14:paraId="1F41746C">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本项目位于黑龙江省佳木斯市高新技术产业开发区轻工产业园（含新材料）内，厂址四周都为园区内部用地，</w:t>
      </w:r>
      <w:r>
        <w:rPr>
          <w:rFonts w:hint="eastAsia" w:ascii="Times New Roman" w:hAnsi="Times New Roman" w:eastAsia="宋体" w:cs="Times New Roman"/>
          <w:caps w:val="0"/>
          <w:smallCaps w:val="0"/>
          <w:color w:val="auto"/>
          <w:spacing w:val="0"/>
          <w:highlight w:val="none"/>
          <w:lang w:val="en-US" w:eastAsia="zh-CN"/>
        </w:rPr>
        <w:t>西侧为</w:t>
      </w:r>
      <w:r>
        <w:rPr>
          <w:rFonts w:ascii="Times New Roman" w:hAnsi="Times New Roman" w:eastAsia="宋体" w:cs="Times New Roman"/>
          <w:caps w:val="0"/>
          <w:smallCaps w:val="0"/>
          <w:color w:val="auto"/>
          <w:spacing w:val="0"/>
          <w:highlight w:val="none"/>
        </w:rPr>
        <w:t>百威英博</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南侧隔</w:t>
      </w:r>
      <w:r>
        <w:rPr>
          <w:rFonts w:hint="eastAsia" w:ascii="Times New Roman" w:hAnsi="Times New Roman" w:eastAsia="宋体" w:cs="Times New Roman"/>
          <w:caps w:val="0"/>
          <w:smallCaps w:val="0"/>
          <w:color w:val="auto"/>
          <w:spacing w:val="0"/>
          <w:highlight w:val="none"/>
          <w:lang w:val="en-US" w:eastAsia="zh-CN"/>
        </w:rPr>
        <w:t>中华</w:t>
      </w:r>
      <w:r>
        <w:rPr>
          <w:rFonts w:ascii="Times New Roman" w:hAnsi="Times New Roman" w:eastAsia="宋体" w:cs="Times New Roman"/>
          <w:caps w:val="0"/>
          <w:smallCaps w:val="0"/>
          <w:color w:val="auto"/>
          <w:spacing w:val="0"/>
          <w:highlight w:val="none"/>
        </w:rPr>
        <w:t>路为百威英博</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东侧隔</w:t>
      </w:r>
      <w:r>
        <w:rPr>
          <w:rFonts w:hint="eastAsia" w:ascii="Times New Roman" w:hAnsi="Times New Roman" w:eastAsia="宋体" w:cs="Times New Roman"/>
          <w:caps w:val="0"/>
          <w:smallCaps w:val="0"/>
          <w:color w:val="auto"/>
          <w:spacing w:val="0"/>
          <w:highlight w:val="none"/>
          <w:lang w:val="en-US" w:eastAsia="zh-CN"/>
        </w:rPr>
        <w:t>乌苏里江街</w:t>
      </w:r>
      <w:r>
        <w:rPr>
          <w:rFonts w:ascii="Times New Roman" w:hAnsi="Times New Roman" w:eastAsia="宋体" w:cs="Times New Roman"/>
          <w:caps w:val="0"/>
          <w:smallCaps w:val="0"/>
          <w:color w:val="auto"/>
          <w:spacing w:val="0"/>
          <w:highlight w:val="none"/>
        </w:rPr>
        <w:t>为金鼎建材和龙江机械，北侧为园区规划工业用地</w:t>
      </w:r>
      <w:r>
        <w:rPr>
          <w:rFonts w:eastAsia="宋体"/>
          <w:caps w:val="0"/>
          <w:smallCaps w:val="0"/>
          <w:color w:val="auto"/>
          <w:spacing w:val="0"/>
          <w:highlight w:val="none"/>
        </w:rPr>
        <w:t>，厂区周边无特殊环境敏感目标，评价范围内无国家、省、市级自然保护区。最近距离环境敏感点是项目北侧宏伟村，与本项目厂界相对距离约950m。</w:t>
      </w:r>
    </w:p>
    <w:p w14:paraId="5732222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4、大气环境防护距离符合性分析</w:t>
      </w:r>
    </w:p>
    <w:p w14:paraId="429D132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结合环境空气影响预测内容，本项目无需设置大气环境防护距离。</w:t>
      </w:r>
    </w:p>
    <w:p w14:paraId="61B84A4A">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5、环境功能区划的符合性分析</w:t>
      </w:r>
    </w:p>
    <w:p w14:paraId="52AFB5D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本项目所在区域的环境空气功能为《环境空气质量标准》（GB3095-2012）中二类区，项目建成后，废气经治理后，可以实现稳定达标排放，项目建成后不会改变所在区域环境空气功能。</w:t>
      </w:r>
    </w:p>
    <w:p w14:paraId="09C92A41">
      <w:pPr>
        <w:pStyle w:val="65"/>
        <w:widowControl w:val="0"/>
        <w:ind w:firstLine="480"/>
        <w:jc w:val="both"/>
        <w:rPr>
          <w:rFonts w:eastAsia="宋体"/>
          <w:caps w:val="0"/>
          <w:smallCaps w:val="0"/>
          <w:color w:val="auto"/>
          <w:spacing w:val="0"/>
          <w:highlight w:val="none"/>
        </w:rPr>
      </w:pPr>
      <w:r>
        <w:rPr>
          <w:rFonts w:hint="default" w:ascii="Times New Roman" w:hAnsi="Times New Roman" w:eastAsia="宋体" w:cs="Times New Roman"/>
          <w:caps w:val="0"/>
          <w:smallCaps w:val="0"/>
          <w:color w:val="auto"/>
          <w:spacing w:val="0"/>
          <w:highlight w:val="none"/>
        </w:rPr>
        <w:t>根据《全国重要江河湖泊水功能区划（2011-2030年）》，</w:t>
      </w:r>
      <w:r>
        <w:rPr>
          <w:rFonts w:hint="default" w:ascii="Times New Roman" w:hAnsi="Times New Roman" w:eastAsia="宋体" w:cs="Times New Roman"/>
          <w:caps w:val="0"/>
          <w:smallCaps w:val="0"/>
          <w:color w:val="auto"/>
          <w:spacing w:val="0"/>
          <w:highlight w:val="none"/>
          <w:lang w:val="en-US" w:eastAsia="zh-CN"/>
        </w:rPr>
        <w:t>本项目纳污水体</w:t>
      </w:r>
      <w:r>
        <w:rPr>
          <w:rFonts w:hint="default" w:ascii="Times New Roman" w:hAnsi="Times New Roman" w:eastAsia="宋体" w:cs="Times New Roman"/>
          <w:caps w:val="0"/>
          <w:smallCaps w:val="0"/>
          <w:color w:val="auto"/>
          <w:spacing w:val="0"/>
          <w:highlight w:val="none"/>
        </w:rPr>
        <w:t>“港务局－宏力村”是松花江佳木斯市排污控制区，无地表水环境功能区划，</w:t>
      </w:r>
      <w:r>
        <w:rPr>
          <w:rFonts w:hint="eastAsia" w:ascii="Times New Roman" w:hAnsi="Times New Roman" w:cs="Times New Roman"/>
          <w:caps w:val="0"/>
          <w:smallCaps w:val="0"/>
          <w:color w:val="auto"/>
          <w:spacing w:val="0"/>
          <w:highlight w:val="none"/>
          <w:lang w:val="en-US" w:eastAsia="zh-CN"/>
        </w:rPr>
        <w:t>根据《2024年黑龙江省生态环境质量状况》</w:t>
      </w:r>
      <w:r>
        <w:rPr>
          <w:rFonts w:hint="default" w:ascii="Times New Roman" w:hAnsi="Times New Roman" w:eastAsia="宋体" w:cs="Times New Roman"/>
          <w:caps w:val="0"/>
          <w:smallCaps w:val="0"/>
          <w:color w:val="auto"/>
          <w:spacing w:val="0"/>
          <w:highlight w:val="none"/>
          <w:lang w:val="en-US" w:eastAsia="zh-CN"/>
        </w:rPr>
        <w:t>松花江佳木斯市、桦川县、富锦市农业用水区</w:t>
      </w:r>
      <w:r>
        <w:rPr>
          <w:rFonts w:hint="eastAsia" w:ascii="Times New Roman" w:hAnsi="Times New Roman" w:cs="Times New Roman"/>
          <w:caps w:val="0"/>
          <w:smallCaps w:val="0"/>
          <w:color w:val="auto"/>
          <w:spacing w:val="0"/>
          <w:highlight w:val="none"/>
          <w:lang w:val="en-US" w:eastAsia="zh-CN"/>
        </w:rPr>
        <w:t>，</w:t>
      </w:r>
      <w:r>
        <w:rPr>
          <w:rFonts w:hint="default" w:ascii="Times New Roman" w:hAnsi="Times New Roman" w:eastAsia="宋体" w:cs="Times New Roman"/>
          <w:caps w:val="0"/>
          <w:smallCaps w:val="0"/>
          <w:color w:val="auto"/>
          <w:spacing w:val="0"/>
          <w:highlight w:val="none"/>
          <w:lang w:val="en-US" w:eastAsia="zh-CN"/>
        </w:rPr>
        <w:t>中和村~富合村</w:t>
      </w:r>
      <w:r>
        <w:rPr>
          <w:rFonts w:hint="eastAsia" w:ascii="Times New Roman" w:hAnsi="Times New Roman" w:cs="Times New Roman"/>
          <w:caps w:val="0"/>
          <w:smallCaps w:val="0"/>
          <w:color w:val="auto"/>
          <w:spacing w:val="0"/>
          <w:highlight w:val="none"/>
          <w:lang w:val="en-US" w:eastAsia="zh-CN"/>
        </w:rPr>
        <w:t>及</w:t>
      </w:r>
      <w:r>
        <w:rPr>
          <w:rFonts w:hint="default" w:ascii="Times New Roman" w:hAnsi="Times New Roman" w:eastAsia="宋体" w:cs="Times New Roman"/>
          <w:caps w:val="0"/>
          <w:smallCaps w:val="0"/>
          <w:color w:val="auto"/>
          <w:spacing w:val="0"/>
          <w:highlight w:val="none"/>
          <w:lang w:val="en-US" w:eastAsia="zh-CN"/>
        </w:rPr>
        <w:t>国家地表水考核断面佳木斯下</w:t>
      </w:r>
      <w:r>
        <w:rPr>
          <w:rFonts w:hint="eastAsia" w:ascii="Times New Roman" w:hAnsi="Times New Roman" w:cs="Times New Roman"/>
          <w:caps w:val="0"/>
          <w:smallCaps w:val="0"/>
          <w:color w:val="auto"/>
          <w:spacing w:val="0"/>
          <w:highlight w:val="none"/>
          <w:lang w:val="en-US" w:eastAsia="zh-CN"/>
        </w:rPr>
        <w:t>，水功能区和国家地表水考核断面水质目标均为III类，</w:t>
      </w:r>
      <w:r>
        <w:rPr>
          <w:rFonts w:hint="default" w:ascii="Times New Roman" w:hAnsi="Times New Roman" w:eastAsia="宋体" w:cs="Times New Roman"/>
          <w:caps w:val="0"/>
          <w:smallCaps w:val="0"/>
          <w:color w:val="auto"/>
          <w:spacing w:val="0"/>
          <w:highlight w:val="none"/>
        </w:rPr>
        <w:t>地表水环境功能区划为</w:t>
      </w:r>
      <w:r>
        <w:rPr>
          <w:rFonts w:hint="eastAsia" w:ascii="Times New Roman" w:hAnsi="Times New Roman" w:cs="Times New Roman"/>
          <w:caps w:val="0"/>
          <w:smallCaps w:val="0"/>
          <w:color w:val="auto"/>
          <w:spacing w:val="0"/>
          <w:highlight w:val="none"/>
          <w:lang w:val="en-US" w:eastAsia="zh-CN"/>
        </w:rPr>
        <w:t>III</w:t>
      </w:r>
      <w:r>
        <w:rPr>
          <w:rFonts w:hint="default" w:ascii="Times New Roman" w:hAnsi="Times New Roman" w:eastAsia="宋体" w:cs="Times New Roman"/>
          <w:caps w:val="0"/>
          <w:smallCaps w:val="0"/>
          <w:color w:val="auto"/>
          <w:spacing w:val="0"/>
          <w:highlight w:val="none"/>
        </w:rPr>
        <w:t>类。</w:t>
      </w:r>
      <w:r>
        <w:rPr>
          <w:rFonts w:eastAsia="宋体"/>
          <w:caps w:val="0"/>
          <w:smallCaps w:val="0"/>
          <w:color w:val="auto"/>
          <w:spacing w:val="0"/>
          <w:highlight w:val="none"/>
        </w:rPr>
        <w:t>本项目生产废水中不含镉污水经厂区碱性废水处理系统处理后排放至开发区污水管网，可以实现达标排放，废水排入地表水环境后不会改变地表水环境功能区划类别。</w:t>
      </w:r>
    </w:p>
    <w:p w14:paraId="6C07A9C7">
      <w:pPr>
        <w:pStyle w:val="65"/>
        <w:widowControl w:val="0"/>
        <w:ind w:firstLine="480"/>
        <w:jc w:val="both"/>
        <w:rPr>
          <w:rFonts w:eastAsia="宋体"/>
          <w:caps w:val="0"/>
          <w:smallCaps w:val="0"/>
          <w:color w:val="auto"/>
          <w:spacing w:val="0"/>
          <w:highlight w:val="none"/>
        </w:rPr>
      </w:pPr>
      <w:r>
        <w:rPr>
          <w:rFonts w:ascii="Times New Roman" w:hAnsi="Times New Roman" w:cs="Times New Roman"/>
          <w:caps w:val="0"/>
          <w:smallCaps w:val="0"/>
          <w:color w:val="auto"/>
          <w:spacing w:val="0"/>
          <w:highlight w:val="none"/>
        </w:rPr>
        <w:t>本项目在《佳木斯市城市噪声功能区划》内，为3类声环境功能区，</w:t>
      </w:r>
      <w:r>
        <w:rPr>
          <w:rFonts w:hint="eastAsia" w:ascii="Times New Roman" w:hAnsi="Times New Roman" w:cs="Times New Roman"/>
          <w:caps w:val="0"/>
          <w:smallCaps w:val="0"/>
          <w:color w:val="auto"/>
          <w:spacing w:val="0"/>
          <w:highlight w:val="none"/>
          <w:lang w:val="en-US" w:eastAsia="zh-CN"/>
        </w:rPr>
        <w:t>北侧和西侧</w:t>
      </w:r>
      <w:r>
        <w:rPr>
          <w:rFonts w:ascii="Times New Roman" w:hAnsi="Times New Roman" w:cs="Times New Roman"/>
          <w:caps w:val="0"/>
          <w:smallCaps w:val="0"/>
          <w:color w:val="auto"/>
          <w:spacing w:val="0"/>
          <w:highlight w:val="none"/>
        </w:rPr>
        <w:t>执行</w:t>
      </w:r>
      <w:r>
        <w:rPr>
          <w:rFonts w:ascii="Times New Roman" w:hAnsi="Times New Roman" w:cs="Times New Roman"/>
          <w:bCs/>
          <w:caps w:val="0"/>
          <w:smallCaps w:val="0"/>
          <w:color w:val="auto"/>
          <w:spacing w:val="0"/>
          <w:kern w:val="0"/>
          <w:highlight w:val="none"/>
        </w:rPr>
        <w:t>《声环境质量标准》（GB3096-2008）3类限值要求</w:t>
      </w:r>
      <w:r>
        <w:rPr>
          <w:rFonts w:hint="eastAsia" w:ascii="Times New Roman" w:hAnsi="Times New Roman" w:cs="Times New Roman"/>
          <w:bCs/>
          <w:caps w:val="0"/>
          <w:smallCaps w:val="0"/>
          <w:color w:val="auto"/>
          <w:spacing w:val="0"/>
          <w:kern w:val="0"/>
          <w:highlight w:val="none"/>
          <w:lang w:eastAsia="zh-CN"/>
        </w:rPr>
        <w:t>；</w:t>
      </w:r>
      <w:r>
        <w:rPr>
          <w:rFonts w:hint="eastAsia" w:ascii="Times New Roman" w:hAnsi="Times New Roman" w:cs="Times New Roman"/>
          <w:bCs/>
          <w:caps w:val="0"/>
          <w:smallCaps w:val="0"/>
          <w:color w:val="auto"/>
          <w:spacing w:val="0"/>
          <w:kern w:val="0"/>
          <w:highlight w:val="none"/>
          <w:lang w:val="en-US" w:eastAsia="zh-CN"/>
        </w:rPr>
        <w:t>南侧和东侧</w:t>
      </w:r>
      <w:r>
        <w:rPr>
          <w:rFonts w:hint="eastAsia" w:eastAsia="宋体"/>
          <w:caps w:val="0"/>
          <w:smallCaps w:val="0"/>
          <w:color w:val="auto"/>
          <w:spacing w:val="0"/>
          <w:highlight w:val="none"/>
          <w:lang w:val="en-US" w:eastAsia="zh-CN"/>
        </w:rPr>
        <w:t>距离中华路和乌苏里江街分别为13m和20m</w:t>
      </w:r>
      <w:r>
        <w:rPr>
          <w:rFonts w:hint="eastAsia"/>
          <w:caps w:val="0"/>
          <w:smallCaps w:val="0"/>
          <w:color w:val="auto"/>
          <w:spacing w:val="0"/>
          <w:highlight w:val="none"/>
          <w:lang w:val="en-US" w:eastAsia="zh-CN"/>
        </w:rPr>
        <w:t>，</w:t>
      </w:r>
      <w:r>
        <w:rPr>
          <w:rFonts w:hint="eastAsia" w:eastAsia="宋体"/>
          <w:caps w:val="0"/>
          <w:smallCaps w:val="0"/>
          <w:color w:val="auto"/>
          <w:spacing w:val="0"/>
          <w:highlight w:val="none"/>
          <w:lang w:val="en-US" w:eastAsia="zh-CN"/>
        </w:rPr>
        <w:t>中华路和乌苏里江街</w:t>
      </w:r>
      <w:r>
        <w:rPr>
          <w:rFonts w:hint="eastAsia"/>
          <w:caps w:val="0"/>
          <w:smallCaps w:val="0"/>
          <w:color w:val="auto"/>
          <w:spacing w:val="0"/>
          <w:highlight w:val="none"/>
          <w:lang w:val="en-US" w:eastAsia="zh-CN"/>
        </w:rPr>
        <w:t>均属于交通干线，因此</w:t>
      </w:r>
      <w:r>
        <w:rPr>
          <w:rFonts w:hint="eastAsia" w:ascii="Times New Roman" w:hAnsi="Times New Roman" w:cs="Times New Roman"/>
          <w:bCs/>
          <w:caps w:val="0"/>
          <w:smallCaps w:val="0"/>
          <w:color w:val="auto"/>
          <w:spacing w:val="0"/>
          <w:kern w:val="0"/>
          <w:highlight w:val="none"/>
          <w:lang w:val="en-US" w:eastAsia="zh-CN"/>
        </w:rPr>
        <w:t>南侧和东侧</w:t>
      </w:r>
      <w:r>
        <w:rPr>
          <w:rFonts w:ascii="Times New Roman" w:hAnsi="Times New Roman" w:cs="Times New Roman"/>
          <w:caps w:val="0"/>
          <w:smallCaps w:val="0"/>
          <w:color w:val="auto"/>
          <w:spacing w:val="0"/>
          <w:highlight w:val="none"/>
        </w:rPr>
        <w:t>执行</w:t>
      </w:r>
      <w:r>
        <w:rPr>
          <w:rFonts w:ascii="Times New Roman" w:hAnsi="Times New Roman" w:cs="Times New Roman"/>
          <w:bCs/>
          <w:caps w:val="0"/>
          <w:smallCaps w:val="0"/>
          <w:color w:val="auto"/>
          <w:spacing w:val="0"/>
          <w:kern w:val="0"/>
          <w:highlight w:val="none"/>
        </w:rPr>
        <w:t>《声环境质量标准》（GB3096-2008）</w:t>
      </w:r>
      <w:r>
        <w:rPr>
          <w:rFonts w:hint="eastAsia" w:ascii="Times New Roman" w:hAnsi="Times New Roman" w:cs="Times New Roman"/>
          <w:bCs/>
          <w:caps w:val="0"/>
          <w:smallCaps w:val="0"/>
          <w:color w:val="auto"/>
          <w:spacing w:val="0"/>
          <w:kern w:val="0"/>
          <w:highlight w:val="none"/>
          <w:lang w:val="en-US" w:eastAsia="zh-CN"/>
        </w:rPr>
        <w:t>4a</w:t>
      </w:r>
      <w:r>
        <w:rPr>
          <w:rFonts w:ascii="Times New Roman" w:hAnsi="Times New Roman" w:cs="Times New Roman"/>
          <w:bCs/>
          <w:caps w:val="0"/>
          <w:smallCaps w:val="0"/>
          <w:color w:val="auto"/>
          <w:spacing w:val="0"/>
          <w:kern w:val="0"/>
          <w:highlight w:val="none"/>
        </w:rPr>
        <w:t>类限值要求。</w:t>
      </w:r>
      <w:r>
        <w:rPr>
          <w:rFonts w:eastAsia="宋体"/>
          <w:caps w:val="0"/>
          <w:smallCaps w:val="0"/>
          <w:color w:val="auto"/>
          <w:spacing w:val="0"/>
          <w:highlight w:val="none"/>
        </w:rPr>
        <w:t>项目建成后，经相应的隔声措施处理，经预测，噪声衰减至厂界处可以满足《工业企业厂界环境噪声排放标准》（GB12348-2008）中</w:t>
      </w:r>
      <w:r>
        <w:rPr>
          <w:rFonts w:eastAsia="宋体"/>
          <w:caps w:val="0"/>
          <w:smallCaps w:val="0"/>
          <w:color w:val="auto"/>
          <w:spacing w:val="0"/>
          <w:highlight w:val="none"/>
        </w:rPr>
        <w:t>3类区</w:t>
      </w:r>
      <w:r>
        <w:rPr>
          <w:rFonts w:hint="eastAsia" w:eastAsia="宋体"/>
          <w:caps w:val="0"/>
          <w:smallCaps w:val="0"/>
          <w:color w:val="auto"/>
          <w:spacing w:val="0"/>
          <w:highlight w:val="none"/>
          <w:lang w:val="en-US" w:eastAsia="zh-CN"/>
        </w:rPr>
        <w:t>和4类区</w:t>
      </w:r>
      <w:r>
        <w:rPr>
          <w:rFonts w:eastAsia="宋体"/>
          <w:caps w:val="0"/>
          <w:smallCaps w:val="0"/>
          <w:color w:val="auto"/>
          <w:spacing w:val="0"/>
          <w:highlight w:val="none"/>
        </w:rPr>
        <w:t>标准</w:t>
      </w:r>
      <w:r>
        <w:rPr>
          <w:rFonts w:eastAsia="宋体"/>
          <w:caps w:val="0"/>
          <w:smallCaps w:val="0"/>
          <w:color w:val="auto"/>
          <w:spacing w:val="0"/>
          <w:highlight w:val="none"/>
        </w:rPr>
        <w:t>，项目运行后不会改变区域声环境功能。</w:t>
      </w:r>
    </w:p>
    <w:p w14:paraId="52965BB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因此，项目建设选址符合所在区域的环境功能区划要求。</w:t>
      </w:r>
    </w:p>
    <w:p w14:paraId="61C4217F">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6、环境影响的可接受程度分析</w:t>
      </w:r>
    </w:p>
    <w:p w14:paraId="2405D0E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在认真落实报告书提出的各项污染防治措施稳定运行的基础上，废水、废气、噪声及固废等污染达标排放，对大气环境、地表水环境、声环境影响不大，不会改变原有环境功能类别，其影响在环境标准允许和公众可接受范围之内。</w:t>
      </w:r>
    </w:p>
    <w:p w14:paraId="4BCCC36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7、公众参与认同程度分析</w:t>
      </w:r>
    </w:p>
    <w:p w14:paraId="6950171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本项目公众调查满足《环境影响评价公众参与办法》（生态环境部令第4号）中相关要求，两次信息公开符合国家法律法规要求。</w:t>
      </w:r>
    </w:p>
    <w:p w14:paraId="135D2F54">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本次公众参与过程中，未有质疑性意见，根据《环境影响评价公众参与办法》（生态环境部令第4号）第十三条，不需要组织深度公众参与如公众座谈会、听证会、专家论证会等。</w:t>
      </w:r>
    </w:p>
    <w:p w14:paraId="7C6E734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周围公众对项目建设较为支持。因此，从环保角度来讲，项目选址合理。</w:t>
      </w:r>
    </w:p>
    <w:p w14:paraId="090AEEA7">
      <w:pPr>
        <w:pStyle w:val="65"/>
        <w:widowControl w:val="0"/>
        <w:ind w:firstLine="0" w:firstLineChars="0"/>
        <w:rPr>
          <w:rFonts w:eastAsia="宋体"/>
          <w:caps w:val="0"/>
          <w:smallCaps w:val="0"/>
          <w:color w:val="auto"/>
          <w:spacing w:val="0"/>
          <w:highlight w:val="none"/>
        </w:rPr>
      </w:pPr>
      <w:r>
        <w:rPr>
          <w:rFonts w:eastAsia="宋体"/>
          <w:caps w:val="0"/>
          <w:smallCaps w:val="0"/>
          <w:color w:val="auto"/>
          <w:spacing w:val="0"/>
          <w:highlight w:val="none"/>
        </w:rPr>
        <mc:AlternateContent>
          <mc:Choice Requires="wps">
            <w:drawing>
              <wp:anchor distT="0" distB="0" distL="114300" distR="114300" simplePos="0" relativeHeight="251691008" behindDoc="0" locked="0" layoutInCell="1" allowOverlap="1">
                <wp:simplePos x="0" y="0"/>
                <wp:positionH relativeFrom="column">
                  <wp:posOffset>2975610</wp:posOffset>
                </wp:positionH>
                <wp:positionV relativeFrom="paragraph">
                  <wp:posOffset>4059555</wp:posOffset>
                </wp:positionV>
                <wp:extent cx="798195" cy="316865"/>
                <wp:effectExtent l="439420" t="213360" r="19685" b="22225"/>
                <wp:wrapNone/>
                <wp:docPr id="55" name="矩形标注 55"/>
                <wp:cNvGraphicFramePr/>
                <a:graphic xmlns:a="http://schemas.openxmlformats.org/drawingml/2006/main">
                  <a:graphicData uri="http://schemas.microsoft.com/office/word/2010/wordprocessingShape">
                    <wps:wsp>
                      <wps:cNvSpPr/>
                      <wps:spPr>
                        <a:xfrm>
                          <a:off x="0" y="0"/>
                          <a:ext cx="798195" cy="316865"/>
                        </a:xfrm>
                        <a:prstGeom prst="wedgeRectCallout">
                          <a:avLst>
                            <a:gd name="adj1" fmla="val -104492"/>
                            <a:gd name="adj2" fmla="val -115896"/>
                          </a:avLst>
                        </a:prstGeom>
                        <a:noFill/>
                        <a:ln w="0" cap="sq"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6BB2C">
                            <w:pPr>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w:t>
                            </w:r>
                            <w:r>
                              <w:rPr>
                                <w:rFonts w:asciiTheme="minorEastAsia" w:hAnsiTheme="minorEastAsia" w:eastAsiaTheme="minorEastAsia"/>
                                <w:color w:val="000000" w:themeColor="text1"/>
                                <w14:textFill>
                                  <w14:solidFill>
                                    <w14:schemeClr w14:val="tx1"/>
                                  </w14:solidFill>
                                </w14:textFill>
                              </w:rPr>
                              <w:t>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4.3pt;margin-top:319.65pt;height:24.95pt;width:62.85pt;z-index:251691008;v-text-anchor:middle;mso-width-relative:page;mso-height-relative:page;" filled="f" stroked="t" coordsize="21600,21600" o:gfxdata="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3eEictgAAAALAQAADwAAAAAAAAABACAAAAAiAAAAZHJzL2Rvd25yZXYueG1sUEsBAhQAFAAAAAgA&#10;h07iQFTT0ISXAgAAIQUAAA4AAAAAAAAAAQAgAAAAJwEAAGRycy9lMm9Eb2MueG1sUEsFBgAAAAAG&#10;AAYAWQEAADAGAAAAAA==&#10;" adj="-11770,-14234">
                <v:fill on="f" focussize="0,0"/>
                <v:stroke weight="0pt" color="#000000 [3213]" joinstyle="round" endcap="square"/>
                <v:imagedata o:title=""/>
                <o:lock v:ext="edit" aspectratio="f"/>
                <v:textbox>
                  <w:txbxContent>
                    <w:p w14:paraId="2006BB2C">
                      <w:pPr>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w:t>
                      </w:r>
                      <w:r>
                        <w:rPr>
                          <w:rFonts w:asciiTheme="minorEastAsia" w:hAnsiTheme="minorEastAsia" w:eastAsiaTheme="minorEastAsia"/>
                          <w:color w:val="000000" w:themeColor="text1"/>
                          <w14:textFill>
                            <w14:solidFill>
                              <w14:schemeClr w14:val="tx1"/>
                            </w14:solidFill>
                          </w14:textFill>
                        </w:rPr>
                        <w:t>目位置</w:t>
                      </w:r>
                    </w:p>
                  </w:txbxContent>
                </v:textbox>
              </v:shape>
            </w:pict>
          </mc:Fallback>
        </mc:AlternateContent>
      </w:r>
      <w:r>
        <w:rPr>
          <w:rFonts w:eastAsia="宋体"/>
          <w:caps w:val="0"/>
          <w:smallCaps w:val="0"/>
          <w:color w:val="auto"/>
          <w:spacing w:val="0"/>
          <w:highlight w:val="none"/>
        </w:rPr>
        <mc:AlternateContent>
          <mc:Choice Requires="wps">
            <w:drawing>
              <wp:anchor distT="0" distB="0" distL="114300" distR="114300" simplePos="0" relativeHeight="251689984" behindDoc="0" locked="0" layoutInCell="1" allowOverlap="1">
                <wp:simplePos x="0" y="0"/>
                <wp:positionH relativeFrom="column">
                  <wp:posOffset>2446020</wp:posOffset>
                </wp:positionH>
                <wp:positionV relativeFrom="paragraph">
                  <wp:posOffset>3806190</wp:posOffset>
                </wp:positionV>
                <wp:extent cx="130175" cy="116840"/>
                <wp:effectExtent l="33020" t="36830" r="46355" b="55880"/>
                <wp:wrapNone/>
                <wp:docPr id="18" name="矩形 18"/>
                <wp:cNvGraphicFramePr/>
                <a:graphic xmlns:a="http://schemas.openxmlformats.org/drawingml/2006/main">
                  <a:graphicData uri="http://schemas.microsoft.com/office/word/2010/wordprocessingShape">
                    <wps:wsp>
                      <wps:cNvSpPr/>
                      <wps:spPr>
                        <a:xfrm rot="19834199">
                          <a:off x="0" y="0"/>
                          <a:ext cx="130175" cy="11684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6pt;margin-top:299.7pt;height:9.2pt;width:10.25pt;rotation:-1928726f;z-index:251689984;v-text-anchor:middle;mso-width-relative:page;mso-height-relative:page;" fillcolor="#FF0000" filled="t" stroked="t" coordsize="21600,21600" o:gfxdata="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IkTI53AAAAAsBAAAPAAAAAAAAAAEAIAAAACIAAABkcnMvZG93bnJl&#10;di54bWxQSwECFAAUAAAACACHTuJAYoo+iWsCAADtBAAADgAAAAAAAAABACAAAAArAQAAZHJzL2Uy&#10;b0RvYy54bWxQSwUGAAAAAAYABgBZAQAACAYAAAAA&#10;">
                <v:fill on="t" focussize="0,0"/>
                <v:stroke weight="2pt" color="#FF0000 [3204]" joinstyle="round"/>
                <v:imagedata o:title=""/>
                <o:lock v:ext="edit" aspectratio="f"/>
              </v:rect>
            </w:pict>
          </mc:Fallback>
        </mc:AlternateContent>
      </w:r>
      <w:r>
        <w:rPr>
          <w:rFonts w:eastAsia="宋体"/>
          <w:caps w:val="0"/>
          <w:smallCaps w:val="0"/>
          <w:color w:val="auto"/>
          <w:spacing w:val="0"/>
          <w:highlight w:val="none"/>
        </w:rPr>
        <w:drawing>
          <wp:inline distT="0" distB="0" distL="0" distR="0">
            <wp:extent cx="5759450" cy="7792720"/>
            <wp:effectExtent l="0" t="0" r="12700" b="1778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7792720"/>
                    </a:xfrm>
                    <a:prstGeom prst="rect">
                      <a:avLst/>
                    </a:prstGeom>
                  </pic:spPr>
                </pic:pic>
              </a:graphicData>
            </a:graphic>
          </wp:inline>
        </w:drawing>
      </w:r>
    </w:p>
    <w:p w14:paraId="3159E4D8">
      <w:pPr>
        <w:pStyle w:val="65"/>
        <w:widowControl w:val="0"/>
        <w:ind w:firstLine="482"/>
        <w:jc w:val="center"/>
        <w:rPr>
          <w:rFonts w:eastAsia="宋体"/>
          <w:caps w:val="0"/>
          <w:smallCaps w:val="0"/>
          <w:color w:val="auto"/>
          <w:spacing w:val="0"/>
          <w:highlight w:val="none"/>
        </w:rPr>
      </w:pPr>
      <w:r>
        <w:rPr>
          <w:rFonts w:eastAsia="宋体"/>
          <w:b/>
          <w:bCs/>
          <w:caps w:val="0"/>
          <w:smallCaps w:val="0"/>
          <w:color w:val="auto"/>
          <w:spacing w:val="0"/>
          <w:szCs w:val="24"/>
          <w:highlight w:val="none"/>
        </w:rPr>
        <w:t>图1.5-</w:t>
      </w:r>
      <w:r>
        <w:rPr>
          <w:rFonts w:hint="eastAsia" w:eastAsia="宋体"/>
          <w:b/>
          <w:bCs/>
          <w:caps w:val="0"/>
          <w:smallCaps w:val="0"/>
          <w:color w:val="auto"/>
          <w:spacing w:val="0"/>
          <w:szCs w:val="24"/>
          <w:highlight w:val="none"/>
          <w:lang w:val="en-US" w:eastAsia="zh-CN"/>
        </w:rPr>
        <w:t>2</w:t>
      </w:r>
      <w:r>
        <w:rPr>
          <w:rFonts w:eastAsia="宋体"/>
          <w:b/>
          <w:bCs/>
          <w:caps w:val="0"/>
          <w:smallCaps w:val="0"/>
          <w:color w:val="auto"/>
          <w:spacing w:val="0"/>
          <w:szCs w:val="24"/>
          <w:highlight w:val="none"/>
        </w:rPr>
        <w:t>项目在高新技术开发区中位置</w:t>
      </w:r>
    </w:p>
    <w:p w14:paraId="6ED2BA97">
      <w:pPr>
        <w:pStyle w:val="65"/>
        <w:widowControl w:val="0"/>
        <w:ind w:firstLine="0" w:firstLineChars="0"/>
        <w:jc w:val="center"/>
        <w:rPr>
          <w:rFonts w:eastAsia="宋体"/>
          <w:caps w:val="0"/>
          <w:smallCaps w:val="0"/>
          <w:color w:val="auto"/>
          <w:spacing w:val="0"/>
          <w:highlight w:val="none"/>
        </w:rPr>
      </w:pPr>
      <w:r>
        <w:rPr>
          <w:rFonts w:eastAsia="宋体"/>
          <w:caps w:val="0"/>
          <w:smallCaps w:val="0"/>
          <w:color w:val="auto"/>
          <w:spacing w:val="0"/>
          <w:highlight w:val="none"/>
        </w:rPr>
        <mc:AlternateContent>
          <mc:Choice Requires="wps">
            <w:drawing>
              <wp:anchor distT="0" distB="0" distL="114300" distR="114300" simplePos="0" relativeHeight="251697152" behindDoc="0" locked="0" layoutInCell="1" allowOverlap="1">
                <wp:simplePos x="0" y="0"/>
                <wp:positionH relativeFrom="column">
                  <wp:posOffset>1844675</wp:posOffset>
                </wp:positionH>
                <wp:positionV relativeFrom="paragraph">
                  <wp:posOffset>5060315</wp:posOffset>
                </wp:positionV>
                <wp:extent cx="1229360" cy="375285"/>
                <wp:effectExtent l="59055" t="133350" r="6985" b="5715"/>
                <wp:wrapNone/>
                <wp:docPr id="114" name="矩形标注 114"/>
                <wp:cNvGraphicFramePr/>
                <a:graphic xmlns:a="http://schemas.openxmlformats.org/drawingml/2006/main">
                  <a:graphicData uri="http://schemas.microsoft.com/office/word/2010/wordprocessingShape">
                    <wps:wsp>
                      <wps:cNvSpPr/>
                      <wps:spPr>
                        <a:xfrm>
                          <a:off x="0" y="0"/>
                          <a:ext cx="1229360" cy="375285"/>
                        </a:xfrm>
                        <a:prstGeom prst="wedgeRectCallout">
                          <a:avLst>
                            <a:gd name="adj1" fmla="val -54442"/>
                            <a:gd name="adj2" fmla="val -84348"/>
                          </a:avLst>
                        </a:prstGeom>
                        <a:noFill/>
                        <a:ln w="0" cap="sq"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D9B2D">
                            <w:pPr>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东兴煤电化工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45.25pt;margin-top:398.45pt;height:29.55pt;width:96.8pt;z-index:251697152;v-text-anchor:middle;mso-width-relative:page;mso-height-relative:page;" filled="f" stroked="t" coordsize="21600,21600" o:gfxdata="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WSJWd2gAAAAsBAAAPAAAAAAAAAAEAIAAAACIAAABkcnMvZG93bnJldi54bWxQSwECFAAUAAAA&#10;CACHTuJAowCL0ZcCAAAiBQAADgAAAAAAAAABACAAAAApAQAAZHJzL2Uyb0RvYy54bWxQSwUGAAAA&#10;AAYABgBZAQAAMgYAAAAA&#10;" adj="-959,-7419">
                <v:fill on="f" focussize="0,0"/>
                <v:stroke weight="0pt" color="#000000 [3213]" joinstyle="round" endcap="square"/>
                <v:imagedata o:title=""/>
                <o:lock v:ext="edit" aspectratio="f"/>
                <v:textbox>
                  <w:txbxContent>
                    <w:p w14:paraId="414D9B2D">
                      <w:pPr>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东兴煤电化工</w:t>
                      </w:r>
                    </w:p>
                  </w:txbxContent>
                </v:textbox>
              </v:shape>
            </w:pict>
          </mc:Fallback>
        </mc:AlternateContent>
      </w:r>
      <w:r>
        <w:rPr>
          <w:caps w:val="0"/>
          <w:smallCaps w:val="0"/>
          <w:color w:val="auto"/>
          <w:spacing w:val="0"/>
          <w:highlight w:val="none"/>
        </w:rPr>
        <mc:AlternateContent>
          <mc:Choice Requires="wps">
            <w:drawing>
              <wp:anchor distT="0" distB="0" distL="114300" distR="114300" simplePos="0" relativeHeight="251696128" behindDoc="0" locked="0" layoutInCell="1" allowOverlap="1">
                <wp:simplePos x="0" y="0"/>
                <wp:positionH relativeFrom="column">
                  <wp:posOffset>1690370</wp:posOffset>
                </wp:positionH>
                <wp:positionV relativeFrom="paragraph">
                  <wp:posOffset>4891405</wp:posOffset>
                </wp:positionV>
                <wp:extent cx="75565" cy="75565"/>
                <wp:effectExtent l="12700" t="12700" r="26035" b="26035"/>
                <wp:wrapNone/>
                <wp:docPr id="46" name="椭圆 46"/>
                <wp:cNvGraphicFramePr/>
                <a:graphic xmlns:a="http://schemas.openxmlformats.org/drawingml/2006/main">
                  <a:graphicData uri="http://schemas.microsoft.com/office/word/2010/wordprocessingShape">
                    <wps:wsp>
                      <wps:cNvSpPr/>
                      <wps:spPr>
                        <a:xfrm>
                          <a:off x="2590800" y="5791835"/>
                          <a:ext cx="75565" cy="75565"/>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3.1pt;margin-top:385.15pt;height:5.95pt;width:5.95pt;z-index:251696128;v-text-anchor:middle;mso-width-relative:page;mso-height-relative:page;" fillcolor="#FF0000" filled="t" stroked="t" coordsize="21600,21600" o:gfxdata="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JTrlL1gAAAAsBAAAPAAAAAAAAAAEAIAAAACIAAABkcnMvZG93bnJldi54bWxQ&#10;SwECFAAUAAAACACHTuJAiM1IEGsCAADrBAAADgAAAAAAAAABACAAAAAlAQAAZHJzL2Uyb0RvYy54&#10;bWxQSwUGAAAAAAYABgBZAQAAAgYAAAAA&#10;">
                <v:fill on="t" focussize="0,0"/>
                <v:stroke weight="2pt" color="#FF0000 [2404]" joinstyle="round"/>
                <v:imagedata o:title=""/>
                <o:lock v:ext="edit" aspectratio="f"/>
              </v:shape>
            </w:pict>
          </mc:Fallback>
        </mc:AlternateContent>
      </w:r>
      <w:r>
        <w:rPr>
          <w:rFonts w:eastAsia="宋体"/>
          <w:caps w:val="0"/>
          <w:smallCaps w:val="0"/>
          <w:color w:val="auto"/>
          <w:spacing w:val="0"/>
          <w:highlight w:val="none"/>
        </w:rPr>
        <mc:AlternateContent>
          <mc:Choice Requires="wps">
            <w:drawing>
              <wp:anchor distT="0" distB="0" distL="114300" distR="114300" simplePos="0" relativeHeight="251692032" behindDoc="0" locked="0" layoutInCell="1" allowOverlap="1">
                <wp:simplePos x="0" y="0"/>
                <wp:positionH relativeFrom="column">
                  <wp:posOffset>2457450</wp:posOffset>
                </wp:positionH>
                <wp:positionV relativeFrom="paragraph">
                  <wp:posOffset>3796665</wp:posOffset>
                </wp:positionV>
                <wp:extent cx="130175" cy="116840"/>
                <wp:effectExtent l="33020" t="36830" r="46355" b="55880"/>
                <wp:wrapNone/>
                <wp:docPr id="950" name="矩形 950"/>
                <wp:cNvGraphicFramePr/>
                <a:graphic xmlns:a="http://schemas.openxmlformats.org/drawingml/2006/main">
                  <a:graphicData uri="http://schemas.microsoft.com/office/word/2010/wordprocessingShape">
                    <wps:wsp>
                      <wps:cNvSpPr/>
                      <wps:spPr>
                        <a:xfrm rot="19834199">
                          <a:off x="0" y="0"/>
                          <a:ext cx="130175" cy="11684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5pt;margin-top:298.95pt;height:9.2pt;width:10.25pt;rotation:-1928726f;z-index:251692032;v-text-anchor:middle;mso-width-relative:page;mso-height-relative:page;" fillcolor="#FF0000" filled="t" stroked="t" coordsize="21600,21600" o:gfxdata="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ek4TANwAAAALAQAADwAAAAAAAAABACAAAAAiAAAAZHJzL2Rvd25y&#10;ZXYueG1sUEsBAhQAFAAAAAgAh07iQI8ogH5sAgAA7wQAAA4AAAAAAAAAAQAgAAAAKwEAAGRycy9l&#10;Mm9Eb2MueG1sUEsFBgAAAAAGAAYAWQEAAAkGAAAAAA==&#10;">
                <v:fill on="t" focussize="0,0"/>
                <v:stroke weight="2pt" color="#FF0000 [3204]" joinstyle="round"/>
                <v:imagedata o:title=""/>
                <o:lock v:ext="edit" aspectratio="f"/>
              </v:rect>
            </w:pict>
          </mc:Fallback>
        </mc:AlternateContent>
      </w:r>
      <w:r>
        <w:rPr>
          <w:rFonts w:eastAsia="宋体"/>
          <w:caps w:val="0"/>
          <w:smallCaps w:val="0"/>
          <w:color w:val="auto"/>
          <w:spacing w:val="0"/>
          <w:highlight w:val="none"/>
        </w:rPr>
        <mc:AlternateContent>
          <mc:Choice Requires="wps">
            <w:drawing>
              <wp:anchor distT="0" distB="0" distL="114300" distR="114300" simplePos="0" relativeHeight="251693056" behindDoc="0" locked="0" layoutInCell="1" allowOverlap="1">
                <wp:simplePos x="0" y="0"/>
                <wp:positionH relativeFrom="column">
                  <wp:posOffset>3091815</wp:posOffset>
                </wp:positionH>
                <wp:positionV relativeFrom="paragraph">
                  <wp:posOffset>4030980</wp:posOffset>
                </wp:positionV>
                <wp:extent cx="798195" cy="316865"/>
                <wp:effectExtent l="439420" t="213360" r="19685" b="22225"/>
                <wp:wrapNone/>
                <wp:docPr id="951" name="矩形标注 951"/>
                <wp:cNvGraphicFramePr/>
                <a:graphic xmlns:a="http://schemas.openxmlformats.org/drawingml/2006/main">
                  <a:graphicData uri="http://schemas.microsoft.com/office/word/2010/wordprocessingShape">
                    <wps:wsp>
                      <wps:cNvSpPr/>
                      <wps:spPr>
                        <a:xfrm>
                          <a:off x="0" y="0"/>
                          <a:ext cx="798195" cy="316865"/>
                        </a:xfrm>
                        <a:prstGeom prst="wedgeRectCallout">
                          <a:avLst>
                            <a:gd name="adj1" fmla="val -104492"/>
                            <a:gd name="adj2" fmla="val -115896"/>
                          </a:avLst>
                        </a:prstGeom>
                        <a:noFill/>
                        <a:ln w="0" cap="sq"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1A97D0">
                            <w:pPr>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w:t>
                            </w:r>
                            <w:r>
                              <w:rPr>
                                <w:rFonts w:asciiTheme="minorEastAsia" w:hAnsiTheme="minorEastAsia" w:eastAsiaTheme="minorEastAsia"/>
                                <w:color w:val="000000" w:themeColor="text1"/>
                                <w14:textFill>
                                  <w14:solidFill>
                                    <w14:schemeClr w14:val="tx1"/>
                                  </w14:solidFill>
                                </w14:textFill>
                              </w:rPr>
                              <w:t>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43.45pt;margin-top:317.4pt;height:24.95pt;width:62.85pt;z-index:251693056;v-text-anchor:middle;mso-width-relative:page;mso-height-relative:page;" filled="f" stroked="t" coordsize="21600,21600" o:gfxdata="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F4iOptoAAAALAQAADwAAAAAAAAABACAAAAAiAAAAZHJzL2Rvd25yZXYueG1sUEsBAhQAFAAA&#10;AAgAh07iQAym1niYAgAAIwUAAA4AAAAAAAAAAQAgAAAAKQEAAGRycy9lMm9Eb2MueG1sUEsFBgAA&#10;AAAGAAYAWQEAADMGAAAAAA==&#10;" adj="-11770,-14234">
                <v:fill on="f" focussize="0,0"/>
                <v:stroke weight="0pt" color="#000000 [3213]" joinstyle="round" endcap="square"/>
                <v:imagedata o:title=""/>
                <o:lock v:ext="edit" aspectratio="f"/>
                <v:textbox>
                  <w:txbxContent>
                    <w:p w14:paraId="511A97D0">
                      <w:pPr>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w:t>
                      </w:r>
                      <w:r>
                        <w:rPr>
                          <w:rFonts w:asciiTheme="minorEastAsia" w:hAnsiTheme="minorEastAsia" w:eastAsiaTheme="minorEastAsia"/>
                          <w:color w:val="000000" w:themeColor="text1"/>
                          <w14:textFill>
                            <w14:solidFill>
                              <w14:schemeClr w14:val="tx1"/>
                            </w14:solidFill>
                          </w14:textFill>
                        </w:rPr>
                        <w:t>目位置</w:t>
                      </w:r>
                    </w:p>
                  </w:txbxContent>
                </v:textbox>
              </v:shape>
            </w:pict>
          </mc:Fallback>
        </mc:AlternateContent>
      </w:r>
      <w:r>
        <w:rPr>
          <w:rFonts w:eastAsia="宋体"/>
          <w:caps w:val="0"/>
          <w:smallCaps w:val="0"/>
          <w:color w:val="auto"/>
          <w:spacing w:val="0"/>
          <w:highlight w:val="none"/>
        </w:rPr>
        <w:drawing>
          <wp:inline distT="0" distB="0" distL="0" distR="0">
            <wp:extent cx="5759450" cy="8156575"/>
            <wp:effectExtent l="0" t="0" r="12700"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8156575"/>
                    </a:xfrm>
                    <a:prstGeom prst="rect">
                      <a:avLst/>
                    </a:prstGeom>
                  </pic:spPr>
                </pic:pic>
              </a:graphicData>
            </a:graphic>
          </wp:inline>
        </w:drawing>
      </w:r>
    </w:p>
    <w:p w14:paraId="0EFA4012">
      <w:pPr>
        <w:pStyle w:val="65"/>
        <w:widowControl w:val="0"/>
        <w:ind w:firstLine="482"/>
        <w:jc w:val="center"/>
        <w:rPr>
          <w:rFonts w:eastAsia="宋体"/>
          <w:caps w:val="0"/>
          <w:smallCaps w:val="0"/>
          <w:color w:val="auto"/>
          <w:spacing w:val="0"/>
          <w:highlight w:val="none"/>
        </w:rPr>
      </w:pPr>
      <w:r>
        <w:rPr>
          <w:rFonts w:eastAsia="宋体"/>
          <w:b/>
          <w:bCs/>
          <w:caps w:val="0"/>
          <w:smallCaps w:val="0"/>
          <w:color w:val="auto"/>
          <w:spacing w:val="0"/>
          <w:szCs w:val="24"/>
          <w:highlight w:val="none"/>
        </w:rPr>
        <w:t>图1.5-</w:t>
      </w:r>
      <w:r>
        <w:rPr>
          <w:rFonts w:hint="eastAsia" w:eastAsia="宋体"/>
          <w:b/>
          <w:bCs/>
          <w:caps w:val="0"/>
          <w:smallCaps w:val="0"/>
          <w:color w:val="auto"/>
          <w:spacing w:val="0"/>
          <w:szCs w:val="24"/>
          <w:highlight w:val="none"/>
          <w:lang w:val="en-US" w:eastAsia="zh-CN"/>
        </w:rPr>
        <w:t>3</w:t>
      </w:r>
      <w:r>
        <w:rPr>
          <w:rFonts w:eastAsia="宋体"/>
          <w:b/>
          <w:bCs/>
          <w:caps w:val="0"/>
          <w:smallCaps w:val="0"/>
          <w:color w:val="auto"/>
          <w:spacing w:val="0"/>
          <w:szCs w:val="24"/>
          <w:highlight w:val="none"/>
        </w:rPr>
        <w:t>项目在高新技术开发区规划结构中位置</w:t>
      </w:r>
    </w:p>
    <w:p w14:paraId="1611E4BF">
      <w:pPr>
        <w:pStyle w:val="194"/>
        <w:widowControl w:val="0"/>
        <w:ind w:firstLine="480"/>
        <w:rPr>
          <w:rFonts w:ascii="Times New Roman" w:hAnsi="Times New Roman" w:eastAsia="宋体" w:cs="Times New Roman"/>
          <w:caps w:val="0"/>
          <w:smallCaps w:val="0"/>
          <w:color w:val="auto"/>
          <w:spacing w:val="0"/>
          <w:highlight w:val="none"/>
        </w:rPr>
      </w:pPr>
    </w:p>
    <w:p w14:paraId="61434AE3">
      <w:pPr>
        <w:pStyle w:val="4"/>
        <w:widowControl w:val="0"/>
        <w:rPr>
          <w:rFonts w:eastAsia="宋体"/>
          <w:caps w:val="0"/>
          <w:smallCaps w:val="0"/>
          <w:color w:val="auto"/>
          <w:spacing w:val="0"/>
          <w:highlight w:val="none"/>
        </w:rPr>
      </w:pPr>
      <w:bookmarkStart w:id="18" w:name="_Toc477951927"/>
      <w:bookmarkStart w:id="19" w:name="_Toc22552"/>
      <w:r>
        <w:rPr>
          <w:rFonts w:eastAsia="宋体"/>
          <w:caps w:val="0"/>
          <w:smallCaps w:val="0"/>
          <w:color w:val="auto"/>
          <w:spacing w:val="0"/>
          <w:highlight w:val="none"/>
        </w:rPr>
        <w:t>1.6环境影响评价的主要结论</w:t>
      </w:r>
      <w:bookmarkEnd w:id="18"/>
      <w:bookmarkEnd w:id="19"/>
    </w:p>
    <w:p w14:paraId="2F26D4BE">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本项目选址位于佳木斯高新技术产业开发区</w:t>
      </w:r>
      <w:r>
        <w:rPr>
          <w:rFonts w:eastAsia="宋体"/>
          <w:caps w:val="0"/>
          <w:smallCaps w:val="0"/>
          <w:color w:val="auto"/>
          <w:spacing w:val="0"/>
          <w:szCs w:val="22"/>
          <w:highlight w:val="none"/>
        </w:rPr>
        <w:t>轻工产业园（含新材料）</w:t>
      </w:r>
      <w:r>
        <w:rPr>
          <w:rFonts w:eastAsia="宋体"/>
          <w:caps w:val="0"/>
          <w:smallCaps w:val="0"/>
          <w:color w:val="auto"/>
          <w:spacing w:val="0"/>
          <w:highlight w:val="none"/>
        </w:rPr>
        <w:t>，中华路和乌苏里江街交叉口西北角，规划用地性质为工业用地；同时本项目符合国家产业政策及相关产业要求；项目占地不涉及自然保护区、风景名胜区、饮用水水源地等环境敏感区，且不在《黑龙江省重点生态功能区产业准入负面清单（试行版）》范围内；选址满足大气环境防护距离和卫生防护距离要求，本项目采取的废气处理措施、废水治理措施、噪声防治措施、固废处置措施可行，项目实施后不会对大气环境、声环境产生明显影响，对地下水环境影响可接受，环境风险可接受；项目公示期间，公众未对本项目进行《建设项目环境影响评价公众意见表》的反馈，无公众提出意见。</w:t>
      </w:r>
    </w:p>
    <w:p w14:paraId="12560A8D">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因此，从环保角度看，项目的建设可行。</w:t>
      </w:r>
    </w:p>
    <w:p w14:paraId="1F71B08F">
      <w:pPr>
        <w:widowControl w:val="0"/>
        <w:spacing w:line="360" w:lineRule="auto"/>
        <w:ind w:firstLine="442"/>
        <w:rPr>
          <w:rFonts w:ascii="Times New Roman" w:hAnsi="Times New Roman" w:eastAsia="宋体" w:cs="Times New Roman"/>
          <w:caps w:val="0"/>
          <w:smallCaps w:val="0"/>
          <w:color w:val="auto"/>
          <w:spacing w:val="0"/>
          <w:highlight w:val="none"/>
        </w:rPr>
        <w:sectPr>
          <w:footerReference r:id="rId8"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425" w:num="1"/>
          <w:docGrid w:linePitch="333" w:charSpace="-3847"/>
        </w:sectPr>
      </w:pPr>
    </w:p>
    <w:p w14:paraId="006C7CD7">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20" w:name="_Toc477951928"/>
      <w:bookmarkStart w:id="21" w:name="_Toc15573"/>
      <w:r>
        <w:rPr>
          <w:rFonts w:ascii="Times New Roman" w:hAnsi="Times New Roman" w:eastAsia="宋体" w:cs="Times New Roman"/>
          <w:caps w:val="0"/>
          <w:smallCaps w:val="0"/>
          <w:color w:val="auto"/>
          <w:spacing w:val="0"/>
          <w:highlight w:val="none"/>
        </w:rPr>
        <w:t>2总则</w:t>
      </w:r>
      <w:bookmarkEnd w:id="20"/>
      <w:bookmarkEnd w:id="21"/>
    </w:p>
    <w:p w14:paraId="6CA58CA9">
      <w:pPr>
        <w:pStyle w:val="4"/>
        <w:widowControl w:val="0"/>
        <w:rPr>
          <w:rFonts w:eastAsia="宋体"/>
          <w:caps w:val="0"/>
          <w:smallCaps w:val="0"/>
          <w:color w:val="auto"/>
          <w:spacing w:val="0"/>
          <w:highlight w:val="none"/>
        </w:rPr>
      </w:pPr>
      <w:bookmarkStart w:id="22" w:name="_Toc477951929"/>
      <w:bookmarkStart w:id="23" w:name="_Toc13649"/>
      <w:r>
        <w:rPr>
          <w:rFonts w:eastAsia="宋体"/>
          <w:caps w:val="0"/>
          <w:smallCaps w:val="0"/>
          <w:color w:val="auto"/>
          <w:spacing w:val="0"/>
          <w:highlight w:val="none"/>
        </w:rPr>
        <w:t>2.1编制依据</w:t>
      </w:r>
      <w:bookmarkEnd w:id="22"/>
      <w:bookmarkEnd w:id="23"/>
    </w:p>
    <w:p w14:paraId="1D9B7654">
      <w:pPr>
        <w:pStyle w:val="5"/>
        <w:widowControl w:val="0"/>
        <w:rPr>
          <w:rFonts w:eastAsia="宋体"/>
          <w:caps w:val="0"/>
          <w:smallCaps w:val="0"/>
          <w:color w:val="auto"/>
          <w:spacing w:val="0"/>
          <w:sz w:val="30"/>
          <w:szCs w:val="30"/>
          <w:highlight w:val="none"/>
        </w:rPr>
      </w:pPr>
      <w:bookmarkStart w:id="24" w:name="_Toc20853"/>
      <w:r>
        <w:rPr>
          <w:rFonts w:eastAsia="宋体"/>
          <w:caps w:val="0"/>
          <w:smallCaps w:val="0"/>
          <w:color w:val="auto"/>
          <w:spacing w:val="0"/>
          <w:sz w:val="30"/>
          <w:szCs w:val="30"/>
          <w:highlight w:val="none"/>
        </w:rPr>
        <w:t>2.1.1相关法律、法规、规章</w:t>
      </w:r>
      <w:bookmarkEnd w:id="24"/>
    </w:p>
    <w:p w14:paraId="46E7F1F2">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（1）《中华人民共和国环境保护法》（2015年1月1日施行）</w:t>
      </w:r>
    </w:p>
    <w:p w14:paraId="0CAD6914">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（2）《中华人民共和国环境影响评价法》（2018年12月29日修订并施行）</w:t>
      </w:r>
    </w:p>
    <w:p w14:paraId="20BA0AF4">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（3）《中华人民共和国清洁生产促进法》（2012年7月1日施行）</w:t>
      </w:r>
    </w:p>
    <w:p w14:paraId="0EB53C83">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（4）《中华人民共和国水污染防治法》（2017年发布）</w:t>
      </w:r>
    </w:p>
    <w:p w14:paraId="58EA7208">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（5）《中华人民共和国大气污染防治法》（2018年10月26日修订并施行）</w:t>
      </w:r>
    </w:p>
    <w:p w14:paraId="3FC54DF0">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（6）《中华人民共和国固体废物污染环境防治法》（2020年9月1日起施行）</w:t>
      </w:r>
    </w:p>
    <w:p w14:paraId="21645617">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（7）《中华人民共和国环境噪声污染防治法》（2021年12月24日第十三届全国人民代表大会常务委员会第三十二次会议通过，2022年6月5日起实施）</w:t>
      </w:r>
    </w:p>
    <w:p w14:paraId="341D06CC">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（8）《中华人民共和国节约能源法》（2018年10月26日修订并施行）</w:t>
      </w:r>
    </w:p>
    <w:p w14:paraId="6D62944D">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（9）《中华人民共和国水法》（2016年7月2日施行）</w:t>
      </w:r>
    </w:p>
    <w:p w14:paraId="13D198A5">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（10）《中华人民共和国水土保持法》（2011年3月1日施行）</w:t>
      </w:r>
    </w:p>
    <w:p w14:paraId="443FF5BE">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（11）《中华人民共和国城乡规划法》（2008年1月1日施行）</w:t>
      </w:r>
    </w:p>
    <w:p w14:paraId="6D3B75CE">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（12）《环境影响评价公众参与办法》（生态环境部部令第4号）（2019年1月1日施行）</w:t>
      </w:r>
    </w:p>
    <w:p w14:paraId="07A7EA7D">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（13）《关于进一步加强环境影响评价管理防范环境风险的通知》（环发〔2012〕77号）</w:t>
      </w:r>
    </w:p>
    <w:p w14:paraId="4EFCD53D">
      <w:pPr>
        <w:widowControl w:val="0"/>
        <w:autoSpaceDE w:val="0"/>
        <w:autoSpaceDN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（14）《关于切实加强风险防范严格环境影响评价管理的通知》（环发〔2012〕98号）</w:t>
      </w:r>
    </w:p>
    <w:p w14:paraId="2BC4BFDF">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（15）《关于进一步加强环境保护信息公开工作的通知》（环办〔2012〕134号）</w:t>
      </w:r>
    </w:p>
    <w:p w14:paraId="3FF15C6F">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（16）《国务院关于印发大气污染防治行动计划的通知》（国发〔2013〕37号）</w:t>
      </w:r>
    </w:p>
    <w:p w14:paraId="5EC0B2E9">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（17）《国务院关于印发水污染防治行动计划的通知》（国发〔2015〕17号）</w:t>
      </w:r>
    </w:p>
    <w:p w14:paraId="773E77DE">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（18）《黑龙江省大气污染防治条例》（2017年5月1日实施）</w:t>
      </w:r>
    </w:p>
    <w:p w14:paraId="674F8668">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w:t>
      </w:r>
      <w:r>
        <w:rPr>
          <w:rFonts w:hint="eastAsia" w:ascii="Times New Roman" w:hAnsi="Times New Roman" w:eastAsia="宋体" w:cs="Times New Roman"/>
          <w:caps w:val="0"/>
          <w:smallCaps w:val="0"/>
          <w:snapToGrid w:val="0"/>
          <w:color w:val="auto"/>
          <w:spacing w:val="0"/>
          <w:kern w:val="0"/>
          <w:szCs w:val="22"/>
          <w:highlight w:val="none"/>
        </w:rPr>
        <w:t>19</w:t>
      </w:r>
      <w:r>
        <w:rPr>
          <w:rFonts w:ascii="Times New Roman" w:hAnsi="Times New Roman" w:eastAsia="宋体" w:cs="Times New Roman"/>
          <w:caps w:val="0"/>
          <w:smallCaps w:val="0"/>
          <w:snapToGrid w:val="0"/>
          <w:color w:val="auto"/>
          <w:spacing w:val="0"/>
          <w:kern w:val="0"/>
          <w:szCs w:val="22"/>
          <w:highlight w:val="none"/>
        </w:rPr>
        <w:t>）《黑龙江省建设项目环境保护管理办法》（黑龙江省人民政府令第23号）</w:t>
      </w:r>
    </w:p>
    <w:p w14:paraId="20349835">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（20）《建设项目环境保护管理条例》（国务院令第682号）</w:t>
      </w:r>
    </w:p>
    <w:p w14:paraId="290DBE99">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（21）《产业结构调整指导目录（2024年本）》</w:t>
      </w:r>
    </w:p>
    <w:p w14:paraId="35CAFF3A">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（22）《建设项目环境影响评价分类管理名录（2021年版）》</w:t>
      </w:r>
    </w:p>
    <w:p w14:paraId="306833B5">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（23）《关于落实大气污染防治行动计划严格环境影响评价准入的通知》（环办〔2014〕30号）</w:t>
      </w:r>
    </w:p>
    <w:p w14:paraId="7753675D">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w:t>
      </w:r>
      <w:r>
        <w:rPr>
          <w:rFonts w:hint="eastAsia" w:ascii="Times New Roman" w:hAnsi="Times New Roman" w:eastAsia="宋体" w:cs="Times New Roman"/>
          <w:caps w:val="0"/>
          <w:smallCaps w:val="0"/>
          <w:snapToGrid w:val="0"/>
          <w:color w:val="auto"/>
          <w:spacing w:val="0"/>
          <w:kern w:val="0"/>
          <w:szCs w:val="22"/>
          <w:highlight w:val="none"/>
        </w:rPr>
        <w:t>4</w:t>
      </w:r>
      <w:r>
        <w:rPr>
          <w:rFonts w:ascii="Times New Roman" w:hAnsi="Times New Roman" w:eastAsia="宋体" w:cs="Times New Roman"/>
          <w:caps w:val="0"/>
          <w:smallCaps w:val="0"/>
          <w:snapToGrid w:val="0"/>
          <w:color w:val="auto"/>
          <w:spacing w:val="0"/>
          <w:kern w:val="0"/>
          <w:szCs w:val="22"/>
          <w:highlight w:val="none"/>
        </w:rPr>
        <w:t>）《佳木斯市空气质量持续改善行动计划实施方案》（</w:t>
      </w:r>
      <w:r>
        <w:rPr>
          <w:rFonts w:hint="eastAsia" w:ascii="Times New Roman" w:hAnsi="Times New Roman" w:eastAsia="宋体" w:cs="Times New Roman"/>
          <w:caps w:val="0"/>
          <w:smallCaps w:val="0"/>
          <w:snapToGrid w:val="0"/>
          <w:color w:val="auto"/>
          <w:spacing w:val="0"/>
          <w:kern w:val="0"/>
          <w:szCs w:val="22"/>
          <w:highlight w:val="none"/>
          <w:lang w:val="en-US" w:eastAsia="zh-CN"/>
        </w:rPr>
        <w:t>2024年4月30日</w:t>
      </w:r>
      <w:r>
        <w:rPr>
          <w:rFonts w:ascii="Times New Roman" w:hAnsi="Times New Roman" w:eastAsia="宋体" w:cs="Times New Roman"/>
          <w:caps w:val="0"/>
          <w:smallCaps w:val="0"/>
          <w:snapToGrid w:val="0"/>
          <w:color w:val="auto"/>
          <w:spacing w:val="0"/>
          <w:kern w:val="0"/>
          <w:szCs w:val="22"/>
          <w:highlight w:val="none"/>
        </w:rPr>
        <w:t>）</w:t>
      </w:r>
    </w:p>
    <w:p w14:paraId="3C64F2B1">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（25）《黑龙江省水污染防治工作方案》（黑政发〔2016〕3号）</w:t>
      </w:r>
    </w:p>
    <w:p w14:paraId="18D4CE98">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w:t>
      </w:r>
      <w:r>
        <w:rPr>
          <w:rFonts w:hint="eastAsia" w:ascii="Times New Roman" w:hAnsi="Times New Roman" w:eastAsia="宋体" w:cs="Times New Roman"/>
          <w:caps w:val="0"/>
          <w:smallCaps w:val="0"/>
          <w:snapToGrid w:val="0"/>
          <w:color w:val="auto"/>
          <w:spacing w:val="0"/>
          <w:kern w:val="0"/>
          <w:szCs w:val="22"/>
          <w:highlight w:val="none"/>
        </w:rPr>
        <w:t>6</w:t>
      </w:r>
      <w:r>
        <w:rPr>
          <w:rFonts w:ascii="Times New Roman" w:hAnsi="Times New Roman" w:eastAsia="宋体" w:cs="Times New Roman"/>
          <w:caps w:val="0"/>
          <w:smallCaps w:val="0"/>
          <w:snapToGrid w:val="0"/>
          <w:color w:val="auto"/>
          <w:spacing w:val="0"/>
          <w:kern w:val="0"/>
          <w:szCs w:val="22"/>
          <w:highlight w:val="none"/>
        </w:rPr>
        <w:t>）《黑龙江省水污染防治条例》（2023年11月2日黑龙江省第十四届人民代表大会常务委员会第八次会议通过）</w:t>
      </w:r>
    </w:p>
    <w:p w14:paraId="733EADDF">
      <w:pPr>
        <w:keepNext w:val="0"/>
        <w:keepLines w:val="0"/>
        <w:pageBreakBefore w:val="0"/>
        <w:widowControl w:val="0"/>
        <w:kinsoku/>
        <w:wordWrap/>
        <w:overflowPunct/>
        <w:topLinePunct w:val="0"/>
        <w:bidi w:val="0"/>
        <w:snapToGrid/>
        <w:spacing w:line="360" w:lineRule="auto"/>
        <w:ind w:firstLine="480" w:firstLineChars="200"/>
        <w:textAlignment w:val="auto"/>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w:t>
      </w:r>
      <w:r>
        <w:rPr>
          <w:rFonts w:hint="eastAsia" w:ascii="Times New Roman" w:hAnsi="Times New Roman" w:eastAsia="宋体" w:cs="Times New Roman"/>
          <w:caps w:val="0"/>
          <w:smallCaps w:val="0"/>
          <w:snapToGrid w:val="0"/>
          <w:color w:val="auto"/>
          <w:spacing w:val="0"/>
          <w:kern w:val="0"/>
          <w:szCs w:val="22"/>
          <w:highlight w:val="none"/>
        </w:rPr>
        <w:t>7</w:t>
      </w:r>
      <w:r>
        <w:rPr>
          <w:rFonts w:ascii="Times New Roman" w:hAnsi="Times New Roman" w:eastAsia="宋体" w:cs="Times New Roman"/>
          <w:caps w:val="0"/>
          <w:smallCaps w:val="0"/>
          <w:snapToGrid w:val="0"/>
          <w:color w:val="auto"/>
          <w:spacing w:val="0"/>
          <w:kern w:val="0"/>
          <w:szCs w:val="22"/>
          <w:highlight w:val="none"/>
        </w:rPr>
        <w:t>）《佳木斯市“十四五”生态环境保护规划》（2023年1月13日）</w:t>
      </w:r>
    </w:p>
    <w:p w14:paraId="200EE68C">
      <w:pPr>
        <w:keepNext w:val="0"/>
        <w:keepLines w:val="0"/>
        <w:pageBreakBefore w:val="0"/>
        <w:widowControl w:val="0"/>
        <w:kinsoku/>
        <w:wordWrap/>
        <w:overflowPunct/>
        <w:topLinePunct w:val="0"/>
        <w:bidi w:val="0"/>
        <w:snapToGrid/>
        <w:spacing w:line="360" w:lineRule="auto"/>
        <w:ind w:firstLine="480" w:firstLineChars="200"/>
        <w:textAlignment w:val="auto"/>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w:t>
      </w:r>
      <w:r>
        <w:rPr>
          <w:rFonts w:hint="eastAsia" w:ascii="Times New Roman" w:hAnsi="Times New Roman" w:eastAsia="宋体" w:cs="Times New Roman"/>
          <w:caps w:val="0"/>
          <w:smallCaps w:val="0"/>
          <w:snapToGrid w:val="0"/>
          <w:color w:val="auto"/>
          <w:spacing w:val="0"/>
          <w:kern w:val="0"/>
          <w:szCs w:val="22"/>
          <w:highlight w:val="none"/>
        </w:rPr>
        <w:t>28</w:t>
      </w:r>
      <w:r>
        <w:rPr>
          <w:rFonts w:ascii="Times New Roman" w:hAnsi="Times New Roman" w:eastAsia="宋体" w:cs="Times New Roman"/>
          <w:caps w:val="0"/>
          <w:smallCaps w:val="0"/>
          <w:snapToGrid w:val="0"/>
          <w:color w:val="auto"/>
          <w:spacing w:val="0"/>
          <w:kern w:val="0"/>
          <w:szCs w:val="22"/>
          <w:highlight w:val="none"/>
        </w:rPr>
        <w:t>）《光伏制造行业规范条件（2024年本）》(中华人民共和国工业和信息化部公告2024年第33号)</w:t>
      </w:r>
    </w:p>
    <w:p w14:paraId="6C32ED1E">
      <w:pPr>
        <w:pStyle w:val="48"/>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Times New Roman" w:hAnsi="Times New Roman" w:eastAsia="宋体" w:cs="Times New Roman"/>
          <w:caps w:val="0"/>
          <w:smallCaps w:val="0"/>
          <w:color w:val="auto"/>
          <w:spacing w:val="0"/>
          <w:highlight w:val="none"/>
          <w:lang w:eastAsia="zh-CN"/>
        </w:rPr>
      </w:pPr>
      <w:r>
        <w:rPr>
          <w:rFonts w:hint="default" w:ascii="Times New Roman" w:hAnsi="Times New Roman" w:eastAsia="宋体" w:cs="Times New Roman"/>
          <w:caps w:val="0"/>
          <w:smallCaps w:val="0"/>
          <w:snapToGrid w:val="0"/>
          <w:color w:val="auto"/>
          <w:spacing w:val="0"/>
          <w:kern w:val="0"/>
          <w:szCs w:val="22"/>
          <w:highlight w:val="none"/>
          <w:lang w:eastAsia="zh-CN"/>
        </w:rPr>
        <w:t>（</w:t>
      </w:r>
      <w:r>
        <w:rPr>
          <w:rFonts w:hint="default" w:ascii="Times New Roman" w:hAnsi="Times New Roman" w:eastAsia="宋体" w:cs="Times New Roman"/>
          <w:caps w:val="0"/>
          <w:smallCaps w:val="0"/>
          <w:snapToGrid w:val="0"/>
          <w:color w:val="auto"/>
          <w:spacing w:val="0"/>
          <w:kern w:val="0"/>
          <w:szCs w:val="22"/>
          <w:highlight w:val="none"/>
          <w:lang w:val="en-US" w:eastAsia="zh-CN"/>
        </w:rPr>
        <w:t>29</w:t>
      </w:r>
      <w:r>
        <w:rPr>
          <w:rFonts w:hint="default" w:ascii="Times New Roman" w:hAnsi="Times New Roman" w:eastAsia="宋体" w:cs="Times New Roman"/>
          <w:caps w:val="0"/>
          <w:smallCaps w:val="0"/>
          <w:snapToGrid w:val="0"/>
          <w:color w:val="auto"/>
          <w:spacing w:val="0"/>
          <w:kern w:val="0"/>
          <w:szCs w:val="22"/>
          <w:highlight w:val="none"/>
          <w:lang w:eastAsia="zh-CN"/>
        </w:rPr>
        <w:t>）</w:t>
      </w:r>
      <w:r>
        <w:rPr>
          <w:rFonts w:hint="default" w:ascii="Times New Roman" w:hAnsi="Times New Roman" w:eastAsia="宋体" w:cs="Times New Roman"/>
          <w:caps w:val="0"/>
          <w:smallCaps w:val="0"/>
          <w:color w:val="auto"/>
          <w:spacing w:val="0"/>
          <w:sz w:val="24"/>
          <w:szCs w:val="24"/>
          <w:highlight w:val="none"/>
        </w:rPr>
        <w:t>《黑龙江省空气质量持续改善行动计划实施方案》</w:t>
      </w:r>
      <w:r>
        <w:rPr>
          <w:rFonts w:hint="default" w:ascii="Times New Roman" w:hAnsi="Times New Roman" w:eastAsia="宋体" w:cs="Times New Roman"/>
          <w:caps w:val="0"/>
          <w:smallCaps w:val="0"/>
          <w:color w:val="auto"/>
          <w:spacing w:val="0"/>
          <w:sz w:val="24"/>
          <w:szCs w:val="24"/>
          <w:highlight w:val="none"/>
          <w:lang w:eastAsia="zh-CN"/>
        </w:rPr>
        <w:t>（黑政发〔2023〕19号）</w:t>
      </w:r>
    </w:p>
    <w:p w14:paraId="5C7A13DE">
      <w:pPr>
        <w:pStyle w:val="5"/>
        <w:widowControl w:val="0"/>
        <w:rPr>
          <w:rFonts w:eastAsia="宋体"/>
          <w:caps w:val="0"/>
          <w:smallCaps w:val="0"/>
          <w:color w:val="auto"/>
          <w:spacing w:val="0"/>
          <w:sz w:val="30"/>
          <w:szCs w:val="30"/>
          <w:highlight w:val="none"/>
        </w:rPr>
      </w:pPr>
      <w:bookmarkStart w:id="25" w:name="_Toc16178"/>
      <w:r>
        <w:rPr>
          <w:rFonts w:eastAsia="宋体"/>
          <w:caps w:val="0"/>
          <w:smallCaps w:val="0"/>
          <w:color w:val="auto"/>
          <w:spacing w:val="0"/>
          <w:sz w:val="30"/>
          <w:szCs w:val="30"/>
          <w:highlight w:val="none"/>
        </w:rPr>
        <w:t>2.1.2相关技术导则、规范</w:t>
      </w:r>
      <w:bookmarkEnd w:id="25"/>
    </w:p>
    <w:p w14:paraId="1C1DE588">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（1）《建设项目环境影响评价技术导则·总纲》(HJ2.1-2016)；</w:t>
      </w:r>
    </w:p>
    <w:p w14:paraId="387A1AD3">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（2）《环境影响评价技术导则·大气环境》(HJ2.2-2018)；</w:t>
      </w:r>
    </w:p>
    <w:p w14:paraId="3255DDEF">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（3）《环境影响评价技术导则·地表水环境》(HJ2.3-2018）；</w:t>
      </w:r>
    </w:p>
    <w:p w14:paraId="049C16BB">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（4）《环境影响评价技术导则·地下水环境》(HJ610-2016)；</w:t>
      </w:r>
    </w:p>
    <w:p w14:paraId="2234C6C5">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（5）《环境影响评价技术导则·声环境》(HJ2.4-2021)；</w:t>
      </w:r>
    </w:p>
    <w:p w14:paraId="05C40FBC">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（6）《环境影响评价技术导则·生态影响》(HJ19-2022)；</w:t>
      </w:r>
    </w:p>
    <w:p w14:paraId="255CFAF9">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（7）《建设项目环境风险评价技术导则》(HJ169-2018)；</w:t>
      </w:r>
    </w:p>
    <w:p w14:paraId="0790F699">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（8）《环境影响评价技术导则·土壤环境》(HJ964-2018)；</w:t>
      </w:r>
    </w:p>
    <w:p w14:paraId="198D84E7">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（9）《固体废物鉴别标准通则》（GB34330-2017）；</w:t>
      </w:r>
    </w:p>
    <w:p w14:paraId="202D6D6B">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（10）《危险废物鉴别技术规范》（HJ298-2019）；</w:t>
      </w:r>
    </w:p>
    <w:p w14:paraId="75A020BA">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（11）《危险废物收集贮存运输技术规范》(HJ2025-2012)；</w:t>
      </w:r>
    </w:p>
    <w:p w14:paraId="0F132643">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（12）</w:t>
      </w:r>
      <w:r>
        <w:rPr>
          <w:rFonts w:ascii="Times New Roman" w:hAnsi="Times New Roman" w:eastAsia="宋体" w:cs="Times New Roman"/>
          <w:caps w:val="0"/>
          <w:smallCaps w:val="0"/>
          <w:color w:val="auto"/>
          <w:spacing w:val="0"/>
          <w:szCs w:val="24"/>
          <w:highlight w:val="none"/>
        </w:rPr>
        <w:t>《排污单位自行监测技术指南-电池工业》(HJ1204-2021)</w:t>
      </w:r>
      <w:r>
        <w:rPr>
          <w:rFonts w:ascii="Times New Roman" w:hAnsi="Times New Roman" w:eastAsia="宋体" w:cs="Times New Roman"/>
          <w:caps w:val="0"/>
          <w:smallCaps w:val="0"/>
          <w:snapToGrid w:val="0"/>
          <w:color w:val="auto"/>
          <w:spacing w:val="0"/>
          <w:kern w:val="0"/>
          <w:szCs w:val="24"/>
          <w:highlight w:val="none"/>
        </w:rPr>
        <w:t>）</w:t>
      </w:r>
      <w:r>
        <w:rPr>
          <w:rFonts w:ascii="Times New Roman" w:hAnsi="Times New Roman" w:eastAsia="宋体" w:cs="Times New Roman"/>
          <w:caps w:val="0"/>
          <w:smallCaps w:val="0"/>
          <w:snapToGrid w:val="0"/>
          <w:color w:val="auto"/>
          <w:spacing w:val="0"/>
          <w:kern w:val="0"/>
          <w:szCs w:val="22"/>
          <w:highlight w:val="none"/>
        </w:rPr>
        <w:t>；</w:t>
      </w:r>
    </w:p>
    <w:p w14:paraId="379E696B">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（13）《危险废物贮存污染控制标准》（GB18597-2023）；</w:t>
      </w:r>
    </w:p>
    <w:p w14:paraId="2234A244">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（14）《危险废物管理计划和管理台账制定技术导则》（HJ1259-2022）；</w:t>
      </w:r>
    </w:p>
    <w:p w14:paraId="6A98BD65">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（15）《排污单位自行监测技术指南总则》(HJ819-2017)。</w:t>
      </w:r>
    </w:p>
    <w:p w14:paraId="0B46420C">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color w:val="auto"/>
          <w:spacing w:val="0"/>
          <w:highlight w:val="none"/>
        </w:rPr>
        <w:t>（16）《建设项目危险废物环境影响评价指南》（环境保护部 公告2017年第43号）</w:t>
      </w:r>
    </w:p>
    <w:p w14:paraId="651DFFCA">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（17）《排污许可证申请与核发技术规范-电池工业》（HJ967-2018）</w:t>
      </w:r>
    </w:p>
    <w:p w14:paraId="22D7177D">
      <w:pPr>
        <w:pStyle w:val="5"/>
        <w:widowControl w:val="0"/>
        <w:rPr>
          <w:rFonts w:eastAsia="宋体"/>
          <w:caps w:val="0"/>
          <w:smallCaps w:val="0"/>
          <w:color w:val="auto"/>
          <w:spacing w:val="0"/>
          <w:sz w:val="30"/>
          <w:szCs w:val="30"/>
          <w:highlight w:val="none"/>
        </w:rPr>
      </w:pPr>
      <w:bookmarkStart w:id="26" w:name="_Toc30385"/>
      <w:r>
        <w:rPr>
          <w:rFonts w:eastAsia="宋体"/>
          <w:caps w:val="0"/>
          <w:smallCaps w:val="0"/>
          <w:color w:val="auto"/>
          <w:spacing w:val="0"/>
          <w:sz w:val="30"/>
          <w:szCs w:val="30"/>
          <w:highlight w:val="none"/>
        </w:rPr>
        <w:t>2.1.3有关项目文件</w:t>
      </w:r>
      <w:bookmarkEnd w:id="26"/>
    </w:p>
    <w:p w14:paraId="6B357E65">
      <w:pPr>
        <w:widowControl w:val="0"/>
        <w:numPr>
          <w:ilvl w:val="0"/>
          <w:numId w:val="5"/>
        </w:numPr>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《佳木斯中建材光电材料有限公司黑龙江省佳木斯市高新区年产100MW碲化镉弱光发电玻璃项目可行性研究报告（2018.12）》及其他设计文件</w:t>
      </w:r>
    </w:p>
    <w:p w14:paraId="0B6A0C83">
      <w:pPr>
        <w:widowControl w:val="0"/>
        <w:numPr>
          <w:ilvl w:val="0"/>
          <w:numId w:val="5"/>
        </w:numPr>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《佳木斯中建材光电材料有限公司黑龙江省佳木斯市高新区年产100MW碲化镉弱光发电玻璃项目环境影响报告书》（2019.10）</w:t>
      </w:r>
    </w:p>
    <w:p w14:paraId="5E42FA69">
      <w:pPr>
        <w:widowControl w:val="0"/>
        <w:numPr>
          <w:ilvl w:val="0"/>
          <w:numId w:val="5"/>
        </w:numPr>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《关于佳木斯中建材光电材料有限公司黑龙江省佳木斯市高新区年产100MW碲化镉弱光发电玻璃项目环境影响报告书的批复》</w:t>
      </w:r>
      <w:r>
        <w:rPr>
          <w:rFonts w:hint="eastAsia" w:ascii="Times New Roman" w:hAnsi="Times New Roman" w:eastAsia="宋体" w:cs="Times New Roman"/>
          <w:caps w:val="0"/>
          <w:smallCaps w:val="0"/>
          <w:snapToGrid w:val="0"/>
          <w:color w:val="auto"/>
          <w:spacing w:val="0"/>
          <w:kern w:val="0"/>
          <w:szCs w:val="22"/>
          <w:highlight w:val="none"/>
          <w:lang w:eastAsia="zh-CN"/>
        </w:rPr>
        <w:t>（</w:t>
      </w:r>
      <w:r>
        <w:rPr>
          <w:rFonts w:ascii="Times New Roman" w:hAnsi="Times New Roman" w:eastAsia="宋体" w:cs="Times New Roman"/>
          <w:caps w:val="0"/>
          <w:smallCaps w:val="0"/>
          <w:snapToGrid w:val="0"/>
          <w:color w:val="auto"/>
          <w:spacing w:val="0"/>
          <w:kern w:val="0"/>
          <w:szCs w:val="22"/>
          <w:highlight w:val="none"/>
        </w:rPr>
        <w:t>佳环建审（2019）72号</w:t>
      </w:r>
      <w:r>
        <w:rPr>
          <w:rFonts w:hint="eastAsia" w:ascii="Times New Roman" w:hAnsi="Times New Roman" w:eastAsia="宋体" w:cs="Times New Roman"/>
          <w:caps w:val="0"/>
          <w:smallCaps w:val="0"/>
          <w:snapToGrid w:val="0"/>
          <w:color w:val="auto"/>
          <w:spacing w:val="0"/>
          <w:kern w:val="0"/>
          <w:szCs w:val="22"/>
          <w:highlight w:val="none"/>
          <w:lang w:eastAsia="zh-CN"/>
        </w:rPr>
        <w:t>）</w:t>
      </w:r>
      <w:r>
        <w:rPr>
          <w:rFonts w:ascii="Times New Roman" w:hAnsi="Times New Roman" w:eastAsia="宋体" w:cs="Times New Roman"/>
          <w:caps w:val="0"/>
          <w:smallCaps w:val="0"/>
          <w:snapToGrid w:val="0"/>
          <w:color w:val="auto"/>
          <w:spacing w:val="0"/>
          <w:kern w:val="0"/>
          <w:szCs w:val="22"/>
          <w:highlight w:val="none"/>
        </w:rPr>
        <w:t>（2019.12.16）</w:t>
      </w:r>
    </w:p>
    <w:p w14:paraId="620AC94E">
      <w:pPr>
        <w:widowControl w:val="0"/>
        <w:numPr>
          <w:ilvl w:val="0"/>
          <w:numId w:val="5"/>
        </w:numPr>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《佳木斯中建材光电材料有限公司黑龙江省佳木斯市高新区年产100MW碲化镉弱光发电玻璃项目竣工环境保护验收监测报告》（2024.2）</w:t>
      </w:r>
    </w:p>
    <w:p w14:paraId="0B81BAA3">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（5）佳木斯高新技术产业开发区总体规划（2015~2030）</w:t>
      </w:r>
    </w:p>
    <w:p w14:paraId="65A6BBF2">
      <w:pPr>
        <w:pStyle w:val="4"/>
        <w:widowControl w:val="0"/>
        <w:rPr>
          <w:rFonts w:eastAsia="宋体"/>
          <w:caps w:val="0"/>
          <w:smallCaps w:val="0"/>
          <w:color w:val="auto"/>
          <w:spacing w:val="0"/>
          <w:highlight w:val="none"/>
        </w:rPr>
      </w:pPr>
      <w:bookmarkStart w:id="27" w:name="_Toc477951930"/>
      <w:bookmarkStart w:id="28" w:name="_Toc14461"/>
      <w:r>
        <w:rPr>
          <w:rFonts w:eastAsia="宋体"/>
          <w:caps w:val="0"/>
          <w:smallCaps w:val="0"/>
          <w:color w:val="auto"/>
          <w:spacing w:val="0"/>
          <w:highlight w:val="none"/>
        </w:rPr>
        <w:t>2.2环境影响因素识别和评价因子</w:t>
      </w:r>
      <w:bookmarkEnd w:id="27"/>
      <w:bookmarkEnd w:id="28"/>
    </w:p>
    <w:p w14:paraId="1877C17C">
      <w:pPr>
        <w:pStyle w:val="5"/>
        <w:widowControl w:val="0"/>
        <w:rPr>
          <w:rFonts w:eastAsia="宋体"/>
          <w:caps w:val="0"/>
          <w:smallCaps w:val="0"/>
          <w:color w:val="auto"/>
          <w:spacing w:val="0"/>
          <w:sz w:val="30"/>
          <w:szCs w:val="30"/>
          <w:highlight w:val="none"/>
        </w:rPr>
      </w:pPr>
      <w:bookmarkStart w:id="29" w:name="_Toc15087"/>
      <w:r>
        <w:rPr>
          <w:rFonts w:eastAsia="宋体"/>
          <w:caps w:val="0"/>
          <w:smallCaps w:val="0"/>
          <w:color w:val="auto"/>
          <w:spacing w:val="0"/>
          <w:sz w:val="30"/>
          <w:szCs w:val="30"/>
          <w:highlight w:val="none"/>
        </w:rPr>
        <w:t>2.2.1环境影响因素识别</w:t>
      </w:r>
      <w:bookmarkEnd w:id="29"/>
    </w:p>
    <w:p w14:paraId="63678924">
      <w:pPr>
        <w:widowControl w:val="0"/>
        <w:spacing w:line="360" w:lineRule="auto"/>
        <w:ind w:firstLine="480" w:firstLineChars="200"/>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snapToGrid w:val="0"/>
          <w:color w:val="auto"/>
          <w:spacing w:val="0"/>
          <w:kern w:val="0"/>
          <w:szCs w:val="22"/>
          <w:highlight w:val="none"/>
        </w:rPr>
        <w:t>为正确分析该工程建设可能对自然环境、生态环境和群众生活质量产生的影响，结合工程生产工艺和排污特征以及建设地区的环境状况，采用矩阵法对可能受项目影响的环境要素进行识别，其结果见表2.2-1。</w:t>
      </w:r>
    </w:p>
    <w:p w14:paraId="4F596062">
      <w:pPr>
        <w:pStyle w:val="65"/>
        <w:widowControl w:val="0"/>
        <w:spacing w:line="240" w:lineRule="auto"/>
        <w:ind w:firstLine="482"/>
        <w:jc w:val="center"/>
        <w:rPr>
          <w:rFonts w:eastAsia="宋体"/>
          <w:b/>
          <w:bCs/>
          <w:caps w:val="0"/>
          <w:smallCaps w:val="0"/>
          <w:color w:val="auto"/>
          <w:spacing w:val="0"/>
          <w:szCs w:val="24"/>
          <w:highlight w:val="none"/>
        </w:rPr>
      </w:pPr>
      <w:r>
        <w:rPr>
          <w:rFonts w:eastAsia="宋体"/>
          <w:b/>
          <w:bCs/>
          <w:caps w:val="0"/>
          <w:smallCaps w:val="0"/>
          <w:color w:val="auto"/>
          <w:spacing w:val="0"/>
          <w:szCs w:val="24"/>
          <w:highlight w:val="none"/>
        </w:rPr>
        <w:t>表2.2-1环境影响因素识别结果</w:t>
      </w:r>
    </w:p>
    <w:p w14:paraId="791EEEF2">
      <w:pPr>
        <w:widowControl w:val="0"/>
        <w:spacing w:before="12"/>
        <w:rPr>
          <w:rFonts w:ascii="Times New Roman" w:hAnsi="Times New Roman" w:eastAsia="宋体" w:cs="Times New Roman"/>
          <w:b/>
          <w:bCs/>
          <w:caps w:val="0"/>
          <w:smallCaps w:val="0"/>
          <w:color w:val="auto"/>
          <w:spacing w:val="0"/>
          <w:sz w:val="3"/>
          <w:szCs w:val="3"/>
          <w:highlight w:val="none"/>
        </w:rPr>
      </w:pPr>
    </w:p>
    <w:tbl>
      <w:tblPr>
        <w:tblStyle w:val="176"/>
        <w:tblW w:w="5000" w:type="pct"/>
        <w:jc w:val="center"/>
        <w:tblLayout w:type="fixed"/>
        <w:tblCellMar>
          <w:top w:w="0" w:type="dxa"/>
          <w:left w:w="0" w:type="dxa"/>
          <w:bottom w:w="0" w:type="dxa"/>
          <w:right w:w="0" w:type="dxa"/>
        </w:tblCellMar>
      </w:tblPr>
      <w:tblGrid>
        <w:gridCol w:w="900"/>
        <w:gridCol w:w="1759"/>
        <w:gridCol w:w="672"/>
        <w:gridCol w:w="802"/>
        <w:gridCol w:w="732"/>
        <w:gridCol w:w="796"/>
        <w:gridCol w:w="893"/>
        <w:gridCol w:w="750"/>
        <w:gridCol w:w="885"/>
        <w:gridCol w:w="882"/>
      </w:tblGrid>
      <w:tr w14:paraId="0B3D6EBE">
        <w:tblPrEx>
          <w:tblCellMar>
            <w:top w:w="0" w:type="dxa"/>
            <w:left w:w="0" w:type="dxa"/>
            <w:bottom w:w="0" w:type="dxa"/>
            <w:right w:w="0" w:type="dxa"/>
          </w:tblCellMar>
        </w:tblPrEx>
        <w:trPr>
          <w:jc w:val="center"/>
        </w:trPr>
        <w:tc>
          <w:tcPr>
            <w:tcW w:w="2691" w:type="dxa"/>
            <w:gridSpan w:val="2"/>
            <w:vMerge w:val="restart"/>
            <w:tcBorders>
              <w:top w:val="single" w:color="auto" w:sz="8" w:space="0"/>
              <w:right w:val="single" w:color="000000" w:sz="6" w:space="0"/>
            </w:tcBorders>
            <w:vAlign w:val="center"/>
          </w:tcPr>
          <w:p w14:paraId="4503E39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环境要素影响程度</w:t>
            </w:r>
          </w:p>
        </w:tc>
        <w:tc>
          <w:tcPr>
            <w:tcW w:w="3938" w:type="dxa"/>
            <w:gridSpan w:val="5"/>
            <w:tcBorders>
              <w:top w:val="single" w:color="auto" w:sz="8" w:space="0"/>
              <w:left w:val="single" w:color="000000" w:sz="6" w:space="0"/>
              <w:bottom w:val="single" w:color="000000" w:sz="6" w:space="0"/>
              <w:right w:val="single" w:color="000000" w:sz="6" w:space="0"/>
            </w:tcBorders>
            <w:vAlign w:val="center"/>
          </w:tcPr>
          <w:p w14:paraId="14A92C5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自然环境</w:t>
            </w:r>
          </w:p>
        </w:tc>
        <w:tc>
          <w:tcPr>
            <w:tcW w:w="2546" w:type="dxa"/>
            <w:gridSpan w:val="3"/>
            <w:tcBorders>
              <w:top w:val="single" w:color="auto" w:sz="8" w:space="0"/>
              <w:left w:val="single" w:color="000000" w:sz="6" w:space="0"/>
              <w:bottom w:val="single" w:color="000000" w:sz="6" w:space="0"/>
            </w:tcBorders>
            <w:vAlign w:val="center"/>
          </w:tcPr>
          <w:p w14:paraId="58F058E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生态环境</w:t>
            </w:r>
          </w:p>
        </w:tc>
      </w:tr>
      <w:tr w14:paraId="5E279936">
        <w:tblPrEx>
          <w:tblCellMar>
            <w:top w:w="0" w:type="dxa"/>
            <w:left w:w="0" w:type="dxa"/>
            <w:bottom w:w="0" w:type="dxa"/>
            <w:right w:w="0" w:type="dxa"/>
          </w:tblCellMar>
        </w:tblPrEx>
        <w:trPr>
          <w:jc w:val="center"/>
        </w:trPr>
        <w:tc>
          <w:tcPr>
            <w:tcW w:w="2691" w:type="dxa"/>
            <w:gridSpan w:val="2"/>
            <w:vMerge w:val="continue"/>
            <w:tcBorders>
              <w:bottom w:val="single" w:color="000000" w:sz="6" w:space="0"/>
              <w:right w:val="single" w:color="000000" w:sz="6" w:space="0"/>
            </w:tcBorders>
            <w:vAlign w:val="center"/>
          </w:tcPr>
          <w:p w14:paraId="279A0471">
            <w:pPr>
              <w:widowControl w:val="0"/>
              <w:jc w:val="center"/>
              <w:rPr>
                <w:rFonts w:ascii="Times New Roman" w:hAnsi="Times New Roman" w:eastAsia="宋体" w:cs="Times New Roman"/>
                <w:caps w:val="0"/>
                <w:smallCaps w:val="0"/>
                <w:color w:val="auto"/>
                <w:spacing w:val="0"/>
                <w:sz w:val="21"/>
                <w:highlight w:val="none"/>
                <w:lang w:eastAsia="en-US"/>
              </w:rPr>
            </w:pPr>
          </w:p>
        </w:tc>
        <w:tc>
          <w:tcPr>
            <w:tcW w:w="680" w:type="dxa"/>
            <w:tcBorders>
              <w:top w:val="single" w:color="000000" w:sz="6" w:space="0"/>
              <w:left w:val="single" w:color="000000" w:sz="6" w:space="0"/>
              <w:bottom w:val="single" w:color="000000" w:sz="6" w:space="0"/>
              <w:right w:val="single" w:color="000000" w:sz="6" w:space="0"/>
            </w:tcBorders>
            <w:vAlign w:val="center"/>
          </w:tcPr>
          <w:p w14:paraId="62EAC65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大气</w:t>
            </w:r>
          </w:p>
          <w:p w14:paraId="3FC79E6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环境</w:t>
            </w:r>
          </w:p>
        </w:tc>
        <w:tc>
          <w:tcPr>
            <w:tcW w:w="810" w:type="dxa"/>
            <w:tcBorders>
              <w:top w:val="single" w:color="000000" w:sz="6" w:space="0"/>
              <w:left w:val="single" w:color="000000" w:sz="6" w:space="0"/>
              <w:bottom w:val="single" w:color="000000" w:sz="6" w:space="0"/>
              <w:right w:val="single" w:color="000000" w:sz="6" w:space="0"/>
            </w:tcBorders>
            <w:vAlign w:val="center"/>
          </w:tcPr>
          <w:p w14:paraId="25F9DB0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土壤</w:t>
            </w:r>
          </w:p>
          <w:p w14:paraId="33373ED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环境</w:t>
            </w:r>
          </w:p>
        </w:tc>
        <w:tc>
          <w:tcPr>
            <w:tcW w:w="740" w:type="dxa"/>
            <w:tcBorders>
              <w:top w:val="single" w:color="000000" w:sz="6" w:space="0"/>
              <w:left w:val="single" w:color="000000" w:sz="6" w:space="0"/>
              <w:bottom w:val="single" w:color="000000" w:sz="6" w:space="0"/>
              <w:right w:val="single" w:color="000000" w:sz="6" w:space="0"/>
            </w:tcBorders>
            <w:vAlign w:val="center"/>
          </w:tcPr>
          <w:p w14:paraId="4964B59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地表</w:t>
            </w:r>
          </w:p>
          <w:p w14:paraId="525E88C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水体</w:t>
            </w:r>
          </w:p>
        </w:tc>
        <w:tc>
          <w:tcPr>
            <w:tcW w:w="805" w:type="dxa"/>
            <w:tcBorders>
              <w:top w:val="single" w:color="000000" w:sz="6" w:space="0"/>
              <w:left w:val="single" w:color="000000" w:sz="6" w:space="0"/>
              <w:bottom w:val="single" w:color="000000" w:sz="6" w:space="0"/>
              <w:right w:val="single" w:color="000000" w:sz="6" w:space="0"/>
            </w:tcBorders>
            <w:vAlign w:val="center"/>
          </w:tcPr>
          <w:p w14:paraId="19E07C9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地下</w:t>
            </w:r>
          </w:p>
          <w:p w14:paraId="5AB039B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水体</w:t>
            </w:r>
          </w:p>
        </w:tc>
        <w:tc>
          <w:tcPr>
            <w:tcW w:w="903" w:type="dxa"/>
            <w:tcBorders>
              <w:top w:val="single" w:color="000000" w:sz="6" w:space="0"/>
              <w:left w:val="single" w:color="000000" w:sz="6" w:space="0"/>
              <w:bottom w:val="single" w:color="000000" w:sz="6" w:space="0"/>
              <w:right w:val="single" w:color="000000" w:sz="6" w:space="0"/>
            </w:tcBorders>
            <w:vAlign w:val="center"/>
          </w:tcPr>
          <w:p w14:paraId="7DE0329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声环境</w:t>
            </w:r>
          </w:p>
        </w:tc>
        <w:tc>
          <w:tcPr>
            <w:tcW w:w="759" w:type="dxa"/>
            <w:tcBorders>
              <w:top w:val="single" w:color="000000" w:sz="6" w:space="0"/>
              <w:left w:val="single" w:color="000000" w:sz="6" w:space="0"/>
              <w:bottom w:val="single" w:color="000000" w:sz="6" w:space="0"/>
              <w:right w:val="single" w:color="000000" w:sz="6" w:space="0"/>
            </w:tcBorders>
            <w:vAlign w:val="center"/>
          </w:tcPr>
          <w:p w14:paraId="033D925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陆生</w:t>
            </w:r>
          </w:p>
          <w:p w14:paraId="62162FB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生物</w:t>
            </w:r>
          </w:p>
        </w:tc>
        <w:tc>
          <w:tcPr>
            <w:tcW w:w="895" w:type="dxa"/>
            <w:tcBorders>
              <w:top w:val="single" w:color="000000" w:sz="6" w:space="0"/>
              <w:left w:val="single" w:color="000000" w:sz="6" w:space="0"/>
              <w:bottom w:val="single" w:color="000000" w:sz="6" w:space="0"/>
              <w:right w:val="single" w:color="000000" w:sz="6" w:space="0"/>
            </w:tcBorders>
            <w:vAlign w:val="center"/>
          </w:tcPr>
          <w:p w14:paraId="634379B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水生</w:t>
            </w:r>
          </w:p>
          <w:p w14:paraId="44ED626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生物</w:t>
            </w:r>
          </w:p>
        </w:tc>
        <w:tc>
          <w:tcPr>
            <w:tcW w:w="892" w:type="dxa"/>
            <w:tcBorders>
              <w:top w:val="single" w:color="000000" w:sz="6" w:space="0"/>
              <w:left w:val="single" w:color="000000" w:sz="6" w:space="0"/>
              <w:bottom w:val="single" w:color="000000" w:sz="6" w:space="0"/>
            </w:tcBorders>
            <w:vAlign w:val="center"/>
          </w:tcPr>
          <w:p w14:paraId="1DBD9AF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水土</w:t>
            </w:r>
          </w:p>
          <w:p w14:paraId="2BB9E63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保持</w:t>
            </w:r>
          </w:p>
        </w:tc>
      </w:tr>
      <w:tr w14:paraId="425A4E64">
        <w:tblPrEx>
          <w:tblCellMar>
            <w:top w:w="0" w:type="dxa"/>
            <w:left w:w="0" w:type="dxa"/>
            <w:bottom w:w="0" w:type="dxa"/>
            <w:right w:w="0" w:type="dxa"/>
          </w:tblCellMar>
        </w:tblPrEx>
        <w:trPr>
          <w:jc w:val="center"/>
        </w:trPr>
        <w:tc>
          <w:tcPr>
            <w:tcW w:w="911" w:type="dxa"/>
            <w:tcBorders>
              <w:top w:val="single" w:color="000000" w:sz="6" w:space="0"/>
              <w:bottom w:val="single" w:color="000000" w:sz="6" w:space="0"/>
              <w:right w:val="single" w:color="000000" w:sz="6" w:space="0"/>
            </w:tcBorders>
            <w:vAlign w:val="center"/>
          </w:tcPr>
          <w:p w14:paraId="07A3C13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施工期</w:t>
            </w:r>
          </w:p>
        </w:tc>
        <w:tc>
          <w:tcPr>
            <w:tcW w:w="1780" w:type="dxa"/>
            <w:tcBorders>
              <w:top w:val="single" w:color="000000" w:sz="6" w:space="0"/>
              <w:left w:val="single" w:color="000000" w:sz="6" w:space="0"/>
              <w:bottom w:val="single" w:color="000000" w:sz="6" w:space="0"/>
              <w:right w:val="single" w:color="000000" w:sz="6" w:space="0"/>
            </w:tcBorders>
            <w:vAlign w:val="center"/>
          </w:tcPr>
          <w:p w14:paraId="14E68FE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设备安装及调试</w:t>
            </w:r>
          </w:p>
        </w:tc>
        <w:tc>
          <w:tcPr>
            <w:tcW w:w="680" w:type="dxa"/>
            <w:tcBorders>
              <w:top w:val="single" w:color="000000" w:sz="6" w:space="0"/>
              <w:left w:val="single" w:color="000000" w:sz="6" w:space="0"/>
              <w:bottom w:val="single" w:color="000000" w:sz="6" w:space="0"/>
              <w:right w:val="single" w:color="000000" w:sz="6" w:space="0"/>
            </w:tcBorders>
            <w:vAlign w:val="center"/>
          </w:tcPr>
          <w:p w14:paraId="66007DA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-1D</w:t>
            </w:r>
          </w:p>
        </w:tc>
        <w:tc>
          <w:tcPr>
            <w:tcW w:w="810" w:type="dxa"/>
            <w:tcBorders>
              <w:top w:val="single" w:color="000000" w:sz="6" w:space="0"/>
              <w:left w:val="single" w:color="000000" w:sz="6" w:space="0"/>
              <w:bottom w:val="single" w:color="000000" w:sz="6" w:space="0"/>
              <w:right w:val="single" w:color="000000" w:sz="6" w:space="0"/>
            </w:tcBorders>
            <w:vAlign w:val="center"/>
          </w:tcPr>
          <w:p w14:paraId="14A9E6E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740" w:type="dxa"/>
            <w:tcBorders>
              <w:top w:val="single" w:color="000000" w:sz="6" w:space="0"/>
              <w:left w:val="single" w:color="000000" w:sz="6" w:space="0"/>
              <w:bottom w:val="single" w:color="000000" w:sz="6" w:space="0"/>
              <w:right w:val="single" w:color="000000" w:sz="6" w:space="0"/>
            </w:tcBorders>
            <w:vAlign w:val="center"/>
          </w:tcPr>
          <w:p w14:paraId="4032CAE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05" w:type="dxa"/>
            <w:tcBorders>
              <w:top w:val="single" w:color="000000" w:sz="6" w:space="0"/>
              <w:left w:val="single" w:color="000000" w:sz="6" w:space="0"/>
              <w:bottom w:val="single" w:color="000000" w:sz="6" w:space="0"/>
              <w:right w:val="single" w:color="000000" w:sz="6" w:space="0"/>
            </w:tcBorders>
            <w:vAlign w:val="center"/>
          </w:tcPr>
          <w:p w14:paraId="4958FBE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903" w:type="dxa"/>
            <w:tcBorders>
              <w:top w:val="single" w:color="000000" w:sz="6" w:space="0"/>
              <w:left w:val="single" w:color="000000" w:sz="6" w:space="0"/>
              <w:bottom w:val="single" w:color="000000" w:sz="6" w:space="0"/>
              <w:right w:val="single" w:color="000000" w:sz="6" w:space="0"/>
            </w:tcBorders>
            <w:vAlign w:val="center"/>
          </w:tcPr>
          <w:p w14:paraId="0CF952E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-1D</w:t>
            </w:r>
          </w:p>
        </w:tc>
        <w:tc>
          <w:tcPr>
            <w:tcW w:w="759" w:type="dxa"/>
            <w:tcBorders>
              <w:top w:val="single" w:color="000000" w:sz="6" w:space="0"/>
              <w:left w:val="single" w:color="000000" w:sz="6" w:space="0"/>
              <w:bottom w:val="single" w:color="000000" w:sz="6" w:space="0"/>
              <w:right w:val="single" w:color="000000" w:sz="6" w:space="0"/>
            </w:tcBorders>
            <w:vAlign w:val="center"/>
          </w:tcPr>
          <w:p w14:paraId="6B2824D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5" w:type="dxa"/>
            <w:tcBorders>
              <w:top w:val="single" w:color="000000" w:sz="6" w:space="0"/>
              <w:left w:val="single" w:color="000000" w:sz="6" w:space="0"/>
              <w:bottom w:val="single" w:color="000000" w:sz="6" w:space="0"/>
              <w:right w:val="single" w:color="000000" w:sz="6" w:space="0"/>
            </w:tcBorders>
            <w:vAlign w:val="center"/>
          </w:tcPr>
          <w:p w14:paraId="6C3764F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2" w:type="dxa"/>
            <w:tcBorders>
              <w:top w:val="single" w:color="000000" w:sz="6" w:space="0"/>
              <w:left w:val="single" w:color="000000" w:sz="6" w:space="0"/>
              <w:bottom w:val="single" w:color="000000" w:sz="6" w:space="0"/>
            </w:tcBorders>
            <w:vAlign w:val="center"/>
          </w:tcPr>
          <w:p w14:paraId="5AFAEA5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r>
      <w:tr w14:paraId="5B70AE61">
        <w:tblPrEx>
          <w:tblCellMar>
            <w:top w:w="0" w:type="dxa"/>
            <w:left w:w="0" w:type="dxa"/>
            <w:bottom w:w="0" w:type="dxa"/>
            <w:right w:w="0" w:type="dxa"/>
          </w:tblCellMar>
        </w:tblPrEx>
        <w:trPr>
          <w:jc w:val="center"/>
        </w:trPr>
        <w:tc>
          <w:tcPr>
            <w:tcW w:w="911" w:type="dxa"/>
            <w:vMerge w:val="restart"/>
            <w:tcBorders>
              <w:top w:val="single" w:color="000000" w:sz="6" w:space="0"/>
              <w:right w:val="single" w:color="000000" w:sz="6" w:space="0"/>
            </w:tcBorders>
            <w:vAlign w:val="center"/>
          </w:tcPr>
          <w:p w14:paraId="45A05C0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营运期</w:t>
            </w:r>
          </w:p>
        </w:tc>
        <w:tc>
          <w:tcPr>
            <w:tcW w:w="1780" w:type="dxa"/>
            <w:tcBorders>
              <w:top w:val="single" w:color="000000" w:sz="6" w:space="0"/>
              <w:left w:val="single" w:color="000000" w:sz="6" w:space="0"/>
              <w:bottom w:val="single" w:color="000000" w:sz="6" w:space="0"/>
              <w:right w:val="single" w:color="000000" w:sz="6" w:space="0"/>
            </w:tcBorders>
            <w:vAlign w:val="center"/>
          </w:tcPr>
          <w:p w14:paraId="4B7C768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废气</w:t>
            </w:r>
          </w:p>
        </w:tc>
        <w:tc>
          <w:tcPr>
            <w:tcW w:w="680" w:type="dxa"/>
            <w:tcBorders>
              <w:top w:val="single" w:color="000000" w:sz="6" w:space="0"/>
              <w:left w:val="single" w:color="000000" w:sz="6" w:space="0"/>
              <w:bottom w:val="single" w:color="000000" w:sz="6" w:space="0"/>
              <w:right w:val="single" w:color="000000" w:sz="6" w:space="0"/>
            </w:tcBorders>
            <w:vAlign w:val="center"/>
          </w:tcPr>
          <w:p w14:paraId="75BC6BF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-2C</w:t>
            </w:r>
          </w:p>
        </w:tc>
        <w:tc>
          <w:tcPr>
            <w:tcW w:w="810" w:type="dxa"/>
            <w:tcBorders>
              <w:top w:val="single" w:color="000000" w:sz="6" w:space="0"/>
              <w:left w:val="single" w:color="000000" w:sz="6" w:space="0"/>
              <w:bottom w:val="single" w:color="000000" w:sz="6" w:space="0"/>
              <w:right w:val="single" w:color="000000" w:sz="6" w:space="0"/>
            </w:tcBorders>
            <w:vAlign w:val="center"/>
          </w:tcPr>
          <w:p w14:paraId="7E21272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-1C</w:t>
            </w:r>
          </w:p>
        </w:tc>
        <w:tc>
          <w:tcPr>
            <w:tcW w:w="740" w:type="dxa"/>
            <w:tcBorders>
              <w:top w:val="single" w:color="000000" w:sz="6" w:space="0"/>
              <w:left w:val="single" w:color="000000" w:sz="6" w:space="0"/>
              <w:bottom w:val="single" w:color="000000" w:sz="6" w:space="0"/>
              <w:right w:val="single" w:color="000000" w:sz="6" w:space="0"/>
            </w:tcBorders>
            <w:vAlign w:val="center"/>
          </w:tcPr>
          <w:p w14:paraId="09C2034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05" w:type="dxa"/>
            <w:tcBorders>
              <w:top w:val="single" w:color="000000" w:sz="6" w:space="0"/>
              <w:left w:val="single" w:color="000000" w:sz="6" w:space="0"/>
              <w:bottom w:val="single" w:color="000000" w:sz="6" w:space="0"/>
              <w:right w:val="single" w:color="000000" w:sz="6" w:space="0"/>
            </w:tcBorders>
            <w:vAlign w:val="center"/>
          </w:tcPr>
          <w:p w14:paraId="2666DAF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903" w:type="dxa"/>
            <w:tcBorders>
              <w:top w:val="single" w:color="000000" w:sz="6" w:space="0"/>
              <w:left w:val="single" w:color="000000" w:sz="6" w:space="0"/>
              <w:bottom w:val="single" w:color="000000" w:sz="6" w:space="0"/>
              <w:right w:val="single" w:color="000000" w:sz="6" w:space="0"/>
            </w:tcBorders>
            <w:vAlign w:val="center"/>
          </w:tcPr>
          <w:p w14:paraId="3F9B972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759" w:type="dxa"/>
            <w:tcBorders>
              <w:top w:val="single" w:color="000000" w:sz="6" w:space="0"/>
              <w:left w:val="single" w:color="000000" w:sz="6" w:space="0"/>
              <w:bottom w:val="single" w:color="000000" w:sz="6" w:space="0"/>
              <w:right w:val="single" w:color="000000" w:sz="6" w:space="0"/>
            </w:tcBorders>
            <w:vAlign w:val="center"/>
          </w:tcPr>
          <w:p w14:paraId="1F5F8B7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5" w:type="dxa"/>
            <w:tcBorders>
              <w:top w:val="single" w:color="000000" w:sz="6" w:space="0"/>
              <w:left w:val="single" w:color="000000" w:sz="6" w:space="0"/>
              <w:bottom w:val="single" w:color="000000" w:sz="6" w:space="0"/>
              <w:right w:val="single" w:color="000000" w:sz="6" w:space="0"/>
            </w:tcBorders>
            <w:vAlign w:val="center"/>
          </w:tcPr>
          <w:p w14:paraId="1C7AC1E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2" w:type="dxa"/>
            <w:tcBorders>
              <w:top w:val="single" w:color="000000" w:sz="6" w:space="0"/>
              <w:left w:val="single" w:color="000000" w:sz="6" w:space="0"/>
              <w:bottom w:val="single" w:color="000000" w:sz="6" w:space="0"/>
            </w:tcBorders>
            <w:vAlign w:val="center"/>
          </w:tcPr>
          <w:p w14:paraId="6AE6426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r>
      <w:tr w14:paraId="445F1836">
        <w:tblPrEx>
          <w:tblCellMar>
            <w:top w:w="0" w:type="dxa"/>
            <w:left w:w="0" w:type="dxa"/>
            <w:bottom w:w="0" w:type="dxa"/>
            <w:right w:w="0" w:type="dxa"/>
          </w:tblCellMar>
        </w:tblPrEx>
        <w:trPr>
          <w:jc w:val="center"/>
        </w:trPr>
        <w:tc>
          <w:tcPr>
            <w:tcW w:w="911" w:type="dxa"/>
            <w:vMerge w:val="continue"/>
            <w:tcBorders>
              <w:right w:val="single" w:color="000000" w:sz="6" w:space="0"/>
            </w:tcBorders>
            <w:vAlign w:val="center"/>
          </w:tcPr>
          <w:p w14:paraId="3470BCE6">
            <w:pPr>
              <w:widowControl w:val="0"/>
              <w:jc w:val="center"/>
              <w:rPr>
                <w:rFonts w:ascii="Times New Roman" w:hAnsi="Times New Roman" w:eastAsia="宋体" w:cs="Times New Roman"/>
                <w:caps w:val="0"/>
                <w:smallCaps w:val="0"/>
                <w:color w:val="auto"/>
                <w:spacing w:val="0"/>
                <w:sz w:val="21"/>
                <w:highlight w:val="none"/>
                <w:lang w:eastAsia="en-US"/>
              </w:rPr>
            </w:pPr>
          </w:p>
        </w:tc>
        <w:tc>
          <w:tcPr>
            <w:tcW w:w="1780" w:type="dxa"/>
            <w:tcBorders>
              <w:top w:val="single" w:color="000000" w:sz="6" w:space="0"/>
              <w:left w:val="single" w:color="000000" w:sz="6" w:space="0"/>
              <w:bottom w:val="single" w:color="000000" w:sz="6" w:space="0"/>
              <w:right w:val="single" w:color="000000" w:sz="6" w:space="0"/>
            </w:tcBorders>
            <w:vAlign w:val="center"/>
          </w:tcPr>
          <w:p w14:paraId="6C284B2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废水</w:t>
            </w:r>
          </w:p>
        </w:tc>
        <w:tc>
          <w:tcPr>
            <w:tcW w:w="680" w:type="dxa"/>
            <w:tcBorders>
              <w:top w:val="single" w:color="000000" w:sz="6" w:space="0"/>
              <w:left w:val="single" w:color="000000" w:sz="6" w:space="0"/>
              <w:bottom w:val="single" w:color="000000" w:sz="6" w:space="0"/>
              <w:right w:val="single" w:color="000000" w:sz="6" w:space="0"/>
            </w:tcBorders>
            <w:vAlign w:val="center"/>
          </w:tcPr>
          <w:p w14:paraId="784578B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10" w:type="dxa"/>
            <w:tcBorders>
              <w:top w:val="single" w:color="000000" w:sz="6" w:space="0"/>
              <w:left w:val="single" w:color="000000" w:sz="6" w:space="0"/>
              <w:bottom w:val="single" w:color="000000" w:sz="6" w:space="0"/>
              <w:right w:val="single" w:color="000000" w:sz="6" w:space="0"/>
            </w:tcBorders>
            <w:vAlign w:val="center"/>
          </w:tcPr>
          <w:p w14:paraId="4FE2E7F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0</w:t>
            </w:r>
          </w:p>
        </w:tc>
        <w:tc>
          <w:tcPr>
            <w:tcW w:w="740" w:type="dxa"/>
            <w:tcBorders>
              <w:top w:val="single" w:color="000000" w:sz="6" w:space="0"/>
              <w:left w:val="single" w:color="000000" w:sz="6" w:space="0"/>
              <w:bottom w:val="single" w:color="000000" w:sz="6" w:space="0"/>
              <w:right w:val="single" w:color="000000" w:sz="6" w:space="0"/>
            </w:tcBorders>
            <w:vAlign w:val="center"/>
          </w:tcPr>
          <w:p w14:paraId="1375192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05" w:type="dxa"/>
            <w:tcBorders>
              <w:top w:val="single" w:color="000000" w:sz="6" w:space="0"/>
              <w:left w:val="single" w:color="000000" w:sz="6" w:space="0"/>
              <w:bottom w:val="single" w:color="000000" w:sz="6" w:space="0"/>
              <w:right w:val="single" w:color="000000" w:sz="6" w:space="0"/>
            </w:tcBorders>
            <w:vAlign w:val="center"/>
          </w:tcPr>
          <w:p w14:paraId="642284A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-1C</w:t>
            </w:r>
          </w:p>
        </w:tc>
        <w:tc>
          <w:tcPr>
            <w:tcW w:w="903" w:type="dxa"/>
            <w:tcBorders>
              <w:top w:val="single" w:color="000000" w:sz="6" w:space="0"/>
              <w:left w:val="single" w:color="000000" w:sz="6" w:space="0"/>
              <w:bottom w:val="single" w:color="000000" w:sz="6" w:space="0"/>
              <w:right w:val="single" w:color="000000" w:sz="6" w:space="0"/>
            </w:tcBorders>
            <w:vAlign w:val="center"/>
          </w:tcPr>
          <w:p w14:paraId="6DA7BB4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759" w:type="dxa"/>
            <w:tcBorders>
              <w:top w:val="single" w:color="000000" w:sz="6" w:space="0"/>
              <w:left w:val="single" w:color="000000" w:sz="6" w:space="0"/>
              <w:bottom w:val="single" w:color="000000" w:sz="6" w:space="0"/>
              <w:right w:val="single" w:color="000000" w:sz="6" w:space="0"/>
            </w:tcBorders>
            <w:vAlign w:val="center"/>
          </w:tcPr>
          <w:p w14:paraId="69F38C0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5" w:type="dxa"/>
            <w:tcBorders>
              <w:top w:val="single" w:color="000000" w:sz="6" w:space="0"/>
              <w:left w:val="single" w:color="000000" w:sz="6" w:space="0"/>
              <w:bottom w:val="single" w:color="000000" w:sz="6" w:space="0"/>
              <w:right w:val="single" w:color="000000" w:sz="6" w:space="0"/>
            </w:tcBorders>
            <w:vAlign w:val="center"/>
          </w:tcPr>
          <w:p w14:paraId="05FFEFA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2" w:type="dxa"/>
            <w:tcBorders>
              <w:top w:val="single" w:color="000000" w:sz="6" w:space="0"/>
              <w:left w:val="single" w:color="000000" w:sz="6" w:space="0"/>
              <w:bottom w:val="single" w:color="000000" w:sz="6" w:space="0"/>
            </w:tcBorders>
            <w:vAlign w:val="center"/>
          </w:tcPr>
          <w:p w14:paraId="2BB1AF0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r>
      <w:tr w14:paraId="4661BC16">
        <w:tblPrEx>
          <w:tblCellMar>
            <w:top w:w="0" w:type="dxa"/>
            <w:left w:w="0" w:type="dxa"/>
            <w:bottom w:w="0" w:type="dxa"/>
            <w:right w:w="0" w:type="dxa"/>
          </w:tblCellMar>
        </w:tblPrEx>
        <w:trPr>
          <w:jc w:val="center"/>
        </w:trPr>
        <w:tc>
          <w:tcPr>
            <w:tcW w:w="911" w:type="dxa"/>
            <w:vMerge w:val="continue"/>
            <w:tcBorders>
              <w:right w:val="single" w:color="000000" w:sz="6" w:space="0"/>
            </w:tcBorders>
            <w:vAlign w:val="center"/>
          </w:tcPr>
          <w:p w14:paraId="0AE3AFE3">
            <w:pPr>
              <w:widowControl w:val="0"/>
              <w:jc w:val="center"/>
              <w:rPr>
                <w:rFonts w:ascii="Times New Roman" w:hAnsi="Times New Roman" w:eastAsia="宋体" w:cs="Times New Roman"/>
                <w:caps w:val="0"/>
                <w:smallCaps w:val="0"/>
                <w:color w:val="auto"/>
                <w:spacing w:val="0"/>
                <w:sz w:val="21"/>
                <w:highlight w:val="none"/>
                <w:lang w:eastAsia="en-US"/>
              </w:rPr>
            </w:pPr>
          </w:p>
        </w:tc>
        <w:tc>
          <w:tcPr>
            <w:tcW w:w="1780" w:type="dxa"/>
            <w:tcBorders>
              <w:top w:val="single" w:color="000000" w:sz="6" w:space="0"/>
              <w:left w:val="single" w:color="000000" w:sz="6" w:space="0"/>
              <w:bottom w:val="single" w:color="000000" w:sz="6" w:space="0"/>
              <w:right w:val="single" w:color="000000" w:sz="6" w:space="0"/>
            </w:tcBorders>
            <w:vAlign w:val="center"/>
          </w:tcPr>
          <w:p w14:paraId="2D157BC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固废</w:t>
            </w:r>
          </w:p>
        </w:tc>
        <w:tc>
          <w:tcPr>
            <w:tcW w:w="680" w:type="dxa"/>
            <w:tcBorders>
              <w:top w:val="single" w:color="000000" w:sz="6" w:space="0"/>
              <w:left w:val="single" w:color="000000" w:sz="6" w:space="0"/>
              <w:bottom w:val="single" w:color="000000" w:sz="6" w:space="0"/>
              <w:right w:val="single" w:color="000000" w:sz="6" w:space="0"/>
            </w:tcBorders>
            <w:vAlign w:val="center"/>
          </w:tcPr>
          <w:p w14:paraId="5115164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10" w:type="dxa"/>
            <w:tcBorders>
              <w:top w:val="single" w:color="000000" w:sz="6" w:space="0"/>
              <w:left w:val="single" w:color="000000" w:sz="6" w:space="0"/>
              <w:bottom w:val="single" w:color="000000" w:sz="6" w:space="0"/>
              <w:right w:val="single" w:color="000000" w:sz="6" w:space="0"/>
            </w:tcBorders>
            <w:vAlign w:val="center"/>
          </w:tcPr>
          <w:p w14:paraId="65AEC34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740" w:type="dxa"/>
            <w:tcBorders>
              <w:top w:val="single" w:color="000000" w:sz="6" w:space="0"/>
              <w:left w:val="single" w:color="000000" w:sz="6" w:space="0"/>
              <w:bottom w:val="single" w:color="000000" w:sz="6" w:space="0"/>
              <w:right w:val="single" w:color="000000" w:sz="6" w:space="0"/>
            </w:tcBorders>
            <w:vAlign w:val="center"/>
          </w:tcPr>
          <w:p w14:paraId="5848843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05" w:type="dxa"/>
            <w:tcBorders>
              <w:top w:val="single" w:color="000000" w:sz="6" w:space="0"/>
              <w:left w:val="single" w:color="000000" w:sz="6" w:space="0"/>
              <w:bottom w:val="single" w:color="000000" w:sz="6" w:space="0"/>
              <w:right w:val="single" w:color="000000" w:sz="6" w:space="0"/>
            </w:tcBorders>
            <w:vAlign w:val="center"/>
          </w:tcPr>
          <w:p w14:paraId="108E87E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-1C</w:t>
            </w:r>
          </w:p>
        </w:tc>
        <w:tc>
          <w:tcPr>
            <w:tcW w:w="903" w:type="dxa"/>
            <w:tcBorders>
              <w:top w:val="single" w:color="000000" w:sz="6" w:space="0"/>
              <w:left w:val="single" w:color="000000" w:sz="6" w:space="0"/>
              <w:bottom w:val="single" w:color="000000" w:sz="6" w:space="0"/>
              <w:right w:val="single" w:color="000000" w:sz="6" w:space="0"/>
            </w:tcBorders>
            <w:vAlign w:val="center"/>
          </w:tcPr>
          <w:p w14:paraId="1426BD1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759" w:type="dxa"/>
            <w:tcBorders>
              <w:top w:val="single" w:color="000000" w:sz="6" w:space="0"/>
              <w:left w:val="single" w:color="000000" w:sz="6" w:space="0"/>
              <w:bottom w:val="single" w:color="000000" w:sz="6" w:space="0"/>
              <w:right w:val="single" w:color="000000" w:sz="6" w:space="0"/>
            </w:tcBorders>
            <w:vAlign w:val="center"/>
          </w:tcPr>
          <w:p w14:paraId="6731470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-1C</w:t>
            </w:r>
          </w:p>
        </w:tc>
        <w:tc>
          <w:tcPr>
            <w:tcW w:w="895" w:type="dxa"/>
            <w:tcBorders>
              <w:top w:val="single" w:color="000000" w:sz="6" w:space="0"/>
              <w:left w:val="single" w:color="000000" w:sz="6" w:space="0"/>
              <w:bottom w:val="single" w:color="000000" w:sz="6" w:space="0"/>
              <w:right w:val="single" w:color="000000" w:sz="6" w:space="0"/>
            </w:tcBorders>
            <w:vAlign w:val="center"/>
          </w:tcPr>
          <w:p w14:paraId="7DB22EB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2" w:type="dxa"/>
            <w:tcBorders>
              <w:top w:val="single" w:color="000000" w:sz="6" w:space="0"/>
              <w:left w:val="single" w:color="000000" w:sz="6" w:space="0"/>
              <w:bottom w:val="single" w:color="000000" w:sz="6" w:space="0"/>
            </w:tcBorders>
            <w:vAlign w:val="center"/>
          </w:tcPr>
          <w:p w14:paraId="13345C8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r>
      <w:tr w14:paraId="68E9B923">
        <w:tblPrEx>
          <w:tblCellMar>
            <w:top w:w="0" w:type="dxa"/>
            <w:left w:w="0" w:type="dxa"/>
            <w:bottom w:w="0" w:type="dxa"/>
            <w:right w:w="0" w:type="dxa"/>
          </w:tblCellMar>
        </w:tblPrEx>
        <w:trPr>
          <w:jc w:val="center"/>
        </w:trPr>
        <w:tc>
          <w:tcPr>
            <w:tcW w:w="911" w:type="dxa"/>
            <w:vMerge w:val="continue"/>
            <w:tcBorders>
              <w:bottom w:val="single" w:color="auto" w:sz="8" w:space="0"/>
              <w:right w:val="single" w:color="000000" w:sz="6" w:space="0"/>
            </w:tcBorders>
            <w:vAlign w:val="center"/>
          </w:tcPr>
          <w:p w14:paraId="378F411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780" w:type="dxa"/>
            <w:tcBorders>
              <w:top w:val="single" w:color="000000" w:sz="6" w:space="0"/>
              <w:left w:val="single" w:color="000000" w:sz="6" w:space="0"/>
              <w:bottom w:val="single" w:color="auto" w:sz="8" w:space="0"/>
              <w:right w:val="single" w:color="000000" w:sz="6" w:space="0"/>
            </w:tcBorders>
            <w:vAlign w:val="center"/>
          </w:tcPr>
          <w:p w14:paraId="1C60E49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噪声</w:t>
            </w:r>
          </w:p>
        </w:tc>
        <w:tc>
          <w:tcPr>
            <w:tcW w:w="680" w:type="dxa"/>
            <w:tcBorders>
              <w:top w:val="single" w:color="000000" w:sz="6" w:space="0"/>
              <w:left w:val="single" w:color="000000" w:sz="6" w:space="0"/>
              <w:bottom w:val="single" w:color="auto" w:sz="8" w:space="0"/>
              <w:right w:val="single" w:color="000000" w:sz="6" w:space="0"/>
            </w:tcBorders>
            <w:vAlign w:val="center"/>
          </w:tcPr>
          <w:p w14:paraId="79C695E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10" w:type="dxa"/>
            <w:tcBorders>
              <w:top w:val="single" w:color="000000" w:sz="6" w:space="0"/>
              <w:left w:val="single" w:color="000000" w:sz="6" w:space="0"/>
              <w:bottom w:val="single" w:color="auto" w:sz="8" w:space="0"/>
              <w:right w:val="single" w:color="000000" w:sz="6" w:space="0"/>
            </w:tcBorders>
            <w:vAlign w:val="center"/>
          </w:tcPr>
          <w:p w14:paraId="2E70B98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740" w:type="dxa"/>
            <w:tcBorders>
              <w:top w:val="single" w:color="000000" w:sz="6" w:space="0"/>
              <w:left w:val="single" w:color="000000" w:sz="6" w:space="0"/>
              <w:bottom w:val="single" w:color="auto" w:sz="8" w:space="0"/>
              <w:right w:val="single" w:color="000000" w:sz="6" w:space="0"/>
            </w:tcBorders>
            <w:vAlign w:val="center"/>
          </w:tcPr>
          <w:p w14:paraId="5887B2D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05" w:type="dxa"/>
            <w:tcBorders>
              <w:top w:val="single" w:color="000000" w:sz="6" w:space="0"/>
              <w:left w:val="single" w:color="000000" w:sz="6" w:space="0"/>
              <w:bottom w:val="single" w:color="auto" w:sz="8" w:space="0"/>
              <w:right w:val="single" w:color="000000" w:sz="6" w:space="0"/>
            </w:tcBorders>
            <w:vAlign w:val="center"/>
          </w:tcPr>
          <w:p w14:paraId="479EAE9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903" w:type="dxa"/>
            <w:tcBorders>
              <w:top w:val="single" w:color="000000" w:sz="6" w:space="0"/>
              <w:left w:val="single" w:color="000000" w:sz="6" w:space="0"/>
              <w:bottom w:val="single" w:color="auto" w:sz="8" w:space="0"/>
              <w:right w:val="single" w:color="000000" w:sz="6" w:space="0"/>
            </w:tcBorders>
            <w:vAlign w:val="center"/>
          </w:tcPr>
          <w:p w14:paraId="6CAC6AE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-1C</w:t>
            </w:r>
          </w:p>
        </w:tc>
        <w:tc>
          <w:tcPr>
            <w:tcW w:w="759" w:type="dxa"/>
            <w:tcBorders>
              <w:top w:val="single" w:color="000000" w:sz="6" w:space="0"/>
              <w:left w:val="single" w:color="000000" w:sz="6" w:space="0"/>
              <w:bottom w:val="single" w:color="auto" w:sz="8" w:space="0"/>
              <w:right w:val="single" w:color="000000" w:sz="6" w:space="0"/>
            </w:tcBorders>
            <w:vAlign w:val="center"/>
          </w:tcPr>
          <w:p w14:paraId="47CAC01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5" w:type="dxa"/>
            <w:tcBorders>
              <w:top w:val="single" w:color="000000" w:sz="6" w:space="0"/>
              <w:left w:val="single" w:color="000000" w:sz="6" w:space="0"/>
              <w:bottom w:val="single" w:color="auto" w:sz="8" w:space="0"/>
              <w:right w:val="single" w:color="000000" w:sz="6" w:space="0"/>
            </w:tcBorders>
            <w:vAlign w:val="center"/>
          </w:tcPr>
          <w:p w14:paraId="7D95156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c>
          <w:tcPr>
            <w:tcW w:w="892" w:type="dxa"/>
            <w:tcBorders>
              <w:top w:val="single" w:color="000000" w:sz="6" w:space="0"/>
              <w:left w:val="single" w:color="000000" w:sz="6" w:space="0"/>
              <w:bottom w:val="single" w:color="auto" w:sz="8" w:space="0"/>
            </w:tcBorders>
            <w:vAlign w:val="center"/>
          </w:tcPr>
          <w:p w14:paraId="4759555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w w:val="99"/>
                <w:sz w:val="21"/>
                <w:szCs w:val="21"/>
                <w:highlight w:val="none"/>
                <w:lang w:eastAsia="en-US"/>
              </w:rPr>
              <w:t>0</w:t>
            </w:r>
          </w:p>
        </w:tc>
      </w:tr>
    </w:tbl>
    <w:p w14:paraId="3658BA33">
      <w:pPr>
        <w:widowControl w:val="0"/>
        <w:spacing w:line="247" w:lineRule="exact"/>
        <w:ind w:left="213" w:firstLine="42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注：1、表中数字表示影响程度，0表示基本无影响；1表示影响较小；2表示影响中等；3表示影响较大；</w:t>
      </w:r>
    </w:p>
    <w:p w14:paraId="0F16C686">
      <w:pPr>
        <w:widowControl w:val="0"/>
        <w:spacing w:line="280" w:lineRule="exact"/>
        <w:ind w:left="1053" w:right="84"/>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2、表中负号“-”表示负面影响，正号“+”表示正面影响；</w:t>
      </w:r>
    </w:p>
    <w:p w14:paraId="54C8AE7F">
      <w:pPr>
        <w:widowControl w:val="0"/>
        <w:spacing w:line="282" w:lineRule="exact"/>
        <w:ind w:left="1053" w:right="84"/>
        <w:rPr>
          <w:rFonts w:ascii="Times New Roman" w:hAnsi="Times New Roman" w:eastAsia="宋体" w:cs="Times New Roman"/>
          <w:caps w:val="0"/>
          <w:smallCaps w:val="0"/>
          <w:snapToGrid w:val="0"/>
          <w:color w:val="auto"/>
          <w:spacing w:val="0"/>
          <w:kern w:val="0"/>
          <w:szCs w:val="22"/>
          <w:highlight w:val="none"/>
        </w:rPr>
      </w:pPr>
      <w:r>
        <w:rPr>
          <w:rFonts w:ascii="Times New Roman" w:hAnsi="Times New Roman" w:eastAsia="宋体" w:cs="Times New Roman"/>
          <w:caps w:val="0"/>
          <w:smallCaps w:val="0"/>
          <w:color w:val="auto"/>
          <w:spacing w:val="0"/>
          <w:sz w:val="21"/>
          <w:highlight w:val="none"/>
        </w:rPr>
        <w:t>3、表中“D”表示短期影响，“C”表示长期影响。</w:t>
      </w:r>
    </w:p>
    <w:p w14:paraId="48163D40">
      <w:pPr>
        <w:widowControl w:val="0"/>
        <w:spacing w:line="360" w:lineRule="auto"/>
        <w:ind w:firstLine="480" w:firstLineChars="200"/>
        <w:rPr>
          <w:rFonts w:eastAsia="宋体"/>
          <w:caps w:val="0"/>
          <w:smallCaps w:val="0"/>
          <w:color w:val="auto"/>
          <w:spacing w:val="0"/>
          <w:sz w:val="30"/>
          <w:szCs w:val="30"/>
          <w:highlight w:val="none"/>
        </w:rPr>
      </w:pPr>
      <w:r>
        <w:rPr>
          <w:rFonts w:ascii="Times New Roman" w:hAnsi="Times New Roman" w:eastAsia="宋体" w:cs="Times New Roman"/>
          <w:caps w:val="0"/>
          <w:smallCaps w:val="0"/>
          <w:snapToGrid w:val="0"/>
          <w:color w:val="auto"/>
          <w:spacing w:val="0"/>
          <w:kern w:val="0"/>
          <w:szCs w:val="22"/>
          <w:highlight w:val="none"/>
        </w:rPr>
        <w:t>由表2.2-1分析可知，本项目建设对环境的影响是多方面的，既存在短期的或正或负的影响，也存在长期的或正或负的影响。施工期主要表现在对声环境产生一定程度的负面影响；营运期对环境的不利影响是长期存在的，在生产过程中，对环境空气、地下水和声环境产生不同程度负面影响。以上影响中对空气、声环境的影响均为可逆的、非累积的，对地下水的影响为累积影响；对生态环境的影响为间接的，对空气、地下水、声环境的影响均为直接影响。</w:t>
      </w:r>
    </w:p>
    <w:p w14:paraId="47596A07">
      <w:pPr>
        <w:pStyle w:val="5"/>
        <w:widowControl w:val="0"/>
        <w:rPr>
          <w:rFonts w:eastAsia="宋体"/>
          <w:caps w:val="0"/>
          <w:smallCaps w:val="0"/>
          <w:color w:val="auto"/>
          <w:spacing w:val="0"/>
          <w:sz w:val="30"/>
          <w:szCs w:val="30"/>
          <w:highlight w:val="none"/>
        </w:rPr>
      </w:pPr>
      <w:bookmarkStart w:id="30" w:name="_Toc6661"/>
      <w:r>
        <w:rPr>
          <w:rFonts w:eastAsia="宋体"/>
          <w:caps w:val="0"/>
          <w:smallCaps w:val="0"/>
          <w:color w:val="auto"/>
          <w:spacing w:val="0"/>
          <w:sz w:val="30"/>
          <w:szCs w:val="30"/>
          <w:highlight w:val="none"/>
        </w:rPr>
        <w:t>2.2.2评价因子筛选</w:t>
      </w:r>
      <w:bookmarkEnd w:id="30"/>
    </w:p>
    <w:p w14:paraId="79BAEFD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通过对本项目施工期及运营期产生的环境污染因素及污染因子进行分析，根据项目所在区域环境特征，筛选确定环境影响评价因子，具体见表2.2-2。</w:t>
      </w:r>
    </w:p>
    <w:p w14:paraId="4D10D582">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表2.2-2评价因子一览表</w:t>
      </w:r>
    </w:p>
    <w:tbl>
      <w:tblPr>
        <w:tblStyle w:val="176"/>
        <w:tblW w:w="5000" w:type="pct"/>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42"/>
        <w:gridCol w:w="1936"/>
        <w:gridCol w:w="5892"/>
      </w:tblGrid>
      <w:tr w14:paraId="359F83A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tcBorders>
              <w:top w:val="single" w:color="auto" w:sz="8" w:space="0"/>
              <w:bottom w:val="single" w:color="auto" w:sz="8" w:space="0"/>
            </w:tcBorders>
            <w:vAlign w:val="center"/>
          </w:tcPr>
          <w:p w14:paraId="48A76F7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环境要素</w:t>
            </w:r>
          </w:p>
        </w:tc>
        <w:tc>
          <w:tcPr>
            <w:tcW w:w="1936" w:type="dxa"/>
            <w:tcBorders>
              <w:top w:val="single" w:color="auto" w:sz="8" w:space="0"/>
              <w:bottom w:val="single" w:color="auto" w:sz="8" w:space="0"/>
            </w:tcBorders>
            <w:vAlign w:val="center"/>
          </w:tcPr>
          <w:p w14:paraId="2C6E52D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评价类别</w:t>
            </w:r>
          </w:p>
        </w:tc>
        <w:tc>
          <w:tcPr>
            <w:tcW w:w="5892" w:type="dxa"/>
            <w:tcBorders>
              <w:top w:val="single" w:color="auto" w:sz="8" w:space="0"/>
              <w:bottom w:val="single" w:color="auto" w:sz="8" w:space="0"/>
            </w:tcBorders>
            <w:vAlign w:val="center"/>
          </w:tcPr>
          <w:p w14:paraId="20C0BEC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评价因子</w:t>
            </w:r>
          </w:p>
        </w:tc>
      </w:tr>
      <w:tr w14:paraId="6D3506D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restart"/>
            <w:tcBorders>
              <w:top w:val="single" w:color="auto" w:sz="8" w:space="0"/>
            </w:tcBorders>
            <w:vAlign w:val="center"/>
          </w:tcPr>
          <w:p w14:paraId="6BB1433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环境空气</w:t>
            </w:r>
          </w:p>
        </w:tc>
        <w:tc>
          <w:tcPr>
            <w:tcW w:w="1936" w:type="dxa"/>
            <w:tcBorders>
              <w:top w:val="single" w:color="auto" w:sz="8" w:space="0"/>
            </w:tcBorders>
            <w:vAlign w:val="center"/>
          </w:tcPr>
          <w:p w14:paraId="2BB25A9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现状评价</w:t>
            </w:r>
          </w:p>
        </w:tc>
        <w:tc>
          <w:tcPr>
            <w:tcW w:w="5892" w:type="dxa"/>
            <w:tcBorders>
              <w:top w:val="single" w:color="auto" w:sz="8" w:space="0"/>
            </w:tcBorders>
            <w:vAlign w:val="center"/>
          </w:tcPr>
          <w:p w14:paraId="22DC276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PM</w:t>
            </w:r>
            <w:r>
              <w:rPr>
                <w:rFonts w:ascii="Times New Roman" w:hAnsi="Times New Roman" w:cs="Times New Roman"/>
                <w:caps w:val="0"/>
                <w:smallCaps w:val="0"/>
                <w:color w:val="auto"/>
                <w:spacing w:val="0"/>
                <w:sz w:val="21"/>
                <w:szCs w:val="21"/>
                <w:highlight w:val="none"/>
                <w:vertAlign w:val="subscript"/>
                <w:lang w:eastAsia="en-US"/>
              </w:rPr>
              <w:t>10</w:t>
            </w:r>
            <w:r>
              <w:rPr>
                <w:rFonts w:ascii="Times New Roman" w:hAnsi="Times New Roman" w:cs="Times New Roman"/>
                <w:caps w:val="0"/>
                <w:smallCaps w:val="0"/>
                <w:color w:val="auto"/>
                <w:spacing w:val="0"/>
                <w:sz w:val="21"/>
                <w:szCs w:val="21"/>
                <w:highlight w:val="none"/>
                <w:lang w:eastAsia="en-US"/>
              </w:rPr>
              <w:t>、PM</w:t>
            </w:r>
            <w:r>
              <w:rPr>
                <w:rFonts w:ascii="Times New Roman" w:hAnsi="Times New Roman" w:cs="Times New Roman"/>
                <w:caps w:val="0"/>
                <w:smallCaps w:val="0"/>
                <w:color w:val="auto"/>
                <w:spacing w:val="0"/>
                <w:sz w:val="21"/>
                <w:szCs w:val="21"/>
                <w:highlight w:val="none"/>
                <w:vertAlign w:val="subscript"/>
                <w:lang w:eastAsia="en-US"/>
              </w:rPr>
              <w:t>2.5</w:t>
            </w:r>
            <w:r>
              <w:rPr>
                <w:rFonts w:ascii="Times New Roman" w:hAnsi="Times New Roman" w:cs="Times New Roman"/>
                <w:caps w:val="0"/>
                <w:smallCaps w:val="0"/>
                <w:color w:val="auto"/>
                <w:spacing w:val="0"/>
                <w:sz w:val="21"/>
                <w:szCs w:val="21"/>
                <w:highlight w:val="none"/>
                <w:lang w:eastAsia="en-US"/>
              </w:rPr>
              <w:t>、SO</w:t>
            </w:r>
            <w:r>
              <w:rPr>
                <w:rFonts w:ascii="Times New Roman" w:hAnsi="Times New Roman" w:cs="Times New Roman"/>
                <w:caps w:val="0"/>
                <w:smallCaps w:val="0"/>
                <w:color w:val="auto"/>
                <w:spacing w:val="0"/>
                <w:sz w:val="21"/>
                <w:szCs w:val="21"/>
                <w:highlight w:val="none"/>
                <w:vertAlign w:val="subscript"/>
                <w:lang w:eastAsia="en-US"/>
              </w:rPr>
              <w:t>2</w:t>
            </w:r>
            <w:r>
              <w:rPr>
                <w:rFonts w:ascii="Times New Roman" w:hAnsi="Times New Roman" w:cs="Times New Roman"/>
                <w:caps w:val="0"/>
                <w:smallCaps w:val="0"/>
                <w:color w:val="auto"/>
                <w:spacing w:val="0"/>
                <w:sz w:val="21"/>
                <w:szCs w:val="21"/>
                <w:highlight w:val="none"/>
                <w:lang w:eastAsia="en-US"/>
              </w:rPr>
              <w:t>、NO</w:t>
            </w:r>
            <w:r>
              <w:rPr>
                <w:rFonts w:ascii="Times New Roman" w:hAnsi="Times New Roman" w:cs="Times New Roman"/>
                <w:caps w:val="0"/>
                <w:smallCaps w:val="0"/>
                <w:color w:val="auto"/>
                <w:spacing w:val="0"/>
                <w:sz w:val="21"/>
                <w:szCs w:val="21"/>
                <w:highlight w:val="none"/>
                <w:vertAlign w:val="subscript"/>
                <w:lang w:eastAsia="en-US"/>
              </w:rPr>
              <w:t>2</w:t>
            </w:r>
            <w:r>
              <w:rPr>
                <w:rFonts w:ascii="Times New Roman" w:hAnsi="Times New Roman" w:cs="Times New Roman"/>
                <w:caps w:val="0"/>
                <w:smallCaps w:val="0"/>
                <w:color w:val="auto"/>
                <w:spacing w:val="0"/>
                <w:sz w:val="21"/>
                <w:szCs w:val="21"/>
                <w:highlight w:val="none"/>
                <w:lang w:eastAsia="en-US"/>
              </w:rPr>
              <w:t>、CO、O</w:t>
            </w:r>
            <w:r>
              <w:rPr>
                <w:rFonts w:ascii="Times New Roman" w:hAnsi="Times New Roman" w:cs="Times New Roman"/>
                <w:caps w:val="0"/>
                <w:smallCaps w:val="0"/>
                <w:color w:val="auto"/>
                <w:spacing w:val="0"/>
                <w:sz w:val="21"/>
                <w:szCs w:val="21"/>
                <w:highlight w:val="none"/>
                <w:vertAlign w:val="subscript"/>
                <w:lang w:eastAsia="en-US"/>
              </w:rPr>
              <w:t>3</w:t>
            </w:r>
            <w:r>
              <w:rPr>
                <w:rFonts w:ascii="Times New Roman" w:hAnsi="Times New Roman" w:cs="Times New Roman"/>
                <w:caps w:val="0"/>
                <w:smallCaps w:val="0"/>
                <w:color w:val="auto"/>
                <w:spacing w:val="0"/>
                <w:sz w:val="21"/>
                <w:szCs w:val="21"/>
                <w:highlight w:val="none"/>
                <w:lang w:eastAsia="en-US"/>
              </w:rPr>
              <w:t>、非甲烷总烃、镉及其化合物、HCl、氮氧化物、颗粒物。</w:t>
            </w:r>
          </w:p>
        </w:tc>
      </w:tr>
      <w:tr w14:paraId="084CC0E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5FE9BC3E">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56938A2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污染源评价</w:t>
            </w:r>
          </w:p>
        </w:tc>
        <w:tc>
          <w:tcPr>
            <w:tcW w:w="5892" w:type="dxa"/>
            <w:vAlign w:val="center"/>
          </w:tcPr>
          <w:p w14:paraId="51555F1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非甲烷总烃、镉及其化合物、HCl、氮氧化物、</w:t>
            </w:r>
            <w:r>
              <w:rPr>
                <w:rFonts w:hint="eastAsia" w:ascii="Times New Roman" w:hAnsi="Times New Roman" w:cs="Times New Roman"/>
                <w:caps w:val="0"/>
                <w:smallCaps w:val="0"/>
                <w:color w:val="auto"/>
                <w:spacing w:val="0"/>
                <w:sz w:val="21"/>
                <w:szCs w:val="21"/>
                <w:highlight w:val="none"/>
                <w:lang w:eastAsia="en-US"/>
              </w:rPr>
              <w:t>PM</w:t>
            </w:r>
            <w:r>
              <w:rPr>
                <w:rFonts w:ascii="Times New Roman" w:hAnsi="Times New Roman" w:cs="Times New Roman"/>
                <w:caps w:val="0"/>
                <w:smallCaps w:val="0"/>
                <w:color w:val="auto"/>
                <w:spacing w:val="0"/>
                <w:sz w:val="21"/>
                <w:szCs w:val="21"/>
                <w:highlight w:val="none"/>
                <w:vertAlign w:val="subscript"/>
                <w:lang w:eastAsia="en-US"/>
              </w:rPr>
              <w:t>10</w:t>
            </w:r>
            <w:r>
              <w:rPr>
                <w:rFonts w:hint="eastAsia" w:ascii="Times New Roman" w:hAnsi="Times New Roman" w:cs="Times New Roman"/>
                <w:caps w:val="0"/>
                <w:smallCaps w:val="0"/>
                <w:color w:val="auto"/>
                <w:spacing w:val="0"/>
                <w:sz w:val="21"/>
                <w:szCs w:val="21"/>
                <w:highlight w:val="none"/>
                <w:vertAlign w:val="subscript"/>
                <w:lang w:eastAsia="en-US"/>
              </w:rPr>
              <w:t>、</w:t>
            </w:r>
            <w:r>
              <w:rPr>
                <w:rFonts w:hint="eastAsia" w:ascii="Times New Roman" w:hAnsi="Times New Roman" w:cs="Times New Roman"/>
                <w:caps w:val="0"/>
                <w:smallCaps w:val="0"/>
                <w:color w:val="auto"/>
                <w:spacing w:val="0"/>
                <w:sz w:val="21"/>
                <w:szCs w:val="21"/>
                <w:highlight w:val="none"/>
                <w:lang w:eastAsia="en-US"/>
              </w:rPr>
              <w:t>氨气、硫化氢、二甲苯、臭气浓度</w:t>
            </w:r>
          </w:p>
        </w:tc>
      </w:tr>
      <w:tr w14:paraId="11948B0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438EB5D9">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6376321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影响预测与评价</w:t>
            </w:r>
          </w:p>
        </w:tc>
        <w:tc>
          <w:tcPr>
            <w:tcW w:w="5892" w:type="dxa"/>
            <w:vAlign w:val="center"/>
          </w:tcPr>
          <w:p w14:paraId="4B096B4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非甲烷总烃、镉及其化合物、HCl、氮氧化物、</w:t>
            </w:r>
            <w:r>
              <w:rPr>
                <w:rFonts w:hint="eastAsia" w:ascii="Times New Roman" w:hAnsi="Times New Roman" w:cs="Times New Roman"/>
                <w:caps w:val="0"/>
                <w:smallCaps w:val="0"/>
                <w:color w:val="auto"/>
                <w:spacing w:val="0"/>
                <w:sz w:val="21"/>
                <w:szCs w:val="21"/>
                <w:highlight w:val="none"/>
                <w:lang w:eastAsia="en-US"/>
              </w:rPr>
              <w:t>PM</w:t>
            </w:r>
            <w:r>
              <w:rPr>
                <w:rFonts w:ascii="Times New Roman" w:hAnsi="Times New Roman" w:cs="Times New Roman"/>
                <w:caps w:val="0"/>
                <w:smallCaps w:val="0"/>
                <w:color w:val="auto"/>
                <w:spacing w:val="0"/>
                <w:sz w:val="21"/>
                <w:szCs w:val="21"/>
                <w:highlight w:val="none"/>
                <w:vertAlign w:val="subscript"/>
                <w:lang w:eastAsia="en-US"/>
              </w:rPr>
              <w:t>10</w:t>
            </w:r>
            <w:r>
              <w:rPr>
                <w:rFonts w:hint="eastAsia" w:ascii="Times New Roman" w:hAnsi="Times New Roman" w:cs="Times New Roman"/>
                <w:caps w:val="0"/>
                <w:smallCaps w:val="0"/>
                <w:color w:val="auto"/>
                <w:spacing w:val="0"/>
                <w:sz w:val="21"/>
                <w:szCs w:val="21"/>
                <w:highlight w:val="none"/>
                <w:vertAlign w:val="subscript"/>
                <w:lang w:eastAsia="en-US"/>
              </w:rPr>
              <w:t>、</w:t>
            </w:r>
            <w:r>
              <w:rPr>
                <w:rFonts w:hint="eastAsia" w:ascii="Times New Roman" w:hAnsi="Times New Roman" w:cs="Times New Roman"/>
                <w:caps w:val="0"/>
                <w:smallCaps w:val="0"/>
                <w:color w:val="auto"/>
                <w:spacing w:val="0"/>
                <w:sz w:val="21"/>
                <w:szCs w:val="21"/>
                <w:highlight w:val="none"/>
                <w:lang w:eastAsia="en-US"/>
              </w:rPr>
              <w:t>氨气、硫化氢、二甲苯、</w:t>
            </w:r>
          </w:p>
        </w:tc>
      </w:tr>
      <w:tr w14:paraId="2869279F">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restart"/>
            <w:vAlign w:val="center"/>
          </w:tcPr>
          <w:p w14:paraId="4F1C3690">
            <w:pPr>
              <w:pStyle w:val="105"/>
              <w:widowControl w:val="0"/>
              <w:jc w:val="center"/>
              <w:rPr>
                <w:rFonts w:ascii="Times New Roman" w:hAnsi="Times New Roman" w:cs="Times New Roman"/>
                <w:caps w:val="0"/>
                <w:smallCaps w:val="0"/>
                <w:color w:val="auto"/>
                <w:spacing w:val="0"/>
                <w:sz w:val="21"/>
                <w:szCs w:val="21"/>
                <w:highlight w:val="none"/>
                <w:lang w:eastAsia="en-US"/>
              </w:rPr>
            </w:pPr>
            <w:bookmarkStart w:id="31" w:name="_Toc477951931"/>
            <w:r>
              <w:rPr>
                <w:rFonts w:ascii="Times New Roman" w:hAnsi="Times New Roman" w:cs="Times New Roman"/>
                <w:caps w:val="0"/>
                <w:smallCaps w:val="0"/>
                <w:color w:val="auto"/>
                <w:spacing w:val="0"/>
                <w:sz w:val="21"/>
                <w:szCs w:val="21"/>
                <w:highlight w:val="none"/>
                <w:lang w:eastAsia="en-US"/>
              </w:rPr>
              <w:t>地表水环境</w:t>
            </w:r>
          </w:p>
        </w:tc>
        <w:tc>
          <w:tcPr>
            <w:tcW w:w="1936" w:type="dxa"/>
            <w:vAlign w:val="center"/>
          </w:tcPr>
          <w:p w14:paraId="5FF526E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现状评价</w:t>
            </w:r>
          </w:p>
        </w:tc>
        <w:tc>
          <w:tcPr>
            <w:tcW w:w="5892" w:type="dxa"/>
            <w:vAlign w:val="center"/>
          </w:tcPr>
          <w:p w14:paraId="107B017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pH、水温、化学需氧量、溶解氧、五日生化需氧量、氨氮、总氮、总磷、硫化物、氟化物、氰化物、挥发酚、石油类、砷、镉、铅、粪大肠菌群</w:t>
            </w:r>
          </w:p>
        </w:tc>
      </w:tr>
      <w:tr w14:paraId="2BD2489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493" w:hRule="atLeast"/>
          <w:jc w:val="center"/>
        </w:trPr>
        <w:tc>
          <w:tcPr>
            <w:tcW w:w="1242" w:type="dxa"/>
            <w:vMerge w:val="continue"/>
            <w:vAlign w:val="center"/>
          </w:tcPr>
          <w:p w14:paraId="2D142B6D">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51FF691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污染源评价</w:t>
            </w:r>
          </w:p>
        </w:tc>
        <w:tc>
          <w:tcPr>
            <w:tcW w:w="5892" w:type="dxa"/>
            <w:vAlign w:val="center"/>
          </w:tcPr>
          <w:p w14:paraId="37A4851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pH、化学需氧量、悬浮物、氨氮、总氮、总磷、氟化物、镉</w:t>
            </w:r>
          </w:p>
        </w:tc>
      </w:tr>
      <w:tr w14:paraId="500EF0F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restart"/>
            <w:vAlign w:val="center"/>
          </w:tcPr>
          <w:p w14:paraId="3EBD970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地下水环境</w:t>
            </w:r>
          </w:p>
        </w:tc>
        <w:tc>
          <w:tcPr>
            <w:tcW w:w="1936" w:type="dxa"/>
            <w:vAlign w:val="center"/>
          </w:tcPr>
          <w:p w14:paraId="6B4E2BE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现状评价</w:t>
            </w:r>
          </w:p>
        </w:tc>
        <w:tc>
          <w:tcPr>
            <w:tcW w:w="5892" w:type="dxa"/>
            <w:vAlign w:val="center"/>
          </w:tcPr>
          <w:p w14:paraId="7FA6C96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离子检测：K</w:t>
            </w:r>
            <w:r>
              <w:rPr>
                <w:rFonts w:ascii="Times New Roman" w:hAnsi="Times New Roman" w:cs="Times New Roman"/>
                <w:caps w:val="0"/>
                <w:smallCaps w:val="0"/>
                <w:color w:val="auto"/>
                <w:spacing w:val="0"/>
                <w:sz w:val="21"/>
                <w:szCs w:val="21"/>
                <w:highlight w:val="none"/>
                <w:vertAlign w:val="superscript"/>
                <w:lang w:eastAsia="en-US"/>
              </w:rPr>
              <w:t>+</w:t>
            </w:r>
            <w:r>
              <w:rPr>
                <w:rFonts w:ascii="Times New Roman" w:hAnsi="Times New Roman" w:cs="Times New Roman"/>
                <w:caps w:val="0"/>
                <w:smallCaps w:val="0"/>
                <w:color w:val="auto"/>
                <w:spacing w:val="0"/>
                <w:sz w:val="21"/>
                <w:szCs w:val="21"/>
                <w:highlight w:val="none"/>
                <w:lang w:eastAsia="en-US"/>
              </w:rPr>
              <w:t>、Na</w:t>
            </w:r>
            <w:r>
              <w:rPr>
                <w:rFonts w:ascii="Times New Roman" w:hAnsi="Times New Roman" w:cs="Times New Roman"/>
                <w:caps w:val="0"/>
                <w:smallCaps w:val="0"/>
                <w:color w:val="auto"/>
                <w:spacing w:val="0"/>
                <w:sz w:val="21"/>
                <w:szCs w:val="21"/>
                <w:highlight w:val="none"/>
                <w:vertAlign w:val="superscript"/>
                <w:lang w:eastAsia="en-US"/>
              </w:rPr>
              <w:t>+</w:t>
            </w:r>
            <w:r>
              <w:rPr>
                <w:rFonts w:ascii="Times New Roman" w:hAnsi="Times New Roman" w:cs="Times New Roman"/>
                <w:caps w:val="0"/>
                <w:smallCaps w:val="0"/>
                <w:color w:val="auto"/>
                <w:spacing w:val="0"/>
                <w:sz w:val="21"/>
                <w:szCs w:val="21"/>
                <w:highlight w:val="none"/>
                <w:lang w:eastAsia="en-US"/>
              </w:rPr>
              <w:t>、Ca</w:t>
            </w:r>
            <w:r>
              <w:rPr>
                <w:rFonts w:ascii="Times New Roman" w:hAnsi="Times New Roman" w:cs="Times New Roman"/>
                <w:caps w:val="0"/>
                <w:smallCaps w:val="0"/>
                <w:color w:val="auto"/>
                <w:spacing w:val="0"/>
                <w:sz w:val="21"/>
                <w:szCs w:val="21"/>
                <w:highlight w:val="none"/>
                <w:vertAlign w:val="superscript"/>
                <w:lang w:eastAsia="en-US"/>
              </w:rPr>
              <w:t>2+</w:t>
            </w:r>
            <w:r>
              <w:rPr>
                <w:rFonts w:ascii="Times New Roman" w:hAnsi="Times New Roman" w:cs="Times New Roman"/>
                <w:caps w:val="0"/>
                <w:smallCaps w:val="0"/>
                <w:color w:val="auto"/>
                <w:spacing w:val="0"/>
                <w:sz w:val="21"/>
                <w:szCs w:val="21"/>
                <w:highlight w:val="none"/>
                <w:lang w:eastAsia="en-US"/>
              </w:rPr>
              <w:t>、Mg</w:t>
            </w:r>
            <w:r>
              <w:rPr>
                <w:rFonts w:ascii="Times New Roman" w:hAnsi="Times New Roman" w:cs="Times New Roman"/>
                <w:caps w:val="0"/>
                <w:smallCaps w:val="0"/>
                <w:color w:val="auto"/>
                <w:spacing w:val="0"/>
                <w:sz w:val="21"/>
                <w:szCs w:val="21"/>
                <w:highlight w:val="none"/>
                <w:vertAlign w:val="superscript"/>
                <w:lang w:eastAsia="en-US"/>
              </w:rPr>
              <w:t>2+</w:t>
            </w:r>
            <w:r>
              <w:rPr>
                <w:rFonts w:ascii="Times New Roman" w:hAnsi="Times New Roman" w:cs="Times New Roman"/>
                <w:caps w:val="0"/>
                <w:smallCaps w:val="0"/>
                <w:color w:val="auto"/>
                <w:spacing w:val="0"/>
                <w:sz w:val="21"/>
                <w:szCs w:val="21"/>
                <w:highlight w:val="none"/>
                <w:lang w:eastAsia="en-US"/>
              </w:rPr>
              <w:t>、Cl</w:t>
            </w:r>
            <w:r>
              <w:rPr>
                <w:rFonts w:ascii="Times New Roman" w:hAnsi="Times New Roman" w:cs="Times New Roman"/>
                <w:caps w:val="0"/>
                <w:smallCaps w:val="0"/>
                <w:color w:val="auto"/>
                <w:spacing w:val="0"/>
                <w:sz w:val="21"/>
                <w:szCs w:val="21"/>
                <w:highlight w:val="none"/>
                <w:vertAlign w:val="superscript"/>
                <w:lang w:eastAsia="en-US"/>
              </w:rPr>
              <w:t>-</w:t>
            </w:r>
            <w:r>
              <w:rPr>
                <w:rFonts w:ascii="Times New Roman" w:hAnsi="Times New Roman" w:cs="Times New Roman"/>
                <w:caps w:val="0"/>
                <w:smallCaps w:val="0"/>
                <w:color w:val="auto"/>
                <w:spacing w:val="0"/>
                <w:sz w:val="21"/>
                <w:szCs w:val="21"/>
                <w:highlight w:val="none"/>
                <w:lang w:eastAsia="en-US"/>
              </w:rPr>
              <w:t>、SO</w:t>
            </w:r>
            <w:r>
              <w:rPr>
                <w:rFonts w:ascii="Times New Roman" w:hAnsi="Times New Roman" w:cs="Times New Roman"/>
                <w:caps w:val="0"/>
                <w:smallCaps w:val="0"/>
                <w:color w:val="auto"/>
                <w:spacing w:val="0"/>
                <w:sz w:val="21"/>
                <w:szCs w:val="21"/>
                <w:highlight w:val="none"/>
                <w:vertAlign w:val="subscript"/>
                <w:lang w:eastAsia="en-US"/>
              </w:rPr>
              <w:t>4</w:t>
            </w:r>
            <w:r>
              <w:rPr>
                <w:rFonts w:ascii="Times New Roman" w:hAnsi="Times New Roman" w:cs="Times New Roman"/>
                <w:caps w:val="0"/>
                <w:smallCaps w:val="0"/>
                <w:color w:val="auto"/>
                <w:spacing w:val="0"/>
                <w:sz w:val="21"/>
                <w:szCs w:val="21"/>
                <w:highlight w:val="none"/>
                <w:vertAlign w:val="superscript"/>
                <w:lang w:eastAsia="en-US"/>
              </w:rPr>
              <w:t>2-</w:t>
            </w:r>
            <w:r>
              <w:rPr>
                <w:rFonts w:ascii="Times New Roman" w:hAnsi="Times New Roman" w:cs="Times New Roman"/>
                <w:caps w:val="0"/>
                <w:smallCaps w:val="0"/>
                <w:color w:val="auto"/>
                <w:spacing w:val="0"/>
                <w:sz w:val="21"/>
                <w:szCs w:val="21"/>
                <w:highlight w:val="none"/>
                <w:lang w:eastAsia="en-US"/>
              </w:rPr>
              <w:t>、HCO</w:t>
            </w:r>
            <w:r>
              <w:rPr>
                <w:rFonts w:ascii="Times New Roman" w:hAnsi="Times New Roman" w:cs="Times New Roman"/>
                <w:caps w:val="0"/>
                <w:smallCaps w:val="0"/>
                <w:color w:val="auto"/>
                <w:spacing w:val="0"/>
                <w:sz w:val="21"/>
                <w:szCs w:val="21"/>
                <w:highlight w:val="none"/>
                <w:vertAlign w:val="subscript"/>
                <w:lang w:eastAsia="en-US"/>
              </w:rPr>
              <w:t>3</w:t>
            </w:r>
            <w:r>
              <w:rPr>
                <w:rFonts w:ascii="Times New Roman" w:hAnsi="Times New Roman" w:cs="Times New Roman"/>
                <w:caps w:val="0"/>
                <w:smallCaps w:val="0"/>
                <w:color w:val="auto"/>
                <w:spacing w:val="0"/>
                <w:sz w:val="21"/>
                <w:szCs w:val="21"/>
                <w:highlight w:val="none"/>
                <w:vertAlign w:val="superscript"/>
                <w:lang w:eastAsia="en-US"/>
              </w:rPr>
              <w:t>-</w:t>
            </w:r>
            <w:r>
              <w:rPr>
                <w:rFonts w:ascii="Times New Roman" w:hAnsi="Times New Roman" w:cs="Times New Roman"/>
                <w:caps w:val="0"/>
                <w:smallCaps w:val="0"/>
                <w:color w:val="auto"/>
                <w:spacing w:val="0"/>
                <w:sz w:val="21"/>
                <w:szCs w:val="21"/>
                <w:highlight w:val="none"/>
                <w:lang w:eastAsia="en-US"/>
              </w:rPr>
              <w:t>、CO</w:t>
            </w:r>
            <w:r>
              <w:rPr>
                <w:rFonts w:ascii="Times New Roman" w:hAnsi="Times New Roman" w:cs="Times New Roman"/>
                <w:caps w:val="0"/>
                <w:smallCaps w:val="0"/>
                <w:color w:val="auto"/>
                <w:spacing w:val="0"/>
                <w:sz w:val="21"/>
                <w:szCs w:val="21"/>
                <w:highlight w:val="none"/>
                <w:vertAlign w:val="subscript"/>
                <w:lang w:eastAsia="en-US"/>
              </w:rPr>
              <w:t>3</w:t>
            </w:r>
            <w:r>
              <w:rPr>
                <w:rFonts w:ascii="Times New Roman" w:hAnsi="Times New Roman" w:cs="Times New Roman"/>
                <w:caps w:val="0"/>
                <w:smallCaps w:val="0"/>
                <w:color w:val="auto"/>
                <w:spacing w:val="0"/>
                <w:sz w:val="21"/>
                <w:szCs w:val="21"/>
                <w:highlight w:val="none"/>
                <w:vertAlign w:val="superscript"/>
                <w:lang w:eastAsia="en-US"/>
              </w:rPr>
              <w:t>2</w:t>
            </w:r>
            <w:r>
              <w:rPr>
                <w:rFonts w:ascii="Times New Roman" w:hAnsi="Times New Roman" w:cs="Times New Roman"/>
                <w:caps w:val="0"/>
                <w:smallCaps w:val="0"/>
                <w:color w:val="auto"/>
                <w:spacing w:val="0"/>
                <w:sz w:val="21"/>
                <w:szCs w:val="21"/>
                <w:highlight w:val="none"/>
                <w:lang w:eastAsia="en-US"/>
              </w:rPr>
              <w:t>-；</w:t>
            </w:r>
          </w:p>
          <w:p w14:paraId="1C271AA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水质监测因子：pH、氨氮、硝酸盐氮、亚硝酸盐氮、挥发性酚类（以苯酚计）、氰化物（以CN计）、砷、汞、六价铬、总硬度（以CaCO</w:t>
            </w:r>
            <w:r>
              <w:rPr>
                <w:rFonts w:ascii="Times New Roman" w:hAnsi="Times New Roman" w:cs="Times New Roman"/>
                <w:caps w:val="0"/>
                <w:smallCaps w:val="0"/>
                <w:color w:val="auto"/>
                <w:spacing w:val="0"/>
                <w:sz w:val="21"/>
                <w:szCs w:val="21"/>
                <w:highlight w:val="none"/>
                <w:vertAlign w:val="subscript"/>
                <w:lang w:eastAsia="en-US"/>
              </w:rPr>
              <w:t>3</w:t>
            </w:r>
            <w:r>
              <w:rPr>
                <w:rFonts w:ascii="Times New Roman" w:hAnsi="Times New Roman" w:cs="Times New Roman"/>
                <w:caps w:val="0"/>
                <w:smallCaps w:val="0"/>
                <w:color w:val="auto"/>
                <w:spacing w:val="0"/>
                <w:sz w:val="21"/>
                <w:szCs w:val="21"/>
                <w:highlight w:val="none"/>
                <w:lang w:eastAsia="en-US"/>
              </w:rPr>
              <w:t>计）、铅、氟、镉、铁、锰、溶解性总固体、耗氧量、硫酸盐、氯化物、总大肠菌群、细菌总数</w:t>
            </w:r>
          </w:p>
        </w:tc>
      </w:tr>
      <w:tr w14:paraId="5D6A0C2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011295F0">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13D47E4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污染源评价</w:t>
            </w:r>
          </w:p>
        </w:tc>
        <w:tc>
          <w:tcPr>
            <w:tcW w:w="5892" w:type="dxa"/>
            <w:vAlign w:val="center"/>
          </w:tcPr>
          <w:p w14:paraId="1DE5F95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pH、镉、氯化物</w:t>
            </w:r>
          </w:p>
        </w:tc>
      </w:tr>
      <w:tr w14:paraId="181EE5A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0B76909B">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123EDF9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影响分析</w:t>
            </w:r>
          </w:p>
        </w:tc>
        <w:tc>
          <w:tcPr>
            <w:tcW w:w="5892" w:type="dxa"/>
            <w:vAlign w:val="center"/>
          </w:tcPr>
          <w:p w14:paraId="59DEB6A9">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eastAsia="en-US"/>
              </w:rPr>
              <w:t>镉、COD</w:t>
            </w:r>
          </w:p>
        </w:tc>
      </w:tr>
      <w:tr w14:paraId="5F3F907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restart"/>
            <w:vAlign w:val="center"/>
          </w:tcPr>
          <w:p w14:paraId="65D01FB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声环境</w:t>
            </w:r>
          </w:p>
        </w:tc>
        <w:tc>
          <w:tcPr>
            <w:tcW w:w="1936" w:type="dxa"/>
            <w:vAlign w:val="center"/>
          </w:tcPr>
          <w:p w14:paraId="385C2DD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现状评价</w:t>
            </w:r>
          </w:p>
        </w:tc>
        <w:tc>
          <w:tcPr>
            <w:tcW w:w="5892" w:type="dxa"/>
            <w:vAlign w:val="center"/>
          </w:tcPr>
          <w:p w14:paraId="1545543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等效连续A声级</w:t>
            </w:r>
          </w:p>
        </w:tc>
      </w:tr>
      <w:tr w14:paraId="1C78A13C">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6E4ADDAB">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7B4D2E9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污染源评价</w:t>
            </w:r>
          </w:p>
        </w:tc>
        <w:tc>
          <w:tcPr>
            <w:tcW w:w="5892" w:type="dxa"/>
            <w:vAlign w:val="center"/>
          </w:tcPr>
          <w:p w14:paraId="4D2FF44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声压级</w:t>
            </w:r>
          </w:p>
        </w:tc>
      </w:tr>
      <w:tr w14:paraId="5E9CE54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49E93D6D">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7D3B62A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影响预测与评价</w:t>
            </w:r>
          </w:p>
        </w:tc>
        <w:tc>
          <w:tcPr>
            <w:tcW w:w="5892" w:type="dxa"/>
            <w:vAlign w:val="center"/>
          </w:tcPr>
          <w:p w14:paraId="34D089F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等效连续A声级</w:t>
            </w:r>
          </w:p>
        </w:tc>
      </w:tr>
      <w:tr w14:paraId="43022A1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restart"/>
            <w:vAlign w:val="center"/>
          </w:tcPr>
          <w:p w14:paraId="4A78D90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土壤环境</w:t>
            </w:r>
          </w:p>
        </w:tc>
        <w:tc>
          <w:tcPr>
            <w:tcW w:w="1936" w:type="dxa"/>
            <w:vAlign w:val="center"/>
          </w:tcPr>
          <w:p w14:paraId="0A7AC70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现状评价</w:t>
            </w:r>
          </w:p>
        </w:tc>
        <w:tc>
          <w:tcPr>
            <w:tcW w:w="5892" w:type="dxa"/>
            <w:vAlign w:val="center"/>
          </w:tcPr>
          <w:p w14:paraId="249AA59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金属和无机物：砷、镉、铬（六价）、铜、铅、汞、镍、锌；</w:t>
            </w:r>
          </w:p>
          <w:p w14:paraId="35CB8FA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挥发性有机物：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半挥发性有机物：硝基苯、苯胺、2-氯酚、苯并[a]蒽、苯并[a]芘、苯并[b]荧蒽、苯并[k]荧蒽、䓛、二苯并[a,h]蒽、茚并（1,2,3-c,d芘、萘</w:t>
            </w:r>
          </w:p>
        </w:tc>
      </w:tr>
      <w:tr w14:paraId="1538205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70C96BE9">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3BE88A5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影响分析</w:t>
            </w:r>
          </w:p>
        </w:tc>
        <w:tc>
          <w:tcPr>
            <w:tcW w:w="5892" w:type="dxa"/>
            <w:vAlign w:val="center"/>
          </w:tcPr>
          <w:p w14:paraId="5D682220">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ascii="Times New Roman" w:hAnsi="Times New Roman" w:cs="Times New Roman"/>
                <w:caps w:val="0"/>
                <w:smallCaps w:val="0"/>
                <w:color w:val="auto"/>
                <w:spacing w:val="0"/>
                <w:sz w:val="21"/>
                <w:szCs w:val="21"/>
                <w:highlight w:val="none"/>
                <w:lang w:eastAsia="en-US"/>
              </w:rPr>
              <w:t>镉</w:t>
            </w:r>
            <w:r>
              <w:rPr>
                <w:rFonts w:hint="eastAsia"/>
                <w:color w:val="auto"/>
                <w:highlight w:val="none"/>
                <w:lang w:eastAsia="zh-CN"/>
              </w:rPr>
              <w:t>、</w:t>
            </w:r>
            <w:r>
              <w:rPr>
                <w:rFonts w:hint="eastAsia" w:ascii="Times New Roman" w:hAnsi="Times New Roman" w:cs="Times New Roman"/>
                <w:caps w:val="0"/>
                <w:smallCaps w:val="0"/>
                <w:color w:val="auto"/>
                <w:spacing w:val="0"/>
                <w:sz w:val="21"/>
                <w:szCs w:val="21"/>
                <w:highlight w:val="none"/>
                <w:lang w:val="en-US" w:eastAsia="zh-CN"/>
              </w:rPr>
              <w:t>二甲苯</w:t>
            </w:r>
          </w:p>
        </w:tc>
      </w:tr>
      <w:tr w14:paraId="3160F68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restart"/>
            <w:vAlign w:val="center"/>
          </w:tcPr>
          <w:p w14:paraId="605F08E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固体废物</w:t>
            </w:r>
          </w:p>
        </w:tc>
        <w:tc>
          <w:tcPr>
            <w:tcW w:w="1936" w:type="dxa"/>
            <w:vAlign w:val="center"/>
          </w:tcPr>
          <w:p w14:paraId="2543B31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污染源评价</w:t>
            </w:r>
          </w:p>
        </w:tc>
        <w:tc>
          <w:tcPr>
            <w:tcW w:w="5892" w:type="dxa"/>
            <w:vMerge w:val="restart"/>
            <w:vAlign w:val="center"/>
          </w:tcPr>
          <w:p w14:paraId="10A4662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一般固废：废靶材、废防溅射板、纯水制备废渗透膜、废玻璃基板、废背板玻璃、废包装材料、生活垃圾和食堂废油脂。</w:t>
            </w:r>
          </w:p>
          <w:p w14:paraId="4DCD90C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危险废物：废真空罩、废石墨舟、破裂玻璃、废电池组件、废显影液、收尘灰化学包装材料、废机油、</w:t>
            </w:r>
            <w:r>
              <w:rPr>
                <w:rFonts w:ascii="Times New Roman" w:hAnsi="Times New Roman" w:cs="Times New Roman"/>
                <w:caps w:val="0"/>
                <w:smallCaps w:val="0"/>
                <w:color w:val="auto"/>
                <w:spacing w:val="0"/>
                <w:sz w:val="21"/>
                <w:szCs w:val="21"/>
                <w:highlight w:val="none"/>
                <w:lang w:eastAsia="en-US"/>
              </w:rPr>
              <w:t>废润滑油油桶、废胶桶、</w:t>
            </w:r>
            <w:r>
              <w:rPr>
                <w:rFonts w:ascii="Times New Roman" w:hAnsi="Times New Roman" w:cs="Times New Roman"/>
                <w:caps w:val="0"/>
                <w:smallCaps w:val="0"/>
                <w:color w:val="auto"/>
                <w:spacing w:val="0"/>
                <w:sz w:val="21"/>
                <w:szCs w:val="21"/>
                <w:highlight w:val="none"/>
                <w:lang w:eastAsia="en-US"/>
              </w:rPr>
              <w:t>污水处理设施产生的废过滤膜、废反渗透膜、污泥、蒸发结晶盐等，</w:t>
            </w:r>
          </w:p>
        </w:tc>
      </w:tr>
      <w:tr w14:paraId="18419356">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vAlign w:val="center"/>
          </w:tcPr>
          <w:p w14:paraId="09CD536D">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936" w:type="dxa"/>
            <w:vAlign w:val="center"/>
          </w:tcPr>
          <w:p w14:paraId="31D2982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影响分析</w:t>
            </w:r>
          </w:p>
        </w:tc>
        <w:tc>
          <w:tcPr>
            <w:tcW w:w="5892" w:type="dxa"/>
            <w:vMerge w:val="continue"/>
            <w:vAlign w:val="center"/>
          </w:tcPr>
          <w:p w14:paraId="0D11B0E4">
            <w:pPr>
              <w:pStyle w:val="105"/>
              <w:widowControl w:val="0"/>
              <w:jc w:val="center"/>
              <w:rPr>
                <w:rFonts w:ascii="Times New Roman" w:hAnsi="Times New Roman" w:cs="Times New Roman"/>
                <w:caps w:val="0"/>
                <w:smallCaps w:val="0"/>
                <w:color w:val="auto"/>
                <w:spacing w:val="0"/>
                <w:sz w:val="21"/>
                <w:szCs w:val="21"/>
                <w:highlight w:val="none"/>
                <w:lang w:eastAsia="en-US"/>
              </w:rPr>
            </w:pPr>
          </w:p>
        </w:tc>
      </w:tr>
      <w:tr w14:paraId="231DE24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jc w:val="center"/>
        </w:trPr>
        <w:tc>
          <w:tcPr>
            <w:tcW w:w="1242" w:type="dxa"/>
            <w:vMerge w:val="restart"/>
            <w:vAlign w:val="center"/>
          </w:tcPr>
          <w:p w14:paraId="55F9A31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风险</w:t>
            </w:r>
          </w:p>
        </w:tc>
        <w:tc>
          <w:tcPr>
            <w:tcW w:w="1936" w:type="dxa"/>
            <w:vAlign w:val="center"/>
          </w:tcPr>
          <w:p w14:paraId="0BD92EB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风险源</w:t>
            </w:r>
          </w:p>
        </w:tc>
        <w:tc>
          <w:tcPr>
            <w:tcW w:w="5892" w:type="dxa"/>
            <w:vMerge w:val="restart"/>
            <w:tcBorders>
              <w:bottom w:val="single" w:color="auto" w:sz="8" w:space="0"/>
            </w:tcBorders>
            <w:vAlign w:val="center"/>
          </w:tcPr>
          <w:p w14:paraId="41C8F0D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氯化镉、硒化镉、碲化镉、钼、铬、氨水、二甲苯</w:t>
            </w:r>
            <w:r>
              <w:rPr>
                <w:rFonts w:hint="eastAsia" w:ascii="Times New Roman" w:hAnsi="Times New Roman" w:cs="Times New Roman"/>
                <w:caps w:val="0"/>
                <w:smallCaps w:val="0"/>
                <w:color w:val="auto"/>
                <w:spacing w:val="0"/>
                <w:sz w:val="21"/>
                <w:szCs w:val="21"/>
                <w:highlight w:val="none"/>
                <w:lang w:eastAsia="en-US"/>
              </w:rPr>
              <w:t>、硝酸、废矿物油、氯化氢</w:t>
            </w:r>
          </w:p>
        </w:tc>
      </w:tr>
      <w:tr w14:paraId="233D2E0E">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242" w:type="dxa"/>
            <w:vMerge w:val="continue"/>
          </w:tcPr>
          <w:p w14:paraId="6AD79C0A">
            <w:pPr>
              <w:widowControl w:val="0"/>
              <w:rPr>
                <w:rFonts w:ascii="Times New Roman" w:hAnsi="Times New Roman" w:eastAsia="宋体" w:cs="Times New Roman"/>
                <w:caps w:val="0"/>
                <w:smallCaps w:val="0"/>
                <w:color w:val="auto"/>
                <w:spacing w:val="0"/>
                <w:sz w:val="21"/>
                <w:highlight w:val="none"/>
                <w:lang w:eastAsia="en-US"/>
              </w:rPr>
            </w:pPr>
          </w:p>
        </w:tc>
        <w:tc>
          <w:tcPr>
            <w:tcW w:w="1936" w:type="dxa"/>
          </w:tcPr>
          <w:p w14:paraId="0B645F5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风险分析</w:t>
            </w:r>
          </w:p>
        </w:tc>
        <w:tc>
          <w:tcPr>
            <w:tcW w:w="5892" w:type="dxa"/>
            <w:vMerge w:val="continue"/>
            <w:tcBorders>
              <w:top w:val="single" w:color="auto" w:sz="8" w:space="0"/>
              <w:bottom w:val="single" w:color="auto" w:sz="8" w:space="0"/>
            </w:tcBorders>
          </w:tcPr>
          <w:p w14:paraId="5821DDBD">
            <w:pPr>
              <w:widowControl w:val="0"/>
              <w:rPr>
                <w:rFonts w:ascii="Times New Roman" w:hAnsi="Times New Roman" w:eastAsia="宋体" w:cs="Times New Roman"/>
                <w:caps w:val="0"/>
                <w:smallCaps w:val="0"/>
                <w:color w:val="auto"/>
                <w:spacing w:val="0"/>
                <w:sz w:val="21"/>
                <w:highlight w:val="none"/>
                <w:lang w:eastAsia="en-US"/>
              </w:rPr>
            </w:pPr>
          </w:p>
        </w:tc>
      </w:tr>
    </w:tbl>
    <w:p w14:paraId="2F16CB8A">
      <w:pPr>
        <w:pStyle w:val="4"/>
        <w:widowControl w:val="0"/>
        <w:rPr>
          <w:rFonts w:eastAsia="宋体"/>
          <w:caps w:val="0"/>
          <w:smallCaps w:val="0"/>
          <w:color w:val="auto"/>
          <w:spacing w:val="0"/>
          <w:highlight w:val="none"/>
        </w:rPr>
      </w:pPr>
      <w:bookmarkStart w:id="32" w:name="_Toc20402"/>
      <w:r>
        <w:rPr>
          <w:rFonts w:eastAsia="宋体"/>
          <w:caps w:val="0"/>
          <w:smallCaps w:val="0"/>
          <w:color w:val="auto"/>
          <w:spacing w:val="0"/>
          <w:highlight w:val="none"/>
        </w:rPr>
        <w:t>2.3环境功能区划</w:t>
      </w:r>
      <w:bookmarkEnd w:id="31"/>
      <w:bookmarkEnd w:id="32"/>
    </w:p>
    <w:p w14:paraId="03B3839D">
      <w:pPr>
        <w:pStyle w:val="117"/>
        <w:numPr>
          <w:ilvl w:val="0"/>
          <w:numId w:val="6"/>
        </w:numPr>
        <w:spacing w:after="0" w:line="360" w:lineRule="auto"/>
        <w:ind w:left="0" w:leftChars="0" w:firstLine="480" w:firstLineChars="200"/>
        <w:rPr>
          <w:rFonts w:eastAsia="宋体"/>
          <w:caps w:val="0"/>
          <w:smallCaps w:val="0"/>
          <w:color w:val="auto"/>
          <w:spacing w:val="0"/>
          <w:highlight w:val="none"/>
        </w:rPr>
      </w:pPr>
      <w:r>
        <w:rPr>
          <w:rFonts w:eastAsia="宋体"/>
          <w:caps w:val="0"/>
          <w:smallCaps w:val="0"/>
          <w:color w:val="auto"/>
          <w:spacing w:val="0"/>
          <w:highlight w:val="none"/>
        </w:rPr>
        <w:t>项目所在地位于佳木斯市高新技术产业开发区</w:t>
      </w:r>
      <w:r>
        <w:rPr>
          <w:rFonts w:eastAsia="宋体"/>
          <w:caps w:val="0"/>
          <w:smallCaps w:val="0"/>
          <w:color w:val="auto"/>
          <w:spacing w:val="0"/>
          <w:szCs w:val="22"/>
          <w:highlight w:val="none"/>
        </w:rPr>
        <w:t>轻工产业园（含新材料）</w:t>
      </w:r>
      <w:r>
        <w:rPr>
          <w:rFonts w:eastAsia="宋体"/>
          <w:caps w:val="0"/>
          <w:smallCaps w:val="0"/>
          <w:color w:val="auto"/>
          <w:spacing w:val="0"/>
          <w:highlight w:val="none"/>
        </w:rPr>
        <w:t>。项目所在地环境空气功能区划为二类区；本项目碱性废水经厂区污水处理系统处理达标后排入园区排水管网排放至</w:t>
      </w:r>
      <w:r>
        <w:rPr>
          <w:rFonts w:ascii="Times New Roman" w:hAnsi="Times New Roman" w:eastAsia="宋体" w:cs="Times New Roman"/>
          <w:caps w:val="0"/>
          <w:smallCaps w:val="0"/>
          <w:color w:val="auto"/>
          <w:spacing w:val="0"/>
          <w:szCs w:val="28"/>
          <w:highlight w:val="none"/>
        </w:rPr>
        <w:t>佳木斯市高新区污水处理厂</w:t>
      </w:r>
      <w:r>
        <w:rPr>
          <w:rFonts w:eastAsia="宋体"/>
          <w:caps w:val="0"/>
          <w:smallCaps w:val="0"/>
          <w:color w:val="auto"/>
          <w:spacing w:val="0"/>
          <w:highlight w:val="none"/>
        </w:rPr>
        <w:t>处理后排放至</w:t>
      </w:r>
      <w:r>
        <w:rPr>
          <w:rFonts w:hint="eastAsia" w:eastAsia="宋体"/>
          <w:caps w:val="0"/>
          <w:smallCaps w:val="0"/>
          <w:color w:val="auto"/>
          <w:spacing w:val="0"/>
          <w:highlight w:val="none"/>
          <w:lang w:val="en-US" w:eastAsia="zh-CN"/>
        </w:rPr>
        <w:t>铃铛麦河</w:t>
      </w:r>
      <w:r>
        <w:rPr>
          <w:rFonts w:hint="eastAsia" w:ascii="Times New Roman" w:hAnsi="Times New Roman" w:eastAsia="宋体" w:cs="Times New Roman"/>
          <w:caps w:val="0"/>
          <w:smallCaps w:val="0"/>
          <w:color w:val="auto"/>
          <w:spacing w:val="0"/>
          <w:highlight w:val="none"/>
          <w:lang w:val="en-US" w:eastAsia="zh-CN"/>
        </w:rPr>
        <w:t>途经</w:t>
      </w:r>
      <w:r>
        <w:rPr>
          <w:rFonts w:eastAsia="宋体"/>
          <w:caps w:val="0"/>
          <w:smallCaps w:val="0"/>
          <w:color w:val="auto"/>
          <w:spacing w:val="0"/>
          <w:highlight w:val="none"/>
        </w:rPr>
        <w:t>音达木河最终排入松花江（</w:t>
      </w:r>
      <w:r>
        <w:rPr>
          <w:rFonts w:eastAsia="宋体"/>
          <w:caps w:val="0"/>
          <w:smallCaps w:val="0"/>
          <w:color w:val="auto"/>
          <w:spacing w:val="0"/>
          <w:highlight w:val="none"/>
        </w:rPr>
        <w:t>佳木斯港务局－宏力村</w:t>
      </w:r>
      <w:r>
        <w:rPr>
          <w:rFonts w:eastAsia="宋体"/>
          <w:caps w:val="0"/>
          <w:smallCaps w:val="0"/>
          <w:color w:val="auto"/>
          <w:spacing w:val="0"/>
          <w:highlight w:val="none"/>
        </w:rPr>
        <w:t>）</w:t>
      </w:r>
      <w:r>
        <w:rPr>
          <w:rFonts w:hint="default" w:ascii="Times New Roman" w:hAnsi="Times New Roman" w:eastAsia="宋体" w:cs="Times New Roman"/>
          <w:caps w:val="0"/>
          <w:smallCaps w:val="0"/>
          <w:color w:val="auto"/>
          <w:spacing w:val="0"/>
          <w:highlight w:val="none"/>
        </w:rPr>
        <w:t>。</w:t>
      </w:r>
      <w:r>
        <w:rPr>
          <w:rFonts w:hint="default" w:ascii="Times New Roman" w:hAnsi="Times New Roman" w:eastAsia="宋体" w:cs="Times New Roman"/>
          <w:caps w:val="0"/>
          <w:smallCaps w:val="0"/>
          <w:color w:val="auto"/>
          <w:spacing w:val="0"/>
          <w:highlight w:val="none"/>
        </w:rPr>
        <w:t>根据《全国重要江河湖泊水功能区划（2011-2030年）》，</w:t>
      </w:r>
      <w:r>
        <w:rPr>
          <w:rFonts w:hint="default" w:ascii="Times New Roman" w:hAnsi="Times New Roman" w:eastAsia="宋体" w:cs="Times New Roman"/>
          <w:caps w:val="0"/>
          <w:smallCaps w:val="0"/>
          <w:color w:val="auto"/>
          <w:spacing w:val="0"/>
          <w:highlight w:val="none"/>
          <w:lang w:val="en-US" w:eastAsia="zh-CN"/>
        </w:rPr>
        <w:t>本项目纳污水体</w:t>
      </w:r>
      <w:r>
        <w:rPr>
          <w:rFonts w:hint="default" w:ascii="Times New Roman" w:hAnsi="Times New Roman" w:eastAsia="宋体" w:cs="Times New Roman"/>
          <w:caps w:val="0"/>
          <w:smallCaps w:val="0"/>
          <w:color w:val="auto"/>
          <w:spacing w:val="0"/>
          <w:highlight w:val="none"/>
        </w:rPr>
        <w:t>“港务局－宏力村”是松花江佳木斯市排污控制区，无地表水环境功能区划，</w:t>
      </w:r>
      <w:r>
        <w:rPr>
          <w:rFonts w:hint="eastAsia" w:ascii="Times New Roman" w:hAnsi="Times New Roman" w:cs="Times New Roman"/>
          <w:caps w:val="0"/>
          <w:smallCaps w:val="0"/>
          <w:color w:val="auto"/>
          <w:spacing w:val="0"/>
          <w:highlight w:val="none"/>
          <w:lang w:val="en-US" w:eastAsia="zh-CN"/>
        </w:rPr>
        <w:t>根据《2024年黑龙江省生态环境质量状况》</w:t>
      </w:r>
      <w:r>
        <w:rPr>
          <w:rFonts w:hint="default" w:ascii="Times New Roman" w:hAnsi="Times New Roman" w:eastAsia="宋体" w:cs="Times New Roman"/>
          <w:caps w:val="0"/>
          <w:smallCaps w:val="0"/>
          <w:color w:val="auto"/>
          <w:spacing w:val="0"/>
          <w:highlight w:val="none"/>
          <w:lang w:val="en-US" w:eastAsia="zh-CN"/>
        </w:rPr>
        <w:t>松花江佳木斯市、桦川县、富锦市农业用水区</w:t>
      </w:r>
      <w:r>
        <w:rPr>
          <w:rFonts w:hint="eastAsia" w:ascii="Times New Roman" w:hAnsi="Times New Roman" w:cs="Times New Roman"/>
          <w:caps w:val="0"/>
          <w:smallCaps w:val="0"/>
          <w:color w:val="auto"/>
          <w:spacing w:val="0"/>
          <w:highlight w:val="none"/>
          <w:lang w:val="en-US" w:eastAsia="zh-CN"/>
        </w:rPr>
        <w:t>，</w:t>
      </w:r>
      <w:r>
        <w:rPr>
          <w:rFonts w:hint="default" w:ascii="Times New Roman" w:hAnsi="Times New Roman" w:eastAsia="宋体" w:cs="Times New Roman"/>
          <w:caps w:val="0"/>
          <w:smallCaps w:val="0"/>
          <w:color w:val="auto"/>
          <w:spacing w:val="0"/>
          <w:highlight w:val="none"/>
          <w:lang w:val="en-US" w:eastAsia="zh-CN"/>
        </w:rPr>
        <w:t>中和村~富合村</w:t>
      </w:r>
      <w:r>
        <w:rPr>
          <w:rFonts w:hint="eastAsia" w:ascii="Times New Roman" w:hAnsi="Times New Roman" w:cs="Times New Roman"/>
          <w:caps w:val="0"/>
          <w:smallCaps w:val="0"/>
          <w:color w:val="auto"/>
          <w:spacing w:val="0"/>
          <w:highlight w:val="none"/>
          <w:lang w:val="en-US" w:eastAsia="zh-CN"/>
        </w:rPr>
        <w:t>及</w:t>
      </w:r>
      <w:r>
        <w:rPr>
          <w:rFonts w:hint="default" w:ascii="Times New Roman" w:hAnsi="Times New Roman" w:eastAsia="宋体" w:cs="Times New Roman"/>
          <w:caps w:val="0"/>
          <w:smallCaps w:val="0"/>
          <w:color w:val="auto"/>
          <w:spacing w:val="0"/>
          <w:highlight w:val="none"/>
          <w:lang w:val="en-US" w:eastAsia="zh-CN"/>
        </w:rPr>
        <w:t>国家地表水考核断面佳木斯下</w:t>
      </w:r>
      <w:r>
        <w:rPr>
          <w:rFonts w:hint="eastAsia" w:ascii="Times New Roman" w:hAnsi="Times New Roman" w:cs="Times New Roman"/>
          <w:caps w:val="0"/>
          <w:smallCaps w:val="0"/>
          <w:color w:val="auto"/>
          <w:spacing w:val="0"/>
          <w:highlight w:val="none"/>
          <w:lang w:val="en-US" w:eastAsia="zh-CN"/>
        </w:rPr>
        <w:t>，水功能区和国家地表水考核断面水质目标均为III类，</w:t>
      </w:r>
      <w:r>
        <w:rPr>
          <w:rFonts w:hint="default" w:ascii="Times New Roman" w:hAnsi="Times New Roman" w:eastAsia="宋体" w:cs="Times New Roman"/>
          <w:caps w:val="0"/>
          <w:smallCaps w:val="0"/>
          <w:color w:val="auto"/>
          <w:spacing w:val="0"/>
          <w:highlight w:val="none"/>
        </w:rPr>
        <w:t>地表水环境功能区划为</w:t>
      </w:r>
      <w:r>
        <w:rPr>
          <w:rFonts w:hint="eastAsia" w:ascii="Times New Roman" w:hAnsi="Times New Roman" w:cs="Times New Roman"/>
          <w:caps w:val="0"/>
          <w:smallCaps w:val="0"/>
          <w:color w:val="auto"/>
          <w:spacing w:val="0"/>
          <w:highlight w:val="none"/>
          <w:lang w:val="en-US" w:eastAsia="zh-CN"/>
        </w:rPr>
        <w:t>III</w:t>
      </w:r>
      <w:r>
        <w:rPr>
          <w:rFonts w:hint="default" w:ascii="Times New Roman" w:hAnsi="Times New Roman" w:eastAsia="宋体" w:cs="Times New Roman"/>
          <w:caps w:val="0"/>
          <w:smallCaps w:val="0"/>
          <w:color w:val="auto"/>
          <w:spacing w:val="0"/>
          <w:highlight w:val="none"/>
        </w:rPr>
        <w:t>类。</w:t>
      </w:r>
      <w:r>
        <w:rPr>
          <w:rFonts w:hint="eastAsia" w:eastAsia="宋体"/>
          <w:caps w:val="0"/>
          <w:smallCaps w:val="0"/>
          <w:color w:val="auto"/>
          <w:spacing w:val="0"/>
          <w:highlight w:val="none"/>
          <w:lang w:val="en-US" w:eastAsia="zh-CN"/>
        </w:rPr>
        <w:t>因此本项目地表水</w:t>
      </w:r>
      <w:r>
        <w:rPr>
          <w:rFonts w:eastAsia="宋体"/>
          <w:caps w:val="0"/>
          <w:smallCaps w:val="0"/>
          <w:color w:val="auto"/>
          <w:spacing w:val="0"/>
          <w:highlight w:val="none"/>
        </w:rPr>
        <w:t>水体功能区划执行</w:t>
      </w:r>
      <w:r>
        <w:rPr>
          <w:rFonts w:hint="eastAsia" w:ascii="Times New Roman" w:hAnsi="Times New Roman" w:cs="Times New Roman"/>
          <w:caps w:val="0"/>
          <w:smallCaps w:val="0"/>
          <w:color w:val="auto"/>
          <w:spacing w:val="0"/>
          <w:highlight w:val="none"/>
          <w:lang w:val="en-US" w:eastAsia="zh-CN"/>
        </w:rPr>
        <w:t>III</w:t>
      </w:r>
      <w:r>
        <w:rPr>
          <w:rFonts w:eastAsia="宋体"/>
          <w:caps w:val="0"/>
          <w:smallCaps w:val="0"/>
          <w:color w:val="auto"/>
          <w:spacing w:val="0"/>
          <w:highlight w:val="none"/>
        </w:rPr>
        <w:t>类；本项目在《佳木斯市城市噪声功能区划》内，</w:t>
      </w:r>
      <w:r>
        <w:rPr>
          <w:rFonts w:eastAsia="宋体"/>
          <w:caps w:val="0"/>
          <w:smallCaps w:val="0"/>
          <w:color w:val="auto"/>
          <w:spacing w:val="0"/>
          <w:highlight w:val="none"/>
        </w:rPr>
        <w:t>为3类</w:t>
      </w:r>
      <w:r>
        <w:rPr>
          <w:rFonts w:hint="eastAsia"/>
          <w:caps w:val="0"/>
          <w:smallCaps w:val="0"/>
          <w:color w:val="auto"/>
          <w:spacing w:val="0"/>
          <w:highlight w:val="none"/>
          <w:lang w:val="en-US" w:eastAsia="zh-CN"/>
        </w:rPr>
        <w:t>和</w:t>
      </w:r>
      <w:r>
        <w:rPr>
          <w:rFonts w:hint="default" w:ascii="Times New Roman" w:hAnsi="Times New Roman" w:cs="Times New Roman"/>
          <w:caps w:val="0"/>
          <w:smallCaps w:val="0"/>
          <w:color w:val="auto"/>
          <w:spacing w:val="0"/>
          <w:highlight w:val="none"/>
          <w:lang w:val="en-US" w:eastAsia="zh-CN"/>
        </w:rPr>
        <w:t>4a</w:t>
      </w:r>
      <w:r>
        <w:rPr>
          <w:rFonts w:eastAsia="宋体"/>
          <w:caps w:val="0"/>
          <w:smallCaps w:val="0"/>
          <w:color w:val="auto"/>
          <w:spacing w:val="0"/>
          <w:highlight w:val="none"/>
        </w:rPr>
        <w:t>声环境功能区</w:t>
      </w:r>
      <w:r>
        <w:rPr>
          <w:rFonts w:hint="eastAsia"/>
          <w:caps w:val="0"/>
          <w:smallCaps w:val="0"/>
          <w:color w:val="auto"/>
          <w:spacing w:val="0"/>
          <w:highlight w:val="none"/>
          <w:lang w:eastAsia="zh-CN"/>
        </w:rPr>
        <w:t>。</w:t>
      </w:r>
    </w:p>
    <w:p w14:paraId="27120FEF">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表2.3-1环境功能区划一览表</w:t>
      </w:r>
    </w:p>
    <w:tbl>
      <w:tblPr>
        <w:tblStyle w:val="37"/>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110"/>
        <w:gridCol w:w="2479"/>
        <w:gridCol w:w="1025"/>
        <w:gridCol w:w="3796"/>
        <w:gridCol w:w="47"/>
      </w:tblGrid>
      <w:tr w14:paraId="5399E3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397" w:hRule="atLeast"/>
          <w:jc w:val="center"/>
        </w:trPr>
        <w:tc>
          <w:tcPr>
            <w:tcW w:w="829" w:type="dxa"/>
            <w:tcBorders>
              <w:top w:val="single" w:color="auto" w:sz="8" w:space="0"/>
              <w:bottom w:val="single" w:color="auto" w:sz="8" w:space="0"/>
            </w:tcBorders>
            <w:vAlign w:val="center"/>
          </w:tcPr>
          <w:p w14:paraId="64E1A40B">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序号</w:t>
            </w:r>
          </w:p>
        </w:tc>
        <w:tc>
          <w:tcPr>
            <w:tcW w:w="1110" w:type="dxa"/>
            <w:tcBorders>
              <w:top w:val="single" w:color="auto" w:sz="8" w:space="0"/>
              <w:bottom w:val="single" w:color="auto" w:sz="8" w:space="0"/>
            </w:tcBorders>
            <w:vAlign w:val="center"/>
          </w:tcPr>
          <w:p w14:paraId="58F67F32">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环境要素</w:t>
            </w:r>
          </w:p>
        </w:tc>
        <w:tc>
          <w:tcPr>
            <w:tcW w:w="2479" w:type="dxa"/>
            <w:tcBorders>
              <w:top w:val="single" w:color="auto" w:sz="8" w:space="0"/>
              <w:bottom w:val="single" w:color="auto" w:sz="8" w:space="0"/>
            </w:tcBorders>
            <w:vAlign w:val="center"/>
          </w:tcPr>
          <w:p w14:paraId="40F78661">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所属区域</w:t>
            </w:r>
          </w:p>
        </w:tc>
        <w:tc>
          <w:tcPr>
            <w:tcW w:w="1025" w:type="dxa"/>
            <w:tcBorders>
              <w:top w:val="single" w:color="auto" w:sz="8" w:space="0"/>
              <w:bottom w:val="single" w:color="auto" w:sz="8" w:space="0"/>
            </w:tcBorders>
            <w:vAlign w:val="center"/>
          </w:tcPr>
          <w:p w14:paraId="10D36E89">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功能区划</w:t>
            </w:r>
          </w:p>
        </w:tc>
        <w:tc>
          <w:tcPr>
            <w:tcW w:w="3796" w:type="dxa"/>
            <w:tcBorders>
              <w:top w:val="single" w:color="auto" w:sz="8" w:space="0"/>
              <w:bottom w:val="single" w:color="auto" w:sz="8" w:space="0"/>
            </w:tcBorders>
            <w:vAlign w:val="center"/>
          </w:tcPr>
          <w:p w14:paraId="3CCF0A49">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划分依据</w:t>
            </w:r>
          </w:p>
        </w:tc>
      </w:tr>
      <w:tr w14:paraId="24E36C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7" w:type="dxa"/>
          <w:trHeight w:val="397" w:hRule="atLeast"/>
          <w:jc w:val="center"/>
        </w:trPr>
        <w:tc>
          <w:tcPr>
            <w:tcW w:w="829" w:type="dxa"/>
            <w:tcBorders>
              <w:top w:val="single" w:color="auto" w:sz="8" w:space="0"/>
            </w:tcBorders>
            <w:vAlign w:val="center"/>
          </w:tcPr>
          <w:p w14:paraId="33745869">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1</w:t>
            </w:r>
          </w:p>
        </w:tc>
        <w:tc>
          <w:tcPr>
            <w:tcW w:w="1110" w:type="dxa"/>
            <w:tcBorders>
              <w:top w:val="single" w:color="auto" w:sz="8" w:space="0"/>
            </w:tcBorders>
            <w:vAlign w:val="center"/>
          </w:tcPr>
          <w:p w14:paraId="4E2926F9">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地表水</w:t>
            </w:r>
          </w:p>
        </w:tc>
        <w:tc>
          <w:tcPr>
            <w:tcW w:w="2479" w:type="dxa"/>
            <w:tcBorders>
              <w:top w:val="single" w:color="auto" w:sz="8" w:space="0"/>
            </w:tcBorders>
            <w:vAlign w:val="center"/>
          </w:tcPr>
          <w:p w14:paraId="65F1E384">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佳木斯港务局－宏力村</w:t>
            </w:r>
          </w:p>
        </w:tc>
        <w:tc>
          <w:tcPr>
            <w:tcW w:w="1025" w:type="dxa"/>
            <w:tcBorders>
              <w:top w:val="single" w:color="auto" w:sz="8" w:space="0"/>
            </w:tcBorders>
            <w:vAlign w:val="center"/>
          </w:tcPr>
          <w:p w14:paraId="115ADC25">
            <w:pPr>
              <w:pStyle w:val="66"/>
              <w:widowControl w:val="0"/>
              <w:ind w:left="0"/>
              <w:rPr>
                <w:rFonts w:ascii="Times New Roman" w:hAnsi="Times New Roman" w:eastAsia="宋体" w:cs="Times New Roman"/>
                <w:caps w:val="0"/>
                <w:smallCaps w:val="0"/>
                <w:color w:val="auto"/>
                <w:spacing w:val="0"/>
                <w:kern w:val="0"/>
                <w:highlight w:val="none"/>
              </w:rPr>
            </w:pPr>
            <w:r>
              <w:rPr>
                <w:rFonts w:hint="eastAsia" w:ascii="Times New Roman" w:hAnsi="Times New Roman" w:cs="Times New Roman"/>
                <w:caps w:val="0"/>
                <w:smallCaps w:val="0"/>
                <w:color w:val="auto"/>
                <w:spacing w:val="0"/>
                <w:highlight w:val="none"/>
                <w:lang w:val="en-US" w:eastAsia="zh-CN"/>
              </w:rPr>
              <w:t>III</w:t>
            </w:r>
            <w:r>
              <w:rPr>
                <w:rFonts w:hint="default" w:ascii="Times New Roman" w:hAnsi="Times New Roman" w:eastAsia="宋体" w:cs="Times New Roman"/>
                <w:caps w:val="0"/>
                <w:smallCaps w:val="0"/>
                <w:color w:val="auto"/>
                <w:spacing w:val="0"/>
                <w:highlight w:val="none"/>
              </w:rPr>
              <w:t>类</w:t>
            </w:r>
          </w:p>
        </w:tc>
        <w:tc>
          <w:tcPr>
            <w:tcW w:w="3796" w:type="dxa"/>
            <w:tcBorders>
              <w:top w:val="single" w:color="auto" w:sz="8" w:space="0"/>
            </w:tcBorders>
            <w:vAlign w:val="center"/>
          </w:tcPr>
          <w:p w14:paraId="1E2D7036">
            <w:pPr>
              <w:pStyle w:val="66"/>
              <w:widowControl w:val="0"/>
              <w:ind w:left="0"/>
              <w:rPr>
                <w:rFonts w:ascii="Times New Roman" w:hAnsi="Times New Roman" w:eastAsia="宋体" w:cs="Times New Roman"/>
                <w:caps w:val="0"/>
                <w:smallCaps w:val="0"/>
                <w:color w:val="auto"/>
                <w:spacing w:val="0"/>
                <w:kern w:val="0"/>
                <w:highlight w:val="none"/>
              </w:rPr>
            </w:pPr>
            <w:r>
              <w:rPr>
                <w:rFonts w:hint="eastAsia" w:ascii="Times New Roman" w:hAnsi="Times New Roman" w:cs="Times New Roman"/>
                <w:caps w:val="0"/>
                <w:smallCaps w:val="0"/>
                <w:color w:val="auto"/>
                <w:spacing w:val="0"/>
                <w:highlight w:val="none"/>
                <w:lang w:val="en-US" w:eastAsia="zh-CN"/>
              </w:rPr>
              <w:t>《2024年黑龙江省生态环境质量状况》</w:t>
            </w:r>
          </w:p>
        </w:tc>
      </w:tr>
      <w:tr w14:paraId="3CC3D0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9" w:type="dxa"/>
            <w:vAlign w:val="center"/>
          </w:tcPr>
          <w:p w14:paraId="128F7E00">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2</w:t>
            </w:r>
          </w:p>
        </w:tc>
        <w:tc>
          <w:tcPr>
            <w:tcW w:w="1110" w:type="dxa"/>
            <w:vAlign w:val="center"/>
          </w:tcPr>
          <w:p w14:paraId="54970B01">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环境空气</w:t>
            </w:r>
          </w:p>
        </w:tc>
        <w:tc>
          <w:tcPr>
            <w:tcW w:w="2479" w:type="dxa"/>
            <w:vAlign w:val="center"/>
          </w:tcPr>
          <w:p w14:paraId="48F6F58A">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工业区</w:t>
            </w:r>
          </w:p>
        </w:tc>
        <w:tc>
          <w:tcPr>
            <w:tcW w:w="1025" w:type="dxa"/>
            <w:vAlign w:val="center"/>
          </w:tcPr>
          <w:p w14:paraId="4F96365A">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二类区</w:t>
            </w:r>
          </w:p>
        </w:tc>
        <w:tc>
          <w:tcPr>
            <w:tcW w:w="3843" w:type="dxa"/>
            <w:gridSpan w:val="2"/>
            <w:vAlign w:val="center"/>
          </w:tcPr>
          <w:p w14:paraId="5CA8B403">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《环境空气质量标准》（GB3095-2012）</w:t>
            </w:r>
          </w:p>
        </w:tc>
      </w:tr>
      <w:tr w14:paraId="18294E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9" w:type="dxa"/>
            <w:tcBorders>
              <w:bottom w:val="single" w:color="auto" w:sz="8" w:space="0"/>
            </w:tcBorders>
            <w:vAlign w:val="center"/>
          </w:tcPr>
          <w:p w14:paraId="21DF0F1C">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3</w:t>
            </w:r>
          </w:p>
        </w:tc>
        <w:tc>
          <w:tcPr>
            <w:tcW w:w="1110" w:type="dxa"/>
            <w:tcBorders>
              <w:bottom w:val="single" w:color="auto" w:sz="8" w:space="0"/>
            </w:tcBorders>
            <w:vAlign w:val="center"/>
          </w:tcPr>
          <w:p w14:paraId="12758CD2">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声环境</w:t>
            </w:r>
          </w:p>
        </w:tc>
        <w:tc>
          <w:tcPr>
            <w:tcW w:w="2479" w:type="dxa"/>
            <w:tcBorders>
              <w:bottom w:val="single" w:color="auto" w:sz="8" w:space="0"/>
            </w:tcBorders>
            <w:vAlign w:val="center"/>
          </w:tcPr>
          <w:p w14:paraId="7BEDA401">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工业区</w:t>
            </w:r>
          </w:p>
        </w:tc>
        <w:tc>
          <w:tcPr>
            <w:tcW w:w="1025" w:type="dxa"/>
            <w:tcBorders>
              <w:bottom w:val="single" w:color="auto" w:sz="8" w:space="0"/>
            </w:tcBorders>
            <w:vAlign w:val="center"/>
          </w:tcPr>
          <w:p w14:paraId="1B381E07">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3</w:t>
            </w:r>
            <w:r>
              <w:rPr>
                <w:rFonts w:hint="eastAsia" w:ascii="Times New Roman" w:hAnsi="Times New Roman" w:eastAsia="宋体" w:cs="Times New Roman"/>
                <w:caps w:val="0"/>
                <w:smallCaps w:val="0"/>
                <w:color w:val="auto"/>
                <w:spacing w:val="0"/>
                <w:kern w:val="0"/>
                <w:highlight w:val="none"/>
                <w:lang w:eastAsia="zh-CN"/>
              </w:rPr>
              <w:t>、</w:t>
            </w:r>
            <w:r>
              <w:rPr>
                <w:rFonts w:hint="eastAsia" w:ascii="Times New Roman" w:hAnsi="Times New Roman" w:eastAsia="宋体" w:cs="Times New Roman"/>
                <w:caps w:val="0"/>
                <w:smallCaps w:val="0"/>
                <w:color w:val="auto"/>
                <w:spacing w:val="0"/>
                <w:kern w:val="0"/>
                <w:highlight w:val="none"/>
                <w:lang w:val="en-US" w:eastAsia="zh-CN"/>
              </w:rPr>
              <w:t>4a</w:t>
            </w:r>
            <w:r>
              <w:rPr>
                <w:rFonts w:ascii="Times New Roman" w:hAnsi="Times New Roman" w:eastAsia="宋体" w:cs="Times New Roman"/>
                <w:caps w:val="0"/>
                <w:smallCaps w:val="0"/>
                <w:color w:val="auto"/>
                <w:spacing w:val="0"/>
                <w:kern w:val="0"/>
                <w:highlight w:val="none"/>
              </w:rPr>
              <w:t>类区</w:t>
            </w:r>
          </w:p>
        </w:tc>
        <w:tc>
          <w:tcPr>
            <w:tcW w:w="3843" w:type="dxa"/>
            <w:gridSpan w:val="2"/>
            <w:tcBorders>
              <w:bottom w:val="single" w:color="auto" w:sz="8" w:space="0"/>
            </w:tcBorders>
            <w:vAlign w:val="center"/>
          </w:tcPr>
          <w:p w14:paraId="74E7E389">
            <w:pPr>
              <w:pStyle w:val="66"/>
              <w:widowControl w:val="0"/>
              <w:ind w:left="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highlight w:val="none"/>
              </w:rPr>
              <w:t>《声环境质量标准》（GB3096-2008）</w:t>
            </w:r>
          </w:p>
        </w:tc>
      </w:tr>
    </w:tbl>
    <w:p w14:paraId="1483054B">
      <w:pPr>
        <w:pStyle w:val="4"/>
        <w:widowControl w:val="0"/>
        <w:spacing w:before="120" w:beforeLines="50"/>
        <w:rPr>
          <w:rFonts w:eastAsia="宋体"/>
          <w:caps w:val="0"/>
          <w:smallCaps w:val="0"/>
          <w:color w:val="auto"/>
          <w:spacing w:val="0"/>
          <w:highlight w:val="none"/>
        </w:rPr>
      </w:pPr>
      <w:bookmarkStart w:id="33" w:name="_Toc477951932"/>
      <w:bookmarkStart w:id="34" w:name="_Toc25429"/>
      <w:r>
        <w:rPr>
          <w:rFonts w:eastAsia="宋体"/>
          <w:caps w:val="0"/>
          <w:smallCaps w:val="0"/>
          <w:color w:val="auto"/>
          <w:spacing w:val="0"/>
          <w:highlight w:val="none"/>
        </w:rPr>
        <w:t>2.4评价标准</w:t>
      </w:r>
      <w:bookmarkEnd w:id="33"/>
      <w:bookmarkEnd w:id="34"/>
    </w:p>
    <w:p w14:paraId="282FDDA9">
      <w:pPr>
        <w:pStyle w:val="5"/>
        <w:widowControl w:val="0"/>
        <w:rPr>
          <w:rFonts w:eastAsia="宋体"/>
          <w:caps w:val="0"/>
          <w:smallCaps w:val="0"/>
          <w:color w:val="auto"/>
          <w:spacing w:val="0"/>
          <w:sz w:val="30"/>
          <w:szCs w:val="30"/>
          <w:highlight w:val="none"/>
        </w:rPr>
      </w:pPr>
      <w:bookmarkStart w:id="35" w:name="_Toc477951933"/>
      <w:bookmarkStart w:id="36" w:name="_Toc16924"/>
      <w:r>
        <w:rPr>
          <w:rFonts w:eastAsia="宋体"/>
          <w:caps w:val="0"/>
          <w:smallCaps w:val="0"/>
          <w:color w:val="auto"/>
          <w:spacing w:val="0"/>
          <w:sz w:val="30"/>
          <w:szCs w:val="30"/>
          <w:highlight w:val="none"/>
        </w:rPr>
        <w:t>2.4.1环境质量标准</w:t>
      </w:r>
      <w:bookmarkEnd w:id="35"/>
      <w:bookmarkEnd w:id="36"/>
    </w:p>
    <w:p w14:paraId="4C170A17">
      <w:pPr>
        <w:pStyle w:val="117"/>
        <w:numPr>
          <w:numId w:val="0"/>
        </w:numPr>
        <w:spacing w:after="0" w:line="360" w:lineRule="auto"/>
        <w:ind w:firstLine="480" w:firstLineChars="200"/>
        <w:rPr>
          <w:rFonts w:ascii="Times New Roman" w:hAnsi="Times New Roman" w:cs="Times New Roman"/>
          <w:caps w:val="0"/>
          <w:smallCaps w:val="0"/>
          <w:color w:val="auto"/>
          <w:spacing w:val="0"/>
          <w:szCs w:val="24"/>
          <w:highlight w:val="none"/>
        </w:rPr>
      </w:pPr>
      <w:r>
        <w:rPr>
          <w:rFonts w:hint="eastAsia" w:ascii="Times New Roman" w:hAnsi="Times New Roman" w:cs="Times New Roman"/>
          <w:caps w:val="0"/>
          <w:smallCaps w:val="0"/>
          <w:color w:val="auto"/>
          <w:spacing w:val="0"/>
          <w:szCs w:val="24"/>
          <w:highlight w:val="none"/>
          <w:lang w:val="en-US" w:eastAsia="zh-CN"/>
        </w:rPr>
        <w:t>1、</w:t>
      </w:r>
      <w:r>
        <w:rPr>
          <w:rFonts w:ascii="Times New Roman" w:hAnsi="Times New Roman" w:cs="Times New Roman"/>
          <w:caps w:val="0"/>
          <w:smallCaps w:val="0"/>
          <w:color w:val="auto"/>
          <w:spacing w:val="0"/>
          <w:szCs w:val="24"/>
          <w:highlight w:val="none"/>
        </w:rPr>
        <w:t>环境空气。本项目所在区域环境空气质量执行《环境空气质量标准》（GB3095－2012）中二类区标准相应限值，</w:t>
      </w:r>
      <w:r>
        <w:rPr>
          <w:rFonts w:hint="eastAsia" w:ascii="Times New Roman" w:hAnsi="Times New Roman" w:cs="Times New Roman"/>
          <w:caps w:val="0"/>
          <w:smallCaps w:val="0"/>
          <w:color w:val="auto"/>
          <w:spacing w:val="0"/>
          <w:szCs w:val="24"/>
          <w:highlight w:val="none"/>
        </w:rPr>
        <w:t>氮氧化物执行</w:t>
      </w:r>
      <w:r>
        <w:rPr>
          <w:rFonts w:ascii="Times New Roman" w:hAnsi="Times New Roman" w:cs="Times New Roman"/>
          <w:caps w:val="0"/>
          <w:smallCaps w:val="0"/>
          <w:color w:val="auto"/>
          <w:spacing w:val="0"/>
          <w:szCs w:val="24"/>
          <w:highlight w:val="none"/>
        </w:rPr>
        <w:t>《环境空气质量标准》（GB3095－2012）</w:t>
      </w:r>
      <w:r>
        <w:rPr>
          <w:rFonts w:hint="eastAsia" w:ascii="Times New Roman" w:hAnsi="Times New Roman" w:cs="Times New Roman"/>
          <w:caps w:val="0"/>
          <w:smallCaps w:val="0"/>
          <w:color w:val="auto"/>
          <w:spacing w:val="0"/>
          <w:szCs w:val="24"/>
          <w:highlight w:val="none"/>
        </w:rPr>
        <w:t>表2中二级标准24小时平均浓度限值</w:t>
      </w:r>
      <w:r>
        <w:rPr>
          <w:rFonts w:hint="eastAsia" w:ascii="Times New Roman" w:hAnsi="Times New Roman" w:cs="Times New Roman"/>
          <w:caps w:val="0"/>
          <w:smallCaps w:val="0"/>
          <w:color w:val="auto"/>
          <w:spacing w:val="0"/>
          <w:highlight w:val="none"/>
        </w:rPr>
        <w:t>；</w:t>
      </w:r>
      <w:r>
        <w:rPr>
          <w:rFonts w:ascii="Times New Roman" w:hAnsi="Times New Roman" w:cs="Times New Roman"/>
          <w:caps w:val="0"/>
          <w:smallCaps w:val="0"/>
          <w:color w:val="auto"/>
          <w:spacing w:val="0"/>
          <w:szCs w:val="24"/>
          <w:highlight w:val="none"/>
        </w:rPr>
        <w:t>非甲烷总烃执行《大气污染物综合排放标准详解》中1小时值的浓度限值要求，HCl执行《环境影响评价技术导则大气环境》附录D中</w:t>
      </w:r>
      <w:r>
        <w:rPr>
          <w:rFonts w:hint="eastAsia" w:ascii="Times New Roman" w:hAnsi="Times New Roman" w:cs="Times New Roman"/>
          <w:caps w:val="0"/>
          <w:smallCaps w:val="0"/>
          <w:color w:val="auto"/>
          <w:spacing w:val="0"/>
          <w:szCs w:val="24"/>
          <w:highlight w:val="none"/>
          <w:lang w:val="en-US" w:eastAsia="zh-CN"/>
        </w:rPr>
        <w:t>1小时</w:t>
      </w:r>
      <w:r>
        <w:rPr>
          <w:rFonts w:ascii="Times New Roman" w:hAnsi="Times New Roman" w:cs="Times New Roman"/>
          <w:caps w:val="0"/>
          <w:smallCaps w:val="0"/>
          <w:color w:val="auto"/>
          <w:spacing w:val="0"/>
          <w:szCs w:val="24"/>
          <w:highlight w:val="none"/>
        </w:rPr>
        <w:t>平均浓度限值</w:t>
      </w:r>
      <w:r>
        <w:rPr>
          <w:rFonts w:hint="eastAsia" w:ascii="Times New Roman" w:hAnsi="Times New Roman" w:cs="Times New Roman"/>
          <w:caps w:val="0"/>
          <w:smallCaps w:val="0"/>
          <w:color w:val="auto"/>
          <w:spacing w:val="0"/>
          <w:szCs w:val="24"/>
          <w:highlight w:val="none"/>
        </w:rPr>
        <w:t>，</w:t>
      </w:r>
      <w:r>
        <w:rPr>
          <w:rFonts w:hint="eastAsia" w:ascii="Times New Roman" w:hAnsi="Times New Roman" w:cs="Times New Roman"/>
          <w:caps w:val="0"/>
          <w:smallCaps w:val="0"/>
          <w:color w:val="auto"/>
          <w:spacing w:val="0"/>
          <w:szCs w:val="24"/>
          <w:highlight w:val="none"/>
        </w:rPr>
        <w:t>氨气、硫化氢及二甲苯</w:t>
      </w:r>
      <w:r>
        <w:rPr>
          <w:rFonts w:ascii="Times New Roman" w:hAnsi="Times New Roman" w:cs="Times New Roman"/>
          <w:caps w:val="0"/>
          <w:smallCaps w:val="0"/>
          <w:color w:val="auto"/>
          <w:spacing w:val="0"/>
          <w:szCs w:val="24"/>
          <w:highlight w:val="none"/>
        </w:rPr>
        <w:t>执行《环境影响评价技术导则大气环境》附录D中</w:t>
      </w:r>
      <w:r>
        <w:rPr>
          <w:rFonts w:hint="eastAsia" w:ascii="Times New Roman" w:hAnsi="Times New Roman" w:cs="Times New Roman"/>
          <w:caps w:val="0"/>
          <w:smallCaps w:val="0"/>
          <w:color w:val="auto"/>
          <w:spacing w:val="0"/>
          <w:szCs w:val="24"/>
          <w:highlight w:val="none"/>
        </w:rPr>
        <w:t>1h</w:t>
      </w:r>
      <w:r>
        <w:rPr>
          <w:rFonts w:ascii="Times New Roman" w:hAnsi="Times New Roman" w:cs="Times New Roman"/>
          <w:caps w:val="0"/>
          <w:smallCaps w:val="0"/>
          <w:color w:val="auto"/>
          <w:spacing w:val="0"/>
          <w:szCs w:val="24"/>
          <w:highlight w:val="none"/>
        </w:rPr>
        <w:t>平均浓度限值。</w:t>
      </w:r>
    </w:p>
    <w:p w14:paraId="5BC93BFC">
      <w:pPr>
        <w:pStyle w:val="117"/>
        <w:numPr>
          <w:ilvl w:val="0"/>
          <w:numId w:val="6"/>
        </w:numPr>
        <w:spacing w:after="0" w:line="360" w:lineRule="auto"/>
        <w:ind w:left="0" w:leftChars="0" w:firstLine="480" w:firstLineChars="200"/>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地表水。本项目碱性</w:t>
      </w:r>
      <w:r>
        <w:rPr>
          <w:rFonts w:hint="eastAsia" w:ascii="Times New Roman" w:hAnsi="Times New Roman" w:cs="Times New Roman"/>
          <w:caps w:val="0"/>
          <w:smallCaps w:val="0"/>
          <w:color w:val="auto"/>
          <w:spacing w:val="0"/>
          <w:szCs w:val="24"/>
          <w:highlight w:val="none"/>
        </w:rPr>
        <w:t>废水处理</w:t>
      </w:r>
      <w:r>
        <w:rPr>
          <w:rFonts w:ascii="Times New Roman" w:hAnsi="Times New Roman" w:cs="Times New Roman"/>
          <w:caps w:val="0"/>
          <w:smallCaps w:val="0"/>
          <w:color w:val="auto"/>
          <w:spacing w:val="0"/>
          <w:szCs w:val="24"/>
          <w:highlight w:val="none"/>
        </w:rPr>
        <w:t>达标后排放至开发园污水处理厂处理后排放至</w:t>
      </w:r>
      <w:r>
        <w:rPr>
          <w:rFonts w:hint="eastAsia" w:ascii="Times New Roman" w:hAnsi="Times New Roman" w:cs="Times New Roman"/>
          <w:caps w:val="0"/>
          <w:smallCaps w:val="0"/>
          <w:color w:val="auto"/>
          <w:spacing w:val="0"/>
          <w:szCs w:val="24"/>
          <w:highlight w:val="none"/>
          <w:lang w:eastAsia="zh-CN"/>
        </w:rPr>
        <w:t>铃铛麦河途经音达木河</w:t>
      </w:r>
      <w:r>
        <w:rPr>
          <w:rFonts w:ascii="Times New Roman" w:hAnsi="Times New Roman" w:cs="Times New Roman"/>
          <w:caps w:val="0"/>
          <w:smallCaps w:val="0"/>
          <w:color w:val="auto"/>
          <w:spacing w:val="0"/>
          <w:szCs w:val="24"/>
          <w:highlight w:val="none"/>
        </w:rPr>
        <w:t>最终排入松花江（</w:t>
      </w:r>
      <w:r>
        <w:rPr>
          <w:rFonts w:hint="eastAsia" w:ascii="Times New Roman" w:hAnsi="Times New Roman" w:cs="Times New Roman"/>
          <w:caps w:val="0"/>
          <w:smallCaps w:val="0"/>
          <w:color w:val="auto"/>
          <w:spacing w:val="0"/>
          <w:szCs w:val="24"/>
          <w:highlight w:val="none"/>
          <w:lang w:val="en-US" w:eastAsia="zh-CN"/>
        </w:rPr>
        <w:t>佳木斯港务局</w:t>
      </w:r>
      <w:r>
        <w:rPr>
          <w:rFonts w:ascii="Times New Roman" w:hAnsi="Times New Roman" w:cs="Times New Roman"/>
          <w:caps w:val="0"/>
          <w:smallCaps w:val="0"/>
          <w:color w:val="auto"/>
          <w:spacing w:val="0"/>
          <w:szCs w:val="24"/>
          <w:highlight w:val="none"/>
        </w:rPr>
        <w:t>－宏力村）。</w:t>
      </w:r>
      <w:r>
        <w:rPr>
          <w:rFonts w:hint="default" w:ascii="Times New Roman" w:hAnsi="Times New Roman" w:eastAsia="宋体" w:cs="Times New Roman"/>
          <w:caps w:val="0"/>
          <w:smallCaps w:val="0"/>
          <w:color w:val="auto"/>
          <w:spacing w:val="0"/>
          <w:highlight w:val="none"/>
        </w:rPr>
        <w:t>根据《全国重要江河湖泊水功能区划（2011-2030年）》，</w:t>
      </w:r>
      <w:r>
        <w:rPr>
          <w:rFonts w:hint="default" w:ascii="Times New Roman" w:hAnsi="Times New Roman" w:eastAsia="宋体" w:cs="Times New Roman"/>
          <w:caps w:val="0"/>
          <w:smallCaps w:val="0"/>
          <w:color w:val="auto"/>
          <w:spacing w:val="0"/>
          <w:highlight w:val="none"/>
          <w:lang w:val="en-US" w:eastAsia="zh-CN"/>
        </w:rPr>
        <w:t>本项目纳污水体</w:t>
      </w:r>
      <w:r>
        <w:rPr>
          <w:rFonts w:hint="default" w:ascii="Times New Roman" w:hAnsi="Times New Roman" w:eastAsia="宋体" w:cs="Times New Roman"/>
          <w:caps w:val="0"/>
          <w:smallCaps w:val="0"/>
          <w:color w:val="auto"/>
          <w:spacing w:val="0"/>
          <w:highlight w:val="none"/>
        </w:rPr>
        <w:t>“港务局－宏力村”是松花江佳木斯市排污控制区，无地表水环境功能区划，</w:t>
      </w:r>
      <w:r>
        <w:rPr>
          <w:rFonts w:hint="eastAsia" w:ascii="Times New Roman" w:hAnsi="Times New Roman" w:cs="Times New Roman"/>
          <w:caps w:val="0"/>
          <w:smallCaps w:val="0"/>
          <w:color w:val="auto"/>
          <w:spacing w:val="0"/>
          <w:highlight w:val="none"/>
          <w:lang w:val="en-US" w:eastAsia="zh-CN"/>
        </w:rPr>
        <w:t>根据《2024年黑龙江省生态环境质量状况》</w:t>
      </w:r>
      <w:r>
        <w:rPr>
          <w:rFonts w:hint="default" w:ascii="Times New Roman" w:hAnsi="Times New Roman" w:eastAsia="宋体" w:cs="Times New Roman"/>
          <w:caps w:val="0"/>
          <w:smallCaps w:val="0"/>
          <w:color w:val="auto"/>
          <w:spacing w:val="0"/>
          <w:highlight w:val="none"/>
          <w:lang w:val="en-US" w:eastAsia="zh-CN"/>
        </w:rPr>
        <w:t>松花江佳木斯市、桦川县、富锦市农业用水区</w:t>
      </w:r>
      <w:r>
        <w:rPr>
          <w:rFonts w:hint="eastAsia" w:ascii="Times New Roman" w:hAnsi="Times New Roman" w:cs="Times New Roman"/>
          <w:caps w:val="0"/>
          <w:smallCaps w:val="0"/>
          <w:color w:val="auto"/>
          <w:spacing w:val="0"/>
          <w:highlight w:val="none"/>
          <w:lang w:val="en-US" w:eastAsia="zh-CN"/>
        </w:rPr>
        <w:t>，</w:t>
      </w:r>
      <w:r>
        <w:rPr>
          <w:rFonts w:hint="default" w:ascii="Times New Roman" w:hAnsi="Times New Roman" w:eastAsia="宋体" w:cs="Times New Roman"/>
          <w:caps w:val="0"/>
          <w:smallCaps w:val="0"/>
          <w:color w:val="auto"/>
          <w:spacing w:val="0"/>
          <w:highlight w:val="none"/>
          <w:lang w:val="en-US" w:eastAsia="zh-CN"/>
        </w:rPr>
        <w:t>中和村~富合村</w:t>
      </w:r>
      <w:r>
        <w:rPr>
          <w:rFonts w:hint="eastAsia" w:ascii="Times New Roman" w:hAnsi="Times New Roman" w:cs="Times New Roman"/>
          <w:caps w:val="0"/>
          <w:smallCaps w:val="0"/>
          <w:color w:val="auto"/>
          <w:spacing w:val="0"/>
          <w:highlight w:val="none"/>
          <w:lang w:val="en-US" w:eastAsia="zh-CN"/>
        </w:rPr>
        <w:t>及</w:t>
      </w:r>
      <w:r>
        <w:rPr>
          <w:rFonts w:hint="default" w:ascii="Times New Roman" w:hAnsi="Times New Roman" w:eastAsia="宋体" w:cs="Times New Roman"/>
          <w:caps w:val="0"/>
          <w:smallCaps w:val="0"/>
          <w:color w:val="auto"/>
          <w:spacing w:val="0"/>
          <w:highlight w:val="none"/>
          <w:lang w:val="en-US" w:eastAsia="zh-CN"/>
        </w:rPr>
        <w:t>国家地表水考核断面佳木斯下</w:t>
      </w:r>
      <w:r>
        <w:rPr>
          <w:rFonts w:hint="eastAsia" w:ascii="Times New Roman" w:hAnsi="Times New Roman" w:cs="Times New Roman"/>
          <w:caps w:val="0"/>
          <w:smallCaps w:val="0"/>
          <w:color w:val="auto"/>
          <w:spacing w:val="0"/>
          <w:highlight w:val="none"/>
          <w:lang w:val="en-US" w:eastAsia="zh-CN"/>
        </w:rPr>
        <w:t>，水功能区和国家地表水考核断面水质目标均为III类，</w:t>
      </w:r>
      <w:r>
        <w:rPr>
          <w:rFonts w:hint="default" w:ascii="Times New Roman" w:hAnsi="Times New Roman" w:eastAsia="宋体" w:cs="Times New Roman"/>
          <w:caps w:val="0"/>
          <w:smallCaps w:val="0"/>
          <w:color w:val="auto"/>
          <w:spacing w:val="0"/>
          <w:highlight w:val="none"/>
        </w:rPr>
        <w:t>地表水环境功能区划为</w:t>
      </w:r>
      <w:r>
        <w:rPr>
          <w:rFonts w:hint="eastAsia" w:ascii="Times New Roman" w:hAnsi="Times New Roman" w:cs="Times New Roman"/>
          <w:caps w:val="0"/>
          <w:smallCaps w:val="0"/>
          <w:color w:val="auto"/>
          <w:spacing w:val="0"/>
          <w:highlight w:val="none"/>
          <w:lang w:val="en-US" w:eastAsia="zh-CN"/>
        </w:rPr>
        <w:t>III</w:t>
      </w:r>
      <w:r>
        <w:rPr>
          <w:rFonts w:hint="default" w:ascii="Times New Roman" w:hAnsi="Times New Roman" w:eastAsia="宋体" w:cs="Times New Roman"/>
          <w:caps w:val="0"/>
          <w:smallCaps w:val="0"/>
          <w:color w:val="auto"/>
          <w:spacing w:val="0"/>
          <w:highlight w:val="none"/>
        </w:rPr>
        <w:t>类。</w:t>
      </w:r>
    </w:p>
    <w:p w14:paraId="4C7D3B1B">
      <w:pPr>
        <w:pStyle w:val="117"/>
        <w:spacing w:after="0" w:line="360" w:lineRule="auto"/>
        <w:ind w:firstLine="468"/>
        <w:rPr>
          <w:rFonts w:ascii="Times New Roman" w:hAnsi="Times New Roman" w:cs="Times New Roman"/>
          <w:bCs/>
          <w:caps w:val="0"/>
          <w:smallCaps w:val="0"/>
          <w:color w:val="auto"/>
          <w:spacing w:val="0"/>
          <w:kern w:val="0"/>
          <w:highlight w:val="none"/>
        </w:rPr>
      </w:pPr>
      <w:r>
        <w:rPr>
          <w:rFonts w:ascii="Times New Roman" w:hAnsi="Times New Roman" w:cs="Times New Roman"/>
          <w:caps w:val="0"/>
          <w:smallCaps w:val="0"/>
          <w:color w:val="auto"/>
          <w:spacing w:val="0"/>
          <w:szCs w:val="24"/>
          <w:highlight w:val="none"/>
        </w:rPr>
        <w:t>3、声环境。</w:t>
      </w:r>
      <w:r>
        <w:rPr>
          <w:rFonts w:hint="default" w:ascii="Times New Roman" w:hAnsi="Times New Roman" w:cs="Times New Roman"/>
          <w:caps w:val="0"/>
          <w:smallCaps w:val="0"/>
          <w:color w:val="auto"/>
          <w:spacing w:val="0"/>
          <w:highlight w:val="none"/>
        </w:rPr>
        <w:t>本项目在《佳木斯市城市噪声功能区划》内，为3类声环境功能区，</w:t>
      </w:r>
      <w:r>
        <w:rPr>
          <w:rFonts w:hint="default" w:ascii="Times New Roman" w:hAnsi="Times New Roman" w:cs="Times New Roman"/>
          <w:caps w:val="0"/>
          <w:smallCaps w:val="0"/>
          <w:color w:val="auto"/>
          <w:spacing w:val="0"/>
          <w:highlight w:val="none"/>
          <w:lang w:val="en-US" w:eastAsia="zh-CN"/>
        </w:rPr>
        <w:t>北侧和西侧</w:t>
      </w:r>
      <w:r>
        <w:rPr>
          <w:rFonts w:hint="default" w:ascii="Times New Roman" w:hAnsi="Times New Roman" w:cs="Times New Roman"/>
          <w:caps w:val="0"/>
          <w:smallCaps w:val="0"/>
          <w:color w:val="auto"/>
          <w:spacing w:val="0"/>
          <w:highlight w:val="none"/>
        </w:rPr>
        <w:t>执行</w:t>
      </w:r>
      <w:r>
        <w:rPr>
          <w:rFonts w:hint="default" w:ascii="Times New Roman" w:hAnsi="Times New Roman" w:cs="Times New Roman"/>
          <w:bCs/>
          <w:caps w:val="0"/>
          <w:smallCaps w:val="0"/>
          <w:color w:val="auto"/>
          <w:spacing w:val="0"/>
          <w:kern w:val="0"/>
          <w:highlight w:val="none"/>
        </w:rPr>
        <w:t>《声环境质量标准》（GB3096-2008）3类限值要求</w:t>
      </w:r>
      <w:r>
        <w:rPr>
          <w:rFonts w:hint="default" w:ascii="Times New Roman" w:hAnsi="Times New Roman" w:cs="Times New Roman"/>
          <w:bCs/>
          <w:caps w:val="0"/>
          <w:smallCaps w:val="0"/>
          <w:color w:val="auto"/>
          <w:spacing w:val="0"/>
          <w:kern w:val="0"/>
          <w:highlight w:val="none"/>
          <w:lang w:eastAsia="zh-CN"/>
        </w:rPr>
        <w:t>；</w:t>
      </w:r>
      <w:r>
        <w:rPr>
          <w:rFonts w:hint="default" w:ascii="Times New Roman" w:hAnsi="Times New Roman" w:cs="Times New Roman"/>
          <w:bCs/>
          <w:caps w:val="0"/>
          <w:smallCaps w:val="0"/>
          <w:color w:val="auto"/>
          <w:spacing w:val="0"/>
          <w:kern w:val="0"/>
          <w:highlight w:val="none"/>
          <w:lang w:val="en-US" w:eastAsia="zh-CN"/>
        </w:rPr>
        <w:t>南侧和东侧</w:t>
      </w:r>
      <w:r>
        <w:rPr>
          <w:rFonts w:hint="default" w:ascii="Times New Roman" w:hAnsi="Times New Roman" w:eastAsia="宋体" w:cs="Times New Roman"/>
          <w:caps w:val="0"/>
          <w:smallCaps w:val="0"/>
          <w:color w:val="auto"/>
          <w:spacing w:val="0"/>
          <w:highlight w:val="none"/>
          <w:lang w:val="en-US" w:eastAsia="zh-CN"/>
        </w:rPr>
        <w:t>距离中华路和乌苏里江街分别为13m和20m</w:t>
      </w:r>
      <w:r>
        <w:rPr>
          <w:rFonts w:hint="default" w:ascii="Times New Roman" w:hAnsi="Times New Roman" w:cs="Times New Roman"/>
          <w:caps w:val="0"/>
          <w:smallCaps w:val="0"/>
          <w:color w:val="auto"/>
          <w:spacing w:val="0"/>
          <w:highlight w:val="none"/>
          <w:lang w:val="en-US" w:eastAsia="zh-CN"/>
        </w:rPr>
        <w:t>，</w:t>
      </w:r>
      <w:r>
        <w:rPr>
          <w:rFonts w:hint="default" w:ascii="Times New Roman" w:hAnsi="Times New Roman" w:eastAsia="宋体" w:cs="Times New Roman"/>
          <w:caps w:val="0"/>
          <w:smallCaps w:val="0"/>
          <w:color w:val="auto"/>
          <w:spacing w:val="0"/>
          <w:highlight w:val="none"/>
          <w:lang w:val="en-US" w:eastAsia="zh-CN"/>
        </w:rPr>
        <w:t>中华路和乌苏里江街</w:t>
      </w:r>
      <w:r>
        <w:rPr>
          <w:rFonts w:hint="default" w:ascii="Times New Roman" w:hAnsi="Times New Roman" w:cs="Times New Roman"/>
          <w:caps w:val="0"/>
          <w:smallCaps w:val="0"/>
          <w:color w:val="auto"/>
          <w:spacing w:val="0"/>
          <w:highlight w:val="none"/>
          <w:lang w:val="en-US" w:eastAsia="zh-CN"/>
        </w:rPr>
        <w:t>均属于交通干线，因此</w:t>
      </w:r>
      <w:r>
        <w:rPr>
          <w:rFonts w:hint="default" w:ascii="Times New Roman" w:hAnsi="Times New Roman" w:cs="Times New Roman"/>
          <w:bCs/>
          <w:caps w:val="0"/>
          <w:smallCaps w:val="0"/>
          <w:color w:val="auto"/>
          <w:spacing w:val="0"/>
          <w:kern w:val="0"/>
          <w:highlight w:val="none"/>
          <w:lang w:val="en-US" w:eastAsia="zh-CN"/>
        </w:rPr>
        <w:t>南侧和东侧</w:t>
      </w:r>
      <w:r>
        <w:rPr>
          <w:rFonts w:hint="default" w:ascii="Times New Roman" w:hAnsi="Times New Roman" w:cs="Times New Roman"/>
          <w:caps w:val="0"/>
          <w:smallCaps w:val="0"/>
          <w:color w:val="auto"/>
          <w:spacing w:val="0"/>
          <w:highlight w:val="none"/>
        </w:rPr>
        <w:t>执行</w:t>
      </w:r>
      <w:r>
        <w:rPr>
          <w:rFonts w:hint="default" w:ascii="Times New Roman" w:hAnsi="Times New Roman" w:cs="Times New Roman"/>
          <w:bCs/>
          <w:caps w:val="0"/>
          <w:smallCaps w:val="0"/>
          <w:color w:val="auto"/>
          <w:spacing w:val="0"/>
          <w:kern w:val="0"/>
          <w:highlight w:val="none"/>
        </w:rPr>
        <w:t>《声环境质量标准》（GB3096-2008）</w:t>
      </w:r>
      <w:r>
        <w:rPr>
          <w:rFonts w:hint="default" w:ascii="Times New Roman" w:hAnsi="Times New Roman" w:cs="Times New Roman"/>
          <w:bCs/>
          <w:caps w:val="0"/>
          <w:smallCaps w:val="0"/>
          <w:color w:val="auto"/>
          <w:spacing w:val="0"/>
          <w:kern w:val="0"/>
          <w:highlight w:val="none"/>
          <w:lang w:val="en-US" w:eastAsia="zh-CN"/>
        </w:rPr>
        <w:t>4a</w:t>
      </w:r>
      <w:r>
        <w:rPr>
          <w:rFonts w:hint="default" w:ascii="Times New Roman" w:hAnsi="Times New Roman" w:cs="Times New Roman"/>
          <w:bCs/>
          <w:caps w:val="0"/>
          <w:smallCaps w:val="0"/>
          <w:color w:val="auto"/>
          <w:spacing w:val="0"/>
          <w:kern w:val="0"/>
          <w:highlight w:val="none"/>
        </w:rPr>
        <w:t>类限值要</w:t>
      </w:r>
      <w:r>
        <w:rPr>
          <w:rFonts w:ascii="Times New Roman" w:hAnsi="Times New Roman" w:cs="Times New Roman"/>
          <w:bCs/>
          <w:caps w:val="0"/>
          <w:smallCaps w:val="0"/>
          <w:color w:val="auto"/>
          <w:spacing w:val="0"/>
          <w:kern w:val="0"/>
          <w:highlight w:val="none"/>
        </w:rPr>
        <w:t>求。</w:t>
      </w:r>
    </w:p>
    <w:p w14:paraId="29404439">
      <w:pPr>
        <w:pStyle w:val="117"/>
        <w:spacing w:after="0" w:line="360" w:lineRule="auto"/>
        <w:ind w:firstLine="468"/>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4、地下水。本项目所在区域地下水环境质量执行《地下水质量标准》（GB/T14848-2017）中Ⅲ类标准。</w:t>
      </w:r>
    </w:p>
    <w:p w14:paraId="6982506D">
      <w:pPr>
        <w:pStyle w:val="117"/>
        <w:spacing w:after="0" w:line="360" w:lineRule="auto"/>
        <w:ind w:firstLine="468"/>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5、土壤。本项目评价范围厂址土壤环境执行《</w:t>
      </w:r>
      <w:r>
        <w:rPr>
          <w:caps w:val="0"/>
          <w:smallCaps w:val="0"/>
          <w:color w:val="auto"/>
          <w:spacing w:val="0"/>
          <w:highlight w:val="none"/>
        </w:rPr>
        <w:fldChar w:fldCharType="begin"/>
      </w:r>
      <w:r>
        <w:rPr>
          <w:caps w:val="0"/>
          <w:smallCaps w:val="0"/>
          <w:color w:val="auto"/>
          <w:spacing w:val="0"/>
          <w:highlight w:val="none"/>
        </w:rPr>
        <w:instrText xml:space="preserve"> HYPERLINK "https://www.mee.gov.cn/ywgz/fgbz/bz/bzwb/trhj/201807/W020190626596188930731.pdf" </w:instrText>
      </w:r>
      <w:r>
        <w:rPr>
          <w:caps w:val="0"/>
          <w:smallCaps w:val="0"/>
          <w:color w:val="auto"/>
          <w:spacing w:val="0"/>
          <w:highlight w:val="none"/>
        </w:rPr>
        <w:fldChar w:fldCharType="separate"/>
      </w:r>
      <w:r>
        <w:rPr>
          <w:rFonts w:ascii="Times New Roman" w:hAnsi="Times New Roman" w:cs="Times New Roman"/>
          <w:caps w:val="0"/>
          <w:smallCaps w:val="0"/>
          <w:color w:val="auto"/>
          <w:spacing w:val="0"/>
          <w:szCs w:val="24"/>
          <w:highlight w:val="none"/>
        </w:rPr>
        <w:t>土壤环境质量建设用地土壤污染风险管控标准（试行）</w:t>
      </w:r>
      <w:r>
        <w:rPr>
          <w:rFonts w:ascii="Times New Roman" w:hAnsi="Times New Roman" w:cs="Times New Roman"/>
          <w:caps w:val="0"/>
          <w:smallCaps w:val="0"/>
          <w:color w:val="auto"/>
          <w:spacing w:val="0"/>
          <w:szCs w:val="24"/>
          <w:highlight w:val="none"/>
        </w:rPr>
        <w:fldChar w:fldCharType="end"/>
      </w:r>
      <w:r>
        <w:rPr>
          <w:rFonts w:ascii="Times New Roman" w:hAnsi="Times New Roman" w:cs="Times New Roman"/>
          <w:caps w:val="0"/>
          <w:smallCaps w:val="0"/>
          <w:color w:val="auto"/>
          <w:spacing w:val="0"/>
          <w:szCs w:val="24"/>
          <w:highlight w:val="none"/>
        </w:rPr>
        <w:t>》(GB36600—2018)中</w:t>
      </w:r>
      <w:r>
        <w:rPr>
          <w:rFonts w:ascii="Times New Roman" w:hAnsi="Times New Roman" w:cs="Times New Roman"/>
          <w:caps w:val="0"/>
          <w:smallCaps w:val="0"/>
          <w:color w:val="auto"/>
          <w:spacing w:val="0"/>
          <w:highlight w:val="none"/>
        </w:rPr>
        <w:t>第二类用地筛选值</w:t>
      </w:r>
      <w:r>
        <w:rPr>
          <w:rFonts w:ascii="Times New Roman" w:hAnsi="Times New Roman" w:cs="Times New Roman"/>
          <w:caps w:val="0"/>
          <w:smallCaps w:val="0"/>
          <w:color w:val="auto"/>
          <w:spacing w:val="0"/>
          <w:szCs w:val="24"/>
          <w:highlight w:val="none"/>
        </w:rPr>
        <w:t>标准。</w:t>
      </w:r>
    </w:p>
    <w:p w14:paraId="0D8FD224">
      <w:pPr>
        <w:pStyle w:val="117"/>
        <w:spacing w:after="0" w:line="360" w:lineRule="auto"/>
        <w:ind w:firstLine="468"/>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具体限值见表2.4-1。</w:t>
      </w:r>
    </w:p>
    <w:p w14:paraId="3A59AE81">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表2.4-1环境质量标准一览表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800"/>
        <w:gridCol w:w="2246"/>
        <w:gridCol w:w="1978"/>
        <w:gridCol w:w="1797"/>
        <w:gridCol w:w="1194"/>
        <w:gridCol w:w="1271"/>
      </w:tblGrid>
      <w:tr w14:paraId="45DFD42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PrEx>
        <w:trPr>
          <w:trHeight w:val="397" w:hRule="atLeast"/>
          <w:jc w:val="center"/>
        </w:trPr>
        <w:tc>
          <w:tcPr>
            <w:tcW w:w="800" w:type="dxa"/>
            <w:vMerge w:val="restart"/>
            <w:tcBorders>
              <w:top w:val="single" w:color="auto" w:sz="8" w:space="0"/>
              <w:tl2br w:val="nil"/>
              <w:tr2bl w:val="nil"/>
            </w:tcBorders>
            <w:vAlign w:val="center"/>
          </w:tcPr>
          <w:p w14:paraId="00207C51">
            <w:pPr>
              <w:pStyle w:val="66"/>
              <w:widowControl w:val="0"/>
              <w:ind w:left="0"/>
              <w:rPr>
                <w:rFonts w:ascii="Times New Roman" w:hAnsi="Times New Roman" w:eastAsia="宋体" w:cs="Times New Roman"/>
                <w:b/>
                <w:caps w:val="0"/>
                <w:smallCaps w:val="0"/>
                <w:color w:val="auto"/>
                <w:spacing w:val="0"/>
                <w:kern w:val="0"/>
                <w:szCs w:val="21"/>
                <w:highlight w:val="none"/>
              </w:rPr>
            </w:pPr>
            <w:r>
              <w:rPr>
                <w:rFonts w:ascii="Times New Roman" w:hAnsi="Times New Roman" w:eastAsia="宋体" w:cs="Times New Roman"/>
                <w:b/>
                <w:caps w:val="0"/>
                <w:smallCaps w:val="0"/>
                <w:color w:val="auto"/>
                <w:spacing w:val="0"/>
                <w:kern w:val="0"/>
                <w:szCs w:val="21"/>
                <w:highlight w:val="none"/>
              </w:rPr>
              <w:t>类别</w:t>
            </w:r>
          </w:p>
        </w:tc>
        <w:tc>
          <w:tcPr>
            <w:tcW w:w="2246" w:type="dxa"/>
            <w:vMerge w:val="restart"/>
            <w:tcBorders>
              <w:top w:val="single" w:color="auto" w:sz="8" w:space="0"/>
              <w:tl2br w:val="nil"/>
              <w:tr2bl w:val="nil"/>
            </w:tcBorders>
            <w:vAlign w:val="center"/>
          </w:tcPr>
          <w:p w14:paraId="56F6A41D">
            <w:pPr>
              <w:pStyle w:val="66"/>
              <w:widowControl w:val="0"/>
              <w:ind w:left="0"/>
              <w:rPr>
                <w:rFonts w:ascii="Times New Roman" w:hAnsi="Times New Roman" w:eastAsia="宋体" w:cs="Times New Roman"/>
                <w:b/>
                <w:caps w:val="0"/>
                <w:smallCaps w:val="0"/>
                <w:color w:val="auto"/>
                <w:spacing w:val="0"/>
                <w:kern w:val="0"/>
                <w:szCs w:val="21"/>
                <w:highlight w:val="none"/>
              </w:rPr>
            </w:pPr>
            <w:r>
              <w:rPr>
                <w:rFonts w:ascii="Times New Roman" w:hAnsi="Times New Roman" w:eastAsia="宋体" w:cs="Times New Roman"/>
                <w:b/>
                <w:caps w:val="0"/>
                <w:smallCaps w:val="0"/>
                <w:color w:val="auto"/>
                <w:spacing w:val="0"/>
                <w:kern w:val="0"/>
                <w:szCs w:val="21"/>
                <w:highlight w:val="none"/>
              </w:rPr>
              <w:t>标准名称及级（类）别</w:t>
            </w:r>
          </w:p>
        </w:tc>
        <w:tc>
          <w:tcPr>
            <w:tcW w:w="1978" w:type="dxa"/>
            <w:vMerge w:val="restart"/>
            <w:tcBorders>
              <w:top w:val="single" w:color="auto" w:sz="8" w:space="0"/>
              <w:tl2br w:val="nil"/>
              <w:tr2bl w:val="nil"/>
            </w:tcBorders>
            <w:vAlign w:val="center"/>
          </w:tcPr>
          <w:p w14:paraId="60B1A083">
            <w:pPr>
              <w:pStyle w:val="66"/>
              <w:widowControl w:val="0"/>
              <w:ind w:left="0"/>
              <w:rPr>
                <w:rFonts w:ascii="Times New Roman" w:hAnsi="Times New Roman" w:eastAsia="宋体" w:cs="Times New Roman"/>
                <w:b/>
                <w:caps w:val="0"/>
                <w:smallCaps w:val="0"/>
                <w:color w:val="auto"/>
                <w:spacing w:val="0"/>
                <w:kern w:val="0"/>
                <w:szCs w:val="21"/>
                <w:highlight w:val="none"/>
              </w:rPr>
            </w:pPr>
            <w:r>
              <w:rPr>
                <w:rFonts w:ascii="Times New Roman" w:hAnsi="Times New Roman" w:eastAsia="宋体" w:cs="Times New Roman"/>
                <w:b/>
                <w:caps w:val="0"/>
                <w:smallCaps w:val="0"/>
                <w:color w:val="auto"/>
                <w:spacing w:val="0"/>
                <w:kern w:val="0"/>
                <w:szCs w:val="21"/>
                <w:highlight w:val="none"/>
              </w:rPr>
              <w:t>污染因子</w:t>
            </w:r>
          </w:p>
        </w:tc>
        <w:tc>
          <w:tcPr>
            <w:tcW w:w="4262" w:type="dxa"/>
            <w:gridSpan w:val="3"/>
            <w:tcBorders>
              <w:top w:val="single" w:color="auto" w:sz="8" w:space="0"/>
              <w:tl2br w:val="nil"/>
              <w:tr2bl w:val="nil"/>
            </w:tcBorders>
            <w:vAlign w:val="center"/>
          </w:tcPr>
          <w:p w14:paraId="2E0B4725">
            <w:pPr>
              <w:pStyle w:val="66"/>
              <w:widowControl w:val="0"/>
              <w:ind w:left="0"/>
              <w:rPr>
                <w:rFonts w:ascii="Times New Roman" w:hAnsi="Times New Roman" w:eastAsia="宋体" w:cs="Times New Roman"/>
                <w:b/>
                <w:caps w:val="0"/>
                <w:smallCaps w:val="0"/>
                <w:color w:val="auto"/>
                <w:spacing w:val="0"/>
                <w:kern w:val="0"/>
                <w:szCs w:val="21"/>
                <w:highlight w:val="none"/>
              </w:rPr>
            </w:pPr>
            <w:r>
              <w:rPr>
                <w:rFonts w:ascii="Times New Roman" w:hAnsi="Times New Roman" w:eastAsia="宋体" w:cs="Times New Roman"/>
                <w:b/>
                <w:caps w:val="0"/>
                <w:smallCaps w:val="0"/>
                <w:color w:val="auto"/>
                <w:spacing w:val="0"/>
                <w:kern w:val="0"/>
                <w:szCs w:val="21"/>
                <w:highlight w:val="none"/>
              </w:rPr>
              <w:t>标准值</w:t>
            </w:r>
          </w:p>
        </w:tc>
      </w:tr>
      <w:tr w14:paraId="4D3EFEF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4C16C44">
            <w:pPr>
              <w:pStyle w:val="66"/>
              <w:widowControl w:val="0"/>
              <w:ind w:left="0"/>
              <w:rPr>
                <w:rFonts w:ascii="Times New Roman" w:hAnsi="Times New Roman" w:eastAsia="宋体" w:cs="Times New Roman"/>
                <w:b/>
                <w:caps w:val="0"/>
                <w:smallCaps w:val="0"/>
                <w:color w:val="auto"/>
                <w:spacing w:val="0"/>
                <w:kern w:val="0"/>
                <w:szCs w:val="21"/>
                <w:highlight w:val="none"/>
              </w:rPr>
            </w:pPr>
          </w:p>
        </w:tc>
        <w:tc>
          <w:tcPr>
            <w:tcW w:w="2246" w:type="dxa"/>
            <w:vMerge w:val="continue"/>
            <w:tcBorders>
              <w:tl2br w:val="nil"/>
              <w:tr2bl w:val="nil"/>
            </w:tcBorders>
            <w:vAlign w:val="center"/>
          </w:tcPr>
          <w:p w14:paraId="6360B395">
            <w:pPr>
              <w:pStyle w:val="66"/>
              <w:widowControl w:val="0"/>
              <w:ind w:left="0"/>
              <w:rPr>
                <w:rFonts w:ascii="Times New Roman" w:hAnsi="Times New Roman" w:eastAsia="宋体" w:cs="Times New Roman"/>
                <w:b/>
                <w:caps w:val="0"/>
                <w:smallCaps w:val="0"/>
                <w:color w:val="auto"/>
                <w:spacing w:val="0"/>
                <w:kern w:val="0"/>
                <w:szCs w:val="21"/>
                <w:highlight w:val="none"/>
              </w:rPr>
            </w:pPr>
          </w:p>
        </w:tc>
        <w:tc>
          <w:tcPr>
            <w:tcW w:w="1978" w:type="dxa"/>
            <w:vMerge w:val="continue"/>
            <w:tcBorders>
              <w:tl2br w:val="nil"/>
              <w:tr2bl w:val="nil"/>
            </w:tcBorders>
            <w:vAlign w:val="center"/>
          </w:tcPr>
          <w:p w14:paraId="26A98E20">
            <w:pPr>
              <w:pStyle w:val="66"/>
              <w:widowControl w:val="0"/>
              <w:ind w:left="0"/>
              <w:rPr>
                <w:rFonts w:ascii="Times New Roman" w:hAnsi="Times New Roman" w:eastAsia="宋体" w:cs="Times New Roman"/>
                <w:b/>
                <w:caps w:val="0"/>
                <w:smallCaps w:val="0"/>
                <w:color w:val="auto"/>
                <w:spacing w:val="0"/>
                <w:kern w:val="0"/>
                <w:szCs w:val="21"/>
                <w:highlight w:val="none"/>
              </w:rPr>
            </w:pPr>
          </w:p>
        </w:tc>
        <w:tc>
          <w:tcPr>
            <w:tcW w:w="2991" w:type="dxa"/>
            <w:gridSpan w:val="2"/>
            <w:tcBorders>
              <w:tl2br w:val="nil"/>
              <w:tr2bl w:val="nil"/>
            </w:tcBorders>
            <w:vAlign w:val="center"/>
          </w:tcPr>
          <w:p w14:paraId="23AE0F10">
            <w:pPr>
              <w:pStyle w:val="66"/>
              <w:widowControl w:val="0"/>
              <w:ind w:left="0"/>
              <w:rPr>
                <w:rFonts w:ascii="Times New Roman" w:hAnsi="Times New Roman" w:eastAsia="宋体" w:cs="Times New Roman"/>
                <w:b/>
                <w:caps w:val="0"/>
                <w:smallCaps w:val="0"/>
                <w:color w:val="auto"/>
                <w:spacing w:val="0"/>
                <w:kern w:val="0"/>
                <w:szCs w:val="21"/>
                <w:highlight w:val="none"/>
              </w:rPr>
            </w:pPr>
            <w:r>
              <w:rPr>
                <w:rFonts w:ascii="Times New Roman" w:hAnsi="Times New Roman" w:eastAsia="宋体" w:cs="Times New Roman"/>
                <w:b/>
                <w:caps w:val="0"/>
                <w:smallCaps w:val="0"/>
                <w:color w:val="auto"/>
                <w:spacing w:val="0"/>
                <w:kern w:val="0"/>
                <w:szCs w:val="21"/>
                <w:highlight w:val="none"/>
              </w:rPr>
              <w:t>单位</w:t>
            </w:r>
          </w:p>
        </w:tc>
        <w:tc>
          <w:tcPr>
            <w:tcW w:w="1271" w:type="dxa"/>
            <w:tcBorders>
              <w:tl2br w:val="nil"/>
              <w:tr2bl w:val="nil"/>
            </w:tcBorders>
            <w:vAlign w:val="center"/>
          </w:tcPr>
          <w:p w14:paraId="05671264">
            <w:pPr>
              <w:pStyle w:val="66"/>
              <w:widowControl w:val="0"/>
              <w:ind w:left="0"/>
              <w:rPr>
                <w:rFonts w:ascii="Times New Roman" w:hAnsi="Times New Roman" w:eastAsia="宋体" w:cs="Times New Roman"/>
                <w:b/>
                <w:caps w:val="0"/>
                <w:smallCaps w:val="0"/>
                <w:color w:val="auto"/>
                <w:spacing w:val="0"/>
                <w:kern w:val="0"/>
                <w:szCs w:val="21"/>
                <w:highlight w:val="none"/>
              </w:rPr>
            </w:pPr>
            <w:r>
              <w:rPr>
                <w:rFonts w:ascii="Times New Roman" w:hAnsi="Times New Roman" w:eastAsia="宋体" w:cs="Times New Roman"/>
                <w:b/>
                <w:caps w:val="0"/>
                <w:smallCaps w:val="0"/>
                <w:color w:val="auto"/>
                <w:spacing w:val="0"/>
                <w:kern w:val="0"/>
                <w:szCs w:val="21"/>
                <w:highlight w:val="none"/>
              </w:rPr>
              <w:t>数值</w:t>
            </w:r>
          </w:p>
        </w:tc>
      </w:tr>
      <w:tr w14:paraId="2A3B631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restart"/>
            <w:tcBorders>
              <w:tl2br w:val="nil"/>
              <w:tr2bl w:val="nil"/>
            </w:tcBorders>
            <w:vAlign w:val="center"/>
          </w:tcPr>
          <w:p w14:paraId="10A6C27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环</w:t>
            </w:r>
          </w:p>
          <w:p w14:paraId="4E3F325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境</w:t>
            </w:r>
          </w:p>
          <w:p w14:paraId="60248DB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空</w:t>
            </w:r>
          </w:p>
          <w:p w14:paraId="2D9A66E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气</w:t>
            </w:r>
          </w:p>
        </w:tc>
        <w:tc>
          <w:tcPr>
            <w:tcW w:w="2246" w:type="dxa"/>
            <w:vMerge w:val="restart"/>
            <w:tcBorders>
              <w:tl2br w:val="nil"/>
              <w:tr2bl w:val="nil"/>
            </w:tcBorders>
            <w:vAlign w:val="center"/>
          </w:tcPr>
          <w:p w14:paraId="753C18C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《环境空气质量标准》（GB3095-2012）二级标准</w:t>
            </w:r>
          </w:p>
        </w:tc>
        <w:tc>
          <w:tcPr>
            <w:tcW w:w="1978" w:type="dxa"/>
            <w:vMerge w:val="restart"/>
            <w:tcBorders>
              <w:tl2br w:val="nil"/>
              <w:tr2bl w:val="nil"/>
            </w:tcBorders>
            <w:vAlign w:val="center"/>
          </w:tcPr>
          <w:p w14:paraId="4C91F23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SO</w:t>
            </w:r>
            <w:r>
              <w:rPr>
                <w:rFonts w:ascii="Times New Roman" w:hAnsi="Times New Roman" w:eastAsia="宋体" w:cs="Times New Roman"/>
                <w:caps w:val="0"/>
                <w:smallCaps w:val="0"/>
                <w:color w:val="auto"/>
                <w:spacing w:val="0"/>
                <w:kern w:val="0"/>
                <w:szCs w:val="21"/>
                <w:highlight w:val="none"/>
                <w:vertAlign w:val="subscript"/>
              </w:rPr>
              <w:t>2</w:t>
            </w:r>
          </w:p>
        </w:tc>
        <w:tc>
          <w:tcPr>
            <w:tcW w:w="1797" w:type="dxa"/>
            <w:tcBorders>
              <w:tl2br w:val="nil"/>
              <w:tr2bl w:val="nil"/>
            </w:tcBorders>
            <w:vAlign w:val="center"/>
          </w:tcPr>
          <w:p w14:paraId="074C0389">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年平均</w:t>
            </w:r>
          </w:p>
        </w:tc>
        <w:tc>
          <w:tcPr>
            <w:tcW w:w="1194" w:type="dxa"/>
            <w:tcBorders>
              <w:tl2br w:val="nil"/>
              <w:tr2bl w:val="nil"/>
            </w:tcBorders>
            <w:vAlign w:val="center"/>
          </w:tcPr>
          <w:p w14:paraId="62701C91">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3668197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60</w:t>
            </w:r>
          </w:p>
        </w:tc>
      </w:tr>
      <w:tr w14:paraId="67482F7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B26742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5617EA0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7591B01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5DFD05EE">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24小时平均</w:t>
            </w:r>
          </w:p>
        </w:tc>
        <w:tc>
          <w:tcPr>
            <w:tcW w:w="1194" w:type="dxa"/>
            <w:tcBorders>
              <w:tl2br w:val="nil"/>
              <w:tr2bl w:val="nil"/>
            </w:tcBorders>
            <w:vAlign w:val="center"/>
          </w:tcPr>
          <w:p w14:paraId="1DDE29C1">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0C40736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150</w:t>
            </w:r>
          </w:p>
        </w:tc>
      </w:tr>
      <w:tr w14:paraId="1ACD619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F95E07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7F2D49E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124E2FF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040743B8">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1小时</w:t>
            </w:r>
          </w:p>
        </w:tc>
        <w:tc>
          <w:tcPr>
            <w:tcW w:w="1194" w:type="dxa"/>
            <w:tcBorders>
              <w:tl2br w:val="nil"/>
              <w:tr2bl w:val="nil"/>
            </w:tcBorders>
            <w:vAlign w:val="center"/>
          </w:tcPr>
          <w:p w14:paraId="6DC330C0">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2864212D">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500</w:t>
            </w:r>
          </w:p>
        </w:tc>
      </w:tr>
      <w:tr w14:paraId="2895930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8047CFE">
            <w:pPr>
              <w:pStyle w:val="66"/>
              <w:widowControl w:val="0"/>
              <w:ind w:left="0"/>
              <w:rPr>
                <w:rFonts w:ascii="Times New Roman" w:hAnsi="Times New Roman" w:eastAsia="宋体" w:cs="Times New Roman"/>
                <w:caps w:val="0"/>
                <w:smallCaps w:val="0"/>
                <w:color w:val="auto"/>
                <w:spacing w:val="0"/>
                <w:szCs w:val="21"/>
                <w:highlight w:val="none"/>
              </w:rPr>
            </w:pPr>
          </w:p>
        </w:tc>
        <w:tc>
          <w:tcPr>
            <w:tcW w:w="2246" w:type="dxa"/>
            <w:vMerge w:val="continue"/>
            <w:tcBorders>
              <w:tl2br w:val="nil"/>
              <w:tr2bl w:val="nil"/>
            </w:tcBorders>
            <w:vAlign w:val="center"/>
          </w:tcPr>
          <w:p w14:paraId="4FEAD32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4E4DA55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NO</w:t>
            </w:r>
            <w:r>
              <w:rPr>
                <w:rFonts w:ascii="Times New Roman" w:hAnsi="Times New Roman" w:eastAsia="宋体" w:cs="Times New Roman"/>
                <w:caps w:val="0"/>
                <w:smallCaps w:val="0"/>
                <w:color w:val="auto"/>
                <w:spacing w:val="0"/>
                <w:kern w:val="0"/>
                <w:szCs w:val="21"/>
                <w:highlight w:val="none"/>
                <w:vertAlign w:val="subscript"/>
              </w:rPr>
              <w:t>2</w:t>
            </w:r>
          </w:p>
        </w:tc>
        <w:tc>
          <w:tcPr>
            <w:tcW w:w="1797" w:type="dxa"/>
            <w:tcBorders>
              <w:tl2br w:val="nil"/>
              <w:tr2bl w:val="nil"/>
            </w:tcBorders>
            <w:vAlign w:val="center"/>
          </w:tcPr>
          <w:p w14:paraId="55CA4C60">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年平均</w:t>
            </w:r>
          </w:p>
        </w:tc>
        <w:tc>
          <w:tcPr>
            <w:tcW w:w="1194" w:type="dxa"/>
            <w:tcBorders>
              <w:tl2br w:val="nil"/>
              <w:tr2bl w:val="nil"/>
            </w:tcBorders>
            <w:vAlign w:val="center"/>
          </w:tcPr>
          <w:p w14:paraId="48807920">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7823C1E7">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40</w:t>
            </w:r>
          </w:p>
        </w:tc>
      </w:tr>
      <w:tr w14:paraId="6277815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D6601BB">
            <w:pPr>
              <w:pStyle w:val="66"/>
              <w:widowControl w:val="0"/>
              <w:ind w:left="0"/>
              <w:rPr>
                <w:rFonts w:ascii="Times New Roman" w:hAnsi="Times New Roman" w:eastAsia="宋体" w:cs="Times New Roman"/>
                <w:caps w:val="0"/>
                <w:smallCaps w:val="0"/>
                <w:color w:val="auto"/>
                <w:spacing w:val="0"/>
                <w:szCs w:val="21"/>
                <w:highlight w:val="none"/>
              </w:rPr>
            </w:pPr>
          </w:p>
        </w:tc>
        <w:tc>
          <w:tcPr>
            <w:tcW w:w="2246" w:type="dxa"/>
            <w:vMerge w:val="continue"/>
            <w:tcBorders>
              <w:tl2br w:val="nil"/>
              <w:tr2bl w:val="nil"/>
            </w:tcBorders>
            <w:vAlign w:val="center"/>
          </w:tcPr>
          <w:p w14:paraId="3A14CEE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63FBEF8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39ACCC4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24小时平均</w:t>
            </w:r>
          </w:p>
        </w:tc>
        <w:tc>
          <w:tcPr>
            <w:tcW w:w="1194" w:type="dxa"/>
            <w:tcBorders>
              <w:tl2br w:val="nil"/>
              <w:tr2bl w:val="nil"/>
            </w:tcBorders>
            <w:vAlign w:val="center"/>
          </w:tcPr>
          <w:p w14:paraId="49CDD5DF">
            <w:pPr>
              <w:widowControl w:val="0"/>
              <w:jc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18B9FD3C">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80</w:t>
            </w:r>
          </w:p>
        </w:tc>
      </w:tr>
      <w:tr w14:paraId="2A42464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261C7B39">
            <w:pPr>
              <w:pStyle w:val="66"/>
              <w:widowControl w:val="0"/>
              <w:ind w:left="0"/>
              <w:rPr>
                <w:rFonts w:ascii="Times New Roman" w:hAnsi="Times New Roman" w:eastAsia="宋体" w:cs="Times New Roman"/>
                <w:caps w:val="0"/>
                <w:smallCaps w:val="0"/>
                <w:color w:val="auto"/>
                <w:spacing w:val="0"/>
                <w:szCs w:val="21"/>
                <w:highlight w:val="none"/>
              </w:rPr>
            </w:pPr>
          </w:p>
        </w:tc>
        <w:tc>
          <w:tcPr>
            <w:tcW w:w="2246" w:type="dxa"/>
            <w:vMerge w:val="continue"/>
            <w:tcBorders>
              <w:tl2br w:val="nil"/>
              <w:tr2bl w:val="nil"/>
            </w:tcBorders>
            <w:vAlign w:val="center"/>
          </w:tcPr>
          <w:p w14:paraId="7A10102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290FCC0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093252E2">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1小时</w:t>
            </w:r>
          </w:p>
        </w:tc>
        <w:tc>
          <w:tcPr>
            <w:tcW w:w="1194" w:type="dxa"/>
            <w:tcBorders>
              <w:tl2br w:val="nil"/>
              <w:tr2bl w:val="nil"/>
            </w:tcBorders>
            <w:vAlign w:val="center"/>
          </w:tcPr>
          <w:p w14:paraId="401ECD1E">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472BAA11">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200</w:t>
            </w:r>
          </w:p>
        </w:tc>
      </w:tr>
      <w:tr w14:paraId="2B94A7F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245E09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7B7FA53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141BD95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TSP</w:t>
            </w:r>
          </w:p>
        </w:tc>
        <w:tc>
          <w:tcPr>
            <w:tcW w:w="1797" w:type="dxa"/>
            <w:tcBorders>
              <w:tl2br w:val="nil"/>
              <w:tr2bl w:val="nil"/>
            </w:tcBorders>
            <w:vAlign w:val="center"/>
          </w:tcPr>
          <w:p w14:paraId="67BFB186">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年平均</w:t>
            </w:r>
          </w:p>
        </w:tc>
        <w:tc>
          <w:tcPr>
            <w:tcW w:w="1194" w:type="dxa"/>
            <w:tcBorders>
              <w:tl2br w:val="nil"/>
              <w:tr2bl w:val="nil"/>
            </w:tcBorders>
            <w:vAlign w:val="center"/>
          </w:tcPr>
          <w:p w14:paraId="70186A24">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63071841">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200</w:t>
            </w:r>
          </w:p>
        </w:tc>
      </w:tr>
      <w:tr w14:paraId="333B578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9D4F9A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0E6D05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0A314A2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2DF2246C">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24小时平均</w:t>
            </w:r>
          </w:p>
        </w:tc>
        <w:tc>
          <w:tcPr>
            <w:tcW w:w="1194" w:type="dxa"/>
            <w:tcBorders>
              <w:tl2br w:val="nil"/>
              <w:tr2bl w:val="nil"/>
            </w:tcBorders>
            <w:vAlign w:val="center"/>
          </w:tcPr>
          <w:p w14:paraId="4EF4BCD0">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53F3533F">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300</w:t>
            </w:r>
          </w:p>
        </w:tc>
      </w:tr>
      <w:tr w14:paraId="3F7860E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202400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441058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4D8C251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PM</w:t>
            </w:r>
            <w:r>
              <w:rPr>
                <w:rFonts w:ascii="Times New Roman" w:hAnsi="Times New Roman" w:eastAsia="宋体" w:cs="Times New Roman"/>
                <w:caps w:val="0"/>
                <w:smallCaps w:val="0"/>
                <w:color w:val="auto"/>
                <w:spacing w:val="0"/>
                <w:kern w:val="0"/>
                <w:szCs w:val="21"/>
                <w:highlight w:val="none"/>
                <w:vertAlign w:val="subscript"/>
              </w:rPr>
              <w:t>10</w:t>
            </w:r>
          </w:p>
        </w:tc>
        <w:tc>
          <w:tcPr>
            <w:tcW w:w="1797" w:type="dxa"/>
            <w:tcBorders>
              <w:tl2br w:val="nil"/>
              <w:tr2bl w:val="nil"/>
            </w:tcBorders>
            <w:vAlign w:val="center"/>
          </w:tcPr>
          <w:p w14:paraId="2D3B04DE">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年平均</w:t>
            </w:r>
          </w:p>
        </w:tc>
        <w:tc>
          <w:tcPr>
            <w:tcW w:w="1194" w:type="dxa"/>
            <w:tcBorders>
              <w:tl2br w:val="nil"/>
              <w:tr2bl w:val="nil"/>
            </w:tcBorders>
            <w:vAlign w:val="center"/>
          </w:tcPr>
          <w:p w14:paraId="46AAEED4">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1E9D3701">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70</w:t>
            </w:r>
          </w:p>
        </w:tc>
      </w:tr>
      <w:tr w14:paraId="04F6707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4AA2D4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33F259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5038975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3C687DB8">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24小时平均</w:t>
            </w:r>
          </w:p>
        </w:tc>
        <w:tc>
          <w:tcPr>
            <w:tcW w:w="1194" w:type="dxa"/>
            <w:tcBorders>
              <w:tl2br w:val="nil"/>
              <w:tr2bl w:val="nil"/>
            </w:tcBorders>
            <w:vAlign w:val="center"/>
          </w:tcPr>
          <w:p w14:paraId="728E5CD7">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7A23DCB3">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150</w:t>
            </w:r>
          </w:p>
        </w:tc>
      </w:tr>
      <w:tr w14:paraId="5F7788B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2FC96D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744683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339BDD7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PM</w:t>
            </w:r>
            <w:r>
              <w:rPr>
                <w:rFonts w:ascii="Times New Roman" w:hAnsi="Times New Roman" w:eastAsia="宋体" w:cs="Times New Roman"/>
                <w:caps w:val="0"/>
                <w:smallCaps w:val="0"/>
                <w:color w:val="auto"/>
                <w:spacing w:val="0"/>
                <w:kern w:val="0"/>
                <w:szCs w:val="21"/>
                <w:highlight w:val="none"/>
                <w:vertAlign w:val="subscript"/>
              </w:rPr>
              <w:t>2.5</w:t>
            </w:r>
          </w:p>
        </w:tc>
        <w:tc>
          <w:tcPr>
            <w:tcW w:w="1797" w:type="dxa"/>
            <w:tcBorders>
              <w:tl2br w:val="nil"/>
              <w:tr2bl w:val="nil"/>
            </w:tcBorders>
            <w:vAlign w:val="center"/>
          </w:tcPr>
          <w:p w14:paraId="05FB52E0">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年平均</w:t>
            </w:r>
          </w:p>
        </w:tc>
        <w:tc>
          <w:tcPr>
            <w:tcW w:w="1194" w:type="dxa"/>
            <w:tcBorders>
              <w:tl2br w:val="nil"/>
              <w:tr2bl w:val="nil"/>
            </w:tcBorders>
            <w:vAlign w:val="center"/>
          </w:tcPr>
          <w:p w14:paraId="2290911F">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5D8B6EE9">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35</w:t>
            </w:r>
          </w:p>
        </w:tc>
      </w:tr>
      <w:tr w14:paraId="7B93001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587E77F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43CE770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4F55442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tcBorders>
              <w:tl2br w:val="nil"/>
              <w:tr2bl w:val="nil"/>
            </w:tcBorders>
            <w:vAlign w:val="center"/>
          </w:tcPr>
          <w:p w14:paraId="12A0D9C4">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24小时平均</w:t>
            </w:r>
          </w:p>
        </w:tc>
        <w:tc>
          <w:tcPr>
            <w:tcW w:w="1194" w:type="dxa"/>
            <w:tcBorders>
              <w:tl2br w:val="nil"/>
              <w:tr2bl w:val="nil"/>
            </w:tcBorders>
            <w:vAlign w:val="center"/>
          </w:tcPr>
          <w:p w14:paraId="0E8D4EB9">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35BCE364">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75</w:t>
            </w:r>
          </w:p>
        </w:tc>
      </w:tr>
      <w:tr w14:paraId="64D59B2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44A4AE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C4C99F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4F73B613">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CO</w:t>
            </w:r>
          </w:p>
        </w:tc>
        <w:tc>
          <w:tcPr>
            <w:tcW w:w="1797" w:type="dxa"/>
            <w:tcBorders>
              <w:tl2br w:val="nil"/>
              <w:tr2bl w:val="nil"/>
            </w:tcBorders>
            <w:vAlign w:val="center"/>
          </w:tcPr>
          <w:p w14:paraId="6349933C">
            <w:pPr>
              <w:pStyle w:val="195"/>
              <w:widowControl w:val="0"/>
              <w:wordWrap w:val="0"/>
              <w:topLinePunct/>
              <w:adjustRightInd w:val="0"/>
              <w:snapToGrid w:val="0"/>
              <w:jc w:val="center"/>
              <w:textAlignment w:val="baseline"/>
              <w:rPr>
                <w:rFonts w:ascii="Times New Roman" w:hAnsi="Times New Roman" w:cs="Times New Roman"/>
                <w:caps w:val="0"/>
                <w:smallCaps w:val="0"/>
                <w:snapToGrid w:val="0"/>
                <w:color w:val="auto"/>
                <w:spacing w:val="0"/>
                <w:kern w:val="0"/>
                <w:sz w:val="21"/>
                <w:szCs w:val="21"/>
                <w:highlight w:val="none"/>
              </w:rPr>
            </w:pPr>
            <w:r>
              <w:rPr>
                <w:rFonts w:ascii="Times New Roman" w:hAnsi="Times New Roman" w:cs="Times New Roman"/>
                <w:caps w:val="0"/>
                <w:smallCaps w:val="0"/>
                <w:color w:val="auto"/>
                <w:spacing w:val="0"/>
                <w:sz w:val="21"/>
                <w:szCs w:val="21"/>
                <w:highlight w:val="none"/>
              </w:rPr>
              <w:t>24小时平均</w:t>
            </w:r>
          </w:p>
        </w:tc>
        <w:tc>
          <w:tcPr>
            <w:tcW w:w="1194" w:type="dxa"/>
            <w:tcBorders>
              <w:tl2br w:val="nil"/>
              <w:tr2bl w:val="nil"/>
            </w:tcBorders>
            <w:vAlign w:val="center"/>
          </w:tcPr>
          <w:p w14:paraId="4245409F">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mg/m</w:t>
            </w:r>
            <w:r>
              <w:rPr>
                <w:rFonts w:ascii="Times New Roman" w:hAnsi="Times New Roman" w:eastAsia="宋体" w:cs="Times New Roman"/>
                <w:caps w:val="0"/>
                <w:smallCaps w:val="0"/>
                <w:color w:val="auto"/>
                <w:spacing w:val="0"/>
                <w:kern w:val="0"/>
                <w:sz w:val="21"/>
                <w:highlight w:val="none"/>
                <w:vertAlign w:val="superscript"/>
              </w:rPr>
              <w:t>3</w:t>
            </w:r>
          </w:p>
        </w:tc>
        <w:tc>
          <w:tcPr>
            <w:tcW w:w="1271" w:type="dxa"/>
            <w:tcBorders>
              <w:tl2br w:val="nil"/>
              <w:tr2bl w:val="nil"/>
            </w:tcBorders>
            <w:vAlign w:val="center"/>
          </w:tcPr>
          <w:p w14:paraId="6A820FFF">
            <w:pPr>
              <w:widowControl w:val="0"/>
              <w:wordWrap w:val="0"/>
              <w:topLinePunct/>
              <w:adjustRightInd w:val="0"/>
              <w:snapToGrid w:val="0"/>
              <w:jc w:val="center"/>
              <w:textAlignment w:val="baseline"/>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4</w:t>
            </w:r>
          </w:p>
        </w:tc>
      </w:tr>
      <w:tr w14:paraId="46277BA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04D116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04F4A8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4577F594">
            <w:pPr>
              <w:widowControl w:val="0"/>
              <w:wordWrap w:val="0"/>
              <w:topLinePunct/>
              <w:adjustRightInd w:val="0"/>
              <w:snapToGrid w:val="0"/>
              <w:textAlignment w:val="baseline"/>
              <w:rPr>
                <w:rFonts w:ascii="Times New Roman" w:hAnsi="Times New Roman" w:eastAsia="宋体" w:cs="Times New Roman"/>
                <w:caps w:val="0"/>
                <w:smallCaps w:val="0"/>
                <w:color w:val="auto"/>
                <w:spacing w:val="0"/>
                <w:kern w:val="0"/>
                <w:sz w:val="21"/>
                <w:highlight w:val="none"/>
              </w:rPr>
            </w:pPr>
          </w:p>
        </w:tc>
        <w:tc>
          <w:tcPr>
            <w:tcW w:w="1797" w:type="dxa"/>
            <w:tcBorders>
              <w:tl2br w:val="nil"/>
              <w:tr2bl w:val="nil"/>
            </w:tcBorders>
            <w:vAlign w:val="center"/>
          </w:tcPr>
          <w:p w14:paraId="2E9EB09F">
            <w:pPr>
              <w:pStyle w:val="195"/>
              <w:widowControl w:val="0"/>
              <w:wordWrap w:val="0"/>
              <w:topLinePunct/>
              <w:adjustRightInd w:val="0"/>
              <w:snapToGrid w:val="0"/>
              <w:jc w:val="center"/>
              <w:textAlignment w:val="baseline"/>
              <w:rPr>
                <w:rFonts w:ascii="Times New Roman" w:hAnsi="Times New Roman" w:cs="Times New Roman"/>
                <w:caps w:val="0"/>
                <w:smallCaps w:val="0"/>
                <w:snapToGrid w:val="0"/>
                <w:color w:val="auto"/>
                <w:spacing w:val="0"/>
                <w:kern w:val="0"/>
                <w:sz w:val="21"/>
                <w:szCs w:val="21"/>
                <w:highlight w:val="none"/>
              </w:rPr>
            </w:pPr>
            <w:r>
              <w:rPr>
                <w:rFonts w:ascii="Times New Roman" w:hAnsi="Times New Roman" w:cs="Times New Roman"/>
                <w:caps w:val="0"/>
                <w:smallCaps w:val="0"/>
                <w:color w:val="auto"/>
                <w:spacing w:val="0"/>
                <w:sz w:val="21"/>
                <w:szCs w:val="21"/>
                <w:highlight w:val="none"/>
              </w:rPr>
              <w:t>1小时平均</w:t>
            </w:r>
          </w:p>
        </w:tc>
        <w:tc>
          <w:tcPr>
            <w:tcW w:w="1194" w:type="dxa"/>
            <w:tcBorders>
              <w:tl2br w:val="nil"/>
              <w:tr2bl w:val="nil"/>
            </w:tcBorders>
            <w:vAlign w:val="center"/>
          </w:tcPr>
          <w:p w14:paraId="32F39509">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mg/m</w:t>
            </w:r>
            <w:r>
              <w:rPr>
                <w:rFonts w:ascii="Times New Roman" w:hAnsi="Times New Roman" w:eastAsia="宋体" w:cs="Times New Roman"/>
                <w:caps w:val="0"/>
                <w:smallCaps w:val="0"/>
                <w:color w:val="auto"/>
                <w:spacing w:val="0"/>
                <w:kern w:val="0"/>
                <w:sz w:val="21"/>
                <w:highlight w:val="none"/>
                <w:vertAlign w:val="superscript"/>
              </w:rPr>
              <w:t>3</w:t>
            </w:r>
          </w:p>
        </w:tc>
        <w:tc>
          <w:tcPr>
            <w:tcW w:w="1271" w:type="dxa"/>
            <w:tcBorders>
              <w:tl2br w:val="nil"/>
              <w:tr2bl w:val="nil"/>
            </w:tcBorders>
            <w:vAlign w:val="center"/>
          </w:tcPr>
          <w:p w14:paraId="7627B4A3">
            <w:pPr>
              <w:widowControl w:val="0"/>
              <w:wordWrap w:val="0"/>
              <w:topLinePunct/>
              <w:adjustRightInd w:val="0"/>
              <w:snapToGrid w:val="0"/>
              <w:jc w:val="center"/>
              <w:textAlignment w:val="baseline"/>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10</w:t>
            </w:r>
          </w:p>
        </w:tc>
      </w:tr>
      <w:tr w14:paraId="48E6331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EA729A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15342FE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63CA7F24">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position w:val="1"/>
                <w:sz w:val="21"/>
                <w:highlight w:val="none"/>
              </w:rPr>
              <w:t>O</w:t>
            </w:r>
            <w:r>
              <w:rPr>
                <w:rFonts w:ascii="Times New Roman" w:hAnsi="Times New Roman" w:eastAsia="宋体" w:cs="Times New Roman"/>
                <w:caps w:val="0"/>
                <w:smallCaps w:val="0"/>
                <w:color w:val="auto"/>
                <w:spacing w:val="0"/>
                <w:position w:val="-1"/>
                <w:sz w:val="21"/>
                <w:highlight w:val="none"/>
              </w:rPr>
              <w:t>3</w:t>
            </w:r>
          </w:p>
        </w:tc>
        <w:tc>
          <w:tcPr>
            <w:tcW w:w="1797" w:type="dxa"/>
            <w:tcBorders>
              <w:tl2br w:val="nil"/>
              <w:tr2bl w:val="nil"/>
            </w:tcBorders>
            <w:vAlign w:val="center"/>
          </w:tcPr>
          <w:p w14:paraId="1883DB3A">
            <w:pPr>
              <w:pStyle w:val="195"/>
              <w:widowControl w:val="0"/>
              <w:wordWrap w:val="0"/>
              <w:topLinePunct/>
              <w:adjustRightInd w:val="0"/>
              <w:snapToGrid w:val="0"/>
              <w:jc w:val="center"/>
              <w:textAlignment w:val="baseline"/>
              <w:rPr>
                <w:rFonts w:ascii="Times New Roman" w:hAnsi="Times New Roman" w:cs="Times New Roman"/>
                <w:caps w:val="0"/>
                <w:smallCaps w:val="0"/>
                <w:snapToGrid w:val="0"/>
                <w:color w:val="auto"/>
                <w:spacing w:val="0"/>
                <w:kern w:val="0"/>
                <w:sz w:val="21"/>
                <w:szCs w:val="21"/>
                <w:highlight w:val="none"/>
              </w:rPr>
            </w:pPr>
            <w:r>
              <w:rPr>
                <w:rFonts w:ascii="Times New Roman" w:hAnsi="Times New Roman" w:cs="Times New Roman"/>
                <w:caps w:val="0"/>
                <w:smallCaps w:val="0"/>
                <w:color w:val="auto"/>
                <w:spacing w:val="0"/>
                <w:sz w:val="21"/>
                <w:szCs w:val="21"/>
                <w:highlight w:val="none"/>
              </w:rPr>
              <w:t>日最大8小时平均</w:t>
            </w:r>
          </w:p>
        </w:tc>
        <w:tc>
          <w:tcPr>
            <w:tcW w:w="1194" w:type="dxa"/>
            <w:tcBorders>
              <w:tl2br w:val="nil"/>
              <w:tr2bl w:val="nil"/>
            </w:tcBorders>
            <w:vAlign w:val="center"/>
          </w:tcPr>
          <w:p w14:paraId="6FC77EB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55CBEC7E">
            <w:pPr>
              <w:widowControl w:val="0"/>
              <w:wordWrap w:val="0"/>
              <w:topLinePunct/>
              <w:adjustRightInd w:val="0"/>
              <w:snapToGrid w:val="0"/>
              <w:jc w:val="center"/>
              <w:textAlignment w:val="baseline"/>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160</w:t>
            </w:r>
          </w:p>
        </w:tc>
      </w:tr>
      <w:tr w14:paraId="1F91224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D817EA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5E81F32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0FE463BF">
            <w:pPr>
              <w:widowControl w:val="0"/>
              <w:wordWrap w:val="0"/>
              <w:topLinePunct/>
              <w:adjustRightInd w:val="0"/>
              <w:snapToGrid w:val="0"/>
              <w:textAlignment w:val="baseline"/>
              <w:rPr>
                <w:rFonts w:ascii="Times New Roman" w:hAnsi="Times New Roman" w:eastAsia="宋体" w:cs="Times New Roman"/>
                <w:caps w:val="0"/>
                <w:smallCaps w:val="0"/>
                <w:color w:val="auto"/>
                <w:spacing w:val="0"/>
                <w:kern w:val="0"/>
                <w:sz w:val="21"/>
                <w:highlight w:val="none"/>
              </w:rPr>
            </w:pPr>
          </w:p>
        </w:tc>
        <w:tc>
          <w:tcPr>
            <w:tcW w:w="1797" w:type="dxa"/>
            <w:tcBorders>
              <w:tl2br w:val="nil"/>
              <w:tr2bl w:val="nil"/>
            </w:tcBorders>
            <w:vAlign w:val="center"/>
          </w:tcPr>
          <w:p w14:paraId="6C1A0DDF">
            <w:pPr>
              <w:pStyle w:val="195"/>
              <w:widowControl w:val="0"/>
              <w:wordWrap w:val="0"/>
              <w:topLinePunct/>
              <w:adjustRightInd w:val="0"/>
              <w:snapToGrid w:val="0"/>
              <w:jc w:val="center"/>
              <w:textAlignment w:val="baseline"/>
              <w:rPr>
                <w:rFonts w:ascii="Times New Roman" w:hAnsi="Times New Roman" w:cs="Times New Roman"/>
                <w:caps w:val="0"/>
                <w:smallCaps w:val="0"/>
                <w:snapToGrid w:val="0"/>
                <w:color w:val="auto"/>
                <w:spacing w:val="0"/>
                <w:kern w:val="0"/>
                <w:sz w:val="21"/>
                <w:szCs w:val="21"/>
                <w:highlight w:val="none"/>
              </w:rPr>
            </w:pPr>
            <w:r>
              <w:rPr>
                <w:rFonts w:ascii="Times New Roman" w:hAnsi="Times New Roman" w:cs="Times New Roman"/>
                <w:caps w:val="0"/>
                <w:smallCaps w:val="0"/>
                <w:color w:val="auto"/>
                <w:spacing w:val="0"/>
                <w:sz w:val="21"/>
                <w:szCs w:val="21"/>
                <w:highlight w:val="none"/>
              </w:rPr>
              <w:t>1小时平均</w:t>
            </w:r>
          </w:p>
        </w:tc>
        <w:tc>
          <w:tcPr>
            <w:tcW w:w="1194" w:type="dxa"/>
            <w:tcBorders>
              <w:tl2br w:val="nil"/>
              <w:tr2bl w:val="nil"/>
            </w:tcBorders>
            <w:vAlign w:val="center"/>
          </w:tcPr>
          <w:p w14:paraId="7AC0968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32E39B47">
            <w:pPr>
              <w:widowControl w:val="0"/>
              <w:wordWrap w:val="0"/>
              <w:topLinePunct/>
              <w:adjustRightInd w:val="0"/>
              <w:snapToGrid w:val="0"/>
              <w:jc w:val="center"/>
              <w:textAlignment w:val="baseline"/>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200</w:t>
            </w:r>
          </w:p>
        </w:tc>
      </w:tr>
      <w:tr w14:paraId="49A56DB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3F1DE4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58E4DA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A7278F4">
            <w:pPr>
              <w:pStyle w:val="66"/>
              <w:widowControl w:val="0"/>
              <w:ind w:left="0"/>
              <w:rPr>
                <w:rFonts w:ascii="Times New Roman" w:hAnsi="Times New Roman" w:eastAsia="宋体" w:cs="Times New Roman"/>
                <w:caps w:val="0"/>
                <w:smallCaps w:val="0"/>
                <w:color w:val="auto"/>
                <w:spacing w:val="0"/>
                <w:kern w:val="0"/>
                <w:szCs w:val="21"/>
                <w:highlight w:val="none"/>
              </w:rPr>
            </w:pPr>
            <w:r>
              <w:rPr>
                <w:rFonts w:hint="eastAsia" w:ascii="Times New Roman" w:hAnsi="Times New Roman" w:eastAsia="宋体" w:cs="Times New Roman"/>
                <w:caps w:val="0"/>
                <w:smallCaps w:val="0"/>
                <w:color w:val="auto"/>
                <w:spacing w:val="0"/>
                <w:kern w:val="0"/>
                <w:szCs w:val="21"/>
                <w:highlight w:val="none"/>
              </w:rPr>
              <w:t>氮氧化物</w:t>
            </w:r>
          </w:p>
        </w:tc>
        <w:tc>
          <w:tcPr>
            <w:tcW w:w="1797" w:type="dxa"/>
            <w:tcBorders>
              <w:tl2br w:val="nil"/>
              <w:tr2bl w:val="nil"/>
            </w:tcBorders>
            <w:vAlign w:val="center"/>
          </w:tcPr>
          <w:p w14:paraId="11C74067">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hint="eastAsia" w:ascii="Times New Roman" w:hAnsi="Times New Roman" w:eastAsia="宋体" w:cs="Times New Roman"/>
                <w:caps w:val="0"/>
                <w:smallCaps w:val="0"/>
                <w:snapToGrid w:val="0"/>
                <w:color w:val="auto"/>
                <w:spacing w:val="0"/>
                <w:kern w:val="0"/>
                <w:szCs w:val="21"/>
                <w:highlight w:val="none"/>
              </w:rPr>
              <w:t>24</w:t>
            </w:r>
            <w:r>
              <w:rPr>
                <w:rFonts w:ascii="Times New Roman" w:hAnsi="Times New Roman" w:eastAsia="宋体" w:cs="Times New Roman"/>
                <w:caps w:val="0"/>
                <w:smallCaps w:val="0"/>
                <w:snapToGrid w:val="0"/>
                <w:color w:val="auto"/>
                <w:spacing w:val="0"/>
                <w:kern w:val="0"/>
                <w:szCs w:val="21"/>
                <w:highlight w:val="none"/>
              </w:rPr>
              <w:t>小时平均</w:t>
            </w:r>
          </w:p>
        </w:tc>
        <w:tc>
          <w:tcPr>
            <w:tcW w:w="1194" w:type="dxa"/>
            <w:tcBorders>
              <w:tl2br w:val="nil"/>
              <w:tr2bl w:val="nil"/>
            </w:tcBorders>
            <w:vAlign w:val="center"/>
          </w:tcPr>
          <w:p w14:paraId="0F49836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36899E8A">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hint="eastAsia" w:ascii="Times New Roman" w:hAnsi="Times New Roman" w:eastAsia="宋体" w:cs="Times New Roman"/>
                <w:caps w:val="0"/>
                <w:smallCaps w:val="0"/>
                <w:snapToGrid w:val="0"/>
                <w:color w:val="auto"/>
                <w:spacing w:val="0"/>
                <w:kern w:val="0"/>
                <w:szCs w:val="21"/>
                <w:highlight w:val="none"/>
              </w:rPr>
              <w:t>100</w:t>
            </w:r>
          </w:p>
        </w:tc>
      </w:tr>
      <w:tr w14:paraId="67E9397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AE6309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tcBorders>
              <w:tl2br w:val="nil"/>
              <w:tr2bl w:val="nil"/>
            </w:tcBorders>
            <w:vAlign w:val="center"/>
          </w:tcPr>
          <w:p w14:paraId="1FC76853">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《大气污染物综合排放标准详解》中1小时值</w:t>
            </w:r>
          </w:p>
        </w:tc>
        <w:tc>
          <w:tcPr>
            <w:tcW w:w="1978" w:type="dxa"/>
            <w:tcBorders>
              <w:tl2br w:val="nil"/>
              <w:tr2bl w:val="nil"/>
            </w:tcBorders>
            <w:vAlign w:val="center"/>
          </w:tcPr>
          <w:p w14:paraId="2D351FB8">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非甲烷总烃</w:t>
            </w:r>
          </w:p>
        </w:tc>
        <w:tc>
          <w:tcPr>
            <w:tcW w:w="1797" w:type="dxa"/>
            <w:tcBorders>
              <w:tl2br w:val="nil"/>
              <w:tr2bl w:val="nil"/>
            </w:tcBorders>
            <w:vAlign w:val="center"/>
          </w:tcPr>
          <w:p w14:paraId="73AA071A">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1小时</w:t>
            </w:r>
            <w:r>
              <w:rPr>
                <w:rFonts w:ascii="Times New Roman" w:hAnsi="Times New Roman" w:eastAsia="宋体" w:cs="Times New Roman"/>
                <w:caps w:val="0"/>
                <w:smallCaps w:val="0"/>
                <w:color w:val="auto"/>
                <w:spacing w:val="0"/>
                <w:szCs w:val="21"/>
                <w:highlight w:val="none"/>
              </w:rPr>
              <w:t>平均</w:t>
            </w:r>
          </w:p>
        </w:tc>
        <w:tc>
          <w:tcPr>
            <w:tcW w:w="1194" w:type="dxa"/>
            <w:tcBorders>
              <w:tl2br w:val="nil"/>
              <w:tr2bl w:val="nil"/>
            </w:tcBorders>
            <w:vAlign w:val="center"/>
          </w:tcPr>
          <w:p w14:paraId="7974D9E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mg/m</w:t>
            </w:r>
            <w:r>
              <w:rPr>
                <w:rFonts w:ascii="Times New Roman" w:hAnsi="Times New Roman" w:eastAsia="宋体" w:cs="Times New Roman"/>
                <w:caps w:val="0"/>
                <w:smallCaps w:val="0"/>
                <w:color w:val="auto"/>
                <w:spacing w:val="0"/>
                <w:kern w:val="0"/>
                <w:szCs w:val="21"/>
                <w:highlight w:val="none"/>
                <w:vertAlign w:val="superscript"/>
              </w:rPr>
              <w:t>3</w:t>
            </w:r>
          </w:p>
        </w:tc>
        <w:tc>
          <w:tcPr>
            <w:tcW w:w="1271" w:type="dxa"/>
            <w:tcBorders>
              <w:tl2br w:val="nil"/>
              <w:tr2bl w:val="nil"/>
            </w:tcBorders>
            <w:vAlign w:val="center"/>
          </w:tcPr>
          <w:p w14:paraId="5187D9E8">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snapToGrid w:val="0"/>
                <w:color w:val="auto"/>
                <w:spacing w:val="0"/>
                <w:kern w:val="0"/>
                <w:szCs w:val="21"/>
                <w:highlight w:val="none"/>
              </w:rPr>
              <w:t>2.0</w:t>
            </w:r>
          </w:p>
        </w:tc>
      </w:tr>
      <w:tr w14:paraId="1DDA976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19FF00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restart"/>
            <w:tcBorders>
              <w:tl2br w:val="nil"/>
              <w:tr2bl w:val="nil"/>
            </w:tcBorders>
            <w:vAlign w:val="center"/>
          </w:tcPr>
          <w:p w14:paraId="369F2A00">
            <w:pPr>
              <w:pStyle w:val="205"/>
              <w:widowControl w:val="0"/>
              <w:spacing w:line="240" w:lineRule="auto"/>
              <w:ind w:right="0" w:firstLine="0" w:firstLineChars="0"/>
              <w:jc w:val="both"/>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《环境影响评价技术导则大气环境》附录D</w:t>
            </w:r>
          </w:p>
        </w:tc>
        <w:tc>
          <w:tcPr>
            <w:tcW w:w="1978" w:type="dxa"/>
            <w:tcBorders>
              <w:tl2br w:val="nil"/>
              <w:tr2bl w:val="nil"/>
            </w:tcBorders>
            <w:vAlign w:val="center"/>
          </w:tcPr>
          <w:p w14:paraId="2181144C">
            <w:pPr>
              <w:pStyle w:val="105"/>
              <w:widowControl w:val="0"/>
              <w:adjustRightInd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kern w:val="21"/>
                <w:sz w:val="21"/>
                <w:szCs w:val="21"/>
                <w:highlight w:val="none"/>
              </w:rPr>
              <w:t>HCl</w:t>
            </w:r>
          </w:p>
        </w:tc>
        <w:tc>
          <w:tcPr>
            <w:tcW w:w="1797" w:type="dxa"/>
            <w:tcBorders>
              <w:tl2br w:val="nil"/>
              <w:tr2bl w:val="nil"/>
            </w:tcBorders>
            <w:vAlign w:val="center"/>
          </w:tcPr>
          <w:p w14:paraId="2C620E59">
            <w:pPr>
              <w:pStyle w:val="105"/>
              <w:widowControl w:val="0"/>
              <w:adjustRightInd w:val="0"/>
              <w:snapToGrid w:val="0"/>
              <w:jc w:val="center"/>
              <w:rPr>
                <w:rFonts w:ascii="Times New Roman" w:hAnsi="Times New Roman" w:cs="Times New Roman"/>
                <w:caps w:val="0"/>
                <w:smallCaps w:val="0"/>
                <w:snapToGrid w:val="0"/>
                <w:color w:val="auto"/>
                <w:spacing w:val="0"/>
                <w:sz w:val="21"/>
                <w:szCs w:val="21"/>
                <w:highlight w:val="none"/>
              </w:rPr>
            </w:pPr>
            <w:r>
              <w:rPr>
                <w:rFonts w:ascii="Times New Roman" w:hAnsi="Times New Roman" w:cs="Times New Roman"/>
                <w:caps w:val="0"/>
                <w:smallCaps w:val="0"/>
                <w:snapToGrid w:val="0"/>
                <w:color w:val="auto"/>
                <w:spacing w:val="0"/>
                <w:sz w:val="21"/>
                <w:szCs w:val="21"/>
                <w:highlight w:val="none"/>
              </w:rPr>
              <w:t>1小时</w:t>
            </w:r>
            <w:r>
              <w:rPr>
                <w:rFonts w:ascii="Times New Roman" w:hAnsi="Times New Roman" w:cs="Times New Roman"/>
                <w:caps w:val="0"/>
                <w:smallCaps w:val="0"/>
                <w:color w:val="auto"/>
                <w:spacing w:val="0"/>
                <w:sz w:val="21"/>
                <w:szCs w:val="21"/>
                <w:highlight w:val="none"/>
              </w:rPr>
              <w:t>平均</w:t>
            </w:r>
          </w:p>
        </w:tc>
        <w:tc>
          <w:tcPr>
            <w:tcW w:w="1194" w:type="dxa"/>
            <w:tcBorders>
              <w:tl2br w:val="nil"/>
              <w:tr2bl w:val="nil"/>
            </w:tcBorders>
            <w:vAlign w:val="center"/>
          </w:tcPr>
          <w:p w14:paraId="2F88CCAC">
            <w:pPr>
              <w:pStyle w:val="105"/>
              <w:widowControl w:val="0"/>
              <w:adjustRightInd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μg/m</w:t>
            </w:r>
            <w:r>
              <w:rPr>
                <w:rFonts w:ascii="Times New Roman" w:hAnsi="Times New Roman" w:cs="Times New Roman"/>
                <w:caps w:val="0"/>
                <w:smallCaps w:val="0"/>
                <w:color w:val="auto"/>
                <w:spacing w:val="0"/>
                <w:sz w:val="21"/>
                <w:szCs w:val="21"/>
                <w:highlight w:val="none"/>
                <w:vertAlign w:val="superscript"/>
              </w:rPr>
              <w:t>3</w:t>
            </w:r>
          </w:p>
        </w:tc>
        <w:tc>
          <w:tcPr>
            <w:tcW w:w="1271" w:type="dxa"/>
            <w:tcBorders>
              <w:tl2br w:val="nil"/>
              <w:tr2bl w:val="nil"/>
            </w:tcBorders>
            <w:vAlign w:val="center"/>
          </w:tcPr>
          <w:p w14:paraId="46C5A352">
            <w:pPr>
              <w:pStyle w:val="105"/>
              <w:widowControl w:val="0"/>
              <w:adjustRightInd w:val="0"/>
              <w:snapToGrid w:val="0"/>
              <w:jc w:val="center"/>
              <w:rPr>
                <w:rFonts w:ascii="Times New Roman" w:hAnsi="Times New Roman" w:cs="Times New Roman"/>
                <w:caps w:val="0"/>
                <w:smallCaps w:val="0"/>
                <w:snapToGrid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50</w:t>
            </w:r>
          </w:p>
        </w:tc>
      </w:tr>
      <w:tr w14:paraId="03F82CC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6385AB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9F99784">
            <w:pPr>
              <w:pStyle w:val="205"/>
              <w:widowControl w:val="0"/>
              <w:spacing w:line="240" w:lineRule="auto"/>
              <w:ind w:right="0" w:firstLine="0" w:firstLineChars="0"/>
              <w:jc w:val="both"/>
              <w:rPr>
                <w:rFonts w:ascii="Times New Roman" w:hAnsi="Times New Roman" w:eastAsia="宋体" w:cs="Times New Roman"/>
                <w:caps w:val="0"/>
                <w:smallCaps w:val="0"/>
                <w:color w:val="auto"/>
                <w:spacing w:val="0"/>
                <w:szCs w:val="21"/>
                <w:highlight w:val="none"/>
              </w:rPr>
            </w:pPr>
          </w:p>
        </w:tc>
        <w:tc>
          <w:tcPr>
            <w:tcW w:w="1978" w:type="dxa"/>
            <w:tcBorders>
              <w:tl2br w:val="nil"/>
              <w:tr2bl w:val="nil"/>
            </w:tcBorders>
            <w:vAlign w:val="center"/>
          </w:tcPr>
          <w:p w14:paraId="31954DDB">
            <w:pPr>
              <w:pStyle w:val="105"/>
              <w:widowControl w:val="0"/>
              <w:adjustRightInd w:val="0"/>
              <w:snapToGrid w:val="0"/>
              <w:jc w:val="center"/>
              <w:rPr>
                <w:rFonts w:ascii="Times New Roman" w:hAnsi="Times New Roman" w:cs="Times New Roman"/>
                <w:caps w:val="0"/>
                <w:smallCaps w:val="0"/>
                <w:color w:val="auto"/>
                <w:spacing w:val="0"/>
                <w:kern w:val="21"/>
                <w:sz w:val="21"/>
                <w:szCs w:val="21"/>
                <w:highlight w:val="none"/>
              </w:rPr>
            </w:pPr>
            <w:r>
              <w:rPr>
                <w:rFonts w:ascii="Times New Roman" w:hAnsi="Times New Roman" w:cs="Times New Roman"/>
                <w:caps w:val="0"/>
                <w:smallCaps w:val="0"/>
                <w:color w:val="auto"/>
                <w:spacing w:val="0"/>
                <w:kern w:val="21"/>
                <w:sz w:val="21"/>
                <w:szCs w:val="21"/>
                <w:highlight w:val="none"/>
              </w:rPr>
              <w:t>氨气</w:t>
            </w:r>
          </w:p>
        </w:tc>
        <w:tc>
          <w:tcPr>
            <w:tcW w:w="1797" w:type="dxa"/>
            <w:tcBorders>
              <w:tl2br w:val="nil"/>
              <w:tr2bl w:val="nil"/>
            </w:tcBorders>
            <w:vAlign w:val="center"/>
          </w:tcPr>
          <w:p w14:paraId="09C98458">
            <w:pPr>
              <w:pStyle w:val="105"/>
              <w:widowControl w:val="0"/>
              <w:adjustRightInd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snapToGrid w:val="0"/>
                <w:color w:val="auto"/>
                <w:spacing w:val="0"/>
                <w:sz w:val="21"/>
                <w:szCs w:val="21"/>
                <w:highlight w:val="none"/>
              </w:rPr>
              <w:t>1小时</w:t>
            </w:r>
            <w:r>
              <w:rPr>
                <w:rFonts w:ascii="Times New Roman" w:hAnsi="Times New Roman" w:cs="Times New Roman"/>
                <w:caps w:val="0"/>
                <w:smallCaps w:val="0"/>
                <w:color w:val="auto"/>
                <w:spacing w:val="0"/>
                <w:sz w:val="21"/>
                <w:szCs w:val="21"/>
                <w:highlight w:val="none"/>
              </w:rPr>
              <w:t>平均</w:t>
            </w:r>
          </w:p>
        </w:tc>
        <w:tc>
          <w:tcPr>
            <w:tcW w:w="1194" w:type="dxa"/>
            <w:tcBorders>
              <w:tl2br w:val="nil"/>
              <w:tr2bl w:val="nil"/>
            </w:tcBorders>
            <w:vAlign w:val="center"/>
          </w:tcPr>
          <w:p w14:paraId="167A5D60">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7866BF73">
            <w:pPr>
              <w:pStyle w:val="105"/>
              <w:widowControl w:val="0"/>
              <w:adjustRightInd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200</w:t>
            </w:r>
          </w:p>
        </w:tc>
      </w:tr>
      <w:tr w14:paraId="53E8389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49000F2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5A30E9C">
            <w:pPr>
              <w:pStyle w:val="205"/>
              <w:widowControl w:val="0"/>
              <w:spacing w:line="240" w:lineRule="auto"/>
              <w:ind w:right="0" w:firstLine="0" w:firstLineChars="0"/>
              <w:jc w:val="both"/>
              <w:rPr>
                <w:rFonts w:ascii="Times New Roman" w:hAnsi="Times New Roman" w:eastAsia="宋体" w:cs="Times New Roman"/>
                <w:caps w:val="0"/>
                <w:smallCaps w:val="0"/>
                <w:color w:val="auto"/>
                <w:spacing w:val="0"/>
                <w:szCs w:val="21"/>
                <w:highlight w:val="none"/>
              </w:rPr>
            </w:pPr>
          </w:p>
        </w:tc>
        <w:tc>
          <w:tcPr>
            <w:tcW w:w="1978" w:type="dxa"/>
            <w:tcBorders>
              <w:tl2br w:val="nil"/>
              <w:tr2bl w:val="nil"/>
            </w:tcBorders>
            <w:vAlign w:val="center"/>
          </w:tcPr>
          <w:p w14:paraId="036C20F2">
            <w:pPr>
              <w:pStyle w:val="105"/>
              <w:widowControl w:val="0"/>
              <w:adjustRightInd w:val="0"/>
              <w:snapToGrid w:val="0"/>
              <w:jc w:val="center"/>
              <w:rPr>
                <w:rFonts w:ascii="Times New Roman" w:hAnsi="Times New Roman" w:cs="Times New Roman"/>
                <w:caps w:val="0"/>
                <w:smallCaps w:val="0"/>
                <w:color w:val="auto"/>
                <w:spacing w:val="0"/>
                <w:kern w:val="21"/>
                <w:sz w:val="21"/>
                <w:szCs w:val="21"/>
                <w:highlight w:val="none"/>
              </w:rPr>
            </w:pPr>
            <w:r>
              <w:rPr>
                <w:rFonts w:hint="eastAsia" w:ascii="Times New Roman" w:hAnsi="Times New Roman" w:cs="Times New Roman"/>
                <w:caps w:val="0"/>
                <w:smallCaps w:val="0"/>
                <w:color w:val="auto"/>
                <w:spacing w:val="0"/>
                <w:kern w:val="21"/>
                <w:sz w:val="21"/>
                <w:szCs w:val="21"/>
                <w:highlight w:val="none"/>
              </w:rPr>
              <w:t>硫化氢</w:t>
            </w:r>
          </w:p>
        </w:tc>
        <w:tc>
          <w:tcPr>
            <w:tcW w:w="1797" w:type="dxa"/>
            <w:tcBorders>
              <w:tl2br w:val="nil"/>
              <w:tr2bl w:val="nil"/>
            </w:tcBorders>
            <w:vAlign w:val="center"/>
          </w:tcPr>
          <w:p w14:paraId="65B718AB">
            <w:pPr>
              <w:pStyle w:val="105"/>
              <w:widowControl w:val="0"/>
              <w:adjustRightInd w:val="0"/>
              <w:snapToGrid w:val="0"/>
              <w:jc w:val="center"/>
              <w:rPr>
                <w:rFonts w:ascii="Times New Roman" w:hAnsi="Times New Roman" w:cs="Times New Roman"/>
                <w:caps w:val="0"/>
                <w:smallCaps w:val="0"/>
                <w:snapToGrid w:val="0"/>
                <w:color w:val="auto"/>
                <w:spacing w:val="0"/>
                <w:sz w:val="21"/>
                <w:szCs w:val="21"/>
                <w:highlight w:val="none"/>
              </w:rPr>
            </w:pPr>
            <w:r>
              <w:rPr>
                <w:rFonts w:ascii="Times New Roman" w:hAnsi="Times New Roman" w:cs="Times New Roman"/>
                <w:caps w:val="0"/>
                <w:smallCaps w:val="0"/>
                <w:snapToGrid w:val="0"/>
                <w:color w:val="auto"/>
                <w:spacing w:val="0"/>
                <w:sz w:val="21"/>
                <w:szCs w:val="21"/>
                <w:highlight w:val="none"/>
              </w:rPr>
              <w:t>1小时平均</w:t>
            </w:r>
          </w:p>
        </w:tc>
        <w:tc>
          <w:tcPr>
            <w:tcW w:w="1194" w:type="dxa"/>
            <w:tcBorders>
              <w:tl2br w:val="nil"/>
              <w:tr2bl w:val="nil"/>
            </w:tcBorders>
            <w:vAlign w:val="center"/>
          </w:tcPr>
          <w:p w14:paraId="3ED3C24B">
            <w:pPr>
              <w:wordWrap w:val="0"/>
              <w:topLinePunct/>
              <w:adjustRightInd w:val="0"/>
              <w:snapToGrid w:val="0"/>
              <w:spacing w:before="60" w:line="233" w:lineRule="auto"/>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7E28FCA6">
            <w:pPr>
              <w:wordWrap w:val="0"/>
              <w:topLinePunct/>
              <w:adjustRightInd w:val="0"/>
              <w:snapToGrid w:val="0"/>
              <w:spacing w:before="60" w:line="226" w:lineRule="auto"/>
              <w:jc w:val="center"/>
              <w:textAlignment w:val="baseline"/>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r>
      <w:tr w14:paraId="62AA2B7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19DCFB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79E8581">
            <w:pPr>
              <w:pStyle w:val="205"/>
              <w:widowControl w:val="0"/>
              <w:spacing w:line="240" w:lineRule="auto"/>
              <w:ind w:right="0" w:firstLine="0" w:firstLineChars="0"/>
              <w:jc w:val="both"/>
              <w:rPr>
                <w:rFonts w:ascii="Times New Roman" w:hAnsi="Times New Roman" w:eastAsia="宋体" w:cs="Times New Roman"/>
                <w:caps w:val="0"/>
                <w:smallCaps w:val="0"/>
                <w:color w:val="auto"/>
                <w:spacing w:val="0"/>
                <w:szCs w:val="21"/>
                <w:highlight w:val="none"/>
              </w:rPr>
            </w:pPr>
          </w:p>
        </w:tc>
        <w:tc>
          <w:tcPr>
            <w:tcW w:w="1978" w:type="dxa"/>
            <w:tcBorders>
              <w:tl2br w:val="nil"/>
              <w:tr2bl w:val="nil"/>
            </w:tcBorders>
            <w:vAlign w:val="center"/>
          </w:tcPr>
          <w:p w14:paraId="53CD2150">
            <w:pPr>
              <w:pStyle w:val="105"/>
              <w:widowControl w:val="0"/>
              <w:adjustRightInd w:val="0"/>
              <w:snapToGrid w:val="0"/>
              <w:jc w:val="center"/>
              <w:rPr>
                <w:rFonts w:ascii="Times New Roman" w:hAnsi="Times New Roman" w:cs="Times New Roman"/>
                <w:caps w:val="0"/>
                <w:smallCaps w:val="0"/>
                <w:color w:val="auto"/>
                <w:spacing w:val="0"/>
                <w:kern w:val="21"/>
                <w:sz w:val="21"/>
                <w:szCs w:val="21"/>
                <w:highlight w:val="none"/>
              </w:rPr>
            </w:pPr>
            <w:r>
              <w:rPr>
                <w:rFonts w:ascii="Times New Roman" w:hAnsi="Times New Roman" w:cs="Times New Roman"/>
                <w:caps w:val="0"/>
                <w:smallCaps w:val="0"/>
                <w:color w:val="auto"/>
                <w:spacing w:val="0"/>
                <w:kern w:val="21"/>
                <w:sz w:val="21"/>
                <w:szCs w:val="21"/>
                <w:highlight w:val="none"/>
              </w:rPr>
              <w:t>二甲苯</w:t>
            </w:r>
          </w:p>
        </w:tc>
        <w:tc>
          <w:tcPr>
            <w:tcW w:w="1797" w:type="dxa"/>
            <w:tcBorders>
              <w:tl2br w:val="nil"/>
              <w:tr2bl w:val="nil"/>
            </w:tcBorders>
            <w:vAlign w:val="center"/>
          </w:tcPr>
          <w:p w14:paraId="703694E1">
            <w:pPr>
              <w:pStyle w:val="105"/>
              <w:widowControl w:val="0"/>
              <w:adjustRightInd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snapToGrid w:val="0"/>
                <w:color w:val="auto"/>
                <w:spacing w:val="0"/>
                <w:sz w:val="21"/>
                <w:szCs w:val="21"/>
                <w:highlight w:val="none"/>
              </w:rPr>
              <w:t>1小时</w:t>
            </w:r>
            <w:r>
              <w:rPr>
                <w:rFonts w:ascii="Times New Roman" w:hAnsi="Times New Roman" w:cs="Times New Roman"/>
                <w:caps w:val="0"/>
                <w:smallCaps w:val="0"/>
                <w:color w:val="auto"/>
                <w:spacing w:val="0"/>
                <w:sz w:val="21"/>
                <w:szCs w:val="21"/>
                <w:highlight w:val="none"/>
              </w:rPr>
              <w:t>平均</w:t>
            </w:r>
          </w:p>
        </w:tc>
        <w:tc>
          <w:tcPr>
            <w:tcW w:w="1194" w:type="dxa"/>
            <w:tcBorders>
              <w:tl2br w:val="nil"/>
              <w:tr2bl w:val="nil"/>
            </w:tcBorders>
            <w:vAlign w:val="center"/>
          </w:tcPr>
          <w:p w14:paraId="69403EB4">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μg/m</w:t>
            </w:r>
            <w:r>
              <w:rPr>
                <w:rFonts w:ascii="Times New Roman" w:hAnsi="Times New Roman" w:eastAsia="宋体" w:cs="Times New Roman"/>
                <w:caps w:val="0"/>
                <w:smallCaps w:val="0"/>
                <w:color w:val="auto"/>
                <w:spacing w:val="0"/>
                <w:sz w:val="21"/>
                <w:highlight w:val="none"/>
                <w:vertAlign w:val="superscript"/>
              </w:rPr>
              <w:t>3</w:t>
            </w:r>
          </w:p>
        </w:tc>
        <w:tc>
          <w:tcPr>
            <w:tcW w:w="1271" w:type="dxa"/>
            <w:tcBorders>
              <w:tl2br w:val="nil"/>
              <w:tr2bl w:val="nil"/>
            </w:tcBorders>
            <w:vAlign w:val="center"/>
          </w:tcPr>
          <w:p w14:paraId="12BE29F8">
            <w:pPr>
              <w:pStyle w:val="105"/>
              <w:widowControl w:val="0"/>
              <w:adjustRightInd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200</w:t>
            </w:r>
          </w:p>
        </w:tc>
      </w:tr>
      <w:tr w14:paraId="738AB90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restart"/>
            <w:tcBorders>
              <w:tl2br w:val="nil"/>
              <w:tr2bl w:val="nil"/>
            </w:tcBorders>
            <w:vAlign w:val="center"/>
          </w:tcPr>
          <w:p w14:paraId="382DE44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地</w:t>
            </w:r>
          </w:p>
          <w:p w14:paraId="2FC371C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表</w:t>
            </w:r>
          </w:p>
          <w:p w14:paraId="7555834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水</w:t>
            </w:r>
          </w:p>
        </w:tc>
        <w:tc>
          <w:tcPr>
            <w:tcW w:w="2246" w:type="dxa"/>
            <w:vMerge w:val="restart"/>
            <w:tcBorders>
              <w:tl2br w:val="nil"/>
              <w:tr2bl w:val="nil"/>
            </w:tcBorders>
            <w:vAlign w:val="center"/>
          </w:tcPr>
          <w:p w14:paraId="3F82478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《地表水环境质量标准》（GB3838-2002）</w:t>
            </w:r>
            <w:r>
              <w:rPr>
                <w:rFonts w:hint="eastAsia" w:ascii="Times New Roman" w:hAnsi="Times New Roman" w:cs="Times New Roman"/>
                <w:caps w:val="0"/>
                <w:smallCaps w:val="0"/>
                <w:color w:val="auto"/>
                <w:spacing w:val="0"/>
                <w:highlight w:val="none"/>
                <w:lang w:val="en-US" w:eastAsia="zh-CN"/>
              </w:rPr>
              <w:t>III</w:t>
            </w:r>
            <w:r>
              <w:rPr>
                <w:rFonts w:ascii="Times New Roman" w:hAnsi="Times New Roman" w:eastAsia="宋体" w:cs="Times New Roman"/>
                <w:caps w:val="0"/>
                <w:smallCaps w:val="0"/>
                <w:color w:val="auto"/>
                <w:spacing w:val="0"/>
                <w:kern w:val="0"/>
                <w:szCs w:val="21"/>
                <w:highlight w:val="none"/>
              </w:rPr>
              <w:t>类标准</w:t>
            </w:r>
          </w:p>
          <w:p w14:paraId="1D8D2D7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579742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pH</w:t>
            </w:r>
          </w:p>
        </w:tc>
        <w:tc>
          <w:tcPr>
            <w:tcW w:w="2991" w:type="dxa"/>
            <w:gridSpan w:val="2"/>
            <w:tcBorders>
              <w:tl2br w:val="nil"/>
              <w:tr2bl w:val="nil"/>
            </w:tcBorders>
            <w:vAlign w:val="center"/>
          </w:tcPr>
          <w:p w14:paraId="25720E1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无量纲</w:t>
            </w:r>
          </w:p>
        </w:tc>
        <w:tc>
          <w:tcPr>
            <w:tcW w:w="1271" w:type="dxa"/>
            <w:tcBorders>
              <w:tl2br w:val="nil"/>
              <w:tr2bl w:val="nil"/>
            </w:tcBorders>
            <w:vAlign w:val="center"/>
          </w:tcPr>
          <w:p w14:paraId="50BF2876">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6～9</w:t>
            </w:r>
          </w:p>
        </w:tc>
      </w:tr>
      <w:tr w14:paraId="4CA2C26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4331EDE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57974C4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42C44C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COD</w:t>
            </w:r>
          </w:p>
        </w:tc>
        <w:tc>
          <w:tcPr>
            <w:tcW w:w="2991" w:type="dxa"/>
            <w:gridSpan w:val="2"/>
            <w:vMerge w:val="restart"/>
            <w:tcBorders>
              <w:tl2br w:val="nil"/>
              <w:tr2bl w:val="nil"/>
            </w:tcBorders>
            <w:vAlign w:val="center"/>
          </w:tcPr>
          <w:p w14:paraId="2625D28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mg/L</w:t>
            </w:r>
          </w:p>
        </w:tc>
        <w:tc>
          <w:tcPr>
            <w:tcW w:w="1271" w:type="dxa"/>
            <w:tcBorders>
              <w:tl2br w:val="nil"/>
              <w:tr2bl w:val="nil"/>
            </w:tcBorders>
            <w:vAlign w:val="center"/>
          </w:tcPr>
          <w:p w14:paraId="36E8B43B">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w:t>
            </w:r>
            <w:r>
              <w:rPr>
                <w:rFonts w:hint="eastAsia" w:ascii="Times New Roman" w:hAnsi="Times New Roman" w:eastAsia="宋体" w:cs="Times New Roman"/>
                <w:caps w:val="0"/>
                <w:smallCaps w:val="0"/>
                <w:color w:val="auto"/>
                <w:spacing w:val="0"/>
                <w:kern w:val="0"/>
                <w:szCs w:val="21"/>
                <w:highlight w:val="none"/>
                <w:lang w:val="en-US" w:eastAsia="zh-CN"/>
              </w:rPr>
              <w:t>2</w:t>
            </w:r>
            <w:r>
              <w:rPr>
                <w:rFonts w:ascii="Times New Roman" w:hAnsi="Times New Roman" w:eastAsia="宋体" w:cs="Times New Roman"/>
                <w:caps w:val="0"/>
                <w:smallCaps w:val="0"/>
                <w:color w:val="auto"/>
                <w:spacing w:val="0"/>
                <w:kern w:val="0"/>
                <w:szCs w:val="21"/>
                <w:highlight w:val="none"/>
              </w:rPr>
              <w:t>0</w:t>
            </w:r>
          </w:p>
        </w:tc>
      </w:tr>
      <w:tr w14:paraId="7AEBE14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C90B69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45BC41A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E0A29E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BOD</w:t>
            </w:r>
            <w:r>
              <w:rPr>
                <w:rFonts w:ascii="Times New Roman" w:hAnsi="Times New Roman" w:eastAsia="宋体" w:cs="Times New Roman"/>
                <w:caps w:val="0"/>
                <w:smallCaps w:val="0"/>
                <w:color w:val="auto"/>
                <w:spacing w:val="0"/>
                <w:kern w:val="0"/>
                <w:szCs w:val="21"/>
                <w:highlight w:val="none"/>
                <w:vertAlign w:val="subscript"/>
              </w:rPr>
              <w:t>5</w:t>
            </w:r>
          </w:p>
        </w:tc>
        <w:tc>
          <w:tcPr>
            <w:tcW w:w="2991" w:type="dxa"/>
            <w:gridSpan w:val="2"/>
            <w:vMerge w:val="continue"/>
            <w:tcBorders>
              <w:tl2br w:val="nil"/>
              <w:tr2bl w:val="nil"/>
            </w:tcBorders>
            <w:vAlign w:val="center"/>
          </w:tcPr>
          <w:p w14:paraId="50F4BAB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A1A5E7C">
            <w:pPr>
              <w:pStyle w:val="66"/>
              <w:widowControl w:val="0"/>
              <w:ind w:left="0"/>
              <w:rPr>
                <w:rFonts w:hint="eastAsia" w:ascii="Times New Roman" w:hAnsi="Times New Roman" w:eastAsia="宋体" w:cs="Times New Roman"/>
                <w:caps w:val="0"/>
                <w:smallCaps w:val="0"/>
                <w:snapToGrid w:val="0"/>
                <w:color w:val="auto"/>
                <w:spacing w:val="0"/>
                <w:kern w:val="0"/>
                <w:szCs w:val="21"/>
                <w:highlight w:val="none"/>
                <w:lang w:eastAsia="zh-CN"/>
              </w:rPr>
            </w:pPr>
            <w:r>
              <w:rPr>
                <w:rFonts w:ascii="Times New Roman" w:hAnsi="Times New Roman" w:eastAsia="宋体" w:cs="Times New Roman"/>
                <w:caps w:val="0"/>
                <w:smallCaps w:val="0"/>
                <w:color w:val="auto"/>
                <w:spacing w:val="0"/>
                <w:kern w:val="0"/>
                <w:szCs w:val="21"/>
                <w:highlight w:val="none"/>
              </w:rPr>
              <w:t>≤</w:t>
            </w:r>
            <w:r>
              <w:rPr>
                <w:rFonts w:hint="eastAsia" w:ascii="Times New Roman" w:hAnsi="Times New Roman" w:eastAsia="宋体" w:cs="Times New Roman"/>
                <w:caps w:val="0"/>
                <w:smallCaps w:val="0"/>
                <w:color w:val="auto"/>
                <w:spacing w:val="0"/>
                <w:kern w:val="0"/>
                <w:szCs w:val="21"/>
                <w:highlight w:val="none"/>
                <w:lang w:val="en-US" w:eastAsia="zh-CN"/>
              </w:rPr>
              <w:t>4</w:t>
            </w:r>
          </w:p>
        </w:tc>
      </w:tr>
      <w:tr w14:paraId="7F268B8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283BD45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2F9F2AD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001CAF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溶解氧</w:t>
            </w:r>
          </w:p>
        </w:tc>
        <w:tc>
          <w:tcPr>
            <w:tcW w:w="2991" w:type="dxa"/>
            <w:gridSpan w:val="2"/>
            <w:vMerge w:val="continue"/>
            <w:tcBorders>
              <w:tl2br w:val="nil"/>
              <w:tr2bl w:val="nil"/>
            </w:tcBorders>
            <w:vAlign w:val="center"/>
          </w:tcPr>
          <w:p w14:paraId="7D64824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004B9986">
            <w:pPr>
              <w:pStyle w:val="66"/>
              <w:widowControl w:val="0"/>
              <w:ind w:left="0"/>
              <w:rPr>
                <w:rFonts w:hint="eastAsia" w:ascii="Times New Roman" w:hAnsi="Times New Roman" w:eastAsia="宋体" w:cs="Times New Roman"/>
                <w:caps w:val="0"/>
                <w:smallCaps w:val="0"/>
                <w:snapToGrid w:val="0"/>
                <w:color w:val="auto"/>
                <w:spacing w:val="0"/>
                <w:kern w:val="0"/>
                <w:szCs w:val="21"/>
                <w:highlight w:val="none"/>
                <w:lang w:eastAsia="zh-CN"/>
              </w:rPr>
            </w:pPr>
            <w:r>
              <w:rPr>
                <w:rFonts w:ascii="Times New Roman" w:hAnsi="Times New Roman" w:eastAsia="宋体" w:cs="Times New Roman"/>
                <w:caps w:val="0"/>
                <w:smallCaps w:val="0"/>
                <w:color w:val="auto"/>
                <w:spacing w:val="0"/>
                <w:kern w:val="0"/>
                <w:szCs w:val="21"/>
                <w:highlight w:val="none"/>
              </w:rPr>
              <w:t>&gt;</w:t>
            </w:r>
            <w:r>
              <w:rPr>
                <w:rFonts w:hint="eastAsia" w:ascii="Times New Roman" w:hAnsi="Times New Roman" w:eastAsia="宋体" w:cs="Times New Roman"/>
                <w:caps w:val="0"/>
                <w:smallCaps w:val="0"/>
                <w:color w:val="auto"/>
                <w:spacing w:val="0"/>
                <w:kern w:val="0"/>
                <w:szCs w:val="21"/>
                <w:highlight w:val="none"/>
                <w:lang w:val="en-US" w:eastAsia="zh-CN"/>
              </w:rPr>
              <w:t>5</w:t>
            </w:r>
          </w:p>
        </w:tc>
      </w:tr>
      <w:tr w14:paraId="7AF387A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AE8B53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202909F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74F9D0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总磷</w:t>
            </w:r>
          </w:p>
        </w:tc>
        <w:tc>
          <w:tcPr>
            <w:tcW w:w="2991" w:type="dxa"/>
            <w:gridSpan w:val="2"/>
            <w:vMerge w:val="continue"/>
            <w:tcBorders>
              <w:tl2br w:val="nil"/>
              <w:tr2bl w:val="nil"/>
            </w:tcBorders>
            <w:vAlign w:val="center"/>
          </w:tcPr>
          <w:p w14:paraId="206BEBC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6017B54C">
            <w:pPr>
              <w:pStyle w:val="66"/>
              <w:widowControl w:val="0"/>
              <w:ind w:left="0"/>
              <w:rPr>
                <w:rFonts w:hint="eastAsia" w:ascii="Times New Roman" w:hAnsi="Times New Roman" w:eastAsia="宋体" w:cs="Times New Roman"/>
                <w:caps w:val="0"/>
                <w:smallCaps w:val="0"/>
                <w:snapToGrid w:val="0"/>
                <w:color w:val="auto"/>
                <w:spacing w:val="0"/>
                <w:kern w:val="0"/>
                <w:szCs w:val="21"/>
                <w:highlight w:val="none"/>
                <w:lang w:eastAsia="zh-CN"/>
              </w:rPr>
            </w:pPr>
            <w:r>
              <w:rPr>
                <w:rFonts w:ascii="Times New Roman" w:hAnsi="Times New Roman" w:eastAsia="宋体" w:cs="Times New Roman"/>
                <w:caps w:val="0"/>
                <w:smallCaps w:val="0"/>
                <w:color w:val="auto"/>
                <w:spacing w:val="0"/>
                <w:kern w:val="0"/>
                <w:szCs w:val="21"/>
                <w:highlight w:val="none"/>
              </w:rPr>
              <w:t>≤0.</w:t>
            </w:r>
            <w:r>
              <w:rPr>
                <w:rFonts w:hint="eastAsia" w:ascii="Times New Roman" w:hAnsi="Times New Roman" w:eastAsia="宋体" w:cs="Times New Roman"/>
                <w:caps w:val="0"/>
                <w:smallCaps w:val="0"/>
                <w:color w:val="auto"/>
                <w:spacing w:val="0"/>
                <w:kern w:val="0"/>
                <w:szCs w:val="21"/>
                <w:highlight w:val="none"/>
                <w:lang w:val="en-US" w:eastAsia="zh-CN"/>
              </w:rPr>
              <w:t>2</w:t>
            </w:r>
          </w:p>
        </w:tc>
      </w:tr>
      <w:tr w14:paraId="0683909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357E97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4197091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547679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总氮</w:t>
            </w:r>
          </w:p>
        </w:tc>
        <w:tc>
          <w:tcPr>
            <w:tcW w:w="2991" w:type="dxa"/>
            <w:gridSpan w:val="2"/>
            <w:vMerge w:val="continue"/>
            <w:tcBorders>
              <w:tl2br w:val="nil"/>
              <w:tr2bl w:val="nil"/>
            </w:tcBorders>
            <w:vAlign w:val="center"/>
          </w:tcPr>
          <w:p w14:paraId="7E8C794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685D7E93">
            <w:pPr>
              <w:pStyle w:val="66"/>
              <w:widowControl w:val="0"/>
              <w:ind w:left="0"/>
              <w:rPr>
                <w:rFonts w:hint="eastAsia" w:ascii="Times New Roman" w:hAnsi="Times New Roman" w:eastAsia="宋体" w:cs="Times New Roman"/>
                <w:caps w:val="0"/>
                <w:smallCaps w:val="0"/>
                <w:snapToGrid w:val="0"/>
                <w:color w:val="auto"/>
                <w:spacing w:val="0"/>
                <w:kern w:val="0"/>
                <w:szCs w:val="21"/>
                <w:highlight w:val="none"/>
                <w:lang w:eastAsia="zh-CN"/>
              </w:rPr>
            </w:pPr>
            <w:r>
              <w:rPr>
                <w:rFonts w:ascii="Times New Roman" w:hAnsi="Times New Roman" w:eastAsia="宋体" w:cs="Times New Roman"/>
                <w:caps w:val="0"/>
                <w:smallCaps w:val="0"/>
                <w:color w:val="auto"/>
                <w:spacing w:val="0"/>
                <w:kern w:val="0"/>
                <w:szCs w:val="21"/>
                <w:highlight w:val="none"/>
              </w:rPr>
              <w:t>≤1.</w:t>
            </w:r>
            <w:r>
              <w:rPr>
                <w:rFonts w:hint="eastAsia" w:ascii="Times New Roman" w:hAnsi="Times New Roman" w:eastAsia="宋体" w:cs="Times New Roman"/>
                <w:caps w:val="0"/>
                <w:smallCaps w:val="0"/>
                <w:color w:val="auto"/>
                <w:spacing w:val="0"/>
                <w:kern w:val="0"/>
                <w:szCs w:val="21"/>
                <w:highlight w:val="none"/>
                <w:lang w:val="en-US" w:eastAsia="zh-CN"/>
              </w:rPr>
              <w:t>0</w:t>
            </w:r>
          </w:p>
        </w:tc>
      </w:tr>
      <w:tr w14:paraId="5EB61D7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07F075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8825A0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57B35F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氨氮</w:t>
            </w:r>
          </w:p>
        </w:tc>
        <w:tc>
          <w:tcPr>
            <w:tcW w:w="2991" w:type="dxa"/>
            <w:gridSpan w:val="2"/>
            <w:vMerge w:val="continue"/>
            <w:tcBorders>
              <w:tl2br w:val="nil"/>
              <w:tr2bl w:val="nil"/>
            </w:tcBorders>
            <w:vAlign w:val="center"/>
          </w:tcPr>
          <w:p w14:paraId="57ED3A2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09481462">
            <w:pPr>
              <w:pStyle w:val="66"/>
              <w:widowControl w:val="0"/>
              <w:ind w:left="0"/>
              <w:rPr>
                <w:rFonts w:hint="default" w:ascii="Times New Roman" w:hAnsi="Times New Roman" w:eastAsia="宋体" w:cs="Times New Roman"/>
                <w:caps w:val="0"/>
                <w:smallCaps w:val="0"/>
                <w:snapToGrid w:val="0"/>
                <w:color w:val="auto"/>
                <w:spacing w:val="0"/>
                <w:kern w:val="0"/>
                <w:szCs w:val="21"/>
                <w:highlight w:val="none"/>
                <w:lang w:val="en-US" w:eastAsia="zh-CN"/>
              </w:rPr>
            </w:pPr>
            <w:r>
              <w:rPr>
                <w:rFonts w:ascii="Times New Roman" w:hAnsi="Times New Roman" w:eastAsia="宋体" w:cs="Times New Roman"/>
                <w:caps w:val="0"/>
                <w:smallCaps w:val="0"/>
                <w:color w:val="auto"/>
                <w:spacing w:val="0"/>
                <w:kern w:val="0"/>
                <w:szCs w:val="21"/>
                <w:highlight w:val="none"/>
              </w:rPr>
              <w:t>≤</w:t>
            </w:r>
            <w:r>
              <w:rPr>
                <w:rFonts w:hint="eastAsia" w:ascii="Times New Roman" w:hAnsi="Times New Roman" w:eastAsia="宋体" w:cs="Times New Roman"/>
                <w:caps w:val="0"/>
                <w:smallCaps w:val="0"/>
                <w:color w:val="auto"/>
                <w:spacing w:val="0"/>
                <w:kern w:val="0"/>
                <w:szCs w:val="21"/>
                <w:highlight w:val="none"/>
                <w:lang w:val="en-US" w:eastAsia="zh-CN"/>
              </w:rPr>
              <w:t>1.0</w:t>
            </w:r>
          </w:p>
        </w:tc>
      </w:tr>
      <w:tr w14:paraId="3BA3C26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A0F444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51574F2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BE36CD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硫化物</w:t>
            </w:r>
          </w:p>
        </w:tc>
        <w:tc>
          <w:tcPr>
            <w:tcW w:w="2991" w:type="dxa"/>
            <w:gridSpan w:val="2"/>
            <w:vMerge w:val="continue"/>
            <w:tcBorders>
              <w:tl2br w:val="nil"/>
              <w:tr2bl w:val="nil"/>
            </w:tcBorders>
            <w:vAlign w:val="center"/>
          </w:tcPr>
          <w:p w14:paraId="0750080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9527AE4">
            <w:pPr>
              <w:pStyle w:val="66"/>
              <w:widowControl w:val="0"/>
              <w:ind w:left="0"/>
              <w:rPr>
                <w:rFonts w:hint="eastAsia" w:ascii="Times New Roman" w:hAnsi="Times New Roman" w:eastAsia="宋体" w:cs="Times New Roman"/>
                <w:caps w:val="0"/>
                <w:smallCaps w:val="0"/>
                <w:color w:val="auto"/>
                <w:spacing w:val="0"/>
                <w:kern w:val="0"/>
                <w:szCs w:val="21"/>
                <w:highlight w:val="none"/>
                <w:lang w:eastAsia="zh-CN"/>
              </w:rPr>
            </w:pPr>
            <w:r>
              <w:rPr>
                <w:rFonts w:ascii="Times New Roman" w:hAnsi="Times New Roman" w:eastAsia="宋体" w:cs="Times New Roman"/>
                <w:caps w:val="0"/>
                <w:smallCaps w:val="0"/>
                <w:color w:val="auto"/>
                <w:spacing w:val="0"/>
                <w:kern w:val="0"/>
                <w:szCs w:val="21"/>
                <w:highlight w:val="none"/>
              </w:rPr>
              <w:t>≤0.</w:t>
            </w:r>
            <w:r>
              <w:rPr>
                <w:rFonts w:hint="eastAsia" w:ascii="Times New Roman" w:hAnsi="Times New Roman" w:eastAsia="宋体" w:cs="Times New Roman"/>
                <w:caps w:val="0"/>
                <w:smallCaps w:val="0"/>
                <w:color w:val="auto"/>
                <w:spacing w:val="0"/>
                <w:kern w:val="0"/>
                <w:szCs w:val="21"/>
                <w:highlight w:val="none"/>
                <w:lang w:val="en-US" w:eastAsia="zh-CN"/>
              </w:rPr>
              <w:t>2</w:t>
            </w:r>
          </w:p>
        </w:tc>
      </w:tr>
      <w:tr w14:paraId="5E9620E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5001252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17B331E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D645E1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氟化物</w:t>
            </w:r>
          </w:p>
        </w:tc>
        <w:tc>
          <w:tcPr>
            <w:tcW w:w="2991" w:type="dxa"/>
            <w:gridSpan w:val="2"/>
            <w:vMerge w:val="continue"/>
            <w:tcBorders>
              <w:tl2br w:val="nil"/>
              <w:tr2bl w:val="nil"/>
            </w:tcBorders>
            <w:vAlign w:val="center"/>
          </w:tcPr>
          <w:p w14:paraId="6AE2D63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C345684">
            <w:pPr>
              <w:pStyle w:val="66"/>
              <w:widowControl w:val="0"/>
              <w:ind w:left="0"/>
              <w:rPr>
                <w:rFonts w:hint="eastAsia" w:ascii="Times New Roman" w:hAnsi="Times New Roman" w:eastAsia="宋体" w:cs="Times New Roman"/>
                <w:caps w:val="0"/>
                <w:smallCaps w:val="0"/>
                <w:color w:val="auto"/>
                <w:spacing w:val="0"/>
                <w:kern w:val="0"/>
                <w:szCs w:val="21"/>
                <w:highlight w:val="none"/>
                <w:lang w:eastAsia="zh-CN"/>
              </w:rPr>
            </w:pPr>
            <w:r>
              <w:rPr>
                <w:rFonts w:ascii="Times New Roman" w:hAnsi="Times New Roman" w:eastAsia="宋体" w:cs="Times New Roman"/>
                <w:caps w:val="0"/>
                <w:smallCaps w:val="0"/>
                <w:color w:val="auto"/>
                <w:spacing w:val="0"/>
                <w:kern w:val="0"/>
                <w:szCs w:val="21"/>
                <w:highlight w:val="none"/>
              </w:rPr>
              <w:t>≤1.</w:t>
            </w:r>
            <w:r>
              <w:rPr>
                <w:rFonts w:hint="eastAsia" w:ascii="Times New Roman" w:hAnsi="Times New Roman" w:eastAsia="宋体" w:cs="Times New Roman"/>
                <w:caps w:val="0"/>
                <w:smallCaps w:val="0"/>
                <w:color w:val="auto"/>
                <w:spacing w:val="0"/>
                <w:kern w:val="0"/>
                <w:szCs w:val="21"/>
                <w:highlight w:val="none"/>
                <w:lang w:val="en-US" w:eastAsia="zh-CN"/>
              </w:rPr>
              <w:t>0</w:t>
            </w:r>
          </w:p>
        </w:tc>
      </w:tr>
      <w:tr w14:paraId="24CE6DA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56CEF0B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B68AF5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DB521F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氰化物</w:t>
            </w:r>
          </w:p>
        </w:tc>
        <w:tc>
          <w:tcPr>
            <w:tcW w:w="2991" w:type="dxa"/>
            <w:gridSpan w:val="2"/>
            <w:vMerge w:val="continue"/>
            <w:tcBorders>
              <w:tl2br w:val="nil"/>
              <w:tr2bl w:val="nil"/>
            </w:tcBorders>
            <w:vAlign w:val="center"/>
          </w:tcPr>
          <w:p w14:paraId="4D0C0D1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7EC8B0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≤0.2</w:t>
            </w:r>
          </w:p>
        </w:tc>
      </w:tr>
      <w:tr w14:paraId="6DD301C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bottom w:val="single" w:color="auto" w:sz="8" w:space="0"/>
              <w:tl2br w:val="nil"/>
              <w:tr2bl w:val="nil"/>
            </w:tcBorders>
            <w:vAlign w:val="center"/>
          </w:tcPr>
          <w:p w14:paraId="03105D3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bottom w:val="single" w:color="auto" w:sz="8" w:space="0"/>
              <w:tl2br w:val="nil"/>
              <w:tr2bl w:val="nil"/>
            </w:tcBorders>
            <w:vAlign w:val="center"/>
          </w:tcPr>
          <w:p w14:paraId="571351B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bottom w:val="single" w:color="auto" w:sz="8" w:space="0"/>
              <w:tl2br w:val="nil"/>
              <w:tr2bl w:val="nil"/>
            </w:tcBorders>
            <w:vAlign w:val="center"/>
          </w:tcPr>
          <w:p w14:paraId="60E45E8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挥发酚</w:t>
            </w:r>
          </w:p>
        </w:tc>
        <w:tc>
          <w:tcPr>
            <w:tcW w:w="2991" w:type="dxa"/>
            <w:gridSpan w:val="2"/>
            <w:vMerge w:val="continue"/>
            <w:tcBorders>
              <w:bottom w:val="single" w:color="auto" w:sz="8" w:space="0"/>
              <w:tl2br w:val="nil"/>
              <w:tr2bl w:val="nil"/>
            </w:tcBorders>
            <w:vAlign w:val="center"/>
          </w:tcPr>
          <w:p w14:paraId="0A8D89D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bottom w:val="single" w:color="auto" w:sz="8" w:space="0"/>
              <w:tl2br w:val="nil"/>
              <w:tr2bl w:val="nil"/>
            </w:tcBorders>
            <w:vAlign w:val="center"/>
          </w:tcPr>
          <w:p w14:paraId="74DCABA3">
            <w:pPr>
              <w:pStyle w:val="66"/>
              <w:widowControl w:val="0"/>
              <w:ind w:left="0"/>
              <w:rPr>
                <w:rFonts w:hint="default" w:ascii="Times New Roman" w:hAnsi="Times New Roman" w:eastAsia="宋体" w:cs="Times New Roman"/>
                <w:caps w:val="0"/>
                <w:smallCaps w:val="0"/>
                <w:color w:val="auto"/>
                <w:spacing w:val="0"/>
                <w:kern w:val="0"/>
                <w:szCs w:val="21"/>
                <w:highlight w:val="none"/>
                <w:lang w:val="en-US" w:eastAsia="zh-CN"/>
              </w:rPr>
            </w:pPr>
            <w:r>
              <w:rPr>
                <w:rFonts w:ascii="Times New Roman" w:hAnsi="Times New Roman" w:eastAsia="宋体" w:cs="Times New Roman"/>
                <w:caps w:val="0"/>
                <w:smallCaps w:val="0"/>
                <w:color w:val="auto"/>
                <w:spacing w:val="0"/>
                <w:kern w:val="0"/>
                <w:szCs w:val="21"/>
                <w:highlight w:val="none"/>
              </w:rPr>
              <w:t>≤0.0</w:t>
            </w:r>
            <w:r>
              <w:rPr>
                <w:rFonts w:hint="eastAsia" w:ascii="Times New Roman" w:hAnsi="Times New Roman" w:eastAsia="宋体" w:cs="Times New Roman"/>
                <w:caps w:val="0"/>
                <w:smallCaps w:val="0"/>
                <w:color w:val="auto"/>
                <w:spacing w:val="0"/>
                <w:kern w:val="0"/>
                <w:szCs w:val="21"/>
                <w:highlight w:val="none"/>
                <w:lang w:val="en-US" w:eastAsia="zh-CN"/>
              </w:rPr>
              <w:t>05</w:t>
            </w:r>
          </w:p>
        </w:tc>
      </w:tr>
      <w:tr w14:paraId="7A23AEB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tl2br w:val="nil"/>
              <w:tr2bl w:val="nil"/>
            </w:tcBorders>
            <w:vAlign w:val="center"/>
          </w:tcPr>
          <w:p w14:paraId="29A847D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tl2br w:val="nil"/>
              <w:tr2bl w:val="nil"/>
            </w:tcBorders>
            <w:vAlign w:val="center"/>
          </w:tcPr>
          <w:p w14:paraId="261996C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op w:val="single" w:color="auto" w:sz="8" w:space="0"/>
              <w:tl2br w:val="nil"/>
              <w:tr2bl w:val="nil"/>
            </w:tcBorders>
            <w:vAlign w:val="center"/>
          </w:tcPr>
          <w:p w14:paraId="76236B5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石油类</w:t>
            </w:r>
          </w:p>
        </w:tc>
        <w:tc>
          <w:tcPr>
            <w:tcW w:w="2991" w:type="dxa"/>
            <w:gridSpan w:val="2"/>
            <w:vMerge w:val="continue"/>
            <w:tcBorders>
              <w:top w:val="single" w:color="auto" w:sz="8" w:space="0"/>
              <w:tl2br w:val="nil"/>
              <w:tr2bl w:val="nil"/>
            </w:tcBorders>
            <w:vAlign w:val="center"/>
          </w:tcPr>
          <w:p w14:paraId="354459D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op w:val="single" w:color="auto" w:sz="8" w:space="0"/>
              <w:tl2br w:val="nil"/>
              <w:tr2bl w:val="nil"/>
            </w:tcBorders>
            <w:vAlign w:val="center"/>
          </w:tcPr>
          <w:p w14:paraId="33C2D70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w:t>
            </w:r>
            <w:r>
              <w:rPr>
                <w:rFonts w:hint="eastAsia" w:ascii="Times New Roman" w:hAnsi="Times New Roman" w:eastAsia="宋体" w:cs="Times New Roman"/>
                <w:caps w:val="0"/>
                <w:smallCaps w:val="0"/>
                <w:color w:val="auto"/>
                <w:spacing w:val="0"/>
                <w:kern w:val="0"/>
                <w:szCs w:val="21"/>
                <w:highlight w:val="none"/>
                <w:lang w:val="en-US" w:eastAsia="zh-CN"/>
              </w:rPr>
              <w:t>0</w:t>
            </w:r>
            <w:r>
              <w:rPr>
                <w:rFonts w:ascii="Times New Roman" w:hAnsi="Times New Roman" w:eastAsia="宋体" w:cs="Times New Roman"/>
                <w:caps w:val="0"/>
                <w:smallCaps w:val="0"/>
                <w:color w:val="auto"/>
                <w:spacing w:val="0"/>
                <w:kern w:val="0"/>
                <w:szCs w:val="21"/>
                <w:highlight w:val="none"/>
              </w:rPr>
              <w:t>5</w:t>
            </w:r>
          </w:p>
        </w:tc>
      </w:tr>
      <w:tr w14:paraId="5424165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5681FF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51A752D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1F9772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砷</w:t>
            </w:r>
          </w:p>
        </w:tc>
        <w:tc>
          <w:tcPr>
            <w:tcW w:w="2991" w:type="dxa"/>
            <w:gridSpan w:val="2"/>
            <w:vMerge w:val="continue"/>
            <w:tcBorders>
              <w:tl2br w:val="nil"/>
              <w:tr2bl w:val="nil"/>
            </w:tcBorders>
            <w:vAlign w:val="center"/>
          </w:tcPr>
          <w:p w14:paraId="0B9ACC9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13BA5256">
            <w:pPr>
              <w:pStyle w:val="66"/>
              <w:widowControl w:val="0"/>
              <w:ind w:left="0"/>
              <w:rPr>
                <w:rFonts w:hint="default" w:ascii="Times New Roman" w:hAnsi="Times New Roman" w:eastAsia="宋体" w:cs="Times New Roman"/>
                <w:caps w:val="0"/>
                <w:smallCaps w:val="0"/>
                <w:color w:val="auto"/>
                <w:spacing w:val="0"/>
                <w:kern w:val="0"/>
                <w:szCs w:val="21"/>
                <w:highlight w:val="none"/>
                <w:lang w:val="en-US" w:eastAsia="zh-CN"/>
              </w:rPr>
            </w:pPr>
            <w:r>
              <w:rPr>
                <w:rFonts w:ascii="Times New Roman" w:hAnsi="Times New Roman" w:eastAsia="宋体" w:cs="Times New Roman"/>
                <w:caps w:val="0"/>
                <w:smallCaps w:val="0"/>
                <w:color w:val="auto"/>
                <w:spacing w:val="0"/>
                <w:kern w:val="0"/>
                <w:szCs w:val="21"/>
                <w:highlight w:val="none"/>
              </w:rPr>
              <w:t>≤0.</w:t>
            </w:r>
            <w:r>
              <w:rPr>
                <w:rFonts w:hint="eastAsia" w:ascii="Times New Roman" w:hAnsi="Times New Roman" w:eastAsia="宋体" w:cs="Times New Roman"/>
                <w:caps w:val="0"/>
                <w:smallCaps w:val="0"/>
                <w:color w:val="auto"/>
                <w:spacing w:val="0"/>
                <w:kern w:val="0"/>
                <w:szCs w:val="21"/>
                <w:highlight w:val="none"/>
                <w:lang w:val="en-US" w:eastAsia="zh-CN"/>
              </w:rPr>
              <w:t>05</w:t>
            </w:r>
          </w:p>
        </w:tc>
      </w:tr>
      <w:tr w14:paraId="67D2618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54D216F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F07545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A0B6FD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镉</w:t>
            </w:r>
          </w:p>
        </w:tc>
        <w:tc>
          <w:tcPr>
            <w:tcW w:w="2991" w:type="dxa"/>
            <w:gridSpan w:val="2"/>
            <w:vMerge w:val="continue"/>
            <w:tcBorders>
              <w:tl2br w:val="nil"/>
              <w:tr2bl w:val="nil"/>
            </w:tcBorders>
            <w:vAlign w:val="center"/>
          </w:tcPr>
          <w:p w14:paraId="7F1A5AD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53C66A9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≤0.005</w:t>
            </w:r>
          </w:p>
        </w:tc>
      </w:tr>
      <w:tr w14:paraId="046CC31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D7808B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2BBD075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641D8DA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铅</w:t>
            </w:r>
          </w:p>
        </w:tc>
        <w:tc>
          <w:tcPr>
            <w:tcW w:w="2991" w:type="dxa"/>
            <w:gridSpan w:val="2"/>
            <w:vMerge w:val="continue"/>
            <w:tcBorders>
              <w:tl2br w:val="nil"/>
              <w:tr2bl w:val="nil"/>
            </w:tcBorders>
            <w:vAlign w:val="center"/>
          </w:tcPr>
          <w:p w14:paraId="758E35C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003634A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≤0.05</w:t>
            </w:r>
          </w:p>
        </w:tc>
      </w:tr>
      <w:tr w14:paraId="5CA630E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91F3C4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1CCF577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60AF8A5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粪大肠菌群</w:t>
            </w:r>
          </w:p>
        </w:tc>
        <w:tc>
          <w:tcPr>
            <w:tcW w:w="2991" w:type="dxa"/>
            <w:gridSpan w:val="2"/>
            <w:tcBorders>
              <w:tl2br w:val="nil"/>
              <w:tr2bl w:val="nil"/>
            </w:tcBorders>
            <w:vAlign w:val="center"/>
          </w:tcPr>
          <w:p w14:paraId="73D36CA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个/L</w:t>
            </w:r>
          </w:p>
        </w:tc>
        <w:tc>
          <w:tcPr>
            <w:tcW w:w="1271" w:type="dxa"/>
            <w:tcBorders>
              <w:tl2br w:val="nil"/>
              <w:tr2bl w:val="nil"/>
            </w:tcBorders>
            <w:vAlign w:val="center"/>
          </w:tcPr>
          <w:p w14:paraId="2756356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w:t>
            </w:r>
            <w:r>
              <w:rPr>
                <w:rFonts w:hint="eastAsia" w:ascii="Times New Roman" w:hAnsi="Times New Roman" w:eastAsia="宋体" w:cs="Times New Roman"/>
                <w:caps w:val="0"/>
                <w:smallCaps w:val="0"/>
                <w:color w:val="auto"/>
                <w:spacing w:val="0"/>
                <w:kern w:val="0"/>
                <w:szCs w:val="21"/>
                <w:highlight w:val="none"/>
                <w:lang w:val="en-US" w:eastAsia="zh-CN"/>
              </w:rPr>
              <w:t>1</w:t>
            </w:r>
            <w:r>
              <w:rPr>
                <w:rFonts w:ascii="Times New Roman" w:hAnsi="Times New Roman" w:eastAsia="宋体" w:cs="Times New Roman"/>
                <w:caps w:val="0"/>
                <w:smallCaps w:val="0"/>
                <w:color w:val="auto"/>
                <w:spacing w:val="0"/>
                <w:kern w:val="0"/>
                <w:szCs w:val="21"/>
                <w:highlight w:val="none"/>
              </w:rPr>
              <w:t>0000</w:t>
            </w:r>
          </w:p>
        </w:tc>
      </w:tr>
      <w:tr w14:paraId="3B49DE8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restart"/>
            <w:tcBorders>
              <w:tl2br w:val="nil"/>
              <w:tr2bl w:val="nil"/>
            </w:tcBorders>
            <w:vAlign w:val="center"/>
          </w:tcPr>
          <w:p w14:paraId="466F55AD">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声环境</w:t>
            </w:r>
          </w:p>
        </w:tc>
        <w:tc>
          <w:tcPr>
            <w:tcW w:w="2246" w:type="dxa"/>
            <w:vMerge w:val="restart"/>
            <w:tcBorders>
              <w:tl2br w:val="nil"/>
              <w:tr2bl w:val="nil"/>
            </w:tcBorders>
            <w:vAlign w:val="center"/>
          </w:tcPr>
          <w:p w14:paraId="74BBDE0B">
            <w:pPr>
              <w:pStyle w:val="66"/>
              <w:widowControl w:val="0"/>
              <w:ind w:left="0"/>
              <w:rPr>
                <w:rFonts w:hint="default" w:ascii="Times New Roman" w:hAnsi="Times New Roman" w:eastAsia="宋体" w:cs="Times New Roman"/>
                <w:bCs/>
                <w:caps w:val="0"/>
                <w:smallCaps w:val="0"/>
                <w:color w:val="auto"/>
                <w:spacing w:val="0"/>
                <w:kern w:val="0"/>
                <w:szCs w:val="21"/>
                <w:highlight w:val="none"/>
                <w:lang w:val="en-US" w:eastAsia="zh-CN"/>
              </w:rPr>
            </w:pPr>
            <w:r>
              <w:rPr>
                <w:rFonts w:ascii="Times New Roman" w:hAnsi="Times New Roman" w:eastAsia="宋体" w:cs="Times New Roman"/>
                <w:bCs/>
                <w:caps w:val="0"/>
                <w:smallCaps w:val="0"/>
                <w:color w:val="auto"/>
                <w:spacing w:val="0"/>
                <w:kern w:val="0"/>
                <w:szCs w:val="21"/>
                <w:highlight w:val="none"/>
              </w:rPr>
              <w:t>《声环境质量标准》（GB3096-2008）</w:t>
            </w:r>
            <w:r>
              <w:rPr>
                <w:rFonts w:hint="eastAsia" w:ascii="Times New Roman" w:hAnsi="Times New Roman" w:eastAsia="宋体" w:cs="Times New Roman"/>
                <w:bCs/>
                <w:caps w:val="0"/>
                <w:smallCaps w:val="0"/>
                <w:color w:val="auto"/>
                <w:spacing w:val="0"/>
                <w:kern w:val="0"/>
                <w:szCs w:val="21"/>
                <w:highlight w:val="none"/>
                <w:lang w:val="en-US" w:eastAsia="zh-CN"/>
              </w:rPr>
              <w:t>3类和4a类</w:t>
            </w:r>
            <w:r>
              <w:rPr>
                <w:rFonts w:ascii="Times New Roman" w:hAnsi="Times New Roman" w:eastAsia="宋体" w:cs="Times New Roman"/>
                <w:caps w:val="0"/>
                <w:smallCaps w:val="0"/>
                <w:color w:val="auto"/>
                <w:spacing w:val="0"/>
                <w:kern w:val="0"/>
                <w:szCs w:val="21"/>
                <w:highlight w:val="none"/>
              </w:rPr>
              <w:t>标准</w:t>
            </w:r>
          </w:p>
        </w:tc>
        <w:tc>
          <w:tcPr>
            <w:tcW w:w="1978" w:type="dxa"/>
            <w:vMerge w:val="restart"/>
            <w:tcBorders>
              <w:tl2br w:val="nil"/>
              <w:tr2bl w:val="nil"/>
            </w:tcBorders>
            <w:vAlign w:val="center"/>
          </w:tcPr>
          <w:p w14:paraId="4AFB5A72">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噪声3类</w:t>
            </w:r>
          </w:p>
        </w:tc>
        <w:tc>
          <w:tcPr>
            <w:tcW w:w="1797" w:type="dxa"/>
            <w:vMerge w:val="restart"/>
            <w:tcBorders>
              <w:tl2br w:val="nil"/>
              <w:tr2bl w:val="nil"/>
            </w:tcBorders>
            <w:vAlign w:val="center"/>
          </w:tcPr>
          <w:p w14:paraId="2EF8D766">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dB（A）</w:t>
            </w:r>
          </w:p>
        </w:tc>
        <w:tc>
          <w:tcPr>
            <w:tcW w:w="1194" w:type="dxa"/>
            <w:tcBorders>
              <w:tl2br w:val="nil"/>
              <w:tr2bl w:val="nil"/>
            </w:tcBorders>
            <w:vAlign w:val="center"/>
          </w:tcPr>
          <w:p w14:paraId="4AA8C3F1">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昼间</w:t>
            </w:r>
          </w:p>
        </w:tc>
        <w:tc>
          <w:tcPr>
            <w:tcW w:w="1271" w:type="dxa"/>
            <w:tcBorders>
              <w:tl2br w:val="nil"/>
              <w:tr2bl w:val="nil"/>
            </w:tcBorders>
            <w:shd w:val="clear" w:color="auto" w:fill="auto"/>
            <w:vAlign w:val="center"/>
          </w:tcPr>
          <w:p w14:paraId="62A81963">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65</w:t>
            </w:r>
          </w:p>
        </w:tc>
      </w:tr>
      <w:tr w14:paraId="766C2E0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EE68E4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8622A3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546C46B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vMerge w:val="continue"/>
            <w:tcBorders>
              <w:tl2br w:val="nil"/>
              <w:tr2bl w:val="nil"/>
            </w:tcBorders>
            <w:vAlign w:val="center"/>
          </w:tcPr>
          <w:p w14:paraId="0AC81A3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194" w:type="dxa"/>
            <w:tcBorders>
              <w:tl2br w:val="nil"/>
              <w:tr2bl w:val="nil"/>
            </w:tcBorders>
            <w:vAlign w:val="center"/>
          </w:tcPr>
          <w:p w14:paraId="4304C844">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夜间</w:t>
            </w:r>
          </w:p>
        </w:tc>
        <w:tc>
          <w:tcPr>
            <w:tcW w:w="1271" w:type="dxa"/>
            <w:tcBorders>
              <w:tl2br w:val="nil"/>
              <w:tr2bl w:val="nil"/>
            </w:tcBorders>
            <w:shd w:val="clear" w:color="auto" w:fill="auto"/>
            <w:vAlign w:val="center"/>
          </w:tcPr>
          <w:p w14:paraId="66AF0232">
            <w:pPr>
              <w:pStyle w:val="66"/>
              <w:widowControl w:val="0"/>
              <w:ind w:left="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55</w:t>
            </w:r>
          </w:p>
        </w:tc>
      </w:tr>
      <w:tr w14:paraId="1193244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29417075">
            <w:pPr>
              <w:pStyle w:val="66"/>
              <w:widowControl w:val="0"/>
              <w:ind w:left="0"/>
              <w:rPr>
                <w:rFonts w:ascii="Times New Roman" w:hAnsi="Times New Roman" w:eastAsia="宋体" w:cs="Times New Roman"/>
                <w:caps w:val="0"/>
                <w:smallCaps w:val="0"/>
                <w:color w:val="auto"/>
                <w:spacing w:val="0"/>
                <w:kern w:val="0"/>
                <w:szCs w:val="21"/>
                <w:highlight w:val="none"/>
              </w:rPr>
            </w:pPr>
            <w:bookmarkStart w:id="37" w:name="_Toc477951934"/>
          </w:p>
        </w:tc>
        <w:tc>
          <w:tcPr>
            <w:tcW w:w="2246" w:type="dxa"/>
            <w:vMerge w:val="continue"/>
            <w:tcBorders>
              <w:tl2br w:val="nil"/>
              <w:tr2bl w:val="nil"/>
            </w:tcBorders>
            <w:vAlign w:val="center"/>
          </w:tcPr>
          <w:p w14:paraId="05C91AF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restart"/>
            <w:tcBorders>
              <w:tl2br w:val="nil"/>
              <w:tr2bl w:val="nil"/>
            </w:tcBorders>
            <w:vAlign w:val="center"/>
          </w:tcPr>
          <w:p w14:paraId="3324378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噪声</w:t>
            </w:r>
            <w:r>
              <w:rPr>
                <w:rFonts w:hint="eastAsia" w:ascii="Times New Roman" w:hAnsi="Times New Roman" w:eastAsia="宋体" w:cs="Times New Roman"/>
                <w:bCs/>
                <w:caps w:val="0"/>
                <w:smallCaps w:val="0"/>
                <w:color w:val="auto"/>
                <w:spacing w:val="0"/>
                <w:kern w:val="0"/>
                <w:szCs w:val="21"/>
                <w:highlight w:val="none"/>
                <w:lang w:val="en-US" w:eastAsia="zh-CN"/>
              </w:rPr>
              <w:t>4a</w:t>
            </w:r>
            <w:r>
              <w:rPr>
                <w:rFonts w:ascii="Times New Roman" w:hAnsi="Times New Roman" w:eastAsia="宋体" w:cs="Times New Roman"/>
                <w:bCs/>
                <w:caps w:val="0"/>
                <w:smallCaps w:val="0"/>
                <w:color w:val="auto"/>
                <w:spacing w:val="0"/>
                <w:kern w:val="0"/>
                <w:szCs w:val="21"/>
                <w:highlight w:val="none"/>
              </w:rPr>
              <w:t>类</w:t>
            </w:r>
          </w:p>
        </w:tc>
        <w:tc>
          <w:tcPr>
            <w:tcW w:w="1797" w:type="dxa"/>
            <w:vMerge w:val="continue"/>
            <w:tcBorders>
              <w:tl2br w:val="nil"/>
              <w:tr2bl w:val="nil"/>
            </w:tcBorders>
            <w:vAlign w:val="center"/>
          </w:tcPr>
          <w:p w14:paraId="2E9A79C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194" w:type="dxa"/>
            <w:tcBorders>
              <w:tl2br w:val="nil"/>
              <w:tr2bl w:val="nil"/>
            </w:tcBorders>
            <w:vAlign w:val="center"/>
          </w:tcPr>
          <w:p w14:paraId="1DB45FED">
            <w:pPr>
              <w:pStyle w:val="66"/>
              <w:widowControl w:val="0"/>
              <w:ind w:left="0" w:leftChars="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昼间</w:t>
            </w:r>
          </w:p>
        </w:tc>
        <w:tc>
          <w:tcPr>
            <w:tcW w:w="1271" w:type="dxa"/>
            <w:tcBorders>
              <w:tl2br w:val="nil"/>
              <w:tr2bl w:val="nil"/>
            </w:tcBorders>
            <w:shd w:val="clear" w:color="auto" w:fill="auto"/>
            <w:vAlign w:val="center"/>
          </w:tcPr>
          <w:p w14:paraId="3251D6E7">
            <w:pPr>
              <w:pStyle w:val="66"/>
              <w:widowControl w:val="0"/>
              <w:ind w:left="0"/>
              <w:rPr>
                <w:rFonts w:hint="default" w:ascii="Times New Roman" w:hAnsi="Times New Roman" w:eastAsia="宋体" w:cs="Times New Roman"/>
                <w:bCs/>
                <w:caps w:val="0"/>
                <w:smallCaps w:val="0"/>
                <w:color w:val="auto"/>
                <w:spacing w:val="0"/>
                <w:kern w:val="0"/>
                <w:szCs w:val="21"/>
                <w:highlight w:val="none"/>
                <w:lang w:val="en-US" w:eastAsia="zh-CN"/>
              </w:rPr>
            </w:pPr>
            <w:r>
              <w:rPr>
                <w:rFonts w:hint="eastAsia" w:ascii="Times New Roman" w:hAnsi="Times New Roman" w:eastAsia="宋体" w:cs="Times New Roman"/>
                <w:bCs/>
                <w:caps w:val="0"/>
                <w:smallCaps w:val="0"/>
                <w:color w:val="auto"/>
                <w:spacing w:val="0"/>
                <w:kern w:val="0"/>
                <w:szCs w:val="21"/>
                <w:highlight w:val="none"/>
                <w:lang w:val="en-US" w:eastAsia="zh-CN"/>
              </w:rPr>
              <w:t>70</w:t>
            </w:r>
          </w:p>
        </w:tc>
      </w:tr>
      <w:tr w14:paraId="5141F4A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96A5AD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55CA58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vMerge w:val="continue"/>
            <w:tcBorders>
              <w:tl2br w:val="nil"/>
              <w:tr2bl w:val="nil"/>
            </w:tcBorders>
            <w:vAlign w:val="center"/>
          </w:tcPr>
          <w:p w14:paraId="6B8E653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797" w:type="dxa"/>
            <w:vMerge w:val="continue"/>
            <w:tcBorders>
              <w:tl2br w:val="nil"/>
              <w:tr2bl w:val="nil"/>
            </w:tcBorders>
            <w:vAlign w:val="center"/>
          </w:tcPr>
          <w:p w14:paraId="22F8F20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194" w:type="dxa"/>
            <w:tcBorders>
              <w:tl2br w:val="nil"/>
              <w:tr2bl w:val="nil"/>
            </w:tcBorders>
            <w:vAlign w:val="center"/>
          </w:tcPr>
          <w:p w14:paraId="04063722">
            <w:pPr>
              <w:pStyle w:val="66"/>
              <w:widowControl w:val="0"/>
              <w:ind w:left="0" w:leftChars="0"/>
              <w:rPr>
                <w:rFonts w:ascii="Times New Roman" w:hAnsi="Times New Roman" w:eastAsia="宋体" w:cs="Times New Roman"/>
                <w:bCs/>
                <w:caps w:val="0"/>
                <w:smallCaps w:val="0"/>
                <w:color w:val="auto"/>
                <w:spacing w:val="0"/>
                <w:kern w:val="0"/>
                <w:szCs w:val="21"/>
                <w:highlight w:val="none"/>
              </w:rPr>
            </w:pPr>
            <w:r>
              <w:rPr>
                <w:rFonts w:ascii="Times New Roman" w:hAnsi="Times New Roman" w:eastAsia="宋体" w:cs="Times New Roman"/>
                <w:bCs/>
                <w:caps w:val="0"/>
                <w:smallCaps w:val="0"/>
                <w:color w:val="auto"/>
                <w:spacing w:val="0"/>
                <w:kern w:val="0"/>
                <w:szCs w:val="21"/>
                <w:highlight w:val="none"/>
              </w:rPr>
              <w:t>夜间</w:t>
            </w:r>
          </w:p>
        </w:tc>
        <w:tc>
          <w:tcPr>
            <w:tcW w:w="1271" w:type="dxa"/>
            <w:tcBorders>
              <w:tl2br w:val="nil"/>
              <w:tr2bl w:val="nil"/>
            </w:tcBorders>
            <w:shd w:val="clear" w:color="auto" w:fill="auto"/>
            <w:vAlign w:val="center"/>
          </w:tcPr>
          <w:p w14:paraId="0830E954">
            <w:pPr>
              <w:pStyle w:val="66"/>
              <w:widowControl w:val="0"/>
              <w:ind w:left="0"/>
              <w:rPr>
                <w:rFonts w:hint="default" w:ascii="Times New Roman" w:hAnsi="Times New Roman" w:eastAsia="宋体" w:cs="Times New Roman"/>
                <w:bCs/>
                <w:caps w:val="0"/>
                <w:smallCaps w:val="0"/>
                <w:color w:val="auto"/>
                <w:spacing w:val="0"/>
                <w:kern w:val="0"/>
                <w:szCs w:val="21"/>
                <w:highlight w:val="none"/>
                <w:lang w:val="en-US" w:eastAsia="zh-CN"/>
              </w:rPr>
            </w:pPr>
            <w:r>
              <w:rPr>
                <w:rFonts w:hint="eastAsia" w:ascii="Times New Roman" w:hAnsi="Times New Roman" w:eastAsia="宋体" w:cs="Times New Roman"/>
                <w:bCs/>
                <w:caps w:val="0"/>
                <w:smallCaps w:val="0"/>
                <w:color w:val="auto"/>
                <w:spacing w:val="0"/>
                <w:kern w:val="0"/>
                <w:szCs w:val="21"/>
                <w:highlight w:val="none"/>
                <w:lang w:val="en-US" w:eastAsia="zh-CN"/>
              </w:rPr>
              <w:t>55</w:t>
            </w:r>
          </w:p>
        </w:tc>
      </w:tr>
      <w:tr w14:paraId="3203C24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restart"/>
            <w:tcBorders>
              <w:tl2br w:val="nil"/>
              <w:tr2bl w:val="nil"/>
            </w:tcBorders>
            <w:vAlign w:val="center"/>
          </w:tcPr>
          <w:p w14:paraId="44E690F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地</w:t>
            </w:r>
          </w:p>
          <w:p w14:paraId="74531CE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下</w:t>
            </w:r>
          </w:p>
          <w:p w14:paraId="6DB9F66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水</w:t>
            </w:r>
          </w:p>
        </w:tc>
        <w:tc>
          <w:tcPr>
            <w:tcW w:w="2246" w:type="dxa"/>
            <w:vMerge w:val="restart"/>
            <w:tcBorders>
              <w:tl2br w:val="nil"/>
              <w:tr2bl w:val="nil"/>
            </w:tcBorders>
            <w:vAlign w:val="center"/>
          </w:tcPr>
          <w:p w14:paraId="5A58D7C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《地下水环境质量标准》（GB14848-2017）Ⅲ类标准</w:t>
            </w:r>
          </w:p>
          <w:p w14:paraId="47E63B9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5DDFBA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pH</w:t>
            </w:r>
          </w:p>
        </w:tc>
        <w:tc>
          <w:tcPr>
            <w:tcW w:w="2991" w:type="dxa"/>
            <w:gridSpan w:val="2"/>
            <w:tcBorders>
              <w:tl2br w:val="nil"/>
              <w:tr2bl w:val="nil"/>
            </w:tcBorders>
            <w:vAlign w:val="center"/>
          </w:tcPr>
          <w:p w14:paraId="66EF438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无量纲</w:t>
            </w:r>
          </w:p>
        </w:tc>
        <w:tc>
          <w:tcPr>
            <w:tcW w:w="1271" w:type="dxa"/>
            <w:tcBorders>
              <w:tl2br w:val="nil"/>
              <w:tr2bl w:val="nil"/>
            </w:tcBorders>
            <w:vAlign w:val="center"/>
          </w:tcPr>
          <w:p w14:paraId="546F1A5E">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6.5～8.5</w:t>
            </w:r>
          </w:p>
        </w:tc>
      </w:tr>
      <w:tr w14:paraId="2D4A4B0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87F50E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47F7314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CF91A1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氨氮（以N计）</w:t>
            </w:r>
          </w:p>
        </w:tc>
        <w:tc>
          <w:tcPr>
            <w:tcW w:w="2991" w:type="dxa"/>
            <w:gridSpan w:val="2"/>
            <w:vMerge w:val="restart"/>
            <w:tcBorders>
              <w:tl2br w:val="nil"/>
              <w:tr2bl w:val="nil"/>
            </w:tcBorders>
            <w:vAlign w:val="center"/>
          </w:tcPr>
          <w:p w14:paraId="2355722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mg/L</w:t>
            </w:r>
          </w:p>
        </w:tc>
        <w:tc>
          <w:tcPr>
            <w:tcW w:w="1271" w:type="dxa"/>
            <w:tcBorders>
              <w:tl2br w:val="nil"/>
              <w:tr2bl w:val="nil"/>
            </w:tcBorders>
            <w:vAlign w:val="center"/>
          </w:tcPr>
          <w:p w14:paraId="1F5201DB">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≤0.5</w:t>
            </w:r>
          </w:p>
        </w:tc>
      </w:tr>
      <w:tr w14:paraId="0B0E3F1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05585E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5DC75C6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C7980C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硝酸盐（以N计）</w:t>
            </w:r>
          </w:p>
        </w:tc>
        <w:tc>
          <w:tcPr>
            <w:tcW w:w="2991" w:type="dxa"/>
            <w:gridSpan w:val="2"/>
            <w:vMerge w:val="continue"/>
            <w:tcBorders>
              <w:tl2br w:val="nil"/>
              <w:tr2bl w:val="nil"/>
            </w:tcBorders>
            <w:vAlign w:val="center"/>
          </w:tcPr>
          <w:p w14:paraId="606156E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147F38EF">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≤20.0</w:t>
            </w:r>
          </w:p>
        </w:tc>
      </w:tr>
      <w:tr w14:paraId="1839192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4AACEE0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69CDE9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1DC4F9B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亚硝酸盐（以N计）</w:t>
            </w:r>
          </w:p>
        </w:tc>
        <w:tc>
          <w:tcPr>
            <w:tcW w:w="2991" w:type="dxa"/>
            <w:gridSpan w:val="2"/>
            <w:vMerge w:val="continue"/>
            <w:tcBorders>
              <w:tl2br w:val="nil"/>
              <w:tr2bl w:val="nil"/>
            </w:tcBorders>
            <w:vAlign w:val="center"/>
          </w:tcPr>
          <w:p w14:paraId="277AB29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18846F73">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≤1.00</w:t>
            </w:r>
          </w:p>
        </w:tc>
      </w:tr>
      <w:tr w14:paraId="1E9C053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3C2446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722CBD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11199B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总硬度</w:t>
            </w:r>
          </w:p>
        </w:tc>
        <w:tc>
          <w:tcPr>
            <w:tcW w:w="2991" w:type="dxa"/>
            <w:gridSpan w:val="2"/>
            <w:vMerge w:val="continue"/>
            <w:tcBorders>
              <w:tl2br w:val="nil"/>
              <w:tr2bl w:val="nil"/>
            </w:tcBorders>
            <w:vAlign w:val="center"/>
          </w:tcPr>
          <w:p w14:paraId="0EF7BCE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54414B17">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≤450</w:t>
            </w:r>
          </w:p>
        </w:tc>
      </w:tr>
      <w:tr w14:paraId="651C572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829DAA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660DBA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D7B48F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氟化物</w:t>
            </w:r>
          </w:p>
        </w:tc>
        <w:tc>
          <w:tcPr>
            <w:tcW w:w="2991" w:type="dxa"/>
            <w:gridSpan w:val="2"/>
            <w:vMerge w:val="continue"/>
            <w:tcBorders>
              <w:tl2br w:val="nil"/>
              <w:tr2bl w:val="nil"/>
            </w:tcBorders>
            <w:vAlign w:val="center"/>
          </w:tcPr>
          <w:p w14:paraId="3B74DAC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7B4B2919">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≤1.0</w:t>
            </w:r>
          </w:p>
        </w:tc>
      </w:tr>
      <w:tr w14:paraId="12454EC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50218D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792315E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52C001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氰化物</w:t>
            </w:r>
          </w:p>
        </w:tc>
        <w:tc>
          <w:tcPr>
            <w:tcW w:w="2991" w:type="dxa"/>
            <w:gridSpan w:val="2"/>
            <w:vMerge w:val="continue"/>
            <w:tcBorders>
              <w:tl2br w:val="nil"/>
              <w:tr2bl w:val="nil"/>
            </w:tcBorders>
            <w:vAlign w:val="center"/>
          </w:tcPr>
          <w:p w14:paraId="0831F77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60BEDFF0">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≤0.05</w:t>
            </w:r>
          </w:p>
        </w:tc>
      </w:tr>
      <w:tr w14:paraId="319B19A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1CADF3C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8D8071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6543F4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汞</w:t>
            </w:r>
          </w:p>
        </w:tc>
        <w:tc>
          <w:tcPr>
            <w:tcW w:w="2991" w:type="dxa"/>
            <w:gridSpan w:val="2"/>
            <w:vMerge w:val="continue"/>
            <w:tcBorders>
              <w:tl2br w:val="nil"/>
              <w:tr2bl w:val="nil"/>
            </w:tcBorders>
            <w:vAlign w:val="center"/>
          </w:tcPr>
          <w:p w14:paraId="5F7EC26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19BD50A7">
            <w:pPr>
              <w:pStyle w:val="66"/>
              <w:widowControl w:val="0"/>
              <w:ind w:left="0"/>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≤0.001</w:t>
            </w:r>
          </w:p>
        </w:tc>
      </w:tr>
      <w:tr w14:paraId="5F0E254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55B9D15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47E093D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A6ED1B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砷</w:t>
            </w:r>
          </w:p>
        </w:tc>
        <w:tc>
          <w:tcPr>
            <w:tcW w:w="2991" w:type="dxa"/>
            <w:gridSpan w:val="2"/>
            <w:vMerge w:val="continue"/>
            <w:tcBorders>
              <w:tl2br w:val="nil"/>
              <w:tr2bl w:val="nil"/>
            </w:tcBorders>
            <w:vAlign w:val="center"/>
          </w:tcPr>
          <w:p w14:paraId="608F734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7BE4E35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≤0.01</w:t>
            </w:r>
          </w:p>
        </w:tc>
      </w:tr>
      <w:tr w14:paraId="1C74C3A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2526559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EE37AA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698A1C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溶解性总固体</w:t>
            </w:r>
          </w:p>
        </w:tc>
        <w:tc>
          <w:tcPr>
            <w:tcW w:w="2991" w:type="dxa"/>
            <w:gridSpan w:val="2"/>
            <w:vMerge w:val="continue"/>
            <w:tcBorders>
              <w:tl2br w:val="nil"/>
              <w:tr2bl w:val="nil"/>
            </w:tcBorders>
            <w:vAlign w:val="center"/>
          </w:tcPr>
          <w:p w14:paraId="27AE10E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60F997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≤1000</w:t>
            </w:r>
          </w:p>
        </w:tc>
      </w:tr>
      <w:tr w14:paraId="725A142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7B7C44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C975E3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8CE188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镉</w:t>
            </w:r>
          </w:p>
        </w:tc>
        <w:tc>
          <w:tcPr>
            <w:tcW w:w="2991" w:type="dxa"/>
            <w:gridSpan w:val="2"/>
            <w:vMerge w:val="continue"/>
            <w:tcBorders>
              <w:tl2br w:val="nil"/>
              <w:tr2bl w:val="nil"/>
            </w:tcBorders>
            <w:vAlign w:val="center"/>
          </w:tcPr>
          <w:p w14:paraId="007F352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597092E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≤0.005</w:t>
            </w:r>
          </w:p>
        </w:tc>
      </w:tr>
      <w:tr w14:paraId="4BF5A24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4231BF3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4987544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1CCDB9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铬（六价）</w:t>
            </w:r>
          </w:p>
        </w:tc>
        <w:tc>
          <w:tcPr>
            <w:tcW w:w="2991" w:type="dxa"/>
            <w:gridSpan w:val="2"/>
            <w:vMerge w:val="continue"/>
            <w:tcBorders>
              <w:tl2br w:val="nil"/>
              <w:tr2bl w:val="nil"/>
            </w:tcBorders>
            <w:vAlign w:val="center"/>
          </w:tcPr>
          <w:p w14:paraId="28BE4FB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4F37527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≤0.05</w:t>
            </w:r>
          </w:p>
        </w:tc>
      </w:tr>
      <w:tr w14:paraId="2B59B10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4989137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0C53CFF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573CD67">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铁</w:t>
            </w:r>
          </w:p>
        </w:tc>
        <w:tc>
          <w:tcPr>
            <w:tcW w:w="2991" w:type="dxa"/>
            <w:gridSpan w:val="2"/>
            <w:vMerge w:val="continue"/>
            <w:tcBorders>
              <w:tl2br w:val="nil"/>
              <w:tr2bl w:val="nil"/>
            </w:tcBorders>
            <w:vAlign w:val="center"/>
          </w:tcPr>
          <w:p w14:paraId="7400FF4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55312E2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≤0.3</w:t>
            </w:r>
          </w:p>
        </w:tc>
      </w:tr>
      <w:tr w14:paraId="064EFB1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4C0B248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7D5FA3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C46650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锰</w:t>
            </w:r>
          </w:p>
        </w:tc>
        <w:tc>
          <w:tcPr>
            <w:tcW w:w="2991" w:type="dxa"/>
            <w:gridSpan w:val="2"/>
            <w:vMerge w:val="continue"/>
            <w:tcBorders>
              <w:tl2br w:val="nil"/>
              <w:tr2bl w:val="nil"/>
            </w:tcBorders>
            <w:vAlign w:val="center"/>
          </w:tcPr>
          <w:p w14:paraId="508272F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16B7B0D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≤0.10</w:t>
            </w:r>
          </w:p>
        </w:tc>
      </w:tr>
      <w:tr w14:paraId="71BB520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3ADC60B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A95699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B01126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铅</w:t>
            </w:r>
          </w:p>
        </w:tc>
        <w:tc>
          <w:tcPr>
            <w:tcW w:w="2991" w:type="dxa"/>
            <w:gridSpan w:val="2"/>
            <w:vMerge w:val="continue"/>
            <w:tcBorders>
              <w:tl2br w:val="nil"/>
              <w:tr2bl w:val="nil"/>
            </w:tcBorders>
            <w:vAlign w:val="center"/>
          </w:tcPr>
          <w:p w14:paraId="2377CFA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42318E0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≤0.01</w:t>
            </w:r>
          </w:p>
        </w:tc>
      </w:tr>
      <w:tr w14:paraId="658C53F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F1B3F6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194FFA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25B205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挥发性酚类</w:t>
            </w:r>
          </w:p>
        </w:tc>
        <w:tc>
          <w:tcPr>
            <w:tcW w:w="2991" w:type="dxa"/>
            <w:gridSpan w:val="2"/>
            <w:vMerge w:val="continue"/>
            <w:tcBorders>
              <w:tl2br w:val="nil"/>
              <w:tr2bl w:val="nil"/>
            </w:tcBorders>
            <w:vAlign w:val="center"/>
          </w:tcPr>
          <w:p w14:paraId="1C21C89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6E1B77B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≤0.002</w:t>
            </w:r>
          </w:p>
        </w:tc>
      </w:tr>
      <w:tr w14:paraId="296D71E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7BD7A95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2372808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AB6D55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氯化物</w:t>
            </w:r>
          </w:p>
        </w:tc>
        <w:tc>
          <w:tcPr>
            <w:tcW w:w="2991" w:type="dxa"/>
            <w:gridSpan w:val="2"/>
            <w:vMerge w:val="continue"/>
            <w:tcBorders>
              <w:tl2br w:val="nil"/>
              <w:tr2bl w:val="nil"/>
            </w:tcBorders>
            <w:vAlign w:val="center"/>
          </w:tcPr>
          <w:p w14:paraId="6EF4A58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5E2C2E1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≤250</w:t>
            </w:r>
          </w:p>
        </w:tc>
      </w:tr>
      <w:tr w14:paraId="584C095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239EBF9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A0628E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83D62A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硫酸盐</w:t>
            </w:r>
          </w:p>
        </w:tc>
        <w:tc>
          <w:tcPr>
            <w:tcW w:w="2991" w:type="dxa"/>
            <w:gridSpan w:val="2"/>
            <w:vMerge w:val="continue"/>
            <w:tcBorders>
              <w:tl2br w:val="nil"/>
              <w:tr2bl w:val="nil"/>
            </w:tcBorders>
            <w:vAlign w:val="center"/>
          </w:tcPr>
          <w:p w14:paraId="6C107D6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63E153D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≤0.02</w:t>
            </w:r>
          </w:p>
        </w:tc>
      </w:tr>
      <w:tr w14:paraId="1053ED6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6F5CA0D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7148D3D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EEC170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耗氧量</w:t>
            </w:r>
          </w:p>
        </w:tc>
        <w:tc>
          <w:tcPr>
            <w:tcW w:w="2991" w:type="dxa"/>
            <w:gridSpan w:val="2"/>
            <w:vMerge w:val="continue"/>
            <w:tcBorders>
              <w:tl2br w:val="nil"/>
              <w:tr2bl w:val="nil"/>
            </w:tcBorders>
            <w:vAlign w:val="center"/>
          </w:tcPr>
          <w:p w14:paraId="1A5BFA7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CBF597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≤3.0</w:t>
            </w:r>
          </w:p>
        </w:tc>
      </w:tr>
      <w:tr w14:paraId="14610CE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5C65C0E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7CB541F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C7E883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钠</w:t>
            </w:r>
          </w:p>
        </w:tc>
        <w:tc>
          <w:tcPr>
            <w:tcW w:w="2991" w:type="dxa"/>
            <w:gridSpan w:val="2"/>
            <w:vMerge w:val="continue"/>
            <w:tcBorders>
              <w:tl2br w:val="nil"/>
              <w:tr2bl w:val="nil"/>
            </w:tcBorders>
            <w:vAlign w:val="center"/>
          </w:tcPr>
          <w:p w14:paraId="7D8BBE4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271" w:type="dxa"/>
            <w:tcBorders>
              <w:tl2br w:val="nil"/>
              <w:tr2bl w:val="nil"/>
            </w:tcBorders>
            <w:vAlign w:val="center"/>
          </w:tcPr>
          <w:p w14:paraId="3385E04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≤200</w:t>
            </w:r>
          </w:p>
        </w:tc>
      </w:tr>
      <w:tr w14:paraId="23198F2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2E71740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3663BE5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C1C275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总大肠菌群</w:t>
            </w:r>
          </w:p>
        </w:tc>
        <w:tc>
          <w:tcPr>
            <w:tcW w:w="2991" w:type="dxa"/>
            <w:gridSpan w:val="2"/>
            <w:tcBorders>
              <w:tl2br w:val="nil"/>
              <w:tr2bl w:val="nil"/>
            </w:tcBorders>
            <w:vAlign w:val="center"/>
          </w:tcPr>
          <w:p w14:paraId="3E13247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szCs w:val="21"/>
                <w:highlight w:val="none"/>
              </w:rPr>
              <w:t>MPN</w:t>
            </w:r>
            <w:r>
              <w:rPr>
                <w:rFonts w:ascii="Times New Roman" w:hAnsi="Times New Roman" w:eastAsia="宋体" w:cs="Times New Roman"/>
                <w:caps w:val="0"/>
                <w:smallCaps w:val="0"/>
                <w:color w:val="auto"/>
                <w:spacing w:val="0"/>
                <w:position w:val="7"/>
                <w:szCs w:val="21"/>
                <w:highlight w:val="none"/>
              </w:rPr>
              <w:t>b</w:t>
            </w:r>
            <w:r>
              <w:rPr>
                <w:rFonts w:ascii="Times New Roman" w:hAnsi="Times New Roman" w:eastAsia="宋体" w:cs="Times New Roman"/>
                <w:caps w:val="0"/>
                <w:smallCaps w:val="0"/>
                <w:color w:val="auto"/>
                <w:spacing w:val="0"/>
                <w:szCs w:val="21"/>
                <w:highlight w:val="none"/>
              </w:rPr>
              <w:t>/100mL</w:t>
            </w:r>
          </w:p>
        </w:tc>
        <w:tc>
          <w:tcPr>
            <w:tcW w:w="1271" w:type="dxa"/>
            <w:tcBorders>
              <w:tl2br w:val="nil"/>
              <w:tr2bl w:val="nil"/>
            </w:tcBorders>
            <w:vAlign w:val="center"/>
          </w:tcPr>
          <w:p w14:paraId="34B822C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≤3.0</w:t>
            </w:r>
          </w:p>
        </w:tc>
      </w:tr>
      <w:tr w14:paraId="7387743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l2br w:val="nil"/>
              <w:tr2bl w:val="nil"/>
            </w:tcBorders>
            <w:vAlign w:val="center"/>
          </w:tcPr>
          <w:p w14:paraId="00F0D77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l2br w:val="nil"/>
              <w:tr2bl w:val="nil"/>
            </w:tcBorders>
            <w:vAlign w:val="center"/>
          </w:tcPr>
          <w:p w14:paraId="62EC45D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6C36D12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细菌总数</w:t>
            </w:r>
          </w:p>
        </w:tc>
        <w:tc>
          <w:tcPr>
            <w:tcW w:w="2991" w:type="dxa"/>
            <w:gridSpan w:val="2"/>
            <w:tcBorders>
              <w:tl2br w:val="nil"/>
              <w:tr2bl w:val="nil"/>
            </w:tcBorders>
            <w:vAlign w:val="center"/>
          </w:tcPr>
          <w:p w14:paraId="2841B7D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CFU/mL</w:t>
            </w:r>
          </w:p>
        </w:tc>
        <w:tc>
          <w:tcPr>
            <w:tcW w:w="1271" w:type="dxa"/>
            <w:tcBorders>
              <w:tl2br w:val="nil"/>
              <w:tr2bl w:val="nil"/>
            </w:tcBorders>
            <w:vAlign w:val="center"/>
          </w:tcPr>
          <w:p w14:paraId="2EC91E7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≤100</w:t>
            </w:r>
          </w:p>
        </w:tc>
      </w:tr>
      <w:tr w14:paraId="676AA3F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restart"/>
            <w:tcBorders>
              <w:bottom w:val="single" w:color="auto" w:sz="8" w:space="0"/>
              <w:tl2br w:val="nil"/>
              <w:tr2bl w:val="nil"/>
            </w:tcBorders>
            <w:vAlign w:val="center"/>
          </w:tcPr>
          <w:p w14:paraId="2154464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土壤环境</w:t>
            </w:r>
          </w:p>
        </w:tc>
        <w:tc>
          <w:tcPr>
            <w:tcW w:w="2246" w:type="dxa"/>
            <w:vMerge w:val="restart"/>
            <w:tcBorders>
              <w:bottom w:val="single" w:color="auto" w:sz="8" w:space="0"/>
              <w:tl2br w:val="nil"/>
              <w:tr2bl w:val="nil"/>
            </w:tcBorders>
            <w:vAlign w:val="center"/>
          </w:tcPr>
          <w:p w14:paraId="45FCCC7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《土壤环境质量-建设用地土壤污染风险管控标准》（GB36600-2018）</w:t>
            </w:r>
          </w:p>
        </w:tc>
        <w:tc>
          <w:tcPr>
            <w:tcW w:w="1978" w:type="dxa"/>
            <w:tcBorders>
              <w:bottom w:val="single" w:color="auto" w:sz="4" w:space="0"/>
              <w:tl2br w:val="nil"/>
              <w:tr2bl w:val="nil"/>
            </w:tcBorders>
            <w:vAlign w:val="center"/>
          </w:tcPr>
          <w:p w14:paraId="66F8716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镉</w:t>
            </w:r>
          </w:p>
        </w:tc>
        <w:tc>
          <w:tcPr>
            <w:tcW w:w="2991" w:type="dxa"/>
            <w:gridSpan w:val="2"/>
            <w:tcBorders>
              <w:bottom w:val="single" w:color="auto" w:sz="4" w:space="0"/>
              <w:tl2br w:val="nil"/>
              <w:tr2bl w:val="nil"/>
            </w:tcBorders>
            <w:vAlign w:val="center"/>
          </w:tcPr>
          <w:p w14:paraId="273106B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bottom w:val="single" w:color="auto" w:sz="4" w:space="0"/>
              <w:tl2br w:val="nil"/>
              <w:tr2bl w:val="nil"/>
            </w:tcBorders>
            <w:vAlign w:val="center"/>
          </w:tcPr>
          <w:p w14:paraId="30D0DE7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65</w:t>
            </w:r>
          </w:p>
        </w:tc>
      </w:tr>
      <w:tr w14:paraId="3EBA98F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6ABE0D5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F540B9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op w:val="single" w:color="auto" w:sz="4" w:space="0"/>
              <w:tl2br w:val="nil"/>
              <w:tr2bl w:val="nil"/>
            </w:tcBorders>
            <w:vAlign w:val="center"/>
          </w:tcPr>
          <w:p w14:paraId="6D9EB4C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汞</w:t>
            </w:r>
          </w:p>
        </w:tc>
        <w:tc>
          <w:tcPr>
            <w:tcW w:w="2991" w:type="dxa"/>
            <w:gridSpan w:val="2"/>
            <w:tcBorders>
              <w:top w:val="single" w:color="auto" w:sz="4" w:space="0"/>
              <w:tl2br w:val="nil"/>
              <w:tr2bl w:val="nil"/>
            </w:tcBorders>
            <w:vAlign w:val="center"/>
          </w:tcPr>
          <w:p w14:paraId="1349200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op w:val="single" w:color="auto" w:sz="4" w:space="0"/>
              <w:tl2br w:val="nil"/>
              <w:tr2bl w:val="nil"/>
            </w:tcBorders>
            <w:vAlign w:val="center"/>
          </w:tcPr>
          <w:p w14:paraId="14A7728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38</w:t>
            </w:r>
          </w:p>
        </w:tc>
      </w:tr>
      <w:tr w14:paraId="7155CD7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149E526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4429E3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AC03017">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砷</w:t>
            </w:r>
          </w:p>
        </w:tc>
        <w:tc>
          <w:tcPr>
            <w:tcW w:w="2991" w:type="dxa"/>
            <w:gridSpan w:val="2"/>
            <w:tcBorders>
              <w:tl2br w:val="nil"/>
              <w:tr2bl w:val="nil"/>
            </w:tcBorders>
            <w:vAlign w:val="center"/>
          </w:tcPr>
          <w:p w14:paraId="4FFBF22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6B03BE6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60</w:t>
            </w:r>
          </w:p>
        </w:tc>
      </w:tr>
      <w:tr w14:paraId="792ED63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AF19A6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FF52E0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bottom w:val="single" w:color="auto" w:sz="8" w:space="0"/>
              <w:tl2br w:val="nil"/>
              <w:tr2bl w:val="nil"/>
            </w:tcBorders>
            <w:vAlign w:val="center"/>
          </w:tcPr>
          <w:p w14:paraId="1614C32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铜</w:t>
            </w:r>
          </w:p>
        </w:tc>
        <w:tc>
          <w:tcPr>
            <w:tcW w:w="2991" w:type="dxa"/>
            <w:gridSpan w:val="2"/>
            <w:tcBorders>
              <w:bottom w:val="single" w:color="auto" w:sz="8" w:space="0"/>
              <w:tl2br w:val="nil"/>
              <w:tr2bl w:val="nil"/>
            </w:tcBorders>
            <w:vAlign w:val="center"/>
          </w:tcPr>
          <w:p w14:paraId="58F6065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bottom w:val="single" w:color="auto" w:sz="8" w:space="0"/>
              <w:tl2br w:val="nil"/>
              <w:tr2bl w:val="nil"/>
            </w:tcBorders>
            <w:vAlign w:val="center"/>
          </w:tcPr>
          <w:p w14:paraId="51098B1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18000</w:t>
            </w:r>
          </w:p>
        </w:tc>
      </w:tr>
      <w:tr w14:paraId="6A3F433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530A4EF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712989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op w:val="single" w:color="auto" w:sz="8" w:space="0"/>
              <w:tl2br w:val="nil"/>
              <w:tr2bl w:val="nil"/>
            </w:tcBorders>
            <w:vAlign w:val="center"/>
          </w:tcPr>
          <w:p w14:paraId="1A5EB9E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铅</w:t>
            </w:r>
          </w:p>
        </w:tc>
        <w:tc>
          <w:tcPr>
            <w:tcW w:w="2991" w:type="dxa"/>
            <w:gridSpan w:val="2"/>
            <w:tcBorders>
              <w:top w:val="single" w:color="auto" w:sz="8" w:space="0"/>
              <w:tl2br w:val="nil"/>
              <w:tr2bl w:val="nil"/>
            </w:tcBorders>
            <w:vAlign w:val="center"/>
          </w:tcPr>
          <w:p w14:paraId="62E6BB8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op w:val="single" w:color="auto" w:sz="8" w:space="0"/>
              <w:tl2br w:val="nil"/>
              <w:tr2bl w:val="nil"/>
            </w:tcBorders>
            <w:vAlign w:val="center"/>
          </w:tcPr>
          <w:p w14:paraId="32D381A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800</w:t>
            </w:r>
          </w:p>
        </w:tc>
      </w:tr>
      <w:tr w14:paraId="4B6E861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2F7B65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00AFFF5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91184F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铬(六价)</w:t>
            </w:r>
          </w:p>
        </w:tc>
        <w:tc>
          <w:tcPr>
            <w:tcW w:w="2991" w:type="dxa"/>
            <w:gridSpan w:val="2"/>
            <w:tcBorders>
              <w:tl2br w:val="nil"/>
              <w:tr2bl w:val="nil"/>
            </w:tcBorders>
            <w:vAlign w:val="center"/>
          </w:tcPr>
          <w:p w14:paraId="743B68E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5C4F06D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5.7</w:t>
            </w:r>
          </w:p>
        </w:tc>
      </w:tr>
      <w:tr w14:paraId="3083114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6B9524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EA6918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86048D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镍</w:t>
            </w:r>
          </w:p>
        </w:tc>
        <w:tc>
          <w:tcPr>
            <w:tcW w:w="2991" w:type="dxa"/>
            <w:gridSpan w:val="2"/>
            <w:tcBorders>
              <w:tl2br w:val="nil"/>
              <w:tr2bl w:val="nil"/>
            </w:tcBorders>
            <w:vAlign w:val="center"/>
          </w:tcPr>
          <w:p w14:paraId="17F812A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0D8FA5F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900</w:t>
            </w:r>
          </w:p>
        </w:tc>
      </w:tr>
      <w:tr w14:paraId="2F49AEB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3A2BB37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7CFAA97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1501678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石油烃(C</w:t>
            </w:r>
            <w:r>
              <w:rPr>
                <w:rFonts w:ascii="Times New Roman" w:hAnsi="Times New Roman" w:eastAsia="宋体" w:cs="Times New Roman"/>
                <w:caps w:val="0"/>
                <w:smallCaps w:val="0"/>
                <w:color w:val="auto"/>
                <w:spacing w:val="0"/>
                <w:kern w:val="0"/>
                <w:szCs w:val="21"/>
                <w:highlight w:val="none"/>
                <w:vertAlign w:val="subscript"/>
              </w:rPr>
              <w:t>10</w:t>
            </w:r>
            <w:r>
              <w:rPr>
                <w:rFonts w:ascii="Times New Roman" w:hAnsi="Times New Roman" w:eastAsia="宋体" w:cs="Times New Roman"/>
                <w:caps w:val="0"/>
                <w:smallCaps w:val="0"/>
                <w:color w:val="auto"/>
                <w:spacing w:val="0"/>
                <w:kern w:val="0"/>
                <w:szCs w:val="21"/>
                <w:highlight w:val="none"/>
              </w:rPr>
              <w:t>-C</w:t>
            </w:r>
            <w:r>
              <w:rPr>
                <w:rFonts w:ascii="Times New Roman" w:hAnsi="Times New Roman" w:eastAsia="宋体" w:cs="Times New Roman"/>
                <w:caps w:val="0"/>
                <w:smallCaps w:val="0"/>
                <w:color w:val="auto"/>
                <w:spacing w:val="0"/>
                <w:kern w:val="0"/>
                <w:szCs w:val="21"/>
                <w:highlight w:val="none"/>
                <w:vertAlign w:val="subscript"/>
              </w:rPr>
              <w:t>40</w:t>
            </w:r>
            <w:r>
              <w:rPr>
                <w:rFonts w:ascii="Times New Roman" w:hAnsi="Times New Roman" w:eastAsia="宋体" w:cs="Times New Roman"/>
                <w:caps w:val="0"/>
                <w:smallCaps w:val="0"/>
                <w:color w:val="auto"/>
                <w:spacing w:val="0"/>
                <w:kern w:val="0"/>
                <w:szCs w:val="21"/>
                <w:highlight w:val="none"/>
              </w:rPr>
              <w:t>)</w:t>
            </w:r>
          </w:p>
        </w:tc>
        <w:tc>
          <w:tcPr>
            <w:tcW w:w="2991" w:type="dxa"/>
            <w:gridSpan w:val="2"/>
            <w:tcBorders>
              <w:tl2br w:val="nil"/>
              <w:tr2bl w:val="nil"/>
            </w:tcBorders>
            <w:vAlign w:val="center"/>
          </w:tcPr>
          <w:p w14:paraId="59823BC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1B3542B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4500</w:t>
            </w:r>
          </w:p>
        </w:tc>
      </w:tr>
      <w:tr w14:paraId="402CFD4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5DCA808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6F3C7A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F4743D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氰化物</w:t>
            </w:r>
          </w:p>
        </w:tc>
        <w:tc>
          <w:tcPr>
            <w:tcW w:w="2991" w:type="dxa"/>
            <w:gridSpan w:val="2"/>
            <w:tcBorders>
              <w:tl2br w:val="nil"/>
              <w:tr2bl w:val="nil"/>
            </w:tcBorders>
            <w:vAlign w:val="center"/>
          </w:tcPr>
          <w:p w14:paraId="00DBDD1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7E5F910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135</w:t>
            </w:r>
          </w:p>
        </w:tc>
      </w:tr>
      <w:tr w14:paraId="54E6571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F8AEF4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50C1200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1D21C2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w:t>
            </w:r>
          </w:p>
        </w:tc>
        <w:tc>
          <w:tcPr>
            <w:tcW w:w="2991" w:type="dxa"/>
            <w:gridSpan w:val="2"/>
            <w:tcBorders>
              <w:tl2br w:val="nil"/>
              <w:tr2bl w:val="nil"/>
            </w:tcBorders>
            <w:vAlign w:val="center"/>
          </w:tcPr>
          <w:p w14:paraId="555354C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7F0BDF6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4</w:t>
            </w:r>
          </w:p>
        </w:tc>
      </w:tr>
      <w:tr w14:paraId="7926761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426320B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FC44FB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D97B65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四氯化碳</w:t>
            </w:r>
          </w:p>
        </w:tc>
        <w:tc>
          <w:tcPr>
            <w:tcW w:w="2991" w:type="dxa"/>
            <w:gridSpan w:val="2"/>
            <w:tcBorders>
              <w:tl2br w:val="nil"/>
              <w:tr2bl w:val="nil"/>
            </w:tcBorders>
            <w:vAlign w:val="center"/>
          </w:tcPr>
          <w:p w14:paraId="2B29F0D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12CD9AC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2.8</w:t>
            </w:r>
          </w:p>
        </w:tc>
      </w:tr>
      <w:tr w14:paraId="7279D2C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2DCDED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D3C642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FE4816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氯仿</w:t>
            </w:r>
          </w:p>
        </w:tc>
        <w:tc>
          <w:tcPr>
            <w:tcW w:w="2991" w:type="dxa"/>
            <w:gridSpan w:val="2"/>
            <w:tcBorders>
              <w:tl2br w:val="nil"/>
              <w:tr2bl w:val="nil"/>
            </w:tcBorders>
            <w:vAlign w:val="center"/>
          </w:tcPr>
          <w:p w14:paraId="385CFCF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7BD7E25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0.9</w:t>
            </w:r>
          </w:p>
        </w:tc>
      </w:tr>
      <w:tr w14:paraId="28309D4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E2B3EE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1B3B048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7C540F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氯甲烷</w:t>
            </w:r>
          </w:p>
        </w:tc>
        <w:tc>
          <w:tcPr>
            <w:tcW w:w="2991" w:type="dxa"/>
            <w:gridSpan w:val="2"/>
            <w:tcBorders>
              <w:tl2br w:val="nil"/>
              <w:tr2bl w:val="nil"/>
            </w:tcBorders>
            <w:vAlign w:val="center"/>
          </w:tcPr>
          <w:p w14:paraId="23DE457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20A80C7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37</w:t>
            </w:r>
          </w:p>
        </w:tc>
      </w:tr>
      <w:tr w14:paraId="6B71CF4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4F41A13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57BE9F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70BDAF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1,1-二氯乙烷</w:t>
            </w:r>
          </w:p>
        </w:tc>
        <w:tc>
          <w:tcPr>
            <w:tcW w:w="2991" w:type="dxa"/>
            <w:gridSpan w:val="2"/>
            <w:tcBorders>
              <w:tl2br w:val="nil"/>
              <w:tr2bl w:val="nil"/>
            </w:tcBorders>
            <w:vAlign w:val="center"/>
          </w:tcPr>
          <w:p w14:paraId="6FE02D3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1FC0770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9</w:t>
            </w:r>
          </w:p>
        </w:tc>
      </w:tr>
      <w:tr w14:paraId="02223ED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E32DB2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4A3743D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167931C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1,2-二氯乙烷</w:t>
            </w:r>
          </w:p>
        </w:tc>
        <w:tc>
          <w:tcPr>
            <w:tcW w:w="2991" w:type="dxa"/>
            <w:gridSpan w:val="2"/>
            <w:tcBorders>
              <w:tl2br w:val="nil"/>
              <w:tr2bl w:val="nil"/>
            </w:tcBorders>
            <w:vAlign w:val="center"/>
          </w:tcPr>
          <w:p w14:paraId="7178506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244DECC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w:t>
            </w:r>
          </w:p>
        </w:tc>
      </w:tr>
      <w:tr w14:paraId="2AA810E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71A5DD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0CEB59A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4B5A8C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1,1-二氯乙烯</w:t>
            </w:r>
          </w:p>
        </w:tc>
        <w:tc>
          <w:tcPr>
            <w:tcW w:w="2991" w:type="dxa"/>
            <w:gridSpan w:val="2"/>
            <w:tcBorders>
              <w:tl2br w:val="nil"/>
              <w:tr2bl w:val="nil"/>
            </w:tcBorders>
            <w:vAlign w:val="center"/>
          </w:tcPr>
          <w:p w14:paraId="670223A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3566825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66</w:t>
            </w:r>
          </w:p>
        </w:tc>
      </w:tr>
      <w:tr w14:paraId="69617E3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5CB49CE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52AACC4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bottom w:val="single" w:color="auto" w:sz="4" w:space="0"/>
              <w:tl2br w:val="nil"/>
              <w:tr2bl w:val="nil"/>
            </w:tcBorders>
            <w:vAlign w:val="center"/>
          </w:tcPr>
          <w:p w14:paraId="2B302C3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顺-1,2-二氯乙烯</w:t>
            </w:r>
          </w:p>
        </w:tc>
        <w:tc>
          <w:tcPr>
            <w:tcW w:w="2991" w:type="dxa"/>
            <w:gridSpan w:val="2"/>
            <w:tcBorders>
              <w:bottom w:val="single" w:color="auto" w:sz="4" w:space="0"/>
              <w:tl2br w:val="nil"/>
              <w:tr2bl w:val="nil"/>
            </w:tcBorders>
            <w:vAlign w:val="center"/>
          </w:tcPr>
          <w:p w14:paraId="65AE51C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bottom w:val="single" w:color="auto" w:sz="4" w:space="0"/>
              <w:tl2br w:val="nil"/>
              <w:tr2bl w:val="nil"/>
            </w:tcBorders>
            <w:vAlign w:val="center"/>
          </w:tcPr>
          <w:p w14:paraId="7F4381D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596</w:t>
            </w:r>
          </w:p>
        </w:tc>
      </w:tr>
      <w:tr w14:paraId="1B25C1A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3AB5374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4350B13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op w:val="single" w:color="auto" w:sz="4" w:space="0"/>
              <w:tl2br w:val="nil"/>
              <w:tr2bl w:val="nil"/>
            </w:tcBorders>
            <w:vAlign w:val="center"/>
          </w:tcPr>
          <w:p w14:paraId="2E580527">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反-1,2-二氯乙烯</w:t>
            </w:r>
          </w:p>
        </w:tc>
        <w:tc>
          <w:tcPr>
            <w:tcW w:w="2991" w:type="dxa"/>
            <w:gridSpan w:val="2"/>
            <w:tcBorders>
              <w:top w:val="single" w:color="auto" w:sz="4" w:space="0"/>
              <w:tl2br w:val="nil"/>
              <w:tr2bl w:val="nil"/>
            </w:tcBorders>
            <w:vAlign w:val="center"/>
          </w:tcPr>
          <w:p w14:paraId="783ED5E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op w:val="single" w:color="auto" w:sz="4" w:space="0"/>
              <w:tl2br w:val="nil"/>
              <w:tr2bl w:val="nil"/>
            </w:tcBorders>
            <w:vAlign w:val="center"/>
          </w:tcPr>
          <w:p w14:paraId="785DB60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54</w:t>
            </w:r>
          </w:p>
        </w:tc>
      </w:tr>
      <w:tr w14:paraId="566483B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3B0ED2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7A31F1A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A5B5F5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二氯甲烷</w:t>
            </w:r>
          </w:p>
        </w:tc>
        <w:tc>
          <w:tcPr>
            <w:tcW w:w="2991" w:type="dxa"/>
            <w:gridSpan w:val="2"/>
            <w:tcBorders>
              <w:tl2br w:val="nil"/>
              <w:tr2bl w:val="nil"/>
            </w:tcBorders>
            <w:vAlign w:val="center"/>
          </w:tcPr>
          <w:p w14:paraId="49D1016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686FB05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616</w:t>
            </w:r>
          </w:p>
        </w:tc>
      </w:tr>
      <w:tr w14:paraId="211F560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34F63F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5A9FC37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6779F2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1,2-二氯丙烷</w:t>
            </w:r>
          </w:p>
        </w:tc>
        <w:tc>
          <w:tcPr>
            <w:tcW w:w="2991" w:type="dxa"/>
            <w:gridSpan w:val="2"/>
            <w:tcBorders>
              <w:tl2br w:val="nil"/>
              <w:tr2bl w:val="nil"/>
            </w:tcBorders>
            <w:vAlign w:val="center"/>
          </w:tcPr>
          <w:p w14:paraId="14CBD88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6ACFC45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w:t>
            </w:r>
          </w:p>
        </w:tc>
      </w:tr>
      <w:tr w14:paraId="097AE5F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767337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4A9EDA07">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30F821B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1,1,1,2-四氯乙烷</w:t>
            </w:r>
          </w:p>
        </w:tc>
        <w:tc>
          <w:tcPr>
            <w:tcW w:w="2991" w:type="dxa"/>
            <w:gridSpan w:val="2"/>
            <w:tcBorders>
              <w:tl2br w:val="nil"/>
              <w:tr2bl w:val="nil"/>
            </w:tcBorders>
            <w:vAlign w:val="center"/>
          </w:tcPr>
          <w:p w14:paraId="75EA132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1EAEF29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10</w:t>
            </w:r>
          </w:p>
        </w:tc>
      </w:tr>
      <w:tr w14:paraId="5811ADB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486A1F4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4375C8F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3F612B7">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1,1,2,2-四氯乙烷</w:t>
            </w:r>
          </w:p>
        </w:tc>
        <w:tc>
          <w:tcPr>
            <w:tcW w:w="2991" w:type="dxa"/>
            <w:gridSpan w:val="2"/>
            <w:tcBorders>
              <w:tl2br w:val="nil"/>
              <w:tr2bl w:val="nil"/>
            </w:tcBorders>
            <w:vAlign w:val="center"/>
          </w:tcPr>
          <w:p w14:paraId="0D550F4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0D9C84C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6.8</w:t>
            </w:r>
          </w:p>
        </w:tc>
      </w:tr>
      <w:tr w14:paraId="23699CB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2A9CDA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0585262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05AD97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四氯乙烯</w:t>
            </w:r>
          </w:p>
        </w:tc>
        <w:tc>
          <w:tcPr>
            <w:tcW w:w="2991" w:type="dxa"/>
            <w:gridSpan w:val="2"/>
            <w:tcBorders>
              <w:tl2br w:val="nil"/>
              <w:tr2bl w:val="nil"/>
            </w:tcBorders>
            <w:vAlign w:val="center"/>
          </w:tcPr>
          <w:p w14:paraId="3B24908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03BC521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53</w:t>
            </w:r>
          </w:p>
        </w:tc>
      </w:tr>
      <w:tr w14:paraId="7DA6D3B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11F34D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144611E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1DB5944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1,1,1-三氯乙烷</w:t>
            </w:r>
          </w:p>
        </w:tc>
        <w:tc>
          <w:tcPr>
            <w:tcW w:w="2991" w:type="dxa"/>
            <w:gridSpan w:val="2"/>
            <w:tcBorders>
              <w:tl2br w:val="nil"/>
              <w:tr2bl w:val="nil"/>
            </w:tcBorders>
            <w:vAlign w:val="center"/>
          </w:tcPr>
          <w:p w14:paraId="0B257AE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0AA21B6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840</w:t>
            </w:r>
          </w:p>
        </w:tc>
      </w:tr>
      <w:tr w14:paraId="11A9F2A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E130F4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9E875F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0B6A52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1,1,2-三氯乙烷</w:t>
            </w:r>
          </w:p>
        </w:tc>
        <w:tc>
          <w:tcPr>
            <w:tcW w:w="2991" w:type="dxa"/>
            <w:gridSpan w:val="2"/>
            <w:tcBorders>
              <w:tl2br w:val="nil"/>
              <w:tr2bl w:val="nil"/>
            </w:tcBorders>
            <w:vAlign w:val="center"/>
          </w:tcPr>
          <w:p w14:paraId="06261FA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1342846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2.8</w:t>
            </w:r>
          </w:p>
        </w:tc>
      </w:tr>
      <w:tr w14:paraId="0A619CE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1D713BB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1B3DA32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629181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三氯乙烯</w:t>
            </w:r>
          </w:p>
        </w:tc>
        <w:tc>
          <w:tcPr>
            <w:tcW w:w="2991" w:type="dxa"/>
            <w:gridSpan w:val="2"/>
            <w:tcBorders>
              <w:tl2br w:val="nil"/>
              <w:tr2bl w:val="nil"/>
            </w:tcBorders>
            <w:vAlign w:val="center"/>
          </w:tcPr>
          <w:p w14:paraId="734A0EF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3F21F59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2.8</w:t>
            </w:r>
          </w:p>
        </w:tc>
      </w:tr>
      <w:tr w14:paraId="7B5E83C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6A127F7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1F3D28F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C5A6F6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1,2,3-三氯丙烷</w:t>
            </w:r>
          </w:p>
        </w:tc>
        <w:tc>
          <w:tcPr>
            <w:tcW w:w="2991" w:type="dxa"/>
            <w:gridSpan w:val="2"/>
            <w:tcBorders>
              <w:tl2br w:val="nil"/>
              <w:tr2bl w:val="nil"/>
            </w:tcBorders>
            <w:vAlign w:val="center"/>
          </w:tcPr>
          <w:p w14:paraId="77619D1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45F0EB7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0.5</w:t>
            </w:r>
          </w:p>
        </w:tc>
      </w:tr>
      <w:tr w14:paraId="293C48C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7034C7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54A1B85B">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E45749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氯乙烯</w:t>
            </w:r>
          </w:p>
        </w:tc>
        <w:tc>
          <w:tcPr>
            <w:tcW w:w="2991" w:type="dxa"/>
            <w:gridSpan w:val="2"/>
            <w:tcBorders>
              <w:tl2br w:val="nil"/>
              <w:tr2bl w:val="nil"/>
            </w:tcBorders>
            <w:vAlign w:val="center"/>
          </w:tcPr>
          <w:p w14:paraId="0500658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7B07DC1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0.43</w:t>
            </w:r>
          </w:p>
        </w:tc>
      </w:tr>
      <w:tr w14:paraId="0234638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1C203B4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0B3858F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B5113B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氯苯</w:t>
            </w:r>
          </w:p>
        </w:tc>
        <w:tc>
          <w:tcPr>
            <w:tcW w:w="2991" w:type="dxa"/>
            <w:gridSpan w:val="2"/>
            <w:tcBorders>
              <w:tl2br w:val="nil"/>
              <w:tr2bl w:val="nil"/>
            </w:tcBorders>
            <w:vAlign w:val="center"/>
          </w:tcPr>
          <w:p w14:paraId="4FB327D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61F4B43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270</w:t>
            </w:r>
          </w:p>
        </w:tc>
      </w:tr>
      <w:tr w14:paraId="6E73C2C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3AD695A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687908D">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6A5539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1,2-二氯苯</w:t>
            </w:r>
          </w:p>
        </w:tc>
        <w:tc>
          <w:tcPr>
            <w:tcW w:w="2991" w:type="dxa"/>
            <w:gridSpan w:val="2"/>
            <w:tcBorders>
              <w:tl2br w:val="nil"/>
              <w:tr2bl w:val="nil"/>
            </w:tcBorders>
            <w:vAlign w:val="center"/>
          </w:tcPr>
          <w:p w14:paraId="1CBEE1E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3C9B780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560</w:t>
            </w:r>
          </w:p>
        </w:tc>
      </w:tr>
      <w:tr w14:paraId="1F636FC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69B85CD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45B62E5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70A0A1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1,4-二氯苯</w:t>
            </w:r>
          </w:p>
        </w:tc>
        <w:tc>
          <w:tcPr>
            <w:tcW w:w="2991" w:type="dxa"/>
            <w:gridSpan w:val="2"/>
            <w:tcBorders>
              <w:tl2br w:val="nil"/>
              <w:tr2bl w:val="nil"/>
            </w:tcBorders>
            <w:vAlign w:val="center"/>
          </w:tcPr>
          <w:p w14:paraId="6AE370C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3D031D0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20</w:t>
            </w:r>
          </w:p>
        </w:tc>
      </w:tr>
      <w:tr w14:paraId="24A01A0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0ADCA5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48E6A63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184BABD">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乙苯</w:t>
            </w:r>
          </w:p>
        </w:tc>
        <w:tc>
          <w:tcPr>
            <w:tcW w:w="2991" w:type="dxa"/>
            <w:gridSpan w:val="2"/>
            <w:tcBorders>
              <w:tl2br w:val="nil"/>
              <w:tr2bl w:val="nil"/>
            </w:tcBorders>
            <w:vAlign w:val="center"/>
          </w:tcPr>
          <w:p w14:paraId="597E961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2316B0A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28</w:t>
            </w:r>
          </w:p>
        </w:tc>
      </w:tr>
      <w:tr w14:paraId="37C2EFF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B6762C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2CBDBE86">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ECB00D9">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苯乙烯</w:t>
            </w:r>
          </w:p>
        </w:tc>
        <w:tc>
          <w:tcPr>
            <w:tcW w:w="2991" w:type="dxa"/>
            <w:gridSpan w:val="2"/>
            <w:tcBorders>
              <w:tl2br w:val="nil"/>
              <w:tr2bl w:val="nil"/>
            </w:tcBorders>
            <w:vAlign w:val="center"/>
          </w:tcPr>
          <w:p w14:paraId="1767621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54E39EC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1290</w:t>
            </w:r>
          </w:p>
        </w:tc>
      </w:tr>
      <w:tr w14:paraId="771EC95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38FBE56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7FEEB1D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309EC07">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甲苯</w:t>
            </w:r>
          </w:p>
        </w:tc>
        <w:tc>
          <w:tcPr>
            <w:tcW w:w="2991" w:type="dxa"/>
            <w:gridSpan w:val="2"/>
            <w:tcBorders>
              <w:tl2br w:val="nil"/>
              <w:tr2bl w:val="nil"/>
            </w:tcBorders>
            <w:vAlign w:val="center"/>
          </w:tcPr>
          <w:p w14:paraId="2B3560C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26986EF0">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1200</w:t>
            </w:r>
          </w:p>
        </w:tc>
      </w:tr>
      <w:tr w14:paraId="4204E7B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5B4573D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411BA8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74ADAE5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间二甲苯+对二甲苯</w:t>
            </w:r>
          </w:p>
        </w:tc>
        <w:tc>
          <w:tcPr>
            <w:tcW w:w="2991" w:type="dxa"/>
            <w:gridSpan w:val="2"/>
            <w:tcBorders>
              <w:tl2br w:val="nil"/>
              <w:tr2bl w:val="nil"/>
            </w:tcBorders>
            <w:vAlign w:val="center"/>
          </w:tcPr>
          <w:p w14:paraId="485D385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3D12F1E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570</w:t>
            </w:r>
          </w:p>
        </w:tc>
      </w:tr>
      <w:tr w14:paraId="25A2C19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44B8D66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7D404062">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1D76CE9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邻二甲苯</w:t>
            </w:r>
          </w:p>
        </w:tc>
        <w:tc>
          <w:tcPr>
            <w:tcW w:w="2991" w:type="dxa"/>
            <w:gridSpan w:val="2"/>
            <w:tcBorders>
              <w:tl2br w:val="nil"/>
              <w:tr2bl w:val="nil"/>
            </w:tcBorders>
            <w:vAlign w:val="center"/>
          </w:tcPr>
          <w:p w14:paraId="7156DC3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60F723E4">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640</w:t>
            </w:r>
          </w:p>
        </w:tc>
      </w:tr>
      <w:tr w14:paraId="586D164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1EC9B4C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02D939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bottom w:val="single" w:color="auto" w:sz="8" w:space="0"/>
              <w:tl2br w:val="nil"/>
              <w:tr2bl w:val="nil"/>
            </w:tcBorders>
            <w:vAlign w:val="center"/>
          </w:tcPr>
          <w:p w14:paraId="1BC08D5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硝基苯</w:t>
            </w:r>
          </w:p>
        </w:tc>
        <w:tc>
          <w:tcPr>
            <w:tcW w:w="2991" w:type="dxa"/>
            <w:gridSpan w:val="2"/>
            <w:tcBorders>
              <w:bottom w:val="single" w:color="auto" w:sz="8" w:space="0"/>
              <w:tl2br w:val="nil"/>
              <w:tr2bl w:val="nil"/>
            </w:tcBorders>
            <w:vAlign w:val="center"/>
          </w:tcPr>
          <w:p w14:paraId="3C83BE5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bottom w:val="single" w:color="auto" w:sz="8" w:space="0"/>
              <w:tl2br w:val="nil"/>
              <w:tr2bl w:val="nil"/>
            </w:tcBorders>
            <w:vAlign w:val="center"/>
          </w:tcPr>
          <w:p w14:paraId="1CB7774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76</w:t>
            </w:r>
          </w:p>
        </w:tc>
      </w:tr>
      <w:tr w14:paraId="3DE03CC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A98EAFC">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311A1C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op w:val="single" w:color="auto" w:sz="8" w:space="0"/>
              <w:tl2br w:val="nil"/>
              <w:tr2bl w:val="nil"/>
            </w:tcBorders>
            <w:vAlign w:val="center"/>
          </w:tcPr>
          <w:p w14:paraId="2AFD38EF">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苯胺</w:t>
            </w:r>
          </w:p>
        </w:tc>
        <w:tc>
          <w:tcPr>
            <w:tcW w:w="2991" w:type="dxa"/>
            <w:gridSpan w:val="2"/>
            <w:tcBorders>
              <w:top w:val="single" w:color="auto" w:sz="8" w:space="0"/>
              <w:tl2br w:val="nil"/>
              <w:tr2bl w:val="nil"/>
            </w:tcBorders>
            <w:vAlign w:val="center"/>
          </w:tcPr>
          <w:p w14:paraId="632B5BB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op w:val="single" w:color="auto" w:sz="8" w:space="0"/>
              <w:tl2br w:val="nil"/>
              <w:tr2bl w:val="nil"/>
            </w:tcBorders>
            <w:vAlign w:val="center"/>
          </w:tcPr>
          <w:p w14:paraId="0537983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260</w:t>
            </w:r>
          </w:p>
        </w:tc>
      </w:tr>
      <w:tr w14:paraId="719AD7A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5268115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528AB3B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4BA2C6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2-氯酚</w:t>
            </w:r>
          </w:p>
        </w:tc>
        <w:tc>
          <w:tcPr>
            <w:tcW w:w="2991" w:type="dxa"/>
            <w:gridSpan w:val="2"/>
            <w:tcBorders>
              <w:tl2br w:val="nil"/>
              <w:tr2bl w:val="nil"/>
            </w:tcBorders>
            <w:vAlign w:val="center"/>
          </w:tcPr>
          <w:p w14:paraId="6BD8256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7B5B6E5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2256</w:t>
            </w:r>
          </w:p>
        </w:tc>
      </w:tr>
      <w:tr w14:paraId="71F9FE2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04DAA8AF">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2B86E06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2BC88462">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苯并(a)蒽</w:t>
            </w:r>
          </w:p>
        </w:tc>
        <w:tc>
          <w:tcPr>
            <w:tcW w:w="2991" w:type="dxa"/>
            <w:gridSpan w:val="2"/>
            <w:tcBorders>
              <w:tl2br w:val="nil"/>
              <w:tr2bl w:val="nil"/>
            </w:tcBorders>
            <w:vAlign w:val="center"/>
          </w:tcPr>
          <w:p w14:paraId="6A1549C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0A80FB8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w:t>
            </w:r>
          </w:p>
        </w:tc>
      </w:tr>
      <w:tr w14:paraId="0E51C9C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41399ED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0E11B33">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DA9CE8C">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䓛</w:t>
            </w:r>
          </w:p>
        </w:tc>
        <w:tc>
          <w:tcPr>
            <w:tcW w:w="2991" w:type="dxa"/>
            <w:gridSpan w:val="2"/>
            <w:tcBorders>
              <w:tl2br w:val="nil"/>
              <w:tr2bl w:val="nil"/>
            </w:tcBorders>
            <w:vAlign w:val="center"/>
          </w:tcPr>
          <w:p w14:paraId="6B1891A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4406DACA">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1293</w:t>
            </w:r>
          </w:p>
        </w:tc>
      </w:tr>
      <w:tr w14:paraId="35345C7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3F86D5F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162E12D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0BCB25E1">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二苯并[a,h]蒽</w:t>
            </w:r>
          </w:p>
        </w:tc>
        <w:tc>
          <w:tcPr>
            <w:tcW w:w="2991" w:type="dxa"/>
            <w:gridSpan w:val="2"/>
            <w:tcBorders>
              <w:tl2br w:val="nil"/>
              <w:tr2bl w:val="nil"/>
            </w:tcBorders>
            <w:vAlign w:val="center"/>
          </w:tcPr>
          <w:p w14:paraId="2CA5C0A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37E00B0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w:t>
            </w:r>
          </w:p>
        </w:tc>
      </w:tr>
      <w:tr w14:paraId="1350B42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3A432FEA">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03DB632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62A64DD8">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萘</w:t>
            </w:r>
          </w:p>
        </w:tc>
        <w:tc>
          <w:tcPr>
            <w:tcW w:w="2991" w:type="dxa"/>
            <w:gridSpan w:val="2"/>
            <w:tcBorders>
              <w:tl2br w:val="nil"/>
              <w:tr2bl w:val="nil"/>
            </w:tcBorders>
            <w:vAlign w:val="center"/>
          </w:tcPr>
          <w:p w14:paraId="0910338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426E3B3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70</w:t>
            </w:r>
          </w:p>
        </w:tc>
      </w:tr>
      <w:tr w14:paraId="185D56E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740254EE">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439775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51DB57FE">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苯并(a)芘</w:t>
            </w:r>
          </w:p>
        </w:tc>
        <w:tc>
          <w:tcPr>
            <w:tcW w:w="2991" w:type="dxa"/>
            <w:gridSpan w:val="2"/>
            <w:tcBorders>
              <w:tl2br w:val="nil"/>
              <w:tr2bl w:val="nil"/>
            </w:tcBorders>
            <w:vAlign w:val="center"/>
          </w:tcPr>
          <w:p w14:paraId="73380C1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40CD68C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w:t>
            </w:r>
          </w:p>
        </w:tc>
      </w:tr>
      <w:tr w14:paraId="4225475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1CDEF321">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53681B55">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29D995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苯并(b)荧蒽</w:t>
            </w:r>
          </w:p>
        </w:tc>
        <w:tc>
          <w:tcPr>
            <w:tcW w:w="2991" w:type="dxa"/>
            <w:gridSpan w:val="2"/>
            <w:tcBorders>
              <w:tl2br w:val="nil"/>
              <w:tr2bl w:val="nil"/>
            </w:tcBorders>
            <w:vAlign w:val="center"/>
          </w:tcPr>
          <w:p w14:paraId="6B6CC92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1C99801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w:t>
            </w:r>
          </w:p>
        </w:tc>
      </w:tr>
      <w:tr w14:paraId="23B9798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20D91BB0">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378B3CA8">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tl2br w:val="nil"/>
              <w:tr2bl w:val="nil"/>
            </w:tcBorders>
            <w:vAlign w:val="center"/>
          </w:tcPr>
          <w:p w14:paraId="47896ADB">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苯并(K)荧蒽</w:t>
            </w:r>
          </w:p>
        </w:tc>
        <w:tc>
          <w:tcPr>
            <w:tcW w:w="2991" w:type="dxa"/>
            <w:gridSpan w:val="2"/>
            <w:tcBorders>
              <w:tl2br w:val="nil"/>
              <w:tr2bl w:val="nil"/>
            </w:tcBorders>
            <w:vAlign w:val="center"/>
          </w:tcPr>
          <w:p w14:paraId="122E5E6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tl2br w:val="nil"/>
              <w:tr2bl w:val="nil"/>
            </w:tcBorders>
            <w:vAlign w:val="center"/>
          </w:tcPr>
          <w:p w14:paraId="01A2D1E3">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151</w:t>
            </w:r>
          </w:p>
        </w:tc>
      </w:tr>
      <w:tr w14:paraId="3365C2D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800" w:type="dxa"/>
            <w:vMerge w:val="continue"/>
            <w:tcBorders>
              <w:top w:val="single" w:color="auto" w:sz="8" w:space="0"/>
              <w:bottom w:val="single" w:color="auto" w:sz="8" w:space="0"/>
              <w:tl2br w:val="nil"/>
              <w:tr2bl w:val="nil"/>
            </w:tcBorders>
            <w:vAlign w:val="center"/>
          </w:tcPr>
          <w:p w14:paraId="429CB124">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2246" w:type="dxa"/>
            <w:vMerge w:val="continue"/>
            <w:tcBorders>
              <w:top w:val="single" w:color="auto" w:sz="8" w:space="0"/>
              <w:bottom w:val="single" w:color="auto" w:sz="8" w:space="0"/>
              <w:tl2br w:val="nil"/>
              <w:tr2bl w:val="nil"/>
            </w:tcBorders>
            <w:vAlign w:val="center"/>
          </w:tcPr>
          <w:p w14:paraId="6411A009">
            <w:pPr>
              <w:pStyle w:val="66"/>
              <w:widowControl w:val="0"/>
              <w:ind w:left="0"/>
              <w:rPr>
                <w:rFonts w:ascii="Times New Roman" w:hAnsi="Times New Roman" w:eastAsia="宋体" w:cs="Times New Roman"/>
                <w:caps w:val="0"/>
                <w:smallCaps w:val="0"/>
                <w:color w:val="auto"/>
                <w:spacing w:val="0"/>
                <w:kern w:val="0"/>
                <w:szCs w:val="21"/>
                <w:highlight w:val="none"/>
              </w:rPr>
            </w:pPr>
          </w:p>
        </w:tc>
        <w:tc>
          <w:tcPr>
            <w:tcW w:w="1978" w:type="dxa"/>
            <w:tcBorders>
              <w:bottom w:val="single" w:color="auto" w:sz="8" w:space="0"/>
              <w:tl2br w:val="nil"/>
              <w:tr2bl w:val="nil"/>
            </w:tcBorders>
            <w:vAlign w:val="center"/>
          </w:tcPr>
          <w:p w14:paraId="59BC8A85">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茚并(1,2,3-c,d)芘</w:t>
            </w:r>
          </w:p>
        </w:tc>
        <w:tc>
          <w:tcPr>
            <w:tcW w:w="2991" w:type="dxa"/>
            <w:gridSpan w:val="2"/>
            <w:tcBorders>
              <w:bottom w:val="single" w:color="auto" w:sz="8" w:space="0"/>
              <w:tl2br w:val="nil"/>
              <w:tr2bl w:val="nil"/>
            </w:tcBorders>
            <w:vAlign w:val="center"/>
          </w:tcPr>
          <w:p w14:paraId="5FDC23A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mg/kg</w:t>
            </w:r>
          </w:p>
        </w:tc>
        <w:tc>
          <w:tcPr>
            <w:tcW w:w="1271" w:type="dxa"/>
            <w:tcBorders>
              <w:bottom w:val="single" w:color="auto" w:sz="8" w:space="0"/>
              <w:tl2br w:val="nil"/>
              <w:tr2bl w:val="nil"/>
            </w:tcBorders>
            <w:vAlign w:val="center"/>
          </w:tcPr>
          <w:p w14:paraId="18724966">
            <w:pPr>
              <w:pStyle w:val="66"/>
              <w:widowControl w:val="0"/>
              <w:ind w:left="0"/>
              <w:rPr>
                <w:rFonts w:ascii="Times New Roman" w:hAnsi="Times New Roman" w:eastAsia="宋体" w:cs="Times New Roman"/>
                <w:caps w:val="0"/>
                <w:smallCaps w:val="0"/>
                <w:color w:val="auto"/>
                <w:spacing w:val="0"/>
                <w:kern w:val="0"/>
                <w:szCs w:val="21"/>
                <w:highlight w:val="none"/>
              </w:rPr>
            </w:pPr>
            <w:r>
              <w:rPr>
                <w:rFonts w:ascii="Times New Roman" w:hAnsi="Times New Roman" w:eastAsia="宋体" w:cs="Times New Roman"/>
                <w:caps w:val="0"/>
                <w:smallCaps w:val="0"/>
                <w:color w:val="auto"/>
                <w:spacing w:val="0"/>
                <w:kern w:val="0"/>
                <w:szCs w:val="21"/>
                <w:highlight w:val="none"/>
              </w:rPr>
              <w:t>15</w:t>
            </w:r>
          </w:p>
        </w:tc>
      </w:tr>
    </w:tbl>
    <w:p w14:paraId="2C56B02C">
      <w:pPr>
        <w:pStyle w:val="5"/>
        <w:widowControl w:val="0"/>
        <w:rPr>
          <w:rFonts w:eastAsia="宋体"/>
          <w:caps w:val="0"/>
          <w:smallCaps w:val="0"/>
          <w:color w:val="auto"/>
          <w:spacing w:val="0"/>
          <w:sz w:val="30"/>
          <w:szCs w:val="30"/>
          <w:highlight w:val="none"/>
        </w:rPr>
      </w:pPr>
      <w:bookmarkStart w:id="38" w:name="_Toc29090"/>
      <w:r>
        <w:rPr>
          <w:rFonts w:eastAsia="宋体"/>
          <w:caps w:val="0"/>
          <w:smallCaps w:val="0"/>
          <w:color w:val="auto"/>
          <w:spacing w:val="0"/>
          <w:sz w:val="30"/>
          <w:szCs w:val="30"/>
          <w:highlight w:val="none"/>
        </w:rPr>
        <w:t>2.4.2污染物排放标准</w:t>
      </w:r>
      <w:bookmarkEnd w:id="37"/>
      <w:bookmarkEnd w:id="38"/>
    </w:p>
    <w:p w14:paraId="11239418">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（1）废气</w:t>
      </w:r>
    </w:p>
    <w:p w14:paraId="006B9EA6">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根据《电池工业污染物排放标准》（GB30484-2013）表4注释：非晶硅太阳能电池大气污染物只监控颗粒物，本项目产品为碲化镉薄膜发电玻璃，属于非晶硅太阳能电池，因此只监控颗粒物，颗粒物有组织排放执行《电池工业污染物标准》（GB30484-2013）表5新建企业大气污染物排放限值，颗粒物</w:t>
      </w:r>
      <w:r>
        <w:rPr>
          <w:rFonts w:hint="eastAsia" w:eastAsia="宋体"/>
          <w:caps w:val="0"/>
          <w:smallCaps w:val="0"/>
          <w:color w:val="auto"/>
          <w:spacing w:val="0"/>
          <w:highlight w:val="none"/>
        </w:rPr>
        <w:t>、非甲烷总烃</w:t>
      </w:r>
      <w:r>
        <w:rPr>
          <w:rFonts w:hint="eastAsia" w:eastAsia="宋体"/>
          <w:caps w:val="0"/>
          <w:smallCaps w:val="0"/>
          <w:color w:val="auto"/>
          <w:spacing w:val="0"/>
          <w:highlight w:val="none"/>
          <w:lang w:eastAsia="zh-CN"/>
        </w:rPr>
        <w:t>、</w:t>
      </w:r>
      <w:r>
        <w:rPr>
          <w:rFonts w:hint="eastAsia" w:eastAsia="宋体"/>
          <w:caps w:val="0"/>
          <w:smallCaps w:val="0"/>
          <w:color w:val="auto"/>
          <w:spacing w:val="0"/>
          <w:highlight w:val="none"/>
          <w:lang w:val="en-US" w:eastAsia="zh-CN"/>
        </w:rPr>
        <w:t>氮氧化物、氯化氢</w:t>
      </w:r>
      <w:r>
        <w:rPr>
          <w:rFonts w:eastAsia="宋体"/>
          <w:caps w:val="0"/>
          <w:smallCaps w:val="0"/>
          <w:color w:val="auto"/>
          <w:spacing w:val="0"/>
          <w:highlight w:val="none"/>
        </w:rPr>
        <w:t>及镉及其化合物无组织排放执行表6新建企业边界大气污染物浓度限值；</w:t>
      </w:r>
      <w:r>
        <w:rPr>
          <w:rFonts w:eastAsia="宋体"/>
          <w:caps w:val="0"/>
          <w:smallCaps w:val="0"/>
          <w:color w:val="auto"/>
          <w:spacing w:val="0"/>
          <w:highlight w:val="none"/>
        </w:rPr>
        <w:t>氨气</w:t>
      </w:r>
      <w:r>
        <w:rPr>
          <w:rFonts w:hint="eastAsia" w:eastAsia="宋体"/>
          <w:caps w:val="0"/>
          <w:smallCaps w:val="0"/>
          <w:color w:val="auto"/>
          <w:spacing w:val="0"/>
          <w:highlight w:val="none"/>
        </w:rPr>
        <w:t>、硫化氢及臭气浓度</w:t>
      </w:r>
      <w:r>
        <w:rPr>
          <w:rFonts w:eastAsia="宋体"/>
          <w:caps w:val="0"/>
          <w:smallCaps w:val="0"/>
          <w:color w:val="auto"/>
          <w:spacing w:val="0"/>
          <w:highlight w:val="none"/>
        </w:rPr>
        <w:t>排放执行《恶臭污染物排放标准》（GB14554-93）表2</w:t>
      </w:r>
      <w:r>
        <w:rPr>
          <w:rFonts w:eastAsia="宋体"/>
          <w:caps w:val="0"/>
          <w:smallCaps w:val="0"/>
          <w:color w:val="auto"/>
          <w:spacing w:val="0"/>
          <w:highlight w:val="none"/>
        </w:rPr>
        <w:t>。</w:t>
      </w:r>
    </w:p>
    <w:p w14:paraId="1DA4ACC1">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（2）噪声：施工期建筑施工噪声执行</w:t>
      </w:r>
      <w:r>
        <w:rPr>
          <w:rFonts w:hint="eastAsia" w:eastAsia="宋体"/>
          <w:caps w:val="0"/>
          <w:smallCaps w:val="0"/>
          <w:color w:val="auto"/>
          <w:spacing w:val="0"/>
          <w:highlight w:val="none"/>
          <w:lang w:eastAsia="zh-CN"/>
        </w:rPr>
        <w:t>《建筑施工噪声排放标准》（GB12523-2025）</w:t>
      </w:r>
      <w:r>
        <w:rPr>
          <w:rFonts w:eastAsia="宋体"/>
          <w:caps w:val="0"/>
          <w:smallCaps w:val="0"/>
          <w:color w:val="auto"/>
          <w:spacing w:val="0"/>
          <w:highlight w:val="none"/>
        </w:rPr>
        <w:t>中场界限值；</w:t>
      </w:r>
      <w:r>
        <w:rPr>
          <w:rFonts w:eastAsia="宋体"/>
          <w:caps w:val="0"/>
          <w:smallCaps w:val="0"/>
          <w:color w:val="auto"/>
          <w:spacing w:val="0"/>
          <w:highlight w:val="none"/>
        </w:rPr>
        <w:t>营运期厂界噪声</w:t>
      </w:r>
      <w:r>
        <w:rPr>
          <w:rFonts w:hint="eastAsia" w:eastAsia="宋体"/>
          <w:caps w:val="0"/>
          <w:smallCaps w:val="0"/>
          <w:color w:val="auto"/>
          <w:spacing w:val="0"/>
          <w:highlight w:val="none"/>
          <w:lang w:val="en-US" w:eastAsia="zh-CN"/>
        </w:rPr>
        <w:t>北侧和西侧</w:t>
      </w:r>
      <w:r>
        <w:rPr>
          <w:rFonts w:eastAsia="宋体"/>
          <w:caps w:val="0"/>
          <w:smallCaps w:val="0"/>
          <w:color w:val="auto"/>
          <w:spacing w:val="0"/>
          <w:highlight w:val="none"/>
        </w:rPr>
        <w:t>执行《工业企业厂界环境噪声排放标准》（GB12348-2008）3类标准</w:t>
      </w:r>
      <w:r>
        <w:rPr>
          <w:rFonts w:hint="eastAsia" w:eastAsia="宋体"/>
          <w:caps w:val="0"/>
          <w:smallCaps w:val="0"/>
          <w:color w:val="auto"/>
          <w:spacing w:val="0"/>
          <w:highlight w:val="none"/>
          <w:lang w:eastAsia="zh-CN"/>
        </w:rPr>
        <w:t>；</w:t>
      </w:r>
      <w:r>
        <w:rPr>
          <w:rFonts w:eastAsia="宋体"/>
          <w:caps w:val="0"/>
          <w:smallCaps w:val="0"/>
          <w:color w:val="auto"/>
          <w:spacing w:val="0"/>
          <w:highlight w:val="none"/>
        </w:rPr>
        <w:t>厂界</w:t>
      </w:r>
      <w:r>
        <w:rPr>
          <w:rFonts w:hint="eastAsia" w:eastAsia="宋体"/>
          <w:caps w:val="0"/>
          <w:smallCaps w:val="0"/>
          <w:color w:val="auto"/>
          <w:spacing w:val="0"/>
          <w:highlight w:val="none"/>
          <w:lang w:val="en-US" w:eastAsia="zh-CN"/>
        </w:rPr>
        <w:t>南侧和东侧距离中华路和乌苏里江街分别为13m和20m，因此厂界噪声南侧和东侧</w:t>
      </w:r>
      <w:r>
        <w:rPr>
          <w:rFonts w:eastAsia="宋体"/>
          <w:caps w:val="0"/>
          <w:smallCaps w:val="0"/>
          <w:color w:val="auto"/>
          <w:spacing w:val="0"/>
          <w:highlight w:val="none"/>
        </w:rPr>
        <w:t>执行《工业企业厂界环境噪声排放标准》（GB12348-2008）</w:t>
      </w:r>
      <w:r>
        <w:rPr>
          <w:rFonts w:hint="eastAsia" w:eastAsia="宋体"/>
          <w:caps w:val="0"/>
          <w:smallCaps w:val="0"/>
          <w:color w:val="auto"/>
          <w:spacing w:val="0"/>
          <w:highlight w:val="none"/>
          <w:lang w:val="en-US" w:eastAsia="zh-CN"/>
        </w:rPr>
        <w:t>4</w:t>
      </w:r>
      <w:r>
        <w:rPr>
          <w:rFonts w:eastAsia="宋体"/>
          <w:caps w:val="0"/>
          <w:smallCaps w:val="0"/>
          <w:color w:val="auto"/>
          <w:spacing w:val="0"/>
          <w:highlight w:val="none"/>
        </w:rPr>
        <w:t>类标准。</w:t>
      </w:r>
    </w:p>
    <w:p w14:paraId="7D6224AB">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（3）废水：</w:t>
      </w:r>
    </w:p>
    <w:p w14:paraId="2121BE51">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建成后排放的废水主要为不含镉的生产废水，不含镉的生产废水排入园区内的园区纳污管网，执行《电池工业污染物排放标准》（GB30484-2013）表2太阳电池间接排放标准限值。具体指标对比见表2.4-2，污染物排放从严执行，</w:t>
      </w:r>
      <w:r>
        <w:rPr>
          <w:rFonts w:eastAsia="宋体"/>
          <w:caps w:val="0"/>
          <w:smallCaps w:val="0"/>
          <w:color w:val="auto"/>
          <w:spacing w:val="0"/>
          <w:highlight w:val="none"/>
        </w:rPr>
        <w:t>因此本项目废水排放执行《电池工业污染物排放标准》（GB30484-2013）表2太阳电池间接排放标准限值。</w:t>
      </w:r>
    </w:p>
    <w:p w14:paraId="289CD1D7">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表2.4-2污水排放标准限值单位:mg/L</w:t>
      </w:r>
    </w:p>
    <w:tbl>
      <w:tblPr>
        <w:tblStyle w:val="176"/>
        <w:tblW w:w="4997" w:type="pct"/>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714"/>
        <w:gridCol w:w="798"/>
        <w:gridCol w:w="679"/>
        <w:gridCol w:w="766"/>
        <w:gridCol w:w="860"/>
        <w:gridCol w:w="767"/>
        <w:gridCol w:w="648"/>
        <w:gridCol w:w="735"/>
        <w:gridCol w:w="1098"/>
      </w:tblGrid>
      <w:tr w14:paraId="783509D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96" w:type="pct"/>
            <w:tcBorders>
              <w:top w:val="single" w:color="auto" w:sz="8" w:space="0"/>
              <w:bottom w:val="single" w:color="auto" w:sz="8" w:space="0"/>
            </w:tcBorders>
            <w:vAlign w:val="center"/>
          </w:tcPr>
          <w:p w14:paraId="49DD98E3">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项目</w:t>
            </w:r>
          </w:p>
        </w:tc>
        <w:tc>
          <w:tcPr>
            <w:tcW w:w="440" w:type="pct"/>
            <w:tcBorders>
              <w:top w:val="single" w:color="auto" w:sz="8" w:space="0"/>
              <w:bottom w:val="single" w:color="auto" w:sz="8" w:space="0"/>
            </w:tcBorders>
            <w:vAlign w:val="center"/>
          </w:tcPr>
          <w:p w14:paraId="1A631E82">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pH</w:t>
            </w:r>
          </w:p>
        </w:tc>
        <w:tc>
          <w:tcPr>
            <w:tcW w:w="374" w:type="pct"/>
            <w:tcBorders>
              <w:top w:val="single" w:color="auto" w:sz="8" w:space="0"/>
              <w:bottom w:val="single" w:color="auto" w:sz="8" w:space="0"/>
            </w:tcBorders>
            <w:vAlign w:val="center"/>
          </w:tcPr>
          <w:p w14:paraId="7ACC5768">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SS</w:t>
            </w:r>
          </w:p>
        </w:tc>
        <w:tc>
          <w:tcPr>
            <w:tcW w:w="422" w:type="pct"/>
            <w:tcBorders>
              <w:top w:val="single" w:color="auto" w:sz="8" w:space="0"/>
              <w:bottom w:val="single" w:color="auto" w:sz="8" w:space="0"/>
            </w:tcBorders>
            <w:vAlign w:val="center"/>
          </w:tcPr>
          <w:p w14:paraId="088CE08A">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COD</w:t>
            </w:r>
          </w:p>
        </w:tc>
        <w:tc>
          <w:tcPr>
            <w:tcW w:w="474" w:type="pct"/>
            <w:tcBorders>
              <w:top w:val="single" w:color="auto" w:sz="8" w:space="0"/>
              <w:bottom w:val="single" w:color="auto" w:sz="8" w:space="0"/>
            </w:tcBorders>
            <w:vAlign w:val="center"/>
          </w:tcPr>
          <w:p w14:paraId="002830E1">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BOD</w:t>
            </w:r>
            <w:r>
              <w:rPr>
                <w:rFonts w:ascii="Times New Roman" w:hAnsi="Times New Roman" w:eastAsia="宋体" w:cs="Times New Roman"/>
                <w:caps w:val="0"/>
                <w:smallCaps w:val="0"/>
                <w:color w:val="auto"/>
                <w:spacing w:val="0"/>
                <w:kern w:val="0"/>
                <w:highlight w:val="none"/>
                <w:vertAlign w:val="subscript"/>
                <w:lang w:eastAsia="en-US"/>
              </w:rPr>
              <w:t>5</w:t>
            </w:r>
          </w:p>
        </w:tc>
        <w:tc>
          <w:tcPr>
            <w:tcW w:w="423" w:type="pct"/>
            <w:tcBorders>
              <w:top w:val="single" w:color="auto" w:sz="8" w:space="0"/>
              <w:bottom w:val="single" w:color="auto" w:sz="8" w:space="0"/>
            </w:tcBorders>
            <w:vAlign w:val="center"/>
          </w:tcPr>
          <w:p w14:paraId="1C32CBA2">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总磷</w:t>
            </w:r>
          </w:p>
        </w:tc>
        <w:tc>
          <w:tcPr>
            <w:tcW w:w="357" w:type="pct"/>
            <w:tcBorders>
              <w:top w:val="single" w:color="auto" w:sz="8" w:space="0"/>
              <w:bottom w:val="single" w:color="auto" w:sz="8" w:space="0"/>
            </w:tcBorders>
            <w:vAlign w:val="center"/>
          </w:tcPr>
          <w:p w14:paraId="269FA392">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总氮</w:t>
            </w:r>
          </w:p>
        </w:tc>
        <w:tc>
          <w:tcPr>
            <w:tcW w:w="405" w:type="pct"/>
            <w:tcBorders>
              <w:top w:val="single" w:color="auto" w:sz="8" w:space="0"/>
              <w:bottom w:val="single" w:color="auto" w:sz="8" w:space="0"/>
            </w:tcBorders>
            <w:vAlign w:val="center"/>
          </w:tcPr>
          <w:p w14:paraId="04A96DA7">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氨氮</w:t>
            </w:r>
          </w:p>
        </w:tc>
        <w:tc>
          <w:tcPr>
            <w:tcW w:w="605" w:type="pct"/>
            <w:tcBorders>
              <w:top w:val="single" w:color="auto" w:sz="8" w:space="0"/>
              <w:bottom w:val="single" w:color="auto" w:sz="8" w:space="0"/>
            </w:tcBorders>
            <w:vAlign w:val="center"/>
          </w:tcPr>
          <w:p w14:paraId="1CD3BD4C">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hint="eastAsia" w:ascii="Times New Roman" w:hAnsi="Times New Roman" w:eastAsia="宋体" w:cs="Times New Roman"/>
                <w:caps w:val="0"/>
                <w:smallCaps w:val="0"/>
                <w:color w:val="auto"/>
                <w:spacing w:val="0"/>
                <w:kern w:val="0"/>
                <w:highlight w:val="none"/>
                <w:lang w:eastAsia="en-US"/>
              </w:rPr>
              <w:t>单位产品基准排水量</w:t>
            </w:r>
          </w:p>
        </w:tc>
      </w:tr>
      <w:tr w14:paraId="2A11A85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96" w:type="pct"/>
            <w:tcBorders>
              <w:top w:val="single" w:color="auto" w:sz="8" w:space="0"/>
            </w:tcBorders>
            <w:vAlign w:val="center"/>
          </w:tcPr>
          <w:p w14:paraId="7EA625D8">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电池工业污染物排放标准</w:t>
            </w:r>
          </w:p>
        </w:tc>
        <w:tc>
          <w:tcPr>
            <w:tcW w:w="440" w:type="pct"/>
            <w:tcBorders>
              <w:top w:val="single" w:color="auto" w:sz="8" w:space="0"/>
            </w:tcBorders>
            <w:vAlign w:val="center"/>
          </w:tcPr>
          <w:p w14:paraId="19C42B7E">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6-9</w:t>
            </w:r>
          </w:p>
        </w:tc>
        <w:tc>
          <w:tcPr>
            <w:tcW w:w="374" w:type="pct"/>
            <w:tcBorders>
              <w:top w:val="single" w:color="auto" w:sz="8" w:space="0"/>
            </w:tcBorders>
            <w:vAlign w:val="center"/>
          </w:tcPr>
          <w:p w14:paraId="574012FE">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140</w:t>
            </w:r>
          </w:p>
        </w:tc>
        <w:tc>
          <w:tcPr>
            <w:tcW w:w="422" w:type="pct"/>
            <w:tcBorders>
              <w:top w:val="single" w:color="auto" w:sz="8" w:space="0"/>
            </w:tcBorders>
            <w:vAlign w:val="center"/>
          </w:tcPr>
          <w:p w14:paraId="57895047">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150</w:t>
            </w:r>
          </w:p>
        </w:tc>
        <w:tc>
          <w:tcPr>
            <w:tcW w:w="474" w:type="pct"/>
            <w:tcBorders>
              <w:top w:val="single" w:color="auto" w:sz="8" w:space="0"/>
            </w:tcBorders>
            <w:vAlign w:val="center"/>
          </w:tcPr>
          <w:p w14:paraId="152BB04D">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w:t>
            </w:r>
          </w:p>
        </w:tc>
        <w:tc>
          <w:tcPr>
            <w:tcW w:w="423" w:type="pct"/>
            <w:tcBorders>
              <w:top w:val="single" w:color="auto" w:sz="8" w:space="0"/>
            </w:tcBorders>
            <w:vAlign w:val="center"/>
          </w:tcPr>
          <w:p w14:paraId="2F33BC93">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2.0</w:t>
            </w:r>
          </w:p>
        </w:tc>
        <w:tc>
          <w:tcPr>
            <w:tcW w:w="357" w:type="pct"/>
            <w:tcBorders>
              <w:top w:val="single" w:color="auto" w:sz="8" w:space="0"/>
            </w:tcBorders>
            <w:vAlign w:val="center"/>
          </w:tcPr>
          <w:p w14:paraId="78F2CCD0">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40</w:t>
            </w:r>
          </w:p>
        </w:tc>
        <w:tc>
          <w:tcPr>
            <w:tcW w:w="405" w:type="pct"/>
            <w:tcBorders>
              <w:top w:val="single" w:color="auto" w:sz="8" w:space="0"/>
            </w:tcBorders>
            <w:vAlign w:val="center"/>
          </w:tcPr>
          <w:p w14:paraId="7445F8D3">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ascii="Times New Roman" w:hAnsi="Times New Roman" w:eastAsia="宋体" w:cs="Times New Roman"/>
                <w:caps w:val="0"/>
                <w:smallCaps w:val="0"/>
                <w:color w:val="auto"/>
                <w:spacing w:val="0"/>
                <w:kern w:val="0"/>
                <w:highlight w:val="none"/>
                <w:lang w:eastAsia="en-US"/>
              </w:rPr>
              <w:t>30</w:t>
            </w:r>
          </w:p>
        </w:tc>
        <w:tc>
          <w:tcPr>
            <w:tcW w:w="605" w:type="pct"/>
            <w:tcBorders>
              <w:top w:val="single" w:color="auto" w:sz="8" w:space="0"/>
            </w:tcBorders>
            <w:vAlign w:val="center"/>
          </w:tcPr>
          <w:p w14:paraId="224FC30D">
            <w:pPr>
              <w:pStyle w:val="66"/>
              <w:widowControl w:val="0"/>
              <w:ind w:left="0"/>
              <w:rPr>
                <w:rFonts w:ascii="Times New Roman" w:hAnsi="Times New Roman" w:eastAsia="宋体" w:cs="Times New Roman"/>
                <w:caps w:val="0"/>
                <w:smallCaps w:val="0"/>
                <w:color w:val="auto"/>
                <w:spacing w:val="0"/>
                <w:kern w:val="0"/>
                <w:highlight w:val="none"/>
                <w:lang w:eastAsia="en-US"/>
              </w:rPr>
            </w:pPr>
            <w:r>
              <w:rPr>
                <w:rFonts w:hint="eastAsia" w:ascii="Times New Roman" w:hAnsi="Times New Roman" w:eastAsia="宋体" w:cs="Times New Roman"/>
                <w:caps w:val="0"/>
                <w:smallCaps w:val="0"/>
                <w:color w:val="auto"/>
                <w:spacing w:val="0"/>
                <w:kern w:val="0"/>
                <w:highlight w:val="none"/>
                <w:lang w:eastAsia="en-US"/>
              </w:rPr>
              <w:t>0.2m</w:t>
            </w:r>
            <w:r>
              <w:rPr>
                <w:rFonts w:hint="eastAsia" w:ascii="Times New Roman" w:hAnsi="Times New Roman" w:eastAsia="宋体" w:cs="Times New Roman"/>
                <w:caps w:val="0"/>
                <w:smallCaps w:val="0"/>
                <w:color w:val="auto"/>
                <w:spacing w:val="0"/>
                <w:kern w:val="0"/>
                <w:highlight w:val="none"/>
                <w:vertAlign w:val="superscript"/>
                <w:lang w:eastAsia="en-US"/>
              </w:rPr>
              <w:t>3</w:t>
            </w:r>
            <w:r>
              <w:rPr>
                <w:rFonts w:hint="eastAsia" w:ascii="Times New Roman" w:hAnsi="Times New Roman" w:eastAsia="宋体" w:cs="Times New Roman"/>
                <w:caps w:val="0"/>
                <w:smallCaps w:val="0"/>
                <w:color w:val="auto"/>
                <w:spacing w:val="0"/>
                <w:kern w:val="0"/>
                <w:highlight w:val="none"/>
                <w:lang w:eastAsia="en-US"/>
              </w:rPr>
              <w:t>/kW</w:t>
            </w:r>
          </w:p>
        </w:tc>
      </w:tr>
    </w:tbl>
    <w:p w14:paraId="444D255D">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（4）固体废物</w:t>
      </w:r>
    </w:p>
    <w:p w14:paraId="6FC774B1">
      <w:pPr>
        <w:pStyle w:val="65"/>
        <w:widowControl w:val="0"/>
        <w:ind w:firstLine="476"/>
        <w:jc w:val="both"/>
        <w:rPr>
          <w:rFonts w:eastAsia="宋体"/>
          <w:caps w:val="0"/>
          <w:smallCaps w:val="0"/>
          <w:color w:val="auto"/>
          <w:spacing w:val="0"/>
          <w:highlight w:val="none"/>
        </w:rPr>
      </w:pPr>
      <w:r>
        <w:rPr>
          <w:rFonts w:hint="eastAsia" w:eastAsia="宋体"/>
          <w:caps w:val="0"/>
          <w:smallCaps w:val="0"/>
          <w:color w:val="auto"/>
          <w:spacing w:val="0"/>
          <w:szCs w:val="24"/>
          <w:highlight w:val="none"/>
        </w:rPr>
        <w:t>根据</w:t>
      </w:r>
      <w:r>
        <w:rPr>
          <w:rFonts w:hint="eastAsia" w:eastAsia="宋体"/>
          <w:caps w:val="0"/>
          <w:smallCaps w:val="0"/>
          <w:color w:val="auto"/>
          <w:spacing w:val="0"/>
          <w:szCs w:val="24"/>
          <w:highlight w:val="none"/>
          <w:lang w:eastAsia="zh-CN"/>
        </w:rPr>
        <w:t>《</w:t>
      </w:r>
      <w:r>
        <w:rPr>
          <w:rFonts w:hint="eastAsia" w:eastAsia="宋体"/>
          <w:caps w:val="0"/>
          <w:smallCaps w:val="0"/>
          <w:color w:val="auto"/>
          <w:spacing w:val="0"/>
          <w:szCs w:val="24"/>
          <w:highlight w:val="none"/>
        </w:rPr>
        <w:t>一般工业固体废物贮存和填埋污染控制标准</w:t>
      </w:r>
      <w:r>
        <w:rPr>
          <w:rFonts w:hint="eastAsia" w:eastAsia="宋体"/>
          <w:caps w:val="0"/>
          <w:smallCaps w:val="0"/>
          <w:color w:val="auto"/>
          <w:spacing w:val="0"/>
          <w:szCs w:val="24"/>
          <w:highlight w:val="none"/>
          <w:lang w:eastAsia="zh-CN"/>
        </w:rPr>
        <w:t>》</w:t>
      </w:r>
      <w:r>
        <w:rPr>
          <w:rFonts w:hint="eastAsia" w:eastAsia="宋体"/>
          <w:caps w:val="0"/>
          <w:smallCaps w:val="0"/>
          <w:color w:val="auto"/>
          <w:spacing w:val="0"/>
          <w:szCs w:val="24"/>
          <w:highlight w:val="none"/>
        </w:rPr>
        <w:t>(GB18599-2020)，采用库房、包装工具(罐、桶、包装袋等)贮存一般工业固体废物过程的污染控制，不适用本标准，其贮存过程应满足相应防渗漏、防雨淋、防扬尘等环境保护要求</w:t>
      </w:r>
      <w:r>
        <w:rPr>
          <w:rFonts w:eastAsia="宋体"/>
          <w:caps w:val="0"/>
          <w:smallCaps w:val="0"/>
          <w:color w:val="auto"/>
          <w:spacing w:val="0"/>
          <w:szCs w:val="24"/>
          <w:highlight w:val="none"/>
        </w:rPr>
        <w:t>；</w:t>
      </w:r>
      <w:r>
        <w:rPr>
          <w:rFonts w:eastAsia="宋体"/>
          <w:caps w:val="0"/>
          <w:smallCaps w:val="0"/>
          <w:color w:val="auto"/>
          <w:spacing w:val="0"/>
          <w:szCs w:val="24"/>
          <w:highlight w:val="none"/>
        </w:rPr>
        <w:t>危险废物执行《危险废物贮存污染控制标准》(GB18597-2023)。</w:t>
      </w:r>
    </w:p>
    <w:p w14:paraId="5962BA6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项目污染物排放标准见表2.4-3。</w:t>
      </w:r>
    </w:p>
    <w:p w14:paraId="5AFAADBE">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表2.4-3污染物排放标准一览表</w:t>
      </w:r>
    </w:p>
    <w:tbl>
      <w:tblPr>
        <w:tblStyle w:val="37"/>
        <w:tblW w:w="8953" w:type="dxa"/>
        <w:jc w:val="center"/>
        <w:tblBorders>
          <w:top w:val="single" w:color="auto" w:sz="4" w:space="0"/>
          <w:left w:val="none" w:color="auto" w:sz="0" w:space="0"/>
          <w:bottom w:val="single" w:color="auto" w:sz="4"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94"/>
        <w:gridCol w:w="2636"/>
        <w:gridCol w:w="992"/>
        <w:gridCol w:w="1963"/>
        <w:gridCol w:w="468"/>
        <w:gridCol w:w="567"/>
        <w:gridCol w:w="770"/>
        <w:gridCol w:w="1053"/>
        <w:gridCol w:w="10"/>
      </w:tblGrid>
      <w:tr w14:paraId="5F699890">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PrEx>
        <w:trPr>
          <w:jc w:val="center"/>
        </w:trPr>
        <w:tc>
          <w:tcPr>
            <w:tcW w:w="494" w:type="dxa"/>
            <w:vMerge w:val="restart"/>
            <w:tcBorders>
              <w:top w:val="single" w:color="auto" w:sz="8" w:space="0"/>
              <w:tl2br w:val="nil"/>
              <w:tr2bl w:val="nil"/>
            </w:tcBorders>
            <w:vAlign w:val="center"/>
          </w:tcPr>
          <w:p w14:paraId="45331093">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类别</w:t>
            </w:r>
          </w:p>
        </w:tc>
        <w:tc>
          <w:tcPr>
            <w:tcW w:w="2636" w:type="dxa"/>
            <w:vMerge w:val="restart"/>
            <w:tcBorders>
              <w:top w:val="single" w:color="auto" w:sz="8" w:space="0"/>
              <w:tl2br w:val="nil"/>
              <w:tr2bl w:val="nil"/>
            </w:tcBorders>
            <w:vAlign w:val="center"/>
          </w:tcPr>
          <w:p w14:paraId="0DE4A915">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标准名称及级（类）别</w:t>
            </w:r>
          </w:p>
        </w:tc>
        <w:tc>
          <w:tcPr>
            <w:tcW w:w="992" w:type="dxa"/>
            <w:vMerge w:val="restart"/>
            <w:tcBorders>
              <w:top w:val="single" w:color="auto" w:sz="8" w:space="0"/>
              <w:tl2br w:val="nil"/>
              <w:tr2bl w:val="nil"/>
            </w:tcBorders>
            <w:vAlign w:val="center"/>
          </w:tcPr>
          <w:p w14:paraId="40653C6A">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污染</w:t>
            </w:r>
          </w:p>
          <w:p w14:paraId="4F1A898C">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因子</w:t>
            </w:r>
          </w:p>
        </w:tc>
        <w:tc>
          <w:tcPr>
            <w:tcW w:w="2431" w:type="dxa"/>
            <w:gridSpan w:val="2"/>
            <w:vMerge w:val="restart"/>
            <w:tcBorders>
              <w:top w:val="single" w:color="auto" w:sz="8" w:space="0"/>
              <w:tl2br w:val="nil"/>
              <w:tr2bl w:val="nil"/>
            </w:tcBorders>
            <w:vAlign w:val="center"/>
          </w:tcPr>
          <w:p w14:paraId="6C0DA358">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项目</w:t>
            </w:r>
          </w:p>
        </w:tc>
        <w:tc>
          <w:tcPr>
            <w:tcW w:w="2400" w:type="dxa"/>
            <w:gridSpan w:val="4"/>
            <w:tcBorders>
              <w:top w:val="single" w:color="auto" w:sz="8" w:space="0"/>
              <w:tl2br w:val="nil"/>
              <w:tr2bl w:val="nil"/>
            </w:tcBorders>
            <w:vAlign w:val="center"/>
          </w:tcPr>
          <w:p w14:paraId="237E8D69">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标准值</w:t>
            </w:r>
          </w:p>
        </w:tc>
      </w:tr>
      <w:tr w14:paraId="2D3C7B2A">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bottom w:val="single" w:color="auto" w:sz="8" w:space="0"/>
              <w:tl2br w:val="nil"/>
              <w:tr2bl w:val="nil"/>
            </w:tcBorders>
            <w:vAlign w:val="center"/>
          </w:tcPr>
          <w:p w14:paraId="656C082D">
            <w:pPr>
              <w:pStyle w:val="66"/>
              <w:widowControl w:val="0"/>
              <w:ind w:left="0"/>
              <w:rPr>
                <w:rFonts w:ascii="Times New Roman" w:hAnsi="Times New Roman" w:eastAsia="宋体" w:cs="Times New Roman"/>
                <w:b/>
                <w:caps w:val="0"/>
                <w:smallCaps w:val="0"/>
                <w:color w:val="auto"/>
                <w:spacing w:val="0"/>
                <w:kern w:val="0"/>
                <w:highlight w:val="none"/>
              </w:rPr>
            </w:pPr>
          </w:p>
        </w:tc>
        <w:tc>
          <w:tcPr>
            <w:tcW w:w="2636" w:type="dxa"/>
            <w:vMerge w:val="continue"/>
            <w:tcBorders>
              <w:bottom w:val="single" w:color="auto" w:sz="8" w:space="0"/>
              <w:tl2br w:val="nil"/>
              <w:tr2bl w:val="nil"/>
            </w:tcBorders>
            <w:vAlign w:val="center"/>
          </w:tcPr>
          <w:p w14:paraId="2553E516">
            <w:pPr>
              <w:pStyle w:val="66"/>
              <w:widowControl w:val="0"/>
              <w:ind w:left="0"/>
              <w:rPr>
                <w:rFonts w:ascii="Times New Roman" w:hAnsi="Times New Roman" w:eastAsia="宋体" w:cs="Times New Roman"/>
                <w:b/>
                <w:caps w:val="0"/>
                <w:smallCaps w:val="0"/>
                <w:color w:val="auto"/>
                <w:spacing w:val="0"/>
                <w:kern w:val="0"/>
                <w:highlight w:val="none"/>
              </w:rPr>
            </w:pPr>
          </w:p>
        </w:tc>
        <w:tc>
          <w:tcPr>
            <w:tcW w:w="992" w:type="dxa"/>
            <w:vMerge w:val="continue"/>
            <w:tcBorders>
              <w:bottom w:val="single" w:color="auto" w:sz="8" w:space="0"/>
              <w:tl2br w:val="nil"/>
              <w:tr2bl w:val="nil"/>
            </w:tcBorders>
            <w:vAlign w:val="center"/>
          </w:tcPr>
          <w:p w14:paraId="01ECAF2F">
            <w:pPr>
              <w:pStyle w:val="66"/>
              <w:widowControl w:val="0"/>
              <w:ind w:left="0"/>
              <w:rPr>
                <w:rFonts w:ascii="Times New Roman" w:hAnsi="Times New Roman" w:eastAsia="宋体" w:cs="Times New Roman"/>
                <w:b/>
                <w:caps w:val="0"/>
                <w:smallCaps w:val="0"/>
                <w:color w:val="auto"/>
                <w:spacing w:val="0"/>
                <w:kern w:val="0"/>
                <w:highlight w:val="none"/>
              </w:rPr>
            </w:pPr>
          </w:p>
        </w:tc>
        <w:tc>
          <w:tcPr>
            <w:tcW w:w="2431" w:type="dxa"/>
            <w:gridSpan w:val="2"/>
            <w:vMerge w:val="continue"/>
            <w:tcBorders>
              <w:bottom w:val="single" w:color="auto" w:sz="8" w:space="0"/>
              <w:tl2br w:val="nil"/>
              <w:tr2bl w:val="nil"/>
            </w:tcBorders>
            <w:vAlign w:val="center"/>
          </w:tcPr>
          <w:p w14:paraId="598D1654">
            <w:pPr>
              <w:pStyle w:val="66"/>
              <w:widowControl w:val="0"/>
              <w:ind w:left="0"/>
              <w:rPr>
                <w:rFonts w:ascii="Times New Roman" w:hAnsi="Times New Roman" w:eastAsia="宋体" w:cs="Times New Roman"/>
                <w:b/>
                <w:caps w:val="0"/>
                <w:smallCaps w:val="0"/>
                <w:color w:val="auto"/>
                <w:spacing w:val="0"/>
                <w:kern w:val="0"/>
                <w:highlight w:val="none"/>
              </w:rPr>
            </w:pPr>
          </w:p>
        </w:tc>
        <w:tc>
          <w:tcPr>
            <w:tcW w:w="1337" w:type="dxa"/>
            <w:gridSpan w:val="2"/>
            <w:tcBorders>
              <w:bottom w:val="single" w:color="auto" w:sz="8" w:space="0"/>
              <w:tl2br w:val="nil"/>
              <w:tr2bl w:val="nil"/>
            </w:tcBorders>
            <w:vAlign w:val="center"/>
          </w:tcPr>
          <w:p w14:paraId="782CD266">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单位</w:t>
            </w:r>
          </w:p>
        </w:tc>
        <w:tc>
          <w:tcPr>
            <w:tcW w:w="1063" w:type="dxa"/>
            <w:gridSpan w:val="2"/>
            <w:tcBorders>
              <w:bottom w:val="single" w:color="auto" w:sz="8" w:space="0"/>
              <w:tl2br w:val="nil"/>
              <w:tr2bl w:val="nil"/>
            </w:tcBorders>
            <w:vAlign w:val="center"/>
          </w:tcPr>
          <w:p w14:paraId="2B3674D3">
            <w:pPr>
              <w:pStyle w:val="66"/>
              <w:widowControl w:val="0"/>
              <w:ind w:left="0"/>
              <w:rPr>
                <w:rFonts w:ascii="Times New Roman" w:hAnsi="Times New Roman" w:eastAsia="宋体" w:cs="Times New Roman"/>
                <w:b/>
                <w:caps w:val="0"/>
                <w:smallCaps w:val="0"/>
                <w:color w:val="auto"/>
                <w:spacing w:val="0"/>
                <w:kern w:val="0"/>
                <w:highlight w:val="none"/>
              </w:rPr>
            </w:pPr>
            <w:r>
              <w:rPr>
                <w:rFonts w:ascii="Times New Roman" w:hAnsi="Times New Roman" w:eastAsia="宋体" w:cs="Times New Roman"/>
                <w:b/>
                <w:caps w:val="0"/>
                <w:smallCaps w:val="0"/>
                <w:color w:val="auto"/>
                <w:spacing w:val="0"/>
                <w:kern w:val="0"/>
                <w:highlight w:val="none"/>
              </w:rPr>
              <w:t>数值</w:t>
            </w:r>
          </w:p>
        </w:tc>
      </w:tr>
      <w:tr w14:paraId="6D47297C">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restart"/>
            <w:tcBorders>
              <w:top w:val="single" w:color="auto" w:sz="8" w:space="0"/>
              <w:tl2br w:val="nil"/>
              <w:tr2bl w:val="nil"/>
            </w:tcBorders>
            <w:vAlign w:val="center"/>
          </w:tcPr>
          <w:p w14:paraId="04854EB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废</w:t>
            </w:r>
          </w:p>
          <w:p w14:paraId="65012BC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气</w:t>
            </w:r>
          </w:p>
        </w:tc>
        <w:tc>
          <w:tcPr>
            <w:tcW w:w="2636" w:type="dxa"/>
            <w:vMerge w:val="restart"/>
            <w:tcBorders>
              <w:top w:val="single" w:color="auto" w:sz="8" w:space="0"/>
              <w:tl2br w:val="nil"/>
              <w:tr2bl w:val="nil"/>
            </w:tcBorders>
            <w:vAlign w:val="center"/>
          </w:tcPr>
          <w:p w14:paraId="73A04E47">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caps w:val="0"/>
                <w:smallCaps w:val="0"/>
                <w:color w:val="auto"/>
                <w:spacing w:val="0"/>
                <w:highlight w:val="none"/>
              </w:rPr>
              <w:t>《电池</w:t>
            </w:r>
            <w:r>
              <w:rPr>
                <w:rFonts w:ascii="Times New Roman" w:hAnsi="Times New Roman" w:eastAsia="宋体" w:cs="Times New Roman"/>
                <w:bCs/>
                <w:caps w:val="0"/>
                <w:smallCaps w:val="0"/>
                <w:color w:val="auto"/>
                <w:spacing w:val="0"/>
                <w:kern w:val="0"/>
                <w:highlight w:val="none"/>
              </w:rPr>
              <w:t>工业污染物排放标准》（GB30484-2013）中表5及表6</w:t>
            </w:r>
          </w:p>
        </w:tc>
        <w:tc>
          <w:tcPr>
            <w:tcW w:w="992" w:type="dxa"/>
            <w:vMerge w:val="restart"/>
            <w:tcBorders>
              <w:top w:val="single" w:color="auto" w:sz="8" w:space="0"/>
              <w:tl2br w:val="nil"/>
              <w:tr2bl w:val="nil"/>
            </w:tcBorders>
            <w:vAlign w:val="center"/>
          </w:tcPr>
          <w:p w14:paraId="7E544C51">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颗粒物</w:t>
            </w:r>
          </w:p>
        </w:tc>
        <w:tc>
          <w:tcPr>
            <w:tcW w:w="2431" w:type="dxa"/>
            <w:gridSpan w:val="2"/>
            <w:tcBorders>
              <w:top w:val="single" w:color="auto" w:sz="8" w:space="0"/>
              <w:bottom w:val="single" w:color="auto" w:sz="6" w:space="0"/>
              <w:tl2br w:val="nil"/>
              <w:tr2bl w:val="nil"/>
            </w:tcBorders>
            <w:vAlign w:val="center"/>
          </w:tcPr>
          <w:p w14:paraId="0E65A5E8">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排气筒最低高度21米，排放浓度限值</w:t>
            </w:r>
          </w:p>
        </w:tc>
        <w:tc>
          <w:tcPr>
            <w:tcW w:w="1337" w:type="dxa"/>
            <w:gridSpan w:val="2"/>
            <w:tcBorders>
              <w:top w:val="single" w:color="auto" w:sz="8" w:space="0"/>
              <w:bottom w:val="single" w:color="auto" w:sz="6" w:space="0"/>
              <w:tl2br w:val="nil"/>
              <w:tr2bl w:val="nil"/>
            </w:tcBorders>
            <w:vAlign w:val="center"/>
          </w:tcPr>
          <w:p w14:paraId="3BCBB15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top w:val="single" w:color="auto" w:sz="8" w:space="0"/>
              <w:bottom w:val="single" w:color="auto" w:sz="6" w:space="0"/>
              <w:tl2br w:val="nil"/>
              <w:tr2bl w:val="nil"/>
            </w:tcBorders>
            <w:vAlign w:val="center"/>
          </w:tcPr>
          <w:p w14:paraId="1408165C">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30</w:t>
            </w:r>
          </w:p>
        </w:tc>
      </w:tr>
      <w:tr w14:paraId="4663A095">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494" w:type="dxa"/>
            <w:vMerge w:val="continue"/>
            <w:tcBorders>
              <w:tl2br w:val="nil"/>
              <w:tr2bl w:val="nil"/>
            </w:tcBorders>
            <w:vAlign w:val="center"/>
          </w:tcPr>
          <w:p w14:paraId="59711CF8">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0EE96679">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continue"/>
            <w:tcBorders>
              <w:tl2br w:val="nil"/>
              <w:tr2bl w:val="nil"/>
            </w:tcBorders>
            <w:vAlign w:val="center"/>
          </w:tcPr>
          <w:p w14:paraId="04C4CA01">
            <w:pPr>
              <w:pStyle w:val="66"/>
              <w:widowControl w:val="0"/>
              <w:ind w:left="0"/>
              <w:rPr>
                <w:rFonts w:ascii="Times New Roman" w:hAnsi="Times New Roman" w:eastAsia="宋体" w:cs="Times New Roman"/>
                <w:bCs/>
                <w:caps w:val="0"/>
                <w:smallCaps w:val="0"/>
                <w:color w:val="auto"/>
                <w:spacing w:val="0"/>
                <w:kern w:val="0"/>
                <w:highlight w:val="none"/>
              </w:rPr>
            </w:pPr>
          </w:p>
        </w:tc>
        <w:tc>
          <w:tcPr>
            <w:tcW w:w="2431" w:type="dxa"/>
            <w:gridSpan w:val="2"/>
            <w:tcBorders>
              <w:bottom w:val="single" w:color="auto" w:sz="6" w:space="0"/>
              <w:tl2br w:val="nil"/>
              <w:tr2bl w:val="nil"/>
            </w:tcBorders>
            <w:vAlign w:val="center"/>
          </w:tcPr>
          <w:p w14:paraId="57DDBAB9">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厂界污染物浓度限值</w:t>
            </w:r>
          </w:p>
        </w:tc>
        <w:tc>
          <w:tcPr>
            <w:tcW w:w="1337" w:type="dxa"/>
            <w:gridSpan w:val="2"/>
            <w:tcBorders>
              <w:bottom w:val="single" w:color="auto" w:sz="6" w:space="0"/>
              <w:tl2br w:val="nil"/>
              <w:tr2bl w:val="nil"/>
            </w:tcBorders>
            <w:vAlign w:val="center"/>
          </w:tcPr>
          <w:p w14:paraId="5ECC138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bottom w:val="single" w:color="auto" w:sz="6" w:space="0"/>
              <w:tl2br w:val="nil"/>
              <w:tr2bl w:val="nil"/>
            </w:tcBorders>
            <w:vAlign w:val="center"/>
          </w:tcPr>
          <w:p w14:paraId="13337DA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0.3</w:t>
            </w:r>
          </w:p>
        </w:tc>
      </w:tr>
      <w:tr w14:paraId="72EC3E64">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494" w:type="dxa"/>
            <w:vMerge w:val="continue"/>
            <w:tcBorders>
              <w:tl2br w:val="nil"/>
              <w:tr2bl w:val="nil"/>
            </w:tcBorders>
            <w:vAlign w:val="center"/>
          </w:tcPr>
          <w:p w14:paraId="08AE6020">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30D16809">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tcBorders>
              <w:tl2br w:val="nil"/>
              <w:tr2bl w:val="nil"/>
            </w:tcBorders>
            <w:vAlign w:val="center"/>
          </w:tcPr>
          <w:p w14:paraId="103CADB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镉及其化合物</w:t>
            </w:r>
          </w:p>
        </w:tc>
        <w:tc>
          <w:tcPr>
            <w:tcW w:w="2431" w:type="dxa"/>
            <w:gridSpan w:val="2"/>
            <w:tcBorders>
              <w:tl2br w:val="nil"/>
              <w:tr2bl w:val="nil"/>
            </w:tcBorders>
            <w:vAlign w:val="center"/>
          </w:tcPr>
          <w:p w14:paraId="1280A99C">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厂界污染物浓度限值</w:t>
            </w:r>
          </w:p>
        </w:tc>
        <w:tc>
          <w:tcPr>
            <w:tcW w:w="1337" w:type="dxa"/>
            <w:gridSpan w:val="2"/>
            <w:tcBorders>
              <w:tl2br w:val="nil"/>
              <w:tr2bl w:val="nil"/>
            </w:tcBorders>
            <w:vAlign w:val="center"/>
          </w:tcPr>
          <w:p w14:paraId="5E2B44AA">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tl2br w:val="nil"/>
              <w:tr2bl w:val="nil"/>
            </w:tcBorders>
            <w:vAlign w:val="center"/>
          </w:tcPr>
          <w:p w14:paraId="3F8D93A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0.000005</w:t>
            </w:r>
          </w:p>
        </w:tc>
      </w:tr>
      <w:tr w14:paraId="2A76127A">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494" w:type="dxa"/>
            <w:vMerge w:val="continue"/>
            <w:tcBorders>
              <w:tl2br w:val="nil"/>
              <w:tr2bl w:val="nil"/>
            </w:tcBorders>
            <w:vAlign w:val="center"/>
          </w:tcPr>
          <w:p w14:paraId="16C9ECDE">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509C7E5A">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tcBorders>
              <w:tl2br w:val="nil"/>
              <w:tr2bl w:val="nil"/>
            </w:tcBorders>
            <w:vAlign w:val="center"/>
          </w:tcPr>
          <w:p w14:paraId="267C06BB">
            <w:pPr>
              <w:pStyle w:val="66"/>
              <w:widowControl w:val="0"/>
              <w:spacing w:line="320" w:lineRule="exact"/>
              <w:ind w:left="0"/>
              <w:rPr>
                <w:rFonts w:ascii="Times New Roman" w:hAnsi="Times New Roman" w:eastAsia="宋体" w:cs="Times New Roman"/>
                <w:caps w:val="0"/>
                <w:smallCaps w:val="0"/>
                <w:color w:val="auto"/>
                <w:spacing w:val="0"/>
                <w:szCs w:val="21"/>
                <w:highlight w:val="none"/>
              </w:rPr>
            </w:pPr>
            <w:r>
              <w:rPr>
                <w:rFonts w:hint="eastAsia" w:ascii="Times New Roman" w:hAnsi="Times New Roman" w:eastAsia="宋体" w:cs="Times New Roman"/>
                <w:caps w:val="0"/>
                <w:smallCaps w:val="0"/>
                <w:color w:val="auto"/>
                <w:spacing w:val="0"/>
                <w:szCs w:val="21"/>
                <w:highlight w:val="none"/>
              </w:rPr>
              <w:t>非甲烷总烃</w:t>
            </w:r>
          </w:p>
        </w:tc>
        <w:tc>
          <w:tcPr>
            <w:tcW w:w="2431" w:type="dxa"/>
            <w:gridSpan w:val="2"/>
            <w:tcBorders>
              <w:tl2br w:val="nil"/>
              <w:tr2bl w:val="nil"/>
            </w:tcBorders>
            <w:vAlign w:val="center"/>
          </w:tcPr>
          <w:p w14:paraId="174BD83E">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厂界污染物浓度限值</w:t>
            </w:r>
          </w:p>
        </w:tc>
        <w:tc>
          <w:tcPr>
            <w:tcW w:w="1337" w:type="dxa"/>
            <w:gridSpan w:val="2"/>
            <w:tcBorders>
              <w:tl2br w:val="nil"/>
              <w:tr2bl w:val="nil"/>
            </w:tcBorders>
            <w:vAlign w:val="center"/>
          </w:tcPr>
          <w:p w14:paraId="77E55F2A">
            <w:pPr>
              <w:pStyle w:val="66"/>
              <w:widowControl w:val="0"/>
              <w:ind w:left="0"/>
              <w:rPr>
                <w:rFonts w:ascii="Times New Roman" w:hAnsi="Times New Roman" w:eastAsia="宋体" w:cs="Times New Roman"/>
                <w:bCs/>
                <w:caps w:val="0"/>
                <w:smallCaps w:val="0"/>
                <w:color w:val="auto"/>
                <w:spacing w:val="0"/>
                <w:kern w:val="0"/>
                <w:sz w:val="22"/>
                <w:szCs w:val="18"/>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tl2br w:val="nil"/>
              <w:tr2bl w:val="nil"/>
            </w:tcBorders>
            <w:vAlign w:val="center"/>
          </w:tcPr>
          <w:p w14:paraId="10A36188">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2.0</w:t>
            </w:r>
          </w:p>
        </w:tc>
      </w:tr>
      <w:tr w14:paraId="0C6ADC16">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494" w:type="dxa"/>
            <w:vMerge w:val="continue"/>
            <w:tcBorders>
              <w:tl2br w:val="nil"/>
              <w:tr2bl w:val="nil"/>
            </w:tcBorders>
            <w:vAlign w:val="center"/>
          </w:tcPr>
          <w:p w14:paraId="4A2D8567">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4EB010DF">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tcBorders>
              <w:tl2br w:val="nil"/>
              <w:tr2bl w:val="nil"/>
            </w:tcBorders>
            <w:vAlign w:val="center"/>
          </w:tcPr>
          <w:p w14:paraId="7F24EB56">
            <w:pPr>
              <w:pStyle w:val="66"/>
              <w:widowControl w:val="0"/>
              <w:spacing w:line="320" w:lineRule="exact"/>
              <w:ind w:left="0"/>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氮氧</w:t>
            </w:r>
          </w:p>
          <w:p w14:paraId="13116E60">
            <w:pPr>
              <w:pStyle w:val="66"/>
              <w:widowControl w:val="0"/>
              <w:spacing w:line="320" w:lineRule="exact"/>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caps w:val="0"/>
                <w:smallCaps w:val="0"/>
                <w:color w:val="auto"/>
                <w:spacing w:val="0"/>
                <w:szCs w:val="21"/>
                <w:highlight w:val="none"/>
              </w:rPr>
              <w:t>化物</w:t>
            </w:r>
          </w:p>
        </w:tc>
        <w:tc>
          <w:tcPr>
            <w:tcW w:w="2431" w:type="dxa"/>
            <w:gridSpan w:val="2"/>
            <w:tcBorders>
              <w:tl2br w:val="nil"/>
              <w:tr2bl w:val="nil"/>
            </w:tcBorders>
            <w:vAlign w:val="center"/>
          </w:tcPr>
          <w:p w14:paraId="7AA856AF">
            <w:pPr>
              <w:pStyle w:val="66"/>
              <w:widowControl w:val="0"/>
              <w:ind w:left="0" w:leftChars="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厂界污染物浓度限值</w:t>
            </w:r>
          </w:p>
        </w:tc>
        <w:tc>
          <w:tcPr>
            <w:tcW w:w="1337" w:type="dxa"/>
            <w:gridSpan w:val="2"/>
            <w:tcBorders>
              <w:tl2br w:val="nil"/>
              <w:tr2bl w:val="nil"/>
            </w:tcBorders>
            <w:vAlign w:val="center"/>
          </w:tcPr>
          <w:p w14:paraId="5A8ADDC6">
            <w:pPr>
              <w:widowControl w:val="0"/>
              <w:jc w:val="center"/>
              <w:rPr>
                <w:rFonts w:ascii="Times New Roman" w:hAnsi="Times New Roman" w:eastAsia="宋体" w:cs="Times New Roman"/>
                <w:bCs/>
                <w:caps w:val="0"/>
                <w:smallCaps w:val="0"/>
                <w:color w:val="auto"/>
                <w:spacing w:val="0"/>
                <w:kern w:val="0"/>
                <w:sz w:val="22"/>
                <w:szCs w:val="18"/>
                <w:highlight w:val="none"/>
              </w:rPr>
            </w:pPr>
            <w:r>
              <w:rPr>
                <w:rFonts w:ascii="Times New Roman" w:hAnsi="Times New Roman" w:eastAsia="宋体" w:cs="Times New Roman"/>
                <w:bCs/>
                <w:caps w:val="0"/>
                <w:smallCaps w:val="0"/>
                <w:color w:val="auto"/>
                <w:spacing w:val="0"/>
                <w:kern w:val="0"/>
                <w:sz w:val="22"/>
                <w:szCs w:val="18"/>
                <w:highlight w:val="none"/>
              </w:rPr>
              <w:t>mg/m</w:t>
            </w:r>
            <w:r>
              <w:rPr>
                <w:rFonts w:ascii="Times New Roman" w:hAnsi="Times New Roman" w:eastAsia="宋体" w:cs="Times New Roman"/>
                <w:bCs/>
                <w:caps w:val="0"/>
                <w:smallCaps w:val="0"/>
                <w:color w:val="auto"/>
                <w:spacing w:val="0"/>
                <w:kern w:val="0"/>
                <w:sz w:val="22"/>
                <w:szCs w:val="18"/>
                <w:highlight w:val="none"/>
                <w:vertAlign w:val="superscript"/>
              </w:rPr>
              <w:t>3</w:t>
            </w:r>
          </w:p>
        </w:tc>
        <w:tc>
          <w:tcPr>
            <w:tcW w:w="1063" w:type="dxa"/>
            <w:gridSpan w:val="2"/>
            <w:tcBorders>
              <w:tl2br w:val="nil"/>
              <w:tr2bl w:val="nil"/>
            </w:tcBorders>
            <w:vAlign w:val="center"/>
          </w:tcPr>
          <w:p w14:paraId="63555724">
            <w:pPr>
              <w:pStyle w:val="66"/>
              <w:widowControl w:val="0"/>
              <w:ind w:left="0" w:leftChars="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0.12</w:t>
            </w:r>
          </w:p>
        </w:tc>
      </w:tr>
      <w:tr w14:paraId="6A70E062">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94" w:type="dxa"/>
            <w:vMerge w:val="continue"/>
            <w:tcBorders>
              <w:tl2br w:val="nil"/>
              <w:tr2bl w:val="nil"/>
            </w:tcBorders>
            <w:vAlign w:val="center"/>
          </w:tcPr>
          <w:p w14:paraId="509CC648">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1B7DEC0F">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tcBorders>
              <w:tl2br w:val="nil"/>
              <w:tr2bl w:val="nil"/>
            </w:tcBorders>
            <w:vAlign w:val="center"/>
          </w:tcPr>
          <w:p w14:paraId="56CCB796">
            <w:pPr>
              <w:pStyle w:val="66"/>
              <w:widowControl w:val="0"/>
              <w:spacing w:line="320" w:lineRule="exact"/>
              <w:ind w:left="0"/>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氯化氢</w:t>
            </w:r>
          </w:p>
        </w:tc>
        <w:tc>
          <w:tcPr>
            <w:tcW w:w="2431" w:type="dxa"/>
            <w:gridSpan w:val="2"/>
            <w:tcBorders>
              <w:tl2br w:val="nil"/>
              <w:tr2bl w:val="nil"/>
            </w:tcBorders>
            <w:vAlign w:val="center"/>
          </w:tcPr>
          <w:p w14:paraId="63181CCE">
            <w:pPr>
              <w:pStyle w:val="66"/>
              <w:widowControl w:val="0"/>
              <w:ind w:left="0" w:leftChars="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厂界污染物浓度限值</w:t>
            </w:r>
          </w:p>
        </w:tc>
        <w:tc>
          <w:tcPr>
            <w:tcW w:w="1337" w:type="dxa"/>
            <w:gridSpan w:val="2"/>
            <w:tcBorders>
              <w:tl2br w:val="nil"/>
              <w:tr2bl w:val="nil"/>
            </w:tcBorders>
            <w:vAlign w:val="center"/>
          </w:tcPr>
          <w:p w14:paraId="710E6804">
            <w:pPr>
              <w:widowControl w:val="0"/>
              <w:jc w:val="center"/>
              <w:rPr>
                <w:rFonts w:ascii="Times New Roman" w:hAnsi="Times New Roman" w:eastAsia="宋体" w:cs="Times New Roman"/>
                <w:bCs/>
                <w:caps w:val="0"/>
                <w:smallCaps w:val="0"/>
                <w:color w:val="auto"/>
                <w:spacing w:val="0"/>
                <w:kern w:val="0"/>
                <w:sz w:val="22"/>
                <w:szCs w:val="18"/>
                <w:highlight w:val="none"/>
              </w:rPr>
            </w:pPr>
            <w:r>
              <w:rPr>
                <w:rFonts w:ascii="Times New Roman" w:hAnsi="Times New Roman" w:eastAsia="宋体" w:cs="Times New Roman"/>
                <w:bCs/>
                <w:caps w:val="0"/>
                <w:smallCaps w:val="0"/>
                <w:color w:val="auto"/>
                <w:spacing w:val="0"/>
                <w:kern w:val="0"/>
                <w:sz w:val="22"/>
                <w:szCs w:val="18"/>
                <w:highlight w:val="none"/>
              </w:rPr>
              <w:t>mg/m</w:t>
            </w:r>
            <w:r>
              <w:rPr>
                <w:rFonts w:ascii="Times New Roman" w:hAnsi="Times New Roman" w:eastAsia="宋体" w:cs="Times New Roman"/>
                <w:bCs/>
                <w:caps w:val="0"/>
                <w:smallCaps w:val="0"/>
                <w:color w:val="auto"/>
                <w:spacing w:val="0"/>
                <w:kern w:val="0"/>
                <w:sz w:val="22"/>
                <w:szCs w:val="18"/>
                <w:highlight w:val="none"/>
                <w:vertAlign w:val="superscript"/>
              </w:rPr>
              <w:t>3</w:t>
            </w:r>
          </w:p>
        </w:tc>
        <w:tc>
          <w:tcPr>
            <w:tcW w:w="1063" w:type="dxa"/>
            <w:gridSpan w:val="2"/>
            <w:tcBorders>
              <w:tl2br w:val="nil"/>
              <w:tr2bl w:val="nil"/>
            </w:tcBorders>
            <w:vAlign w:val="center"/>
          </w:tcPr>
          <w:p w14:paraId="6C7E0055">
            <w:pPr>
              <w:pStyle w:val="66"/>
              <w:widowControl w:val="0"/>
              <w:ind w:left="0" w:leftChars="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0.15</w:t>
            </w:r>
          </w:p>
        </w:tc>
      </w:tr>
      <w:tr w14:paraId="4267DCA5">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04D181EC">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restart"/>
            <w:tcBorders>
              <w:tl2br w:val="nil"/>
              <w:tr2bl w:val="nil"/>
            </w:tcBorders>
            <w:vAlign w:val="center"/>
          </w:tcPr>
          <w:p w14:paraId="6CADE9F9">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caps w:val="0"/>
                <w:smallCaps w:val="0"/>
                <w:color w:val="auto"/>
                <w:spacing w:val="0"/>
                <w:szCs w:val="21"/>
                <w:highlight w:val="none"/>
              </w:rPr>
              <w:t>《恶臭污染物排放标准》（GB14554-93）表2</w:t>
            </w:r>
          </w:p>
        </w:tc>
        <w:tc>
          <w:tcPr>
            <w:tcW w:w="992" w:type="dxa"/>
            <w:vMerge w:val="restart"/>
            <w:tcBorders>
              <w:tl2br w:val="nil"/>
              <w:tr2bl w:val="nil"/>
            </w:tcBorders>
            <w:vAlign w:val="center"/>
          </w:tcPr>
          <w:p w14:paraId="2878E75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氨气</w:t>
            </w:r>
          </w:p>
        </w:tc>
        <w:tc>
          <w:tcPr>
            <w:tcW w:w="2431" w:type="dxa"/>
            <w:gridSpan w:val="2"/>
            <w:tcBorders>
              <w:bottom w:val="single" w:color="auto" w:sz="6" w:space="0"/>
              <w:tl2br w:val="nil"/>
              <w:tr2bl w:val="nil"/>
            </w:tcBorders>
            <w:vAlign w:val="center"/>
          </w:tcPr>
          <w:p w14:paraId="4826188B">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排气筒最低</w:t>
            </w:r>
            <w:bookmarkStart w:id="524" w:name="_GoBack"/>
            <w:bookmarkEnd w:id="524"/>
            <w:r>
              <w:rPr>
                <w:rFonts w:ascii="Times New Roman" w:hAnsi="Times New Roman" w:eastAsia="宋体" w:cs="Times New Roman"/>
                <w:bCs/>
                <w:caps w:val="0"/>
                <w:smallCaps w:val="0"/>
                <w:color w:val="auto"/>
                <w:spacing w:val="0"/>
                <w:kern w:val="0"/>
                <w:highlight w:val="none"/>
              </w:rPr>
              <w:t>高度21米，排放浓度限值</w:t>
            </w:r>
          </w:p>
        </w:tc>
        <w:tc>
          <w:tcPr>
            <w:tcW w:w="1337" w:type="dxa"/>
            <w:gridSpan w:val="2"/>
            <w:tcBorders>
              <w:bottom w:val="single" w:color="auto" w:sz="6" w:space="0"/>
              <w:tl2br w:val="nil"/>
              <w:tr2bl w:val="nil"/>
            </w:tcBorders>
            <w:vAlign w:val="center"/>
          </w:tcPr>
          <w:p w14:paraId="2DCEDC08">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bottom w:val="single" w:color="auto" w:sz="6" w:space="0"/>
              <w:tl2br w:val="nil"/>
              <w:tr2bl w:val="nil"/>
            </w:tcBorders>
            <w:vAlign w:val="center"/>
          </w:tcPr>
          <w:p w14:paraId="46129437">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w:t>
            </w:r>
          </w:p>
        </w:tc>
      </w:tr>
      <w:tr w14:paraId="66E28EE9">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282BBC16">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2C0B9AE1">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continue"/>
            <w:tcBorders>
              <w:tl2br w:val="nil"/>
              <w:tr2bl w:val="nil"/>
            </w:tcBorders>
            <w:vAlign w:val="center"/>
          </w:tcPr>
          <w:p w14:paraId="4A5D412E">
            <w:pPr>
              <w:pStyle w:val="66"/>
              <w:widowControl w:val="0"/>
              <w:ind w:left="0"/>
              <w:rPr>
                <w:rFonts w:ascii="Times New Roman" w:hAnsi="Times New Roman" w:eastAsia="宋体" w:cs="Times New Roman"/>
                <w:bCs/>
                <w:caps w:val="0"/>
                <w:smallCaps w:val="0"/>
                <w:color w:val="auto"/>
                <w:spacing w:val="0"/>
                <w:kern w:val="0"/>
                <w:highlight w:val="none"/>
              </w:rPr>
            </w:pPr>
          </w:p>
        </w:tc>
        <w:tc>
          <w:tcPr>
            <w:tcW w:w="2431" w:type="dxa"/>
            <w:gridSpan w:val="2"/>
            <w:tcBorders>
              <w:bottom w:val="single" w:color="auto" w:sz="6" w:space="0"/>
              <w:tl2br w:val="nil"/>
              <w:tr2bl w:val="nil"/>
            </w:tcBorders>
            <w:vAlign w:val="center"/>
          </w:tcPr>
          <w:p w14:paraId="0E54ADE7">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排气筒最低高度21米排气筒最高允许排放速率</w:t>
            </w:r>
          </w:p>
        </w:tc>
        <w:tc>
          <w:tcPr>
            <w:tcW w:w="1337" w:type="dxa"/>
            <w:gridSpan w:val="2"/>
            <w:tcBorders>
              <w:bottom w:val="single" w:color="auto" w:sz="6" w:space="0"/>
              <w:tl2br w:val="nil"/>
              <w:tr2bl w:val="nil"/>
            </w:tcBorders>
            <w:vAlign w:val="center"/>
          </w:tcPr>
          <w:p w14:paraId="72AC2411">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kg/h</w:t>
            </w:r>
          </w:p>
        </w:tc>
        <w:tc>
          <w:tcPr>
            <w:tcW w:w="1063" w:type="dxa"/>
            <w:gridSpan w:val="2"/>
            <w:tcBorders>
              <w:bottom w:val="single" w:color="auto" w:sz="6" w:space="0"/>
              <w:tl2br w:val="nil"/>
              <w:tr2bl w:val="nil"/>
            </w:tcBorders>
            <w:vAlign w:val="center"/>
          </w:tcPr>
          <w:p w14:paraId="04A4C73A">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caps w:val="0"/>
                <w:smallCaps w:val="0"/>
                <w:color w:val="auto"/>
                <w:spacing w:val="0"/>
                <w:sz w:val="18"/>
                <w:szCs w:val="18"/>
                <w:highlight w:val="none"/>
              </w:rPr>
              <w:t>8.7</w:t>
            </w:r>
          </w:p>
        </w:tc>
      </w:tr>
      <w:tr w14:paraId="2ED8616D">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48E4DAB0">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34DD4BDB">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continue"/>
            <w:tcBorders>
              <w:tl2br w:val="nil"/>
              <w:tr2bl w:val="nil"/>
            </w:tcBorders>
            <w:vAlign w:val="center"/>
          </w:tcPr>
          <w:p w14:paraId="289053BD">
            <w:pPr>
              <w:pStyle w:val="66"/>
              <w:widowControl w:val="0"/>
              <w:ind w:left="0"/>
              <w:rPr>
                <w:rFonts w:ascii="Times New Roman" w:hAnsi="Times New Roman" w:eastAsia="宋体" w:cs="Times New Roman"/>
                <w:bCs/>
                <w:caps w:val="0"/>
                <w:smallCaps w:val="0"/>
                <w:color w:val="auto"/>
                <w:spacing w:val="0"/>
                <w:kern w:val="0"/>
                <w:highlight w:val="none"/>
              </w:rPr>
            </w:pPr>
          </w:p>
        </w:tc>
        <w:tc>
          <w:tcPr>
            <w:tcW w:w="2431" w:type="dxa"/>
            <w:gridSpan w:val="2"/>
            <w:tcBorders>
              <w:bottom w:val="single" w:color="auto" w:sz="6" w:space="0"/>
              <w:tl2br w:val="nil"/>
              <w:tr2bl w:val="nil"/>
            </w:tcBorders>
            <w:vAlign w:val="center"/>
          </w:tcPr>
          <w:p w14:paraId="4D3CC3E6">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厂界外最高浓度点</w:t>
            </w:r>
          </w:p>
        </w:tc>
        <w:tc>
          <w:tcPr>
            <w:tcW w:w="1337" w:type="dxa"/>
            <w:gridSpan w:val="2"/>
            <w:tcBorders>
              <w:bottom w:val="single" w:color="auto" w:sz="6" w:space="0"/>
              <w:tl2br w:val="nil"/>
              <w:tr2bl w:val="nil"/>
            </w:tcBorders>
            <w:vAlign w:val="center"/>
          </w:tcPr>
          <w:p w14:paraId="464BFED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bottom w:val="single" w:color="auto" w:sz="6" w:space="0"/>
              <w:tl2br w:val="nil"/>
              <w:tr2bl w:val="nil"/>
            </w:tcBorders>
            <w:vAlign w:val="center"/>
          </w:tcPr>
          <w:p w14:paraId="2FB1A691">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1.5</w:t>
            </w:r>
          </w:p>
        </w:tc>
      </w:tr>
      <w:tr w14:paraId="15AA813A">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1A171467">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3998BFB3">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restart"/>
            <w:tcBorders>
              <w:tl2br w:val="nil"/>
              <w:tr2bl w:val="nil"/>
            </w:tcBorders>
            <w:vAlign w:val="center"/>
          </w:tcPr>
          <w:p w14:paraId="7D4AB99B">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硫化氢</w:t>
            </w:r>
          </w:p>
        </w:tc>
        <w:tc>
          <w:tcPr>
            <w:tcW w:w="2431" w:type="dxa"/>
            <w:gridSpan w:val="2"/>
            <w:tcBorders>
              <w:bottom w:val="single" w:color="auto" w:sz="6" w:space="0"/>
              <w:tl2br w:val="nil"/>
              <w:tr2bl w:val="nil"/>
            </w:tcBorders>
            <w:vAlign w:val="center"/>
          </w:tcPr>
          <w:p w14:paraId="2C7AD8CA">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排气筒最低高度21米，排放浓度限值</w:t>
            </w:r>
          </w:p>
        </w:tc>
        <w:tc>
          <w:tcPr>
            <w:tcW w:w="1337" w:type="dxa"/>
            <w:gridSpan w:val="2"/>
            <w:tcBorders>
              <w:bottom w:val="single" w:color="auto" w:sz="6" w:space="0"/>
              <w:tl2br w:val="nil"/>
              <w:tr2bl w:val="nil"/>
            </w:tcBorders>
            <w:vAlign w:val="center"/>
          </w:tcPr>
          <w:p w14:paraId="726A2463">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bottom w:val="single" w:color="auto" w:sz="6" w:space="0"/>
              <w:tl2br w:val="nil"/>
              <w:tr2bl w:val="nil"/>
            </w:tcBorders>
            <w:vAlign w:val="center"/>
          </w:tcPr>
          <w:p w14:paraId="508A08E3">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w:t>
            </w:r>
          </w:p>
        </w:tc>
      </w:tr>
      <w:tr w14:paraId="00E0347E">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74A6C14B">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22CD3B10">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continue"/>
            <w:tcBorders>
              <w:tl2br w:val="nil"/>
              <w:tr2bl w:val="nil"/>
            </w:tcBorders>
            <w:vAlign w:val="center"/>
          </w:tcPr>
          <w:p w14:paraId="0EED78E2">
            <w:pPr>
              <w:pStyle w:val="66"/>
              <w:widowControl w:val="0"/>
              <w:ind w:left="0"/>
              <w:rPr>
                <w:rFonts w:ascii="Times New Roman" w:hAnsi="Times New Roman" w:eastAsia="宋体" w:cs="Times New Roman"/>
                <w:bCs/>
                <w:caps w:val="0"/>
                <w:smallCaps w:val="0"/>
                <w:color w:val="auto"/>
                <w:spacing w:val="0"/>
                <w:kern w:val="0"/>
                <w:highlight w:val="none"/>
              </w:rPr>
            </w:pPr>
          </w:p>
        </w:tc>
        <w:tc>
          <w:tcPr>
            <w:tcW w:w="2431" w:type="dxa"/>
            <w:gridSpan w:val="2"/>
            <w:tcBorders>
              <w:bottom w:val="single" w:color="auto" w:sz="6" w:space="0"/>
              <w:tl2br w:val="nil"/>
              <w:tr2bl w:val="nil"/>
            </w:tcBorders>
            <w:vAlign w:val="center"/>
          </w:tcPr>
          <w:p w14:paraId="55A3F097">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排气筒最低高度21米排气筒最高允许排放速率</w:t>
            </w:r>
          </w:p>
        </w:tc>
        <w:tc>
          <w:tcPr>
            <w:tcW w:w="1337" w:type="dxa"/>
            <w:gridSpan w:val="2"/>
            <w:tcBorders>
              <w:bottom w:val="single" w:color="auto" w:sz="6" w:space="0"/>
              <w:tl2br w:val="nil"/>
              <w:tr2bl w:val="nil"/>
            </w:tcBorders>
            <w:vAlign w:val="center"/>
          </w:tcPr>
          <w:p w14:paraId="5DDB195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kg/h</w:t>
            </w:r>
          </w:p>
        </w:tc>
        <w:tc>
          <w:tcPr>
            <w:tcW w:w="1063" w:type="dxa"/>
            <w:gridSpan w:val="2"/>
            <w:tcBorders>
              <w:bottom w:val="single" w:color="auto" w:sz="6" w:space="0"/>
              <w:tl2br w:val="nil"/>
              <w:tr2bl w:val="nil"/>
            </w:tcBorders>
            <w:vAlign w:val="center"/>
          </w:tcPr>
          <w:p w14:paraId="65ACFF68">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0.58</w:t>
            </w:r>
          </w:p>
        </w:tc>
      </w:tr>
      <w:tr w14:paraId="1B23CBE8">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187D1564">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36EA28E1">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continue"/>
            <w:tcBorders>
              <w:tl2br w:val="nil"/>
              <w:tr2bl w:val="nil"/>
            </w:tcBorders>
            <w:vAlign w:val="center"/>
          </w:tcPr>
          <w:p w14:paraId="5CBC05F6">
            <w:pPr>
              <w:pStyle w:val="66"/>
              <w:widowControl w:val="0"/>
              <w:ind w:left="0"/>
              <w:rPr>
                <w:rFonts w:ascii="Times New Roman" w:hAnsi="Times New Roman" w:eastAsia="宋体" w:cs="Times New Roman"/>
                <w:bCs/>
                <w:caps w:val="0"/>
                <w:smallCaps w:val="0"/>
                <w:color w:val="auto"/>
                <w:spacing w:val="0"/>
                <w:kern w:val="0"/>
                <w:highlight w:val="none"/>
              </w:rPr>
            </w:pPr>
          </w:p>
        </w:tc>
        <w:tc>
          <w:tcPr>
            <w:tcW w:w="2431" w:type="dxa"/>
            <w:gridSpan w:val="2"/>
            <w:tcBorders>
              <w:bottom w:val="single" w:color="auto" w:sz="6" w:space="0"/>
              <w:tl2br w:val="nil"/>
              <w:tr2bl w:val="nil"/>
            </w:tcBorders>
            <w:vAlign w:val="center"/>
          </w:tcPr>
          <w:p w14:paraId="5C42B20A">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厂界外最高浓度点</w:t>
            </w:r>
          </w:p>
        </w:tc>
        <w:tc>
          <w:tcPr>
            <w:tcW w:w="1337" w:type="dxa"/>
            <w:gridSpan w:val="2"/>
            <w:tcBorders>
              <w:bottom w:val="single" w:color="auto" w:sz="6" w:space="0"/>
              <w:tl2br w:val="nil"/>
              <w:tr2bl w:val="nil"/>
            </w:tcBorders>
            <w:vAlign w:val="center"/>
          </w:tcPr>
          <w:p w14:paraId="7899250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mg/m</w:t>
            </w:r>
            <w:r>
              <w:rPr>
                <w:rFonts w:ascii="Times New Roman" w:hAnsi="Times New Roman" w:eastAsia="宋体" w:cs="Times New Roman"/>
                <w:bCs/>
                <w:caps w:val="0"/>
                <w:smallCaps w:val="0"/>
                <w:color w:val="auto"/>
                <w:spacing w:val="0"/>
                <w:kern w:val="0"/>
                <w:highlight w:val="none"/>
                <w:vertAlign w:val="superscript"/>
              </w:rPr>
              <w:t>3</w:t>
            </w:r>
          </w:p>
        </w:tc>
        <w:tc>
          <w:tcPr>
            <w:tcW w:w="1063" w:type="dxa"/>
            <w:gridSpan w:val="2"/>
            <w:tcBorders>
              <w:bottom w:val="single" w:color="auto" w:sz="6" w:space="0"/>
              <w:tl2br w:val="nil"/>
              <w:tr2bl w:val="nil"/>
            </w:tcBorders>
            <w:vAlign w:val="center"/>
          </w:tcPr>
          <w:p w14:paraId="2A2E5BD2">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0.06</w:t>
            </w:r>
          </w:p>
        </w:tc>
      </w:tr>
      <w:tr w14:paraId="0E62EA02">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tl2br w:val="nil"/>
              <w:tr2bl w:val="nil"/>
            </w:tcBorders>
            <w:vAlign w:val="center"/>
          </w:tcPr>
          <w:p w14:paraId="3722E53B">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29FF7FCE">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restart"/>
            <w:tcBorders>
              <w:tl2br w:val="nil"/>
              <w:tr2bl w:val="nil"/>
            </w:tcBorders>
            <w:vAlign w:val="center"/>
          </w:tcPr>
          <w:p w14:paraId="27623A39">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臭气浓度</w:t>
            </w:r>
          </w:p>
        </w:tc>
        <w:tc>
          <w:tcPr>
            <w:tcW w:w="2431" w:type="dxa"/>
            <w:gridSpan w:val="2"/>
            <w:tcBorders>
              <w:bottom w:val="single" w:color="auto" w:sz="6" w:space="0"/>
              <w:tl2br w:val="nil"/>
              <w:tr2bl w:val="nil"/>
            </w:tcBorders>
            <w:vAlign w:val="center"/>
          </w:tcPr>
          <w:p w14:paraId="697F92D3">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排气筒最低高度21米，排放浓度限值</w:t>
            </w:r>
          </w:p>
        </w:tc>
        <w:tc>
          <w:tcPr>
            <w:tcW w:w="1337" w:type="dxa"/>
            <w:gridSpan w:val="2"/>
            <w:tcBorders>
              <w:bottom w:val="single" w:color="auto" w:sz="6" w:space="0"/>
              <w:tl2br w:val="nil"/>
              <w:tr2bl w:val="nil"/>
            </w:tcBorders>
            <w:vAlign w:val="center"/>
          </w:tcPr>
          <w:p w14:paraId="462720D4">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无量纲</w:t>
            </w:r>
          </w:p>
        </w:tc>
        <w:tc>
          <w:tcPr>
            <w:tcW w:w="1063" w:type="dxa"/>
            <w:gridSpan w:val="2"/>
            <w:tcBorders>
              <w:bottom w:val="single" w:color="auto" w:sz="6" w:space="0"/>
              <w:tl2br w:val="nil"/>
              <w:tr2bl w:val="nil"/>
            </w:tcBorders>
            <w:vAlign w:val="center"/>
          </w:tcPr>
          <w:p w14:paraId="671A03BD">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2000</w:t>
            </w:r>
          </w:p>
        </w:tc>
      </w:tr>
      <w:tr w14:paraId="2C261FFA">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94" w:type="dxa"/>
            <w:vMerge w:val="continue"/>
            <w:tcBorders>
              <w:bottom w:val="single" w:color="auto" w:sz="6" w:space="0"/>
              <w:tl2br w:val="nil"/>
              <w:tr2bl w:val="nil"/>
            </w:tcBorders>
            <w:vAlign w:val="center"/>
          </w:tcPr>
          <w:p w14:paraId="358721B2">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bottom w:val="single" w:color="auto" w:sz="6" w:space="0"/>
              <w:tl2br w:val="nil"/>
              <w:tr2bl w:val="nil"/>
            </w:tcBorders>
            <w:vAlign w:val="center"/>
          </w:tcPr>
          <w:p w14:paraId="6C1E643D">
            <w:pPr>
              <w:pStyle w:val="66"/>
              <w:widowControl w:val="0"/>
              <w:ind w:left="0"/>
              <w:rPr>
                <w:rFonts w:ascii="Times New Roman" w:hAnsi="Times New Roman" w:eastAsia="宋体" w:cs="Times New Roman"/>
                <w:bCs/>
                <w:caps w:val="0"/>
                <w:smallCaps w:val="0"/>
                <w:color w:val="auto"/>
                <w:spacing w:val="0"/>
                <w:kern w:val="0"/>
                <w:highlight w:val="none"/>
              </w:rPr>
            </w:pPr>
          </w:p>
        </w:tc>
        <w:tc>
          <w:tcPr>
            <w:tcW w:w="992" w:type="dxa"/>
            <w:vMerge w:val="continue"/>
            <w:tcBorders>
              <w:tl2br w:val="nil"/>
              <w:tr2bl w:val="nil"/>
            </w:tcBorders>
            <w:vAlign w:val="center"/>
          </w:tcPr>
          <w:p w14:paraId="3DEC5FFB">
            <w:pPr>
              <w:pStyle w:val="66"/>
              <w:widowControl w:val="0"/>
              <w:ind w:left="0"/>
              <w:rPr>
                <w:rFonts w:ascii="Times New Roman" w:hAnsi="Times New Roman" w:eastAsia="宋体" w:cs="Times New Roman"/>
                <w:bCs/>
                <w:caps w:val="0"/>
                <w:smallCaps w:val="0"/>
                <w:color w:val="auto"/>
                <w:spacing w:val="0"/>
                <w:kern w:val="0"/>
                <w:highlight w:val="none"/>
              </w:rPr>
            </w:pPr>
          </w:p>
        </w:tc>
        <w:tc>
          <w:tcPr>
            <w:tcW w:w="2431" w:type="dxa"/>
            <w:gridSpan w:val="2"/>
            <w:tcBorders>
              <w:bottom w:val="single" w:color="auto" w:sz="6" w:space="0"/>
              <w:tl2br w:val="nil"/>
              <w:tr2bl w:val="nil"/>
            </w:tcBorders>
            <w:vAlign w:val="center"/>
          </w:tcPr>
          <w:p w14:paraId="035F7090">
            <w:pPr>
              <w:pStyle w:val="66"/>
              <w:widowControl w:val="0"/>
              <w:ind w:left="0"/>
              <w:jc w:val="both"/>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厂界外最高浓度点</w:t>
            </w:r>
          </w:p>
        </w:tc>
        <w:tc>
          <w:tcPr>
            <w:tcW w:w="1337" w:type="dxa"/>
            <w:gridSpan w:val="2"/>
            <w:tcBorders>
              <w:bottom w:val="single" w:color="auto" w:sz="6" w:space="0"/>
              <w:tl2br w:val="nil"/>
              <w:tr2bl w:val="nil"/>
            </w:tcBorders>
            <w:vAlign w:val="center"/>
          </w:tcPr>
          <w:p w14:paraId="1C6D29CB">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无量纲</w:t>
            </w:r>
          </w:p>
        </w:tc>
        <w:tc>
          <w:tcPr>
            <w:tcW w:w="1063" w:type="dxa"/>
            <w:gridSpan w:val="2"/>
            <w:tcBorders>
              <w:bottom w:val="single" w:color="auto" w:sz="6" w:space="0"/>
              <w:tl2br w:val="nil"/>
              <w:tr2bl w:val="nil"/>
            </w:tcBorders>
            <w:vAlign w:val="center"/>
          </w:tcPr>
          <w:p w14:paraId="0E75FFE8">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20</w:t>
            </w:r>
          </w:p>
        </w:tc>
      </w:tr>
      <w:tr w14:paraId="6AA29303">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restart"/>
            <w:tcBorders>
              <w:tl2br w:val="nil"/>
              <w:tr2bl w:val="nil"/>
            </w:tcBorders>
            <w:vAlign w:val="center"/>
          </w:tcPr>
          <w:p w14:paraId="34A159F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废</w:t>
            </w:r>
          </w:p>
          <w:p w14:paraId="120B3C59">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水</w:t>
            </w:r>
          </w:p>
        </w:tc>
        <w:tc>
          <w:tcPr>
            <w:tcW w:w="2636" w:type="dxa"/>
            <w:vMerge w:val="restart"/>
            <w:tcBorders>
              <w:tl2br w:val="nil"/>
              <w:tr2bl w:val="nil"/>
            </w:tcBorders>
            <w:vAlign w:val="center"/>
          </w:tcPr>
          <w:p w14:paraId="482391F2">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caps w:val="0"/>
                <w:smallCaps w:val="0"/>
                <w:color w:val="auto"/>
                <w:spacing w:val="0"/>
                <w:highlight w:val="none"/>
              </w:rPr>
              <w:t>《电池</w:t>
            </w:r>
            <w:r>
              <w:rPr>
                <w:rFonts w:ascii="Times New Roman" w:hAnsi="Times New Roman" w:eastAsia="宋体" w:cs="Times New Roman"/>
                <w:bCs/>
                <w:caps w:val="0"/>
                <w:smallCaps w:val="0"/>
                <w:color w:val="auto"/>
                <w:spacing w:val="0"/>
                <w:kern w:val="0"/>
                <w:highlight w:val="none"/>
              </w:rPr>
              <w:t>工业污染物排放标准》（GB30484-2013）中表2太阳能电池间接排放标准</w:t>
            </w:r>
          </w:p>
        </w:tc>
        <w:tc>
          <w:tcPr>
            <w:tcW w:w="3423" w:type="dxa"/>
            <w:gridSpan w:val="3"/>
            <w:tcBorders>
              <w:tl2br w:val="nil"/>
              <w:tr2bl w:val="nil"/>
            </w:tcBorders>
            <w:vAlign w:val="center"/>
          </w:tcPr>
          <w:p w14:paraId="4145E05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pH</w:t>
            </w:r>
          </w:p>
        </w:tc>
        <w:tc>
          <w:tcPr>
            <w:tcW w:w="1337" w:type="dxa"/>
            <w:gridSpan w:val="2"/>
            <w:tcBorders>
              <w:tl2br w:val="nil"/>
              <w:tr2bl w:val="nil"/>
            </w:tcBorders>
            <w:vAlign w:val="center"/>
          </w:tcPr>
          <w:p w14:paraId="3C9B5998">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无量纲</w:t>
            </w:r>
          </w:p>
        </w:tc>
        <w:tc>
          <w:tcPr>
            <w:tcW w:w="1053" w:type="dxa"/>
            <w:tcBorders>
              <w:tl2br w:val="nil"/>
              <w:tr2bl w:val="nil"/>
            </w:tcBorders>
            <w:vAlign w:val="center"/>
          </w:tcPr>
          <w:p w14:paraId="05C23D85">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6~9</w:t>
            </w:r>
          </w:p>
        </w:tc>
      </w:tr>
      <w:tr w14:paraId="6B174BCE">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5138358E">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4EB6EC67">
            <w:pPr>
              <w:pStyle w:val="66"/>
              <w:widowControl w:val="0"/>
              <w:ind w:left="0"/>
              <w:rPr>
                <w:rFonts w:ascii="Times New Roman" w:hAnsi="Times New Roman" w:eastAsia="宋体" w:cs="Times New Roman"/>
                <w:bCs/>
                <w:caps w:val="0"/>
                <w:smallCaps w:val="0"/>
                <w:color w:val="auto"/>
                <w:spacing w:val="0"/>
                <w:kern w:val="0"/>
                <w:highlight w:val="none"/>
              </w:rPr>
            </w:pPr>
          </w:p>
        </w:tc>
        <w:tc>
          <w:tcPr>
            <w:tcW w:w="3423" w:type="dxa"/>
            <w:gridSpan w:val="3"/>
            <w:tcBorders>
              <w:tl2br w:val="nil"/>
              <w:tr2bl w:val="nil"/>
            </w:tcBorders>
            <w:vAlign w:val="center"/>
          </w:tcPr>
          <w:p w14:paraId="52998C0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COD</w:t>
            </w:r>
          </w:p>
        </w:tc>
        <w:tc>
          <w:tcPr>
            <w:tcW w:w="1337" w:type="dxa"/>
            <w:gridSpan w:val="2"/>
            <w:tcBorders>
              <w:tl2br w:val="nil"/>
              <w:tr2bl w:val="nil"/>
            </w:tcBorders>
            <w:vAlign w:val="center"/>
          </w:tcPr>
          <w:p w14:paraId="39A18FD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mg/L</w:t>
            </w:r>
          </w:p>
        </w:tc>
        <w:tc>
          <w:tcPr>
            <w:tcW w:w="1053" w:type="dxa"/>
            <w:tcBorders>
              <w:tl2br w:val="nil"/>
              <w:tr2bl w:val="nil"/>
            </w:tcBorders>
            <w:vAlign w:val="center"/>
          </w:tcPr>
          <w:p w14:paraId="1CFE2CA5">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150</w:t>
            </w:r>
          </w:p>
        </w:tc>
      </w:tr>
      <w:tr w14:paraId="361AA608">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7DEF81FC">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10ECE5B5">
            <w:pPr>
              <w:pStyle w:val="66"/>
              <w:widowControl w:val="0"/>
              <w:ind w:left="0"/>
              <w:rPr>
                <w:rFonts w:ascii="Times New Roman" w:hAnsi="Times New Roman" w:eastAsia="宋体" w:cs="Times New Roman"/>
                <w:bCs/>
                <w:caps w:val="0"/>
                <w:smallCaps w:val="0"/>
                <w:color w:val="auto"/>
                <w:spacing w:val="0"/>
                <w:kern w:val="0"/>
                <w:highlight w:val="none"/>
              </w:rPr>
            </w:pPr>
          </w:p>
        </w:tc>
        <w:tc>
          <w:tcPr>
            <w:tcW w:w="3423" w:type="dxa"/>
            <w:gridSpan w:val="3"/>
            <w:tcBorders>
              <w:tl2br w:val="nil"/>
              <w:tr2bl w:val="nil"/>
            </w:tcBorders>
            <w:vAlign w:val="center"/>
          </w:tcPr>
          <w:p w14:paraId="2D18CC51">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SS</w:t>
            </w:r>
          </w:p>
        </w:tc>
        <w:tc>
          <w:tcPr>
            <w:tcW w:w="1337" w:type="dxa"/>
            <w:gridSpan w:val="2"/>
            <w:tcBorders>
              <w:tl2br w:val="nil"/>
              <w:tr2bl w:val="nil"/>
            </w:tcBorders>
            <w:vAlign w:val="center"/>
          </w:tcPr>
          <w:p w14:paraId="6AC753C8">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mg/L</w:t>
            </w:r>
          </w:p>
        </w:tc>
        <w:tc>
          <w:tcPr>
            <w:tcW w:w="1053" w:type="dxa"/>
            <w:tcBorders>
              <w:tl2br w:val="nil"/>
              <w:tr2bl w:val="nil"/>
            </w:tcBorders>
            <w:vAlign w:val="center"/>
          </w:tcPr>
          <w:p w14:paraId="0CDDC32D">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140</w:t>
            </w:r>
          </w:p>
        </w:tc>
      </w:tr>
      <w:tr w14:paraId="6EBAADCE">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1C2D23D9">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56DAD9FE">
            <w:pPr>
              <w:pStyle w:val="66"/>
              <w:widowControl w:val="0"/>
              <w:ind w:left="0"/>
              <w:rPr>
                <w:rFonts w:ascii="Times New Roman" w:hAnsi="Times New Roman" w:eastAsia="宋体" w:cs="Times New Roman"/>
                <w:bCs/>
                <w:caps w:val="0"/>
                <w:smallCaps w:val="0"/>
                <w:color w:val="auto"/>
                <w:spacing w:val="0"/>
                <w:kern w:val="0"/>
                <w:highlight w:val="none"/>
              </w:rPr>
            </w:pPr>
          </w:p>
        </w:tc>
        <w:tc>
          <w:tcPr>
            <w:tcW w:w="3423" w:type="dxa"/>
            <w:gridSpan w:val="3"/>
            <w:tcBorders>
              <w:tl2br w:val="nil"/>
              <w:tr2bl w:val="nil"/>
            </w:tcBorders>
            <w:vAlign w:val="center"/>
          </w:tcPr>
          <w:p w14:paraId="42BB9141">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总磷</w:t>
            </w:r>
          </w:p>
        </w:tc>
        <w:tc>
          <w:tcPr>
            <w:tcW w:w="1337" w:type="dxa"/>
            <w:gridSpan w:val="2"/>
            <w:tcBorders>
              <w:tl2br w:val="nil"/>
              <w:tr2bl w:val="nil"/>
            </w:tcBorders>
            <w:vAlign w:val="center"/>
          </w:tcPr>
          <w:p w14:paraId="49B7EE4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mg/L</w:t>
            </w:r>
          </w:p>
        </w:tc>
        <w:tc>
          <w:tcPr>
            <w:tcW w:w="1053" w:type="dxa"/>
            <w:tcBorders>
              <w:tl2br w:val="nil"/>
              <w:tr2bl w:val="nil"/>
            </w:tcBorders>
            <w:vAlign w:val="center"/>
          </w:tcPr>
          <w:p w14:paraId="660A48F0">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2.0</w:t>
            </w:r>
          </w:p>
        </w:tc>
      </w:tr>
      <w:tr w14:paraId="07FF32A0">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154582AD">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6C4BD95D">
            <w:pPr>
              <w:pStyle w:val="66"/>
              <w:widowControl w:val="0"/>
              <w:ind w:left="0"/>
              <w:rPr>
                <w:rFonts w:ascii="Times New Roman" w:hAnsi="Times New Roman" w:eastAsia="宋体" w:cs="Times New Roman"/>
                <w:bCs/>
                <w:caps w:val="0"/>
                <w:smallCaps w:val="0"/>
                <w:color w:val="auto"/>
                <w:spacing w:val="0"/>
                <w:kern w:val="0"/>
                <w:highlight w:val="none"/>
              </w:rPr>
            </w:pPr>
          </w:p>
        </w:tc>
        <w:tc>
          <w:tcPr>
            <w:tcW w:w="3423" w:type="dxa"/>
            <w:gridSpan w:val="3"/>
            <w:tcBorders>
              <w:tl2br w:val="nil"/>
              <w:tr2bl w:val="nil"/>
            </w:tcBorders>
            <w:vAlign w:val="center"/>
          </w:tcPr>
          <w:p w14:paraId="69043E4D">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总氮</w:t>
            </w:r>
          </w:p>
        </w:tc>
        <w:tc>
          <w:tcPr>
            <w:tcW w:w="1337" w:type="dxa"/>
            <w:gridSpan w:val="2"/>
            <w:tcBorders>
              <w:tl2br w:val="nil"/>
              <w:tr2bl w:val="nil"/>
            </w:tcBorders>
            <w:vAlign w:val="center"/>
          </w:tcPr>
          <w:p w14:paraId="5F080AC7">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mg/L</w:t>
            </w:r>
          </w:p>
        </w:tc>
        <w:tc>
          <w:tcPr>
            <w:tcW w:w="1053" w:type="dxa"/>
            <w:tcBorders>
              <w:tl2br w:val="nil"/>
              <w:tr2bl w:val="nil"/>
            </w:tcBorders>
            <w:vAlign w:val="center"/>
          </w:tcPr>
          <w:p w14:paraId="6562661C">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40</w:t>
            </w:r>
          </w:p>
        </w:tc>
      </w:tr>
      <w:tr w14:paraId="18580191">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7177DFAB">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637A50A4">
            <w:pPr>
              <w:pStyle w:val="66"/>
              <w:widowControl w:val="0"/>
              <w:ind w:left="0"/>
              <w:rPr>
                <w:rFonts w:ascii="Times New Roman" w:hAnsi="Times New Roman" w:eastAsia="宋体" w:cs="Times New Roman"/>
                <w:bCs/>
                <w:caps w:val="0"/>
                <w:smallCaps w:val="0"/>
                <w:color w:val="auto"/>
                <w:spacing w:val="0"/>
                <w:kern w:val="0"/>
                <w:highlight w:val="none"/>
              </w:rPr>
            </w:pPr>
          </w:p>
        </w:tc>
        <w:tc>
          <w:tcPr>
            <w:tcW w:w="3423" w:type="dxa"/>
            <w:gridSpan w:val="3"/>
            <w:tcBorders>
              <w:tl2br w:val="nil"/>
              <w:tr2bl w:val="nil"/>
            </w:tcBorders>
            <w:vAlign w:val="center"/>
          </w:tcPr>
          <w:p w14:paraId="09E9F3C8">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氨氮</w:t>
            </w:r>
          </w:p>
        </w:tc>
        <w:tc>
          <w:tcPr>
            <w:tcW w:w="1337" w:type="dxa"/>
            <w:gridSpan w:val="2"/>
            <w:tcBorders>
              <w:tl2br w:val="nil"/>
              <w:tr2bl w:val="nil"/>
            </w:tcBorders>
            <w:vAlign w:val="center"/>
          </w:tcPr>
          <w:p w14:paraId="27297083">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mg/L</w:t>
            </w:r>
          </w:p>
        </w:tc>
        <w:tc>
          <w:tcPr>
            <w:tcW w:w="1053" w:type="dxa"/>
            <w:tcBorders>
              <w:tl2br w:val="nil"/>
              <w:tr2bl w:val="nil"/>
            </w:tcBorders>
            <w:vAlign w:val="center"/>
          </w:tcPr>
          <w:p w14:paraId="5C3FDE15">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30</w:t>
            </w:r>
          </w:p>
        </w:tc>
      </w:tr>
      <w:tr w14:paraId="71D877ED">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trHeight w:val="90" w:hRule="atLeast"/>
          <w:jc w:val="center"/>
        </w:trPr>
        <w:tc>
          <w:tcPr>
            <w:tcW w:w="494" w:type="dxa"/>
            <w:vMerge w:val="continue"/>
            <w:tcBorders>
              <w:tl2br w:val="nil"/>
              <w:tr2bl w:val="nil"/>
            </w:tcBorders>
            <w:vAlign w:val="center"/>
          </w:tcPr>
          <w:p w14:paraId="55E034AA">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13378FF9">
            <w:pPr>
              <w:pStyle w:val="66"/>
              <w:widowControl w:val="0"/>
              <w:ind w:left="0"/>
              <w:rPr>
                <w:rFonts w:ascii="Times New Roman" w:hAnsi="Times New Roman" w:eastAsia="宋体" w:cs="Times New Roman"/>
                <w:bCs/>
                <w:caps w:val="0"/>
                <w:smallCaps w:val="0"/>
                <w:color w:val="auto"/>
                <w:spacing w:val="0"/>
                <w:kern w:val="0"/>
                <w:highlight w:val="none"/>
              </w:rPr>
            </w:pPr>
          </w:p>
        </w:tc>
        <w:tc>
          <w:tcPr>
            <w:tcW w:w="3423" w:type="dxa"/>
            <w:gridSpan w:val="3"/>
            <w:tcBorders>
              <w:tl2br w:val="nil"/>
              <w:tr2bl w:val="nil"/>
            </w:tcBorders>
            <w:vAlign w:val="center"/>
          </w:tcPr>
          <w:p w14:paraId="6E6F0B5D">
            <w:pPr>
              <w:pStyle w:val="66"/>
              <w:widowControl w:val="0"/>
              <w:ind w:left="0"/>
              <w:rPr>
                <w:rFonts w:hint="default" w:ascii="Times New Roman" w:hAnsi="Times New Roman" w:eastAsia="宋体" w:cs="Times New Roman"/>
                <w:bCs/>
                <w:caps w:val="0"/>
                <w:smallCaps w:val="0"/>
                <w:color w:val="auto"/>
                <w:spacing w:val="0"/>
                <w:kern w:val="0"/>
                <w:highlight w:val="none"/>
                <w:lang w:val="en-US" w:eastAsia="zh-CN"/>
              </w:rPr>
            </w:pPr>
            <w:r>
              <w:rPr>
                <w:rFonts w:hint="eastAsia" w:ascii="Times New Roman" w:hAnsi="Times New Roman" w:eastAsia="宋体" w:cs="Times New Roman"/>
                <w:bCs/>
                <w:caps w:val="0"/>
                <w:smallCaps w:val="0"/>
                <w:color w:val="auto"/>
                <w:spacing w:val="0"/>
                <w:kern w:val="0"/>
                <w:highlight w:val="none"/>
                <w:lang w:val="en-US" w:eastAsia="zh-CN"/>
              </w:rPr>
              <w:t>单位产品基准排水量</w:t>
            </w:r>
          </w:p>
        </w:tc>
        <w:tc>
          <w:tcPr>
            <w:tcW w:w="1337" w:type="dxa"/>
            <w:gridSpan w:val="2"/>
            <w:tcBorders>
              <w:tl2br w:val="nil"/>
              <w:tr2bl w:val="nil"/>
            </w:tcBorders>
            <w:vAlign w:val="center"/>
          </w:tcPr>
          <w:p w14:paraId="11F04F82">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caps w:val="0"/>
                <w:smallCaps w:val="0"/>
                <w:color w:val="auto"/>
                <w:spacing w:val="0"/>
                <w:kern w:val="0"/>
                <w:highlight w:val="none"/>
                <w:lang w:eastAsia="en-US"/>
              </w:rPr>
              <w:t>m</w:t>
            </w:r>
            <w:r>
              <w:rPr>
                <w:rFonts w:hint="eastAsia" w:ascii="Times New Roman" w:hAnsi="Times New Roman" w:eastAsia="宋体" w:cs="Times New Roman"/>
                <w:caps w:val="0"/>
                <w:smallCaps w:val="0"/>
                <w:color w:val="auto"/>
                <w:spacing w:val="0"/>
                <w:kern w:val="0"/>
                <w:highlight w:val="none"/>
                <w:vertAlign w:val="superscript"/>
                <w:lang w:eastAsia="en-US"/>
              </w:rPr>
              <w:t>3</w:t>
            </w:r>
            <w:r>
              <w:rPr>
                <w:rFonts w:hint="eastAsia" w:ascii="Times New Roman" w:hAnsi="Times New Roman" w:eastAsia="宋体" w:cs="Times New Roman"/>
                <w:caps w:val="0"/>
                <w:smallCaps w:val="0"/>
                <w:color w:val="auto"/>
                <w:spacing w:val="0"/>
                <w:kern w:val="0"/>
                <w:highlight w:val="none"/>
                <w:lang w:eastAsia="en-US"/>
              </w:rPr>
              <w:t>/kW</w:t>
            </w:r>
          </w:p>
        </w:tc>
        <w:tc>
          <w:tcPr>
            <w:tcW w:w="1053" w:type="dxa"/>
            <w:tcBorders>
              <w:tl2br w:val="nil"/>
              <w:tr2bl w:val="nil"/>
            </w:tcBorders>
            <w:vAlign w:val="center"/>
          </w:tcPr>
          <w:p w14:paraId="0D4FB628">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caps w:val="0"/>
                <w:smallCaps w:val="0"/>
                <w:color w:val="auto"/>
                <w:spacing w:val="0"/>
                <w:kern w:val="0"/>
                <w:highlight w:val="none"/>
                <w:lang w:eastAsia="en-US"/>
              </w:rPr>
              <w:t>0.2</w:t>
            </w:r>
          </w:p>
        </w:tc>
      </w:tr>
      <w:tr w14:paraId="0649E3CC">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restart"/>
            <w:tcBorders>
              <w:tl2br w:val="nil"/>
              <w:tr2bl w:val="nil"/>
            </w:tcBorders>
            <w:vAlign w:val="center"/>
          </w:tcPr>
          <w:p w14:paraId="60C3EC88">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caps w:val="0"/>
                <w:smallCaps w:val="0"/>
                <w:color w:val="auto"/>
                <w:spacing w:val="0"/>
                <w:sz w:val="24"/>
                <w:highlight w:val="none"/>
              </w:rPr>
              <w:br w:type="page"/>
            </w:r>
            <w:r>
              <w:rPr>
                <w:rFonts w:ascii="Times New Roman" w:hAnsi="Times New Roman" w:eastAsia="宋体" w:cs="Times New Roman"/>
                <w:bCs/>
                <w:caps w:val="0"/>
                <w:smallCaps w:val="0"/>
                <w:color w:val="auto"/>
                <w:spacing w:val="0"/>
                <w:kern w:val="0"/>
                <w:highlight w:val="none"/>
              </w:rPr>
              <w:t>噪</w:t>
            </w:r>
          </w:p>
          <w:p w14:paraId="27FD41BE">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声</w:t>
            </w:r>
          </w:p>
        </w:tc>
        <w:tc>
          <w:tcPr>
            <w:tcW w:w="2636" w:type="dxa"/>
            <w:vMerge w:val="restart"/>
            <w:tcBorders>
              <w:tl2br w:val="nil"/>
              <w:tr2bl w:val="nil"/>
            </w:tcBorders>
            <w:vAlign w:val="center"/>
          </w:tcPr>
          <w:p w14:paraId="018DCB1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《工业企业厂界环境噪声排放标准》（GB12348-2008）3类限值</w:t>
            </w:r>
          </w:p>
        </w:tc>
        <w:tc>
          <w:tcPr>
            <w:tcW w:w="2955" w:type="dxa"/>
            <w:gridSpan w:val="2"/>
            <w:vMerge w:val="restart"/>
            <w:tcBorders>
              <w:tl2br w:val="nil"/>
              <w:tr2bl w:val="nil"/>
            </w:tcBorders>
            <w:vAlign w:val="center"/>
          </w:tcPr>
          <w:p w14:paraId="55EF7FB7">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噪声</w:t>
            </w:r>
          </w:p>
        </w:tc>
        <w:tc>
          <w:tcPr>
            <w:tcW w:w="1035" w:type="dxa"/>
            <w:gridSpan w:val="2"/>
            <w:vMerge w:val="restart"/>
            <w:tcBorders>
              <w:tl2br w:val="nil"/>
              <w:tr2bl w:val="nil"/>
            </w:tcBorders>
            <w:vAlign w:val="center"/>
          </w:tcPr>
          <w:p w14:paraId="20032A39">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dB（A）</w:t>
            </w:r>
          </w:p>
        </w:tc>
        <w:tc>
          <w:tcPr>
            <w:tcW w:w="770" w:type="dxa"/>
            <w:tcBorders>
              <w:tl2br w:val="nil"/>
              <w:tr2bl w:val="nil"/>
            </w:tcBorders>
            <w:vAlign w:val="center"/>
          </w:tcPr>
          <w:p w14:paraId="74CF797F">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昼间</w:t>
            </w:r>
          </w:p>
        </w:tc>
        <w:tc>
          <w:tcPr>
            <w:tcW w:w="1053" w:type="dxa"/>
            <w:tcBorders>
              <w:tl2br w:val="nil"/>
              <w:tr2bl w:val="nil"/>
            </w:tcBorders>
            <w:shd w:val="clear" w:color="auto" w:fill="auto"/>
            <w:vAlign w:val="center"/>
          </w:tcPr>
          <w:p w14:paraId="0EB725C2">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65</w:t>
            </w:r>
          </w:p>
        </w:tc>
      </w:tr>
      <w:tr w14:paraId="6077FC1D">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6301BB9F">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56A1AD6C">
            <w:pPr>
              <w:pStyle w:val="66"/>
              <w:widowControl w:val="0"/>
              <w:ind w:left="0"/>
              <w:rPr>
                <w:rFonts w:ascii="Times New Roman" w:hAnsi="Times New Roman" w:eastAsia="宋体" w:cs="Times New Roman"/>
                <w:bCs/>
                <w:caps w:val="0"/>
                <w:smallCaps w:val="0"/>
                <w:color w:val="auto"/>
                <w:spacing w:val="0"/>
                <w:kern w:val="0"/>
                <w:highlight w:val="none"/>
              </w:rPr>
            </w:pPr>
          </w:p>
        </w:tc>
        <w:tc>
          <w:tcPr>
            <w:tcW w:w="2955" w:type="dxa"/>
            <w:gridSpan w:val="2"/>
            <w:vMerge w:val="continue"/>
            <w:tcBorders>
              <w:tl2br w:val="nil"/>
              <w:tr2bl w:val="nil"/>
            </w:tcBorders>
            <w:vAlign w:val="center"/>
          </w:tcPr>
          <w:p w14:paraId="60D060FA">
            <w:pPr>
              <w:pStyle w:val="66"/>
              <w:widowControl w:val="0"/>
              <w:ind w:left="0"/>
              <w:rPr>
                <w:rFonts w:ascii="Times New Roman" w:hAnsi="Times New Roman" w:eastAsia="宋体" w:cs="Times New Roman"/>
                <w:bCs/>
                <w:caps w:val="0"/>
                <w:smallCaps w:val="0"/>
                <w:color w:val="auto"/>
                <w:spacing w:val="0"/>
                <w:kern w:val="0"/>
                <w:highlight w:val="none"/>
              </w:rPr>
            </w:pPr>
          </w:p>
        </w:tc>
        <w:tc>
          <w:tcPr>
            <w:tcW w:w="1035" w:type="dxa"/>
            <w:gridSpan w:val="2"/>
            <w:vMerge w:val="continue"/>
            <w:tcBorders>
              <w:tl2br w:val="nil"/>
              <w:tr2bl w:val="nil"/>
            </w:tcBorders>
            <w:vAlign w:val="center"/>
          </w:tcPr>
          <w:p w14:paraId="35E396BD">
            <w:pPr>
              <w:pStyle w:val="66"/>
              <w:widowControl w:val="0"/>
              <w:ind w:left="0"/>
              <w:rPr>
                <w:rFonts w:ascii="Times New Roman" w:hAnsi="Times New Roman" w:eastAsia="宋体" w:cs="Times New Roman"/>
                <w:bCs/>
                <w:caps w:val="0"/>
                <w:smallCaps w:val="0"/>
                <w:color w:val="auto"/>
                <w:spacing w:val="0"/>
                <w:kern w:val="0"/>
                <w:highlight w:val="none"/>
              </w:rPr>
            </w:pPr>
          </w:p>
        </w:tc>
        <w:tc>
          <w:tcPr>
            <w:tcW w:w="770" w:type="dxa"/>
            <w:tcBorders>
              <w:tl2br w:val="nil"/>
              <w:tr2bl w:val="nil"/>
            </w:tcBorders>
            <w:vAlign w:val="center"/>
          </w:tcPr>
          <w:p w14:paraId="081FAE89">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夜间</w:t>
            </w:r>
          </w:p>
        </w:tc>
        <w:tc>
          <w:tcPr>
            <w:tcW w:w="1053" w:type="dxa"/>
            <w:tcBorders>
              <w:tl2br w:val="nil"/>
              <w:tr2bl w:val="nil"/>
            </w:tcBorders>
            <w:shd w:val="clear" w:color="auto" w:fill="auto"/>
            <w:vAlign w:val="center"/>
          </w:tcPr>
          <w:p w14:paraId="1C9FF47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55</w:t>
            </w:r>
          </w:p>
        </w:tc>
      </w:tr>
      <w:tr w14:paraId="747B4991">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458EB261">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restart"/>
            <w:tcBorders>
              <w:tl2br w:val="nil"/>
              <w:tr2bl w:val="nil"/>
            </w:tcBorders>
            <w:vAlign w:val="center"/>
          </w:tcPr>
          <w:p w14:paraId="06E8A95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《工业企业厂界环境噪声排放标准》（GB12348-2008）</w:t>
            </w:r>
            <w:r>
              <w:rPr>
                <w:rFonts w:hint="eastAsia" w:ascii="Times New Roman" w:hAnsi="Times New Roman" w:eastAsia="宋体" w:cs="Times New Roman"/>
                <w:bCs/>
                <w:caps w:val="0"/>
                <w:smallCaps w:val="0"/>
                <w:color w:val="auto"/>
                <w:spacing w:val="0"/>
                <w:kern w:val="0"/>
                <w:highlight w:val="none"/>
                <w:lang w:val="en-US" w:eastAsia="zh-CN"/>
              </w:rPr>
              <w:t>4</w:t>
            </w:r>
            <w:r>
              <w:rPr>
                <w:rFonts w:ascii="Times New Roman" w:hAnsi="Times New Roman" w:eastAsia="宋体" w:cs="Times New Roman"/>
                <w:bCs/>
                <w:caps w:val="0"/>
                <w:smallCaps w:val="0"/>
                <w:color w:val="auto"/>
                <w:spacing w:val="0"/>
                <w:kern w:val="0"/>
                <w:highlight w:val="none"/>
              </w:rPr>
              <w:t>类限值</w:t>
            </w:r>
          </w:p>
        </w:tc>
        <w:tc>
          <w:tcPr>
            <w:tcW w:w="2955" w:type="dxa"/>
            <w:gridSpan w:val="2"/>
            <w:vMerge w:val="continue"/>
            <w:tcBorders>
              <w:tl2br w:val="nil"/>
              <w:tr2bl w:val="nil"/>
            </w:tcBorders>
            <w:vAlign w:val="center"/>
          </w:tcPr>
          <w:p w14:paraId="27489A26">
            <w:pPr>
              <w:pStyle w:val="66"/>
              <w:widowControl w:val="0"/>
              <w:ind w:left="0"/>
              <w:rPr>
                <w:rFonts w:ascii="Times New Roman" w:hAnsi="Times New Roman" w:eastAsia="宋体" w:cs="Times New Roman"/>
                <w:bCs/>
                <w:caps w:val="0"/>
                <w:smallCaps w:val="0"/>
                <w:color w:val="auto"/>
                <w:spacing w:val="0"/>
                <w:kern w:val="0"/>
                <w:highlight w:val="none"/>
              </w:rPr>
            </w:pPr>
          </w:p>
        </w:tc>
        <w:tc>
          <w:tcPr>
            <w:tcW w:w="1035" w:type="dxa"/>
            <w:gridSpan w:val="2"/>
            <w:vMerge w:val="continue"/>
            <w:tcBorders>
              <w:tl2br w:val="nil"/>
              <w:tr2bl w:val="nil"/>
            </w:tcBorders>
            <w:vAlign w:val="center"/>
          </w:tcPr>
          <w:p w14:paraId="0D048FE5">
            <w:pPr>
              <w:pStyle w:val="66"/>
              <w:widowControl w:val="0"/>
              <w:ind w:left="0"/>
              <w:rPr>
                <w:rFonts w:ascii="Times New Roman" w:hAnsi="Times New Roman" w:eastAsia="宋体" w:cs="Times New Roman"/>
                <w:bCs/>
                <w:caps w:val="0"/>
                <w:smallCaps w:val="0"/>
                <w:color w:val="auto"/>
                <w:spacing w:val="0"/>
                <w:kern w:val="0"/>
                <w:highlight w:val="none"/>
              </w:rPr>
            </w:pPr>
          </w:p>
        </w:tc>
        <w:tc>
          <w:tcPr>
            <w:tcW w:w="770" w:type="dxa"/>
            <w:tcBorders>
              <w:tl2br w:val="nil"/>
              <w:tr2bl w:val="nil"/>
            </w:tcBorders>
            <w:vAlign w:val="center"/>
          </w:tcPr>
          <w:p w14:paraId="7AEA6E59">
            <w:pPr>
              <w:pStyle w:val="66"/>
              <w:widowControl w:val="0"/>
              <w:ind w:left="0" w:leftChars="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昼间</w:t>
            </w:r>
          </w:p>
        </w:tc>
        <w:tc>
          <w:tcPr>
            <w:tcW w:w="1053" w:type="dxa"/>
            <w:tcBorders>
              <w:tl2br w:val="nil"/>
              <w:tr2bl w:val="nil"/>
            </w:tcBorders>
            <w:shd w:val="clear" w:color="auto" w:fill="auto"/>
            <w:vAlign w:val="center"/>
          </w:tcPr>
          <w:p w14:paraId="60E9635D">
            <w:pPr>
              <w:pStyle w:val="66"/>
              <w:widowControl w:val="0"/>
              <w:ind w:left="0" w:leftChars="0"/>
              <w:rPr>
                <w:rFonts w:hint="default" w:ascii="Times New Roman" w:hAnsi="Times New Roman" w:eastAsia="宋体" w:cs="Times New Roman"/>
                <w:bCs/>
                <w:caps w:val="0"/>
                <w:smallCaps w:val="0"/>
                <w:color w:val="auto"/>
                <w:spacing w:val="0"/>
                <w:kern w:val="0"/>
                <w:highlight w:val="none"/>
                <w:lang w:val="en-US" w:eastAsia="zh-CN"/>
              </w:rPr>
            </w:pPr>
            <w:r>
              <w:rPr>
                <w:rFonts w:hint="eastAsia" w:ascii="Times New Roman" w:hAnsi="Times New Roman" w:eastAsia="宋体" w:cs="Times New Roman"/>
                <w:bCs/>
                <w:caps w:val="0"/>
                <w:smallCaps w:val="0"/>
                <w:color w:val="auto"/>
                <w:spacing w:val="0"/>
                <w:kern w:val="0"/>
                <w:highlight w:val="none"/>
                <w:lang w:val="en-US" w:eastAsia="zh-CN"/>
              </w:rPr>
              <w:t>70</w:t>
            </w:r>
          </w:p>
        </w:tc>
      </w:tr>
      <w:tr w14:paraId="0171DE6F">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687CE931">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1BE50810">
            <w:pPr>
              <w:pStyle w:val="66"/>
              <w:widowControl w:val="0"/>
              <w:ind w:left="0"/>
              <w:rPr>
                <w:rFonts w:ascii="Times New Roman" w:hAnsi="Times New Roman" w:eastAsia="宋体" w:cs="Times New Roman"/>
                <w:bCs/>
                <w:caps w:val="0"/>
                <w:smallCaps w:val="0"/>
                <w:color w:val="auto"/>
                <w:spacing w:val="0"/>
                <w:kern w:val="0"/>
                <w:highlight w:val="none"/>
              </w:rPr>
            </w:pPr>
          </w:p>
        </w:tc>
        <w:tc>
          <w:tcPr>
            <w:tcW w:w="2955" w:type="dxa"/>
            <w:gridSpan w:val="2"/>
            <w:vMerge w:val="continue"/>
            <w:tcBorders>
              <w:tl2br w:val="nil"/>
              <w:tr2bl w:val="nil"/>
            </w:tcBorders>
            <w:vAlign w:val="center"/>
          </w:tcPr>
          <w:p w14:paraId="7D1EBED5">
            <w:pPr>
              <w:pStyle w:val="66"/>
              <w:widowControl w:val="0"/>
              <w:ind w:left="0"/>
              <w:rPr>
                <w:rFonts w:ascii="Times New Roman" w:hAnsi="Times New Roman" w:eastAsia="宋体" w:cs="Times New Roman"/>
                <w:bCs/>
                <w:caps w:val="0"/>
                <w:smallCaps w:val="0"/>
                <w:color w:val="auto"/>
                <w:spacing w:val="0"/>
                <w:kern w:val="0"/>
                <w:highlight w:val="none"/>
              </w:rPr>
            </w:pPr>
          </w:p>
        </w:tc>
        <w:tc>
          <w:tcPr>
            <w:tcW w:w="1035" w:type="dxa"/>
            <w:gridSpan w:val="2"/>
            <w:vMerge w:val="continue"/>
            <w:tcBorders>
              <w:tl2br w:val="nil"/>
              <w:tr2bl w:val="nil"/>
            </w:tcBorders>
            <w:vAlign w:val="center"/>
          </w:tcPr>
          <w:p w14:paraId="4B631213">
            <w:pPr>
              <w:pStyle w:val="66"/>
              <w:widowControl w:val="0"/>
              <w:ind w:left="0"/>
              <w:rPr>
                <w:rFonts w:ascii="Times New Roman" w:hAnsi="Times New Roman" w:eastAsia="宋体" w:cs="Times New Roman"/>
                <w:bCs/>
                <w:caps w:val="0"/>
                <w:smallCaps w:val="0"/>
                <w:color w:val="auto"/>
                <w:spacing w:val="0"/>
                <w:kern w:val="0"/>
                <w:highlight w:val="none"/>
              </w:rPr>
            </w:pPr>
          </w:p>
        </w:tc>
        <w:tc>
          <w:tcPr>
            <w:tcW w:w="770" w:type="dxa"/>
            <w:tcBorders>
              <w:tl2br w:val="nil"/>
              <w:tr2bl w:val="nil"/>
            </w:tcBorders>
            <w:vAlign w:val="center"/>
          </w:tcPr>
          <w:p w14:paraId="4CE51BB3">
            <w:pPr>
              <w:pStyle w:val="66"/>
              <w:widowControl w:val="0"/>
              <w:ind w:left="0" w:leftChars="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夜间</w:t>
            </w:r>
          </w:p>
        </w:tc>
        <w:tc>
          <w:tcPr>
            <w:tcW w:w="1053" w:type="dxa"/>
            <w:tcBorders>
              <w:tl2br w:val="nil"/>
              <w:tr2bl w:val="nil"/>
            </w:tcBorders>
            <w:shd w:val="clear" w:color="auto" w:fill="auto"/>
            <w:vAlign w:val="center"/>
          </w:tcPr>
          <w:p w14:paraId="63513BD6">
            <w:pPr>
              <w:pStyle w:val="66"/>
              <w:widowControl w:val="0"/>
              <w:ind w:left="0" w:leftChars="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55</w:t>
            </w:r>
          </w:p>
        </w:tc>
      </w:tr>
      <w:tr w14:paraId="3A2220F1">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68FCCAB1">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restart"/>
            <w:tcBorders>
              <w:tl2br w:val="nil"/>
              <w:tr2bl w:val="nil"/>
            </w:tcBorders>
            <w:vAlign w:val="center"/>
          </w:tcPr>
          <w:p w14:paraId="24CAEFF2">
            <w:pPr>
              <w:pStyle w:val="66"/>
              <w:widowControl w:val="0"/>
              <w:ind w:left="0"/>
              <w:rPr>
                <w:rFonts w:ascii="Times New Roman" w:hAnsi="Times New Roman" w:eastAsia="宋体" w:cs="Times New Roman"/>
                <w:bCs/>
                <w:caps w:val="0"/>
                <w:smallCaps w:val="0"/>
                <w:color w:val="auto"/>
                <w:spacing w:val="0"/>
                <w:kern w:val="0"/>
                <w:highlight w:val="none"/>
              </w:rPr>
            </w:pPr>
            <w:r>
              <w:rPr>
                <w:rFonts w:hint="eastAsia" w:ascii="Times New Roman" w:hAnsi="Times New Roman" w:eastAsia="宋体" w:cs="Times New Roman"/>
                <w:bCs/>
                <w:caps w:val="0"/>
                <w:smallCaps w:val="0"/>
                <w:color w:val="auto"/>
                <w:spacing w:val="0"/>
                <w:kern w:val="0"/>
                <w:highlight w:val="none"/>
              </w:rPr>
              <w:t>《建筑施工噪声排放标准》（GB12523-2025）</w:t>
            </w:r>
          </w:p>
        </w:tc>
        <w:tc>
          <w:tcPr>
            <w:tcW w:w="2955" w:type="dxa"/>
            <w:gridSpan w:val="2"/>
            <w:vMerge w:val="restart"/>
            <w:tcBorders>
              <w:tl2br w:val="nil"/>
              <w:tr2bl w:val="nil"/>
            </w:tcBorders>
            <w:vAlign w:val="center"/>
          </w:tcPr>
          <w:p w14:paraId="54C209F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噪声</w:t>
            </w:r>
          </w:p>
        </w:tc>
        <w:tc>
          <w:tcPr>
            <w:tcW w:w="1035" w:type="dxa"/>
            <w:gridSpan w:val="2"/>
            <w:vMerge w:val="restart"/>
            <w:tcBorders>
              <w:tl2br w:val="nil"/>
              <w:tr2bl w:val="nil"/>
            </w:tcBorders>
            <w:vAlign w:val="center"/>
          </w:tcPr>
          <w:p w14:paraId="282E7CD6">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dB（A）</w:t>
            </w:r>
          </w:p>
        </w:tc>
        <w:tc>
          <w:tcPr>
            <w:tcW w:w="770" w:type="dxa"/>
            <w:tcBorders>
              <w:tl2br w:val="nil"/>
              <w:tr2bl w:val="nil"/>
            </w:tcBorders>
            <w:vAlign w:val="center"/>
          </w:tcPr>
          <w:p w14:paraId="03B64694">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昼间</w:t>
            </w:r>
          </w:p>
        </w:tc>
        <w:tc>
          <w:tcPr>
            <w:tcW w:w="1053" w:type="dxa"/>
            <w:tcBorders>
              <w:tl2br w:val="nil"/>
              <w:tr2bl w:val="nil"/>
            </w:tcBorders>
            <w:vAlign w:val="center"/>
          </w:tcPr>
          <w:p w14:paraId="07578130">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70</w:t>
            </w:r>
          </w:p>
        </w:tc>
      </w:tr>
      <w:tr w14:paraId="6500005D">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10" w:type="dxa"/>
          <w:jc w:val="center"/>
        </w:trPr>
        <w:tc>
          <w:tcPr>
            <w:tcW w:w="494" w:type="dxa"/>
            <w:vMerge w:val="continue"/>
            <w:tcBorders>
              <w:tl2br w:val="nil"/>
              <w:tr2bl w:val="nil"/>
            </w:tcBorders>
            <w:vAlign w:val="center"/>
          </w:tcPr>
          <w:p w14:paraId="3C1AC358">
            <w:pPr>
              <w:pStyle w:val="66"/>
              <w:widowControl w:val="0"/>
              <w:ind w:left="0"/>
              <w:rPr>
                <w:rFonts w:ascii="Times New Roman" w:hAnsi="Times New Roman" w:eastAsia="宋体" w:cs="Times New Roman"/>
                <w:bCs/>
                <w:caps w:val="0"/>
                <w:smallCaps w:val="0"/>
                <w:color w:val="auto"/>
                <w:spacing w:val="0"/>
                <w:kern w:val="0"/>
                <w:highlight w:val="none"/>
              </w:rPr>
            </w:pPr>
          </w:p>
        </w:tc>
        <w:tc>
          <w:tcPr>
            <w:tcW w:w="2636" w:type="dxa"/>
            <w:vMerge w:val="continue"/>
            <w:tcBorders>
              <w:tl2br w:val="nil"/>
              <w:tr2bl w:val="nil"/>
            </w:tcBorders>
            <w:vAlign w:val="center"/>
          </w:tcPr>
          <w:p w14:paraId="2F56EB69">
            <w:pPr>
              <w:pStyle w:val="66"/>
              <w:widowControl w:val="0"/>
              <w:ind w:left="0"/>
              <w:rPr>
                <w:rFonts w:ascii="Times New Roman" w:hAnsi="Times New Roman" w:eastAsia="宋体" w:cs="Times New Roman"/>
                <w:bCs/>
                <w:caps w:val="0"/>
                <w:smallCaps w:val="0"/>
                <w:color w:val="auto"/>
                <w:spacing w:val="0"/>
                <w:kern w:val="0"/>
                <w:highlight w:val="none"/>
              </w:rPr>
            </w:pPr>
          </w:p>
        </w:tc>
        <w:tc>
          <w:tcPr>
            <w:tcW w:w="2955" w:type="dxa"/>
            <w:gridSpan w:val="2"/>
            <w:vMerge w:val="continue"/>
            <w:tcBorders>
              <w:tl2br w:val="nil"/>
              <w:tr2bl w:val="nil"/>
            </w:tcBorders>
            <w:vAlign w:val="center"/>
          </w:tcPr>
          <w:p w14:paraId="249AB602">
            <w:pPr>
              <w:pStyle w:val="66"/>
              <w:widowControl w:val="0"/>
              <w:ind w:left="0"/>
              <w:rPr>
                <w:rFonts w:ascii="Times New Roman" w:hAnsi="Times New Roman" w:eastAsia="宋体" w:cs="Times New Roman"/>
                <w:bCs/>
                <w:caps w:val="0"/>
                <w:smallCaps w:val="0"/>
                <w:color w:val="auto"/>
                <w:spacing w:val="0"/>
                <w:kern w:val="0"/>
                <w:highlight w:val="none"/>
              </w:rPr>
            </w:pPr>
          </w:p>
        </w:tc>
        <w:tc>
          <w:tcPr>
            <w:tcW w:w="1035" w:type="dxa"/>
            <w:gridSpan w:val="2"/>
            <w:vMerge w:val="continue"/>
            <w:tcBorders>
              <w:tl2br w:val="nil"/>
              <w:tr2bl w:val="nil"/>
            </w:tcBorders>
            <w:vAlign w:val="center"/>
          </w:tcPr>
          <w:p w14:paraId="65E43791">
            <w:pPr>
              <w:pStyle w:val="66"/>
              <w:widowControl w:val="0"/>
              <w:ind w:left="0"/>
              <w:rPr>
                <w:rFonts w:ascii="Times New Roman" w:hAnsi="Times New Roman" w:eastAsia="宋体" w:cs="Times New Roman"/>
                <w:bCs/>
                <w:caps w:val="0"/>
                <w:smallCaps w:val="0"/>
                <w:color w:val="auto"/>
                <w:spacing w:val="0"/>
                <w:kern w:val="0"/>
                <w:highlight w:val="none"/>
              </w:rPr>
            </w:pPr>
          </w:p>
        </w:tc>
        <w:tc>
          <w:tcPr>
            <w:tcW w:w="770" w:type="dxa"/>
            <w:tcBorders>
              <w:tl2br w:val="nil"/>
              <w:tr2bl w:val="nil"/>
            </w:tcBorders>
            <w:vAlign w:val="center"/>
          </w:tcPr>
          <w:p w14:paraId="6E24D7D2">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夜间</w:t>
            </w:r>
          </w:p>
        </w:tc>
        <w:tc>
          <w:tcPr>
            <w:tcW w:w="1053" w:type="dxa"/>
            <w:tcBorders>
              <w:tl2br w:val="nil"/>
              <w:tr2bl w:val="nil"/>
            </w:tcBorders>
            <w:vAlign w:val="center"/>
          </w:tcPr>
          <w:p w14:paraId="59F4604C">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55</w:t>
            </w:r>
          </w:p>
        </w:tc>
      </w:tr>
      <w:tr w14:paraId="414E68B7">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62" w:hRule="atLeast"/>
          <w:jc w:val="center"/>
        </w:trPr>
        <w:tc>
          <w:tcPr>
            <w:tcW w:w="494" w:type="dxa"/>
            <w:tcBorders>
              <w:bottom w:val="single" w:color="auto" w:sz="8" w:space="0"/>
              <w:tl2br w:val="nil"/>
              <w:tr2bl w:val="nil"/>
            </w:tcBorders>
            <w:vAlign w:val="center"/>
          </w:tcPr>
          <w:p w14:paraId="67BAF24B">
            <w:pPr>
              <w:pStyle w:val="66"/>
              <w:widowControl w:val="0"/>
              <w:ind w:left="0"/>
              <w:rPr>
                <w:rFonts w:ascii="Times New Roman" w:hAnsi="Times New Roman" w:eastAsia="宋体" w:cs="Times New Roman"/>
                <w:bCs/>
                <w:caps w:val="0"/>
                <w:smallCaps w:val="0"/>
                <w:color w:val="auto"/>
                <w:spacing w:val="0"/>
                <w:kern w:val="0"/>
                <w:highlight w:val="none"/>
              </w:rPr>
            </w:pPr>
            <w:r>
              <w:rPr>
                <w:rFonts w:ascii="Times New Roman" w:hAnsi="Times New Roman" w:eastAsia="宋体" w:cs="Times New Roman"/>
                <w:bCs/>
                <w:caps w:val="0"/>
                <w:smallCaps w:val="0"/>
                <w:color w:val="auto"/>
                <w:spacing w:val="0"/>
                <w:kern w:val="0"/>
                <w:highlight w:val="none"/>
              </w:rPr>
              <w:t>固废</w:t>
            </w:r>
          </w:p>
        </w:tc>
        <w:tc>
          <w:tcPr>
            <w:tcW w:w="8459" w:type="dxa"/>
            <w:gridSpan w:val="8"/>
            <w:tcBorders>
              <w:bottom w:val="single" w:color="auto" w:sz="8" w:space="0"/>
              <w:tl2br w:val="nil"/>
              <w:tr2bl w:val="nil"/>
            </w:tcBorders>
            <w:vAlign w:val="center"/>
          </w:tcPr>
          <w:p w14:paraId="2E9DBAF6">
            <w:pPr>
              <w:pStyle w:val="65"/>
              <w:widowControl w:val="0"/>
              <w:spacing w:line="240" w:lineRule="auto"/>
              <w:ind w:firstLine="0" w:firstLineChars="0"/>
              <w:rPr>
                <w:rFonts w:eastAsia="宋体"/>
                <w:bCs/>
                <w:caps w:val="0"/>
                <w:smallCaps w:val="0"/>
                <w:color w:val="auto"/>
                <w:spacing w:val="0"/>
                <w:kern w:val="0"/>
                <w:sz w:val="21"/>
                <w:highlight w:val="none"/>
              </w:rPr>
            </w:pPr>
            <w:r>
              <w:rPr>
                <w:rFonts w:hint="eastAsia" w:eastAsia="宋体"/>
                <w:bCs/>
                <w:caps w:val="0"/>
                <w:smallCaps w:val="0"/>
                <w:color w:val="auto"/>
                <w:spacing w:val="0"/>
                <w:kern w:val="0"/>
                <w:sz w:val="21"/>
                <w:szCs w:val="20"/>
                <w:highlight w:val="none"/>
              </w:rPr>
              <w:t>根据</w:t>
            </w:r>
            <w:r>
              <w:rPr>
                <w:rFonts w:hint="eastAsia" w:eastAsia="宋体"/>
                <w:bCs/>
                <w:caps w:val="0"/>
                <w:smallCaps w:val="0"/>
                <w:color w:val="auto"/>
                <w:spacing w:val="0"/>
                <w:kern w:val="0"/>
                <w:sz w:val="21"/>
                <w:szCs w:val="20"/>
                <w:highlight w:val="none"/>
                <w:lang w:eastAsia="zh-CN"/>
              </w:rPr>
              <w:t>《</w:t>
            </w:r>
            <w:r>
              <w:rPr>
                <w:rFonts w:hint="eastAsia" w:eastAsia="宋体"/>
                <w:bCs/>
                <w:caps w:val="0"/>
                <w:smallCaps w:val="0"/>
                <w:color w:val="auto"/>
                <w:spacing w:val="0"/>
                <w:kern w:val="0"/>
                <w:sz w:val="21"/>
                <w:szCs w:val="20"/>
                <w:highlight w:val="none"/>
              </w:rPr>
              <w:t>一般工业固体废物贮存和填埋污染控制标准</w:t>
            </w:r>
            <w:r>
              <w:rPr>
                <w:rFonts w:hint="eastAsia" w:eastAsia="宋体"/>
                <w:bCs/>
                <w:caps w:val="0"/>
                <w:smallCaps w:val="0"/>
                <w:color w:val="auto"/>
                <w:spacing w:val="0"/>
                <w:kern w:val="0"/>
                <w:sz w:val="21"/>
                <w:szCs w:val="20"/>
                <w:highlight w:val="none"/>
                <w:lang w:eastAsia="zh-CN"/>
              </w:rPr>
              <w:t>》</w:t>
            </w:r>
            <w:r>
              <w:rPr>
                <w:rFonts w:hint="eastAsia" w:eastAsia="宋体"/>
                <w:bCs/>
                <w:caps w:val="0"/>
                <w:smallCaps w:val="0"/>
                <w:color w:val="auto"/>
                <w:spacing w:val="0"/>
                <w:kern w:val="0"/>
                <w:sz w:val="21"/>
                <w:szCs w:val="20"/>
                <w:highlight w:val="none"/>
              </w:rPr>
              <w:t>(GB18599-2020)，采用库房、包装工具(罐、桶、包装袋等)贮存一般工业固体废物过程的污染控制，不适用本标准，其贮存过程应满足相应防渗漏、防雨淋、防扬尘等环境保护要求</w:t>
            </w:r>
            <w:r>
              <w:rPr>
                <w:rFonts w:eastAsia="宋体"/>
                <w:bCs/>
                <w:caps w:val="0"/>
                <w:smallCaps w:val="0"/>
                <w:color w:val="auto"/>
                <w:spacing w:val="0"/>
                <w:kern w:val="0"/>
                <w:sz w:val="21"/>
                <w:szCs w:val="20"/>
                <w:highlight w:val="none"/>
              </w:rPr>
              <w:t>；《危险废物贮存污染控制标准》(GB18597-2023)。</w:t>
            </w:r>
          </w:p>
        </w:tc>
      </w:tr>
    </w:tbl>
    <w:p w14:paraId="4BA18674">
      <w:pPr>
        <w:pStyle w:val="4"/>
        <w:widowControl w:val="0"/>
        <w:rPr>
          <w:rFonts w:eastAsia="宋体"/>
          <w:caps w:val="0"/>
          <w:smallCaps w:val="0"/>
          <w:color w:val="auto"/>
          <w:spacing w:val="0"/>
          <w:highlight w:val="none"/>
        </w:rPr>
      </w:pPr>
      <w:bookmarkStart w:id="39" w:name="_Toc477951935"/>
      <w:bookmarkStart w:id="40" w:name="_Toc29870"/>
      <w:r>
        <w:rPr>
          <w:rFonts w:eastAsia="宋体"/>
          <w:caps w:val="0"/>
          <w:smallCaps w:val="0"/>
          <w:color w:val="auto"/>
          <w:spacing w:val="0"/>
          <w:highlight w:val="none"/>
        </w:rPr>
        <w:t>2.5评价工作等级和评价范围</w:t>
      </w:r>
      <w:bookmarkEnd w:id="39"/>
      <w:bookmarkEnd w:id="40"/>
    </w:p>
    <w:p w14:paraId="2308E755">
      <w:pPr>
        <w:pStyle w:val="5"/>
        <w:widowControl w:val="0"/>
        <w:rPr>
          <w:rFonts w:eastAsia="宋体"/>
          <w:caps w:val="0"/>
          <w:smallCaps w:val="0"/>
          <w:color w:val="auto"/>
          <w:spacing w:val="0"/>
          <w:sz w:val="30"/>
          <w:szCs w:val="30"/>
          <w:highlight w:val="none"/>
        </w:rPr>
      </w:pPr>
      <w:bookmarkStart w:id="41" w:name="_Toc304971879"/>
      <w:bookmarkStart w:id="42" w:name="_Toc302307986"/>
      <w:bookmarkStart w:id="43" w:name="_Toc304293321"/>
      <w:bookmarkStart w:id="44" w:name="_Toc477951936"/>
      <w:bookmarkStart w:id="45" w:name="_Toc5921"/>
      <w:r>
        <w:rPr>
          <w:rFonts w:eastAsia="宋体"/>
          <w:caps w:val="0"/>
          <w:smallCaps w:val="0"/>
          <w:color w:val="auto"/>
          <w:spacing w:val="0"/>
          <w:sz w:val="30"/>
          <w:szCs w:val="30"/>
          <w:highlight w:val="none"/>
        </w:rPr>
        <w:t>2.5.1地表水环境</w:t>
      </w:r>
      <w:bookmarkEnd w:id="41"/>
      <w:bookmarkEnd w:id="42"/>
      <w:bookmarkEnd w:id="43"/>
      <w:r>
        <w:rPr>
          <w:rFonts w:eastAsia="宋体"/>
          <w:caps w:val="0"/>
          <w:smallCaps w:val="0"/>
          <w:color w:val="auto"/>
          <w:spacing w:val="0"/>
          <w:sz w:val="30"/>
          <w:szCs w:val="30"/>
          <w:highlight w:val="none"/>
        </w:rPr>
        <w:t>评价等级和范围</w:t>
      </w:r>
      <w:bookmarkEnd w:id="44"/>
      <w:bookmarkEnd w:id="45"/>
    </w:p>
    <w:p w14:paraId="4F8F43AA">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环境影响评价技术导则—地面水环境》（HJ2.3-2018），污水属水污染影响型建设项目，本项目不含镉污水经处理后排入园区管网经园区污水处理厂处理后排放，含镉污水处理后回用于工序不排放，污水排放为间接排放，故确定本项目地表水环境影响评价等级为三级B。</w:t>
      </w:r>
    </w:p>
    <w:p w14:paraId="2A0B2622">
      <w:pPr>
        <w:widowControl w:val="0"/>
        <w:wordWrap w:val="0"/>
        <w:topLinePunct/>
        <w:adjustRightInd w:val="0"/>
        <w:snapToGrid w:val="0"/>
        <w:jc w:val="center"/>
        <w:textAlignment w:val="baseline"/>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snapToGrid w:val="0"/>
          <w:color w:val="auto"/>
          <w:spacing w:val="0"/>
          <w:kern w:val="0"/>
          <w:szCs w:val="24"/>
          <w:highlight w:val="none"/>
          <w:lang w:bidi="ar"/>
        </w:rPr>
        <w:t>表2.5-1水污染型建设项目评价等级判定</w:t>
      </w:r>
    </w:p>
    <w:p w14:paraId="780BCD63">
      <w:pPr>
        <w:widowControl w:val="0"/>
        <w:wordWrap w:val="0"/>
        <w:topLinePunct/>
        <w:adjustRightInd w:val="0"/>
        <w:snapToGrid w:val="0"/>
        <w:spacing w:line="53" w:lineRule="exact"/>
        <w:textAlignment w:val="baseline"/>
        <w:rPr>
          <w:rFonts w:ascii="Times New Roman" w:hAnsi="Times New Roman" w:eastAsia="宋体" w:cs="Times New Roman"/>
          <w:caps w:val="0"/>
          <w:smallCaps w:val="0"/>
          <w:color w:val="auto"/>
          <w:spacing w:val="0"/>
          <w:highlight w:val="none"/>
        </w:rPr>
      </w:pPr>
    </w:p>
    <w:tbl>
      <w:tblPr>
        <w:tblStyle w:val="176"/>
        <w:tblW w:w="9004"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Layout w:type="fixed"/>
        <w:tblCellMar>
          <w:top w:w="0" w:type="dxa"/>
          <w:left w:w="0" w:type="dxa"/>
          <w:bottom w:w="0" w:type="dxa"/>
          <w:right w:w="0" w:type="dxa"/>
        </w:tblCellMar>
      </w:tblPr>
      <w:tblGrid>
        <w:gridCol w:w="2547"/>
        <w:gridCol w:w="2779"/>
        <w:gridCol w:w="3678"/>
      </w:tblGrid>
      <w:tr w14:paraId="4321F9FA">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20" w:hRule="atLeast"/>
          <w:jc w:val="center"/>
        </w:trPr>
        <w:tc>
          <w:tcPr>
            <w:tcW w:w="2547" w:type="dxa"/>
            <w:vMerge w:val="restart"/>
            <w:tcBorders>
              <w:top w:val="single" w:color="auto" w:sz="8" w:space="0"/>
              <w:tl2br w:val="nil"/>
              <w:tr2bl w:val="nil"/>
            </w:tcBorders>
            <w:vAlign w:val="center"/>
          </w:tcPr>
          <w:p w14:paraId="36FD52BD">
            <w:pPr>
              <w:pStyle w:val="195"/>
              <w:widowControl w:val="0"/>
              <w:wordWrap w:val="0"/>
              <w:topLinePunct/>
              <w:adjustRightInd w:val="0"/>
              <w:snapToGrid w:val="0"/>
              <w:ind w:left="859"/>
              <w:textAlignment w:val="baseline"/>
              <w:rPr>
                <w:rFonts w:ascii="Times New Roman" w:hAnsi="Times New Roman" w:cs="Times New Roman"/>
                <w:caps w:val="0"/>
                <w:smallCaps w:val="0"/>
                <w:color w:val="auto"/>
                <w:spacing w:val="0"/>
                <w:highlight w:val="none"/>
              </w:rPr>
            </w:pPr>
            <w:r>
              <w:rPr>
                <w:rFonts w:ascii="Times New Roman" w:hAnsi="Times New Roman" w:cs="Times New Roman"/>
                <w:b/>
                <w:bCs/>
                <w:caps w:val="0"/>
                <w:smallCaps w:val="0"/>
                <w:color w:val="auto"/>
                <w:spacing w:val="0"/>
                <w:highlight w:val="none"/>
              </w:rPr>
              <w:t>评价等级</w:t>
            </w:r>
          </w:p>
        </w:tc>
        <w:tc>
          <w:tcPr>
            <w:tcW w:w="6457" w:type="dxa"/>
            <w:gridSpan w:val="2"/>
            <w:tcBorders>
              <w:top w:val="single" w:color="auto" w:sz="8" w:space="0"/>
              <w:tl2br w:val="nil"/>
              <w:tr2bl w:val="nil"/>
            </w:tcBorders>
            <w:vAlign w:val="center"/>
          </w:tcPr>
          <w:p w14:paraId="1C945EB4">
            <w:pPr>
              <w:pStyle w:val="195"/>
              <w:widowControl w:val="0"/>
              <w:wordWrap w:val="0"/>
              <w:topLinePunct/>
              <w:adjustRightInd w:val="0"/>
              <w:snapToGrid w:val="0"/>
              <w:ind w:left="2811"/>
              <w:textAlignment w:val="baseline"/>
              <w:rPr>
                <w:rFonts w:ascii="Times New Roman" w:hAnsi="Times New Roman" w:cs="Times New Roman"/>
                <w:caps w:val="0"/>
                <w:smallCaps w:val="0"/>
                <w:color w:val="auto"/>
                <w:spacing w:val="0"/>
                <w:highlight w:val="none"/>
              </w:rPr>
            </w:pPr>
            <w:r>
              <w:rPr>
                <w:rFonts w:ascii="Times New Roman" w:hAnsi="Times New Roman" w:cs="Times New Roman"/>
                <w:b/>
                <w:bCs/>
                <w:caps w:val="0"/>
                <w:smallCaps w:val="0"/>
                <w:color w:val="auto"/>
                <w:spacing w:val="0"/>
                <w:highlight w:val="none"/>
              </w:rPr>
              <w:t>判定依据</w:t>
            </w:r>
          </w:p>
        </w:tc>
      </w:tr>
      <w:tr w14:paraId="0C8858CC">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639" w:hRule="atLeast"/>
          <w:jc w:val="center"/>
        </w:trPr>
        <w:tc>
          <w:tcPr>
            <w:tcW w:w="2547" w:type="dxa"/>
            <w:vMerge w:val="continue"/>
            <w:tcBorders>
              <w:bottom w:val="single" w:color="auto" w:sz="8" w:space="0"/>
              <w:tl2br w:val="nil"/>
              <w:tr2bl w:val="nil"/>
            </w:tcBorders>
            <w:vAlign w:val="center"/>
          </w:tcPr>
          <w:p w14:paraId="1AC3796B">
            <w:pPr>
              <w:widowControl w:val="0"/>
              <w:wordWrap w:val="0"/>
              <w:topLinePunct/>
              <w:adjustRightInd w:val="0"/>
              <w:snapToGrid w:val="0"/>
              <w:textAlignment w:val="baseline"/>
              <w:rPr>
                <w:rFonts w:ascii="Times New Roman" w:hAnsi="Times New Roman" w:eastAsia="宋体" w:cs="Times New Roman"/>
                <w:caps w:val="0"/>
                <w:smallCaps w:val="0"/>
                <w:color w:val="auto"/>
                <w:spacing w:val="0"/>
                <w:sz w:val="21"/>
                <w:highlight w:val="none"/>
                <w:lang w:eastAsia="en-US"/>
              </w:rPr>
            </w:pPr>
          </w:p>
        </w:tc>
        <w:tc>
          <w:tcPr>
            <w:tcW w:w="2779" w:type="dxa"/>
            <w:tcBorders>
              <w:bottom w:val="single" w:color="auto" w:sz="8" w:space="0"/>
              <w:tl2br w:val="nil"/>
              <w:tr2bl w:val="nil"/>
            </w:tcBorders>
            <w:vAlign w:val="center"/>
          </w:tcPr>
          <w:p w14:paraId="68BC2B11">
            <w:pPr>
              <w:pStyle w:val="195"/>
              <w:widowControl w:val="0"/>
              <w:wordWrap w:val="0"/>
              <w:topLinePunct/>
              <w:adjustRightInd w:val="0"/>
              <w:snapToGrid w:val="0"/>
              <w:ind w:left="972"/>
              <w:textAlignment w:val="baseline"/>
              <w:rPr>
                <w:rFonts w:ascii="Times New Roman" w:hAnsi="Times New Roman" w:cs="Times New Roman"/>
                <w:caps w:val="0"/>
                <w:smallCaps w:val="0"/>
                <w:color w:val="auto"/>
                <w:spacing w:val="0"/>
                <w:highlight w:val="none"/>
              </w:rPr>
            </w:pPr>
            <w:r>
              <w:rPr>
                <w:rFonts w:ascii="Times New Roman" w:hAnsi="Times New Roman" w:cs="Times New Roman"/>
                <w:b/>
                <w:bCs/>
                <w:caps w:val="0"/>
                <w:smallCaps w:val="0"/>
                <w:color w:val="auto"/>
                <w:spacing w:val="0"/>
                <w:highlight w:val="none"/>
              </w:rPr>
              <w:t>排放方式</w:t>
            </w:r>
          </w:p>
        </w:tc>
        <w:tc>
          <w:tcPr>
            <w:tcW w:w="3678" w:type="dxa"/>
            <w:tcBorders>
              <w:bottom w:val="single" w:color="auto" w:sz="8" w:space="0"/>
              <w:tl2br w:val="nil"/>
              <w:tr2bl w:val="nil"/>
            </w:tcBorders>
            <w:vAlign w:val="center"/>
          </w:tcPr>
          <w:p w14:paraId="7A9C0E87">
            <w:pPr>
              <w:pStyle w:val="195"/>
              <w:widowControl w:val="0"/>
              <w:wordWrap w:val="0"/>
              <w:topLinePunct/>
              <w:adjustRightInd w:val="0"/>
              <w:snapToGrid w:val="0"/>
              <w:ind w:left="672"/>
              <w:textAlignment w:val="baseline"/>
              <w:rPr>
                <w:rFonts w:ascii="Times New Roman" w:hAnsi="Times New Roman" w:cs="Times New Roman"/>
                <w:caps w:val="0"/>
                <w:smallCaps w:val="0"/>
                <w:color w:val="auto"/>
                <w:spacing w:val="0"/>
                <w:highlight w:val="none"/>
                <w:lang w:eastAsia="zh-CN"/>
              </w:rPr>
            </w:pPr>
            <w:r>
              <w:rPr>
                <w:rFonts w:ascii="Times New Roman" w:hAnsi="Times New Roman" w:cs="Times New Roman"/>
                <w:b/>
                <w:bCs/>
                <w:caps w:val="0"/>
                <w:smallCaps w:val="0"/>
                <w:color w:val="auto"/>
                <w:spacing w:val="0"/>
                <w:highlight w:val="none"/>
                <w:lang w:eastAsia="zh-CN"/>
              </w:rPr>
              <w:t>废水排放量Q/（m</w:t>
            </w:r>
            <w:r>
              <w:rPr>
                <w:rFonts w:ascii="Times New Roman" w:hAnsi="Times New Roman" w:cs="Times New Roman"/>
                <w:b/>
                <w:bCs/>
                <w:caps w:val="0"/>
                <w:smallCaps w:val="0"/>
                <w:color w:val="auto"/>
                <w:spacing w:val="0"/>
                <w:highlight w:val="none"/>
                <w:vertAlign w:val="superscript"/>
                <w:lang w:eastAsia="zh-CN"/>
              </w:rPr>
              <w:t>3</w:t>
            </w:r>
            <w:r>
              <w:rPr>
                <w:rFonts w:ascii="Times New Roman" w:hAnsi="Times New Roman" w:cs="Times New Roman"/>
                <w:b/>
                <w:bCs/>
                <w:caps w:val="0"/>
                <w:smallCaps w:val="0"/>
                <w:color w:val="auto"/>
                <w:spacing w:val="0"/>
                <w:highlight w:val="none"/>
                <w:lang w:eastAsia="zh-CN"/>
              </w:rPr>
              <w:t>/d）；</w:t>
            </w:r>
          </w:p>
          <w:p w14:paraId="65C48231">
            <w:pPr>
              <w:pStyle w:val="195"/>
              <w:widowControl w:val="0"/>
              <w:wordWrap w:val="0"/>
              <w:topLinePunct/>
              <w:adjustRightInd w:val="0"/>
              <w:snapToGrid w:val="0"/>
              <w:ind w:left="421"/>
              <w:textAlignment w:val="baseline"/>
              <w:rPr>
                <w:rFonts w:ascii="Times New Roman" w:hAnsi="Times New Roman" w:cs="Times New Roman"/>
                <w:caps w:val="0"/>
                <w:smallCaps w:val="0"/>
                <w:color w:val="auto"/>
                <w:spacing w:val="0"/>
                <w:highlight w:val="none"/>
                <w:lang w:eastAsia="zh-CN"/>
              </w:rPr>
            </w:pPr>
            <w:r>
              <w:rPr>
                <w:rFonts w:ascii="Times New Roman" w:hAnsi="Times New Roman" w:cs="Times New Roman"/>
                <w:b/>
                <w:bCs/>
                <w:caps w:val="0"/>
                <w:smallCaps w:val="0"/>
                <w:color w:val="auto"/>
                <w:spacing w:val="0"/>
                <w:highlight w:val="none"/>
                <w:lang w:eastAsia="zh-CN"/>
              </w:rPr>
              <w:t>水污染物当量数W/（无量纲）</w:t>
            </w:r>
          </w:p>
        </w:tc>
      </w:tr>
      <w:tr w14:paraId="46A2DD4D">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18" w:hRule="atLeast"/>
          <w:jc w:val="center"/>
        </w:trPr>
        <w:tc>
          <w:tcPr>
            <w:tcW w:w="2547" w:type="dxa"/>
            <w:tcBorders>
              <w:top w:val="single" w:color="auto" w:sz="8" w:space="0"/>
              <w:tl2br w:val="nil"/>
              <w:tr2bl w:val="nil"/>
            </w:tcBorders>
            <w:vAlign w:val="center"/>
          </w:tcPr>
          <w:p w14:paraId="63AF11DC">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一级</w:t>
            </w:r>
          </w:p>
        </w:tc>
        <w:tc>
          <w:tcPr>
            <w:tcW w:w="2779" w:type="dxa"/>
            <w:tcBorders>
              <w:top w:val="single" w:color="auto" w:sz="8" w:space="0"/>
              <w:tl2br w:val="nil"/>
              <w:tr2bl w:val="nil"/>
            </w:tcBorders>
            <w:vAlign w:val="center"/>
          </w:tcPr>
          <w:p w14:paraId="2EECBC5A">
            <w:pPr>
              <w:pStyle w:val="195"/>
              <w:widowControl w:val="0"/>
              <w:wordWrap w:val="0"/>
              <w:topLinePunct/>
              <w:adjustRightInd w:val="0"/>
              <w:snapToGrid w:val="0"/>
              <w:ind w:left="976"/>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直接排放</w:t>
            </w:r>
          </w:p>
        </w:tc>
        <w:tc>
          <w:tcPr>
            <w:tcW w:w="3678" w:type="dxa"/>
            <w:tcBorders>
              <w:top w:val="single" w:color="auto" w:sz="8" w:space="0"/>
              <w:tl2br w:val="nil"/>
              <w:tr2bl w:val="nil"/>
            </w:tcBorders>
            <w:vAlign w:val="center"/>
          </w:tcPr>
          <w:p w14:paraId="1A4722C2">
            <w:pPr>
              <w:pStyle w:val="195"/>
              <w:widowControl w:val="0"/>
              <w:wordWrap w:val="0"/>
              <w:topLinePunct/>
              <w:adjustRightInd w:val="0"/>
              <w:snapToGrid w:val="0"/>
              <w:ind w:left="838"/>
              <w:textAlignment w:val="baseline"/>
              <w:rPr>
                <w:rFonts w:ascii="Times New Roman" w:hAnsi="Times New Roman" w:cs="Times New Roman"/>
                <w:caps w:val="0"/>
                <w:smallCaps w:val="0"/>
                <w:color w:val="auto"/>
                <w:spacing w:val="0"/>
                <w:highlight w:val="none"/>
              </w:rPr>
            </w:pPr>
            <w:r>
              <w:rPr>
                <w:rFonts w:ascii="Times New Roman" w:hAnsi="Times New Roman" w:cs="Times New Roman"/>
                <w:i/>
                <w:iCs/>
                <w:caps w:val="0"/>
                <w:smallCaps w:val="0"/>
                <w:color w:val="auto"/>
                <w:spacing w:val="0"/>
                <w:highlight w:val="none"/>
              </w:rPr>
              <w:t>Q</w:t>
            </w:r>
            <w:r>
              <w:rPr>
                <w:rFonts w:ascii="Times New Roman" w:hAnsi="Times New Roman" w:cs="Times New Roman"/>
                <w:caps w:val="0"/>
                <w:smallCaps w:val="0"/>
                <w:color w:val="auto"/>
                <w:spacing w:val="0"/>
                <w:highlight w:val="none"/>
              </w:rPr>
              <w:t>≥20000或</w:t>
            </w:r>
            <w:r>
              <w:rPr>
                <w:rFonts w:ascii="Times New Roman" w:hAnsi="Times New Roman" w:cs="Times New Roman"/>
                <w:i/>
                <w:iCs/>
                <w:caps w:val="0"/>
                <w:smallCaps w:val="0"/>
                <w:color w:val="auto"/>
                <w:spacing w:val="0"/>
                <w:highlight w:val="none"/>
              </w:rPr>
              <w:t>W</w:t>
            </w:r>
            <w:r>
              <w:rPr>
                <w:rFonts w:ascii="Times New Roman" w:hAnsi="Times New Roman" w:cs="Times New Roman"/>
                <w:caps w:val="0"/>
                <w:smallCaps w:val="0"/>
                <w:color w:val="auto"/>
                <w:spacing w:val="0"/>
                <w:highlight w:val="none"/>
              </w:rPr>
              <w:t>≥600000</w:t>
            </w:r>
          </w:p>
        </w:tc>
      </w:tr>
      <w:tr w14:paraId="61754A0E">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16" w:hRule="atLeast"/>
          <w:jc w:val="center"/>
        </w:trPr>
        <w:tc>
          <w:tcPr>
            <w:tcW w:w="2547" w:type="dxa"/>
            <w:tcBorders>
              <w:tl2br w:val="nil"/>
              <w:tr2bl w:val="nil"/>
            </w:tcBorders>
            <w:vAlign w:val="center"/>
          </w:tcPr>
          <w:p w14:paraId="41025A6D">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二级</w:t>
            </w:r>
          </w:p>
        </w:tc>
        <w:tc>
          <w:tcPr>
            <w:tcW w:w="2779" w:type="dxa"/>
            <w:tcBorders>
              <w:tl2br w:val="nil"/>
              <w:tr2bl w:val="nil"/>
            </w:tcBorders>
            <w:vAlign w:val="center"/>
          </w:tcPr>
          <w:p w14:paraId="5DAB14D1">
            <w:pPr>
              <w:pStyle w:val="195"/>
              <w:widowControl w:val="0"/>
              <w:wordWrap w:val="0"/>
              <w:topLinePunct/>
              <w:adjustRightInd w:val="0"/>
              <w:snapToGrid w:val="0"/>
              <w:ind w:left="976"/>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直接排放</w:t>
            </w:r>
          </w:p>
        </w:tc>
        <w:tc>
          <w:tcPr>
            <w:tcW w:w="3678" w:type="dxa"/>
            <w:tcBorders>
              <w:tl2br w:val="nil"/>
              <w:tr2bl w:val="nil"/>
            </w:tcBorders>
            <w:vAlign w:val="center"/>
          </w:tcPr>
          <w:p w14:paraId="1C810E63">
            <w:pPr>
              <w:pStyle w:val="195"/>
              <w:widowControl w:val="0"/>
              <w:wordWrap w:val="0"/>
              <w:topLinePunct/>
              <w:adjustRightInd w:val="0"/>
              <w:snapToGrid w:val="0"/>
              <w:ind w:left="1634"/>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其他</w:t>
            </w:r>
          </w:p>
        </w:tc>
      </w:tr>
      <w:tr w14:paraId="588BE83A">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16" w:hRule="atLeast"/>
          <w:jc w:val="center"/>
        </w:trPr>
        <w:tc>
          <w:tcPr>
            <w:tcW w:w="2547" w:type="dxa"/>
            <w:tcBorders>
              <w:tl2br w:val="nil"/>
              <w:tr2bl w:val="nil"/>
            </w:tcBorders>
            <w:vAlign w:val="center"/>
          </w:tcPr>
          <w:p w14:paraId="45E884A6">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三级A</w:t>
            </w:r>
          </w:p>
        </w:tc>
        <w:tc>
          <w:tcPr>
            <w:tcW w:w="2779" w:type="dxa"/>
            <w:tcBorders>
              <w:tl2br w:val="nil"/>
              <w:tr2bl w:val="nil"/>
            </w:tcBorders>
            <w:vAlign w:val="center"/>
          </w:tcPr>
          <w:p w14:paraId="638520EF">
            <w:pPr>
              <w:pStyle w:val="195"/>
              <w:widowControl w:val="0"/>
              <w:wordWrap w:val="0"/>
              <w:topLinePunct/>
              <w:adjustRightInd w:val="0"/>
              <w:snapToGrid w:val="0"/>
              <w:ind w:left="976"/>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直接排放</w:t>
            </w:r>
          </w:p>
        </w:tc>
        <w:tc>
          <w:tcPr>
            <w:tcW w:w="3678" w:type="dxa"/>
            <w:tcBorders>
              <w:tl2br w:val="nil"/>
              <w:tr2bl w:val="nil"/>
            </w:tcBorders>
            <w:vAlign w:val="center"/>
          </w:tcPr>
          <w:p w14:paraId="123C2749">
            <w:pPr>
              <w:pStyle w:val="195"/>
              <w:widowControl w:val="0"/>
              <w:wordWrap w:val="0"/>
              <w:topLinePunct/>
              <w:adjustRightInd w:val="0"/>
              <w:snapToGrid w:val="0"/>
              <w:ind w:left="954"/>
              <w:textAlignment w:val="baseline"/>
              <w:rPr>
                <w:rFonts w:ascii="Times New Roman" w:hAnsi="Times New Roman" w:cs="Times New Roman"/>
                <w:caps w:val="0"/>
                <w:smallCaps w:val="0"/>
                <w:color w:val="auto"/>
                <w:spacing w:val="0"/>
                <w:highlight w:val="none"/>
              </w:rPr>
            </w:pPr>
            <w:r>
              <w:rPr>
                <w:rFonts w:ascii="Times New Roman" w:hAnsi="Times New Roman" w:cs="Times New Roman"/>
                <w:i/>
                <w:iCs/>
                <w:caps w:val="0"/>
                <w:smallCaps w:val="0"/>
                <w:color w:val="auto"/>
                <w:spacing w:val="0"/>
                <w:highlight w:val="none"/>
              </w:rPr>
              <w:t>Q</w:t>
            </w:r>
            <w:r>
              <w:rPr>
                <w:rFonts w:ascii="Times New Roman" w:hAnsi="Times New Roman" w:cs="Times New Roman"/>
                <w:caps w:val="0"/>
                <w:smallCaps w:val="0"/>
                <w:color w:val="auto"/>
                <w:spacing w:val="0"/>
                <w:highlight w:val="none"/>
              </w:rPr>
              <w:t>＜200且</w:t>
            </w:r>
            <w:r>
              <w:rPr>
                <w:rFonts w:ascii="Times New Roman" w:hAnsi="Times New Roman" w:cs="Times New Roman"/>
                <w:i/>
                <w:iCs/>
                <w:caps w:val="0"/>
                <w:smallCaps w:val="0"/>
                <w:color w:val="auto"/>
                <w:spacing w:val="0"/>
                <w:highlight w:val="none"/>
              </w:rPr>
              <w:t>W</w:t>
            </w:r>
            <w:r>
              <w:rPr>
                <w:rFonts w:ascii="Times New Roman" w:hAnsi="Times New Roman" w:cs="Times New Roman"/>
                <w:caps w:val="0"/>
                <w:smallCaps w:val="0"/>
                <w:color w:val="auto"/>
                <w:spacing w:val="0"/>
                <w:highlight w:val="none"/>
              </w:rPr>
              <w:t>＜6000</w:t>
            </w:r>
          </w:p>
        </w:tc>
      </w:tr>
      <w:tr w14:paraId="0ADA5916">
        <w:tblPrEx>
          <w:tblBorders>
            <w:top w:val="single" w:color="000000" w:sz="12" w:space="0"/>
            <w:left w:val="none" w:color="auto" w:sz="0" w:space="0"/>
            <w:bottom w:val="single" w:color="000000" w:sz="12" w:space="0"/>
            <w:right w:val="none" w:color="auto" w:sz="0" w:space="0"/>
            <w:insideH w:val="single" w:color="000000" w:sz="6" w:space="0"/>
            <w:insideV w:val="single" w:color="000000" w:sz="2" w:space="0"/>
          </w:tblBorders>
          <w:tblCellMar>
            <w:top w:w="0" w:type="dxa"/>
            <w:left w:w="0" w:type="dxa"/>
            <w:bottom w:w="0" w:type="dxa"/>
            <w:right w:w="0" w:type="dxa"/>
          </w:tblCellMar>
        </w:tblPrEx>
        <w:trPr>
          <w:trHeight w:val="320" w:hRule="atLeast"/>
          <w:jc w:val="center"/>
        </w:trPr>
        <w:tc>
          <w:tcPr>
            <w:tcW w:w="2547" w:type="dxa"/>
            <w:tcBorders>
              <w:bottom w:val="single" w:color="auto" w:sz="8" w:space="0"/>
              <w:tl2br w:val="nil"/>
              <w:tr2bl w:val="nil"/>
            </w:tcBorders>
            <w:vAlign w:val="center"/>
          </w:tcPr>
          <w:p w14:paraId="2EB92863">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三级B</w:t>
            </w:r>
          </w:p>
        </w:tc>
        <w:tc>
          <w:tcPr>
            <w:tcW w:w="2779" w:type="dxa"/>
            <w:tcBorders>
              <w:bottom w:val="single" w:color="auto" w:sz="8" w:space="0"/>
              <w:tl2br w:val="nil"/>
              <w:tr2bl w:val="nil"/>
            </w:tcBorders>
            <w:vAlign w:val="center"/>
          </w:tcPr>
          <w:p w14:paraId="7A37CC24">
            <w:pPr>
              <w:pStyle w:val="195"/>
              <w:widowControl w:val="0"/>
              <w:wordWrap w:val="0"/>
              <w:topLinePunct/>
              <w:adjustRightInd w:val="0"/>
              <w:snapToGrid w:val="0"/>
              <w:ind w:left="991"/>
              <w:textAlignment w:val="baseline"/>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间接排放</w:t>
            </w:r>
          </w:p>
        </w:tc>
        <w:tc>
          <w:tcPr>
            <w:tcW w:w="3678" w:type="dxa"/>
            <w:tcBorders>
              <w:bottom w:val="single" w:color="auto" w:sz="8" w:space="0"/>
              <w:tl2br w:val="nil"/>
              <w:tr2bl w:val="nil"/>
            </w:tcBorders>
            <w:vAlign w:val="center"/>
          </w:tcPr>
          <w:p w14:paraId="60E1644C">
            <w:pPr>
              <w:widowControl w:val="0"/>
              <w:wordWrap w:val="0"/>
              <w:topLinePunct/>
              <w:adjustRightInd w:val="0"/>
              <w:snapToGrid w:val="0"/>
              <w:ind w:left="1806"/>
              <w:textAlignment w:val="baseline"/>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b/>
                <w:bCs/>
                <w:caps w:val="0"/>
                <w:smallCaps w:val="0"/>
                <w:color w:val="auto"/>
                <w:spacing w:val="0"/>
                <w:position w:val="-2"/>
                <w:sz w:val="21"/>
                <w:highlight w:val="none"/>
                <w:lang w:eastAsia="en-US"/>
              </w:rPr>
              <w:t>-</w:t>
            </w:r>
          </w:p>
        </w:tc>
      </w:tr>
    </w:tbl>
    <w:p w14:paraId="604C4A5B">
      <w:pPr>
        <w:pStyle w:val="5"/>
        <w:widowControl w:val="0"/>
        <w:rPr>
          <w:rFonts w:eastAsia="宋体"/>
          <w:caps w:val="0"/>
          <w:smallCaps w:val="0"/>
          <w:color w:val="auto"/>
          <w:spacing w:val="0"/>
          <w:sz w:val="30"/>
          <w:szCs w:val="30"/>
          <w:highlight w:val="none"/>
        </w:rPr>
      </w:pPr>
      <w:bookmarkStart w:id="46" w:name="_Toc477951937"/>
      <w:bookmarkStart w:id="47" w:name="_Toc19376"/>
      <w:r>
        <w:rPr>
          <w:rFonts w:eastAsia="宋体"/>
          <w:caps w:val="0"/>
          <w:smallCaps w:val="0"/>
          <w:color w:val="auto"/>
          <w:spacing w:val="0"/>
          <w:sz w:val="30"/>
          <w:szCs w:val="30"/>
          <w:highlight w:val="none"/>
        </w:rPr>
        <w:t>2.5.2环境空气评价等级和范围</w:t>
      </w:r>
      <w:bookmarkEnd w:id="46"/>
      <w:bookmarkEnd w:id="47"/>
    </w:p>
    <w:p w14:paraId="5BDA2E7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根据《环境影响评价技术导则——大气环境》（HJ2.2-2018）的要求，建设项目大气环境影响评价工作等级的确定，要结合项目的初步工程分析结果，</w:t>
      </w:r>
      <w:r>
        <w:rPr>
          <w:rFonts w:eastAsia="宋体"/>
          <w:iCs/>
          <w:caps w:val="0"/>
          <w:smallCaps w:val="0"/>
          <w:color w:val="auto"/>
          <w:spacing w:val="0"/>
          <w:highlight w:val="none"/>
        </w:rPr>
        <w:t>选择</w:t>
      </w:r>
      <w:r>
        <w:rPr>
          <w:rFonts w:eastAsia="宋体"/>
          <w:caps w:val="0"/>
          <w:smallCaps w:val="0"/>
          <w:color w:val="auto"/>
          <w:spacing w:val="0"/>
          <w:highlight w:val="none"/>
        </w:rPr>
        <w:t>镉及其化合物、颗粒物、氮氧化物、氯化氢以及非甲烷总烃</w:t>
      </w:r>
      <w:r>
        <w:rPr>
          <w:rFonts w:eastAsia="宋体"/>
          <w:iCs/>
          <w:caps w:val="0"/>
          <w:smallCaps w:val="0"/>
          <w:color w:val="auto"/>
          <w:spacing w:val="0"/>
          <w:highlight w:val="none"/>
        </w:rPr>
        <w:t>主要污染物，</w:t>
      </w:r>
      <w:r>
        <w:rPr>
          <w:rFonts w:eastAsia="宋体"/>
          <w:caps w:val="0"/>
          <w:smallCaps w:val="0"/>
          <w:color w:val="auto"/>
          <w:spacing w:val="0"/>
          <w:highlight w:val="none"/>
        </w:rPr>
        <w:t>选择正常排放的主要污染物及排放参数，采用估算模式（AERSCREEN）计算各污染物的最大影响程度和最远影响范围，并计算出污染物的最大地面浓度占标率P，然后按评价工作分级判据进行分级。</w:t>
      </w:r>
    </w:p>
    <w:p w14:paraId="59E78DEF">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最大地面浓度占标率P的计算公式如下：</w:t>
      </w:r>
    </w:p>
    <w:p w14:paraId="1D743A17">
      <w:pPr>
        <w:widowControl w:val="0"/>
        <w:spacing w:line="360" w:lineRule="auto"/>
        <w:ind w:firstLine="3554" w:firstLineChars="1481"/>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position w:val="-30"/>
          <w:szCs w:val="24"/>
          <w:highlight w:val="none"/>
        </w:rPr>
        <w:object>
          <v:shape id="_x0000_i1025" o:spt="75" type="#_x0000_t75" style="height:36.3pt;width:79.5pt;" o:ole="t" filled="f" o:preferrelative="t" stroked="f" coordsize="21600,21600">
            <v:path/>
            <v:fill on="f" focussize="0,0"/>
            <v:stroke on="f" joinstyle="miter"/>
            <v:imagedata r:id="rId25" o:title=""/>
            <o:lock v:ext="edit" aspectratio="t"/>
            <w10:wrap type="none"/>
            <w10:anchorlock/>
          </v:shape>
          <o:OLEObject Type="Embed" ProgID="Equation.3" ShapeID="_x0000_i1025" DrawAspect="Content" ObjectID="_1468075725" r:id="rId24">
            <o:LockedField>false</o:LockedField>
          </o:OLEObject>
        </w:object>
      </w:r>
    </w:p>
    <w:p w14:paraId="3A4BE47B">
      <w:pPr>
        <w:pStyle w:val="65"/>
        <w:widowControl w:val="0"/>
        <w:ind w:firstLine="480"/>
        <w:rPr>
          <w:rFonts w:eastAsia="宋体"/>
          <w:caps w:val="0"/>
          <w:smallCaps w:val="0"/>
          <w:color w:val="auto"/>
          <w:spacing w:val="0"/>
          <w:highlight w:val="none"/>
        </w:rPr>
      </w:pPr>
      <w:r>
        <w:rPr>
          <w:rFonts w:eastAsia="宋体"/>
          <w:caps w:val="0"/>
          <w:smallCaps w:val="0"/>
          <w:color w:val="auto"/>
          <w:spacing w:val="0"/>
          <w:kern w:val="0"/>
          <w:highlight w:val="none"/>
        </w:rPr>
        <w:t>式中：</w:t>
      </w:r>
      <w:r>
        <w:rPr>
          <w:rFonts w:eastAsia="宋体"/>
          <w:caps w:val="0"/>
          <w:smallCaps w:val="0"/>
          <w:color w:val="auto"/>
          <w:spacing w:val="0"/>
          <w:highlight w:val="none"/>
        </w:rPr>
        <w:t>P</w:t>
      </w:r>
      <w:r>
        <w:rPr>
          <w:rFonts w:eastAsia="宋体"/>
          <w:caps w:val="0"/>
          <w:smallCaps w:val="0"/>
          <w:color w:val="auto"/>
          <w:spacing w:val="0"/>
          <w:highlight w:val="none"/>
          <w:vertAlign w:val="subscript"/>
        </w:rPr>
        <w:t>i</w:t>
      </w:r>
      <w:r>
        <w:rPr>
          <w:rFonts w:eastAsia="宋体"/>
          <w:caps w:val="0"/>
          <w:smallCaps w:val="0"/>
          <w:color w:val="auto"/>
          <w:spacing w:val="0"/>
          <w:highlight w:val="none"/>
        </w:rPr>
        <w:t>——第i个污染物的最大地面浓度占标率，%；</w:t>
      </w:r>
    </w:p>
    <w:p w14:paraId="1E57F18F">
      <w:pPr>
        <w:pStyle w:val="65"/>
        <w:widowControl w:val="0"/>
        <w:ind w:firstLine="1200" w:firstLineChars="500"/>
        <w:jc w:val="both"/>
        <w:rPr>
          <w:rFonts w:eastAsia="宋体"/>
          <w:caps w:val="0"/>
          <w:smallCaps w:val="0"/>
          <w:color w:val="auto"/>
          <w:spacing w:val="0"/>
          <w:highlight w:val="none"/>
        </w:rPr>
      </w:pPr>
      <w:r>
        <w:rPr>
          <w:rFonts w:eastAsia="宋体"/>
          <w:caps w:val="0"/>
          <w:smallCaps w:val="0"/>
          <w:color w:val="auto"/>
          <w:spacing w:val="0"/>
          <w:highlight w:val="none"/>
        </w:rPr>
        <w:t>C</w:t>
      </w:r>
      <w:r>
        <w:rPr>
          <w:rFonts w:eastAsia="宋体"/>
          <w:caps w:val="0"/>
          <w:smallCaps w:val="0"/>
          <w:color w:val="auto"/>
          <w:spacing w:val="0"/>
          <w:highlight w:val="none"/>
          <w:vertAlign w:val="subscript"/>
        </w:rPr>
        <w:t>i</w:t>
      </w:r>
      <w:r>
        <w:rPr>
          <w:rFonts w:eastAsia="宋体"/>
          <w:caps w:val="0"/>
          <w:smallCaps w:val="0"/>
          <w:color w:val="auto"/>
          <w:spacing w:val="0"/>
          <w:highlight w:val="none"/>
        </w:rPr>
        <w:t>——采用估算模式计算出的第i个污染物的最大地面浓度，μg/m</w:t>
      </w:r>
      <w:r>
        <w:rPr>
          <w:rFonts w:eastAsia="宋体"/>
          <w:caps w:val="0"/>
          <w:smallCaps w:val="0"/>
          <w:color w:val="auto"/>
          <w:spacing w:val="0"/>
          <w:highlight w:val="none"/>
          <w:vertAlign w:val="superscript"/>
        </w:rPr>
        <w:t>3</w:t>
      </w:r>
      <w:r>
        <w:rPr>
          <w:rFonts w:eastAsia="宋体"/>
          <w:caps w:val="0"/>
          <w:smallCaps w:val="0"/>
          <w:color w:val="auto"/>
          <w:spacing w:val="0"/>
          <w:highlight w:val="none"/>
        </w:rPr>
        <w:t>；</w:t>
      </w:r>
    </w:p>
    <w:p w14:paraId="6A16F619">
      <w:pPr>
        <w:pStyle w:val="65"/>
        <w:widowControl w:val="0"/>
        <w:ind w:firstLine="1200" w:firstLineChars="500"/>
        <w:jc w:val="both"/>
        <w:rPr>
          <w:rFonts w:eastAsia="宋体"/>
          <w:caps w:val="0"/>
          <w:smallCaps w:val="0"/>
          <w:color w:val="auto"/>
          <w:spacing w:val="0"/>
          <w:highlight w:val="none"/>
        </w:rPr>
      </w:pPr>
      <w:r>
        <w:rPr>
          <w:rFonts w:eastAsia="宋体"/>
          <w:caps w:val="0"/>
          <w:smallCaps w:val="0"/>
          <w:color w:val="auto"/>
          <w:spacing w:val="0"/>
          <w:highlight w:val="none"/>
        </w:rPr>
        <w:t>C</w:t>
      </w:r>
      <w:r>
        <w:rPr>
          <w:rFonts w:eastAsia="宋体"/>
          <w:caps w:val="0"/>
          <w:smallCaps w:val="0"/>
          <w:color w:val="auto"/>
          <w:spacing w:val="0"/>
          <w:highlight w:val="none"/>
          <w:vertAlign w:val="subscript"/>
        </w:rPr>
        <w:t>0</w:t>
      </w:r>
      <w:r>
        <w:rPr>
          <w:rFonts w:eastAsia="宋体"/>
          <w:caps w:val="0"/>
          <w:smallCaps w:val="0"/>
          <w:color w:val="auto"/>
          <w:spacing w:val="0"/>
          <w:highlight w:val="none"/>
        </w:rPr>
        <w:t>i——第i个污染物的环境空气质量标准，μg/m</w:t>
      </w:r>
      <w:r>
        <w:rPr>
          <w:rFonts w:eastAsia="宋体"/>
          <w:caps w:val="0"/>
          <w:smallCaps w:val="0"/>
          <w:color w:val="auto"/>
          <w:spacing w:val="0"/>
          <w:highlight w:val="none"/>
          <w:vertAlign w:val="superscript"/>
        </w:rPr>
        <w:t>3</w:t>
      </w:r>
      <w:r>
        <w:rPr>
          <w:rFonts w:eastAsia="宋体"/>
          <w:caps w:val="0"/>
          <w:smallCaps w:val="0"/>
          <w:color w:val="auto"/>
          <w:spacing w:val="0"/>
          <w:highlight w:val="none"/>
        </w:rPr>
        <w:t>。一般选用GB3095中1h平均质量浓度的二级浓度限值，如项目位于一类环境空气功能区，应选择相应的一级浓度限值；对该标准中未包含的污染物，使用《环境影响评价技术导则——大气环境》（HJ2.2-2018）确定的各评价因子1h平均质量浓度限值。对仅有8h平均质量浓度限值、日平均质量浓度限值或年平均质量浓度限值的，可分别按2倍、3倍、6倍折算为1h平均质量浓度限值。</w:t>
      </w:r>
    </w:p>
    <w:p w14:paraId="1FAE25CF">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大气环境影响评价工作等级的判断依据见表2.5-2</w:t>
      </w:r>
    </w:p>
    <w:p w14:paraId="66862CC2">
      <w:pPr>
        <w:widowControl w:val="0"/>
        <w:spacing w:line="360" w:lineRule="auto"/>
        <w:ind w:firstLine="480" w:firstLineChars="200"/>
        <w:rPr>
          <w:rFonts w:ascii="Times New Roman" w:hAnsi="Times New Roman" w:eastAsia="宋体" w:cs="Times New Roman"/>
          <w:iCs/>
          <w:caps w:val="0"/>
          <w:smallCaps w:val="0"/>
          <w:color w:val="auto"/>
          <w:spacing w:val="0"/>
          <w:highlight w:val="none"/>
        </w:rPr>
      </w:pPr>
      <w:r>
        <w:rPr>
          <w:rFonts w:ascii="Times New Roman" w:hAnsi="Times New Roman" w:eastAsia="宋体" w:cs="Times New Roman"/>
          <w:iCs/>
          <w:caps w:val="0"/>
          <w:smallCaps w:val="0"/>
          <w:color w:val="auto"/>
          <w:spacing w:val="0"/>
          <w:highlight w:val="none"/>
        </w:rPr>
        <w:t>根据工程分析，本项目主要污染源污染物排放参数见表2.5-3。</w:t>
      </w:r>
    </w:p>
    <w:p w14:paraId="0D332178">
      <w:pPr>
        <w:pStyle w:val="96"/>
        <w:tabs>
          <w:tab w:val="left" w:pos="6033"/>
          <w:tab w:val="left" w:pos="6271"/>
        </w:tabs>
        <w:autoSpaceDE w:val="0"/>
        <w:autoSpaceDN w:val="0"/>
        <w:spacing w:line="480" w:lineRule="exact"/>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表2.5-2大气环境影响评价工作等级判断依据</w:t>
      </w:r>
    </w:p>
    <w:tbl>
      <w:tblPr>
        <w:tblStyle w:val="37"/>
        <w:tblW w:w="8801" w:type="dxa"/>
        <w:jc w:val="center"/>
        <w:tblBorders>
          <w:top w:val="single" w:color="auto" w:sz="2" w:space="0"/>
          <w:left w:val="none" w:color="auto" w:sz="0" w:space="0"/>
          <w:bottom w:val="single" w:color="auto" w:sz="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530"/>
        <w:gridCol w:w="6271"/>
      </w:tblGrid>
      <w:tr w14:paraId="110FAB58">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30" w:type="dxa"/>
            <w:tcBorders>
              <w:top w:val="single" w:color="auto" w:sz="8" w:space="0"/>
              <w:bottom w:val="single" w:color="auto" w:sz="8" w:space="0"/>
              <w:tl2br w:val="nil"/>
              <w:tr2bl w:val="nil"/>
            </w:tcBorders>
            <w:vAlign w:val="center"/>
          </w:tcPr>
          <w:p w14:paraId="1762CC86">
            <w:pPr>
              <w:pStyle w:val="66"/>
              <w:widowControl w:val="0"/>
              <w:spacing w:before="72" w:beforeLines="30" w:after="72" w:afterLines="30"/>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评价工作等级</w:t>
            </w:r>
          </w:p>
        </w:tc>
        <w:tc>
          <w:tcPr>
            <w:tcW w:w="6271" w:type="dxa"/>
            <w:tcBorders>
              <w:top w:val="single" w:color="auto" w:sz="8" w:space="0"/>
              <w:bottom w:val="single" w:color="auto" w:sz="8" w:space="0"/>
              <w:tl2br w:val="nil"/>
              <w:tr2bl w:val="nil"/>
            </w:tcBorders>
            <w:vAlign w:val="center"/>
          </w:tcPr>
          <w:p w14:paraId="66A54EED">
            <w:pPr>
              <w:pStyle w:val="66"/>
              <w:widowControl w:val="0"/>
              <w:spacing w:before="72" w:beforeLines="30" w:after="72" w:afterLines="30"/>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评价工作分级判据</w:t>
            </w:r>
          </w:p>
        </w:tc>
      </w:tr>
      <w:tr w14:paraId="063FFC09">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30" w:type="dxa"/>
            <w:tcBorders>
              <w:top w:val="single" w:color="auto" w:sz="8" w:space="0"/>
              <w:tl2br w:val="nil"/>
              <w:tr2bl w:val="nil"/>
            </w:tcBorders>
            <w:vAlign w:val="center"/>
          </w:tcPr>
          <w:p w14:paraId="41F373DD">
            <w:pPr>
              <w:pStyle w:val="66"/>
              <w:widowControl w:val="0"/>
              <w:spacing w:before="72" w:beforeLines="30" w:after="72" w:afterLines="3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一级</w:t>
            </w:r>
          </w:p>
        </w:tc>
        <w:tc>
          <w:tcPr>
            <w:tcW w:w="6271" w:type="dxa"/>
            <w:tcBorders>
              <w:top w:val="single" w:color="auto" w:sz="8" w:space="0"/>
              <w:tl2br w:val="nil"/>
              <w:tr2bl w:val="nil"/>
            </w:tcBorders>
            <w:vAlign w:val="center"/>
          </w:tcPr>
          <w:p w14:paraId="1A9BEFB9">
            <w:pPr>
              <w:pStyle w:val="66"/>
              <w:widowControl w:val="0"/>
              <w:spacing w:before="72" w:beforeLines="30" w:after="72" w:afterLines="30"/>
              <w:rPr>
                <w:rFonts w:ascii="Times New Roman" w:hAnsi="Times New Roman" w:eastAsia="宋体" w:cs="Times New Roman"/>
                <w:caps w:val="0"/>
                <w:smallCaps w:val="0"/>
                <w:color w:val="auto"/>
                <w:spacing w:val="0"/>
                <w:highlight w:val="none"/>
              </w:rPr>
            </w:pPr>
            <w:r>
              <w:rPr>
                <w:rFonts w:hint="default" w:ascii="Times New Roman" w:hAnsi="Times New Roman" w:eastAsia="宋体" w:cs="Times New Roman"/>
                <w:caps w:val="0"/>
                <w:smallCaps w:val="0"/>
                <w:color w:val="auto"/>
                <w:spacing w:val="0"/>
                <w:highlight w:val="none"/>
              </w:rPr>
              <w:t>P</w:t>
            </w:r>
            <w:r>
              <w:rPr>
                <w:rFonts w:hint="default" w:ascii="Times New Roman" w:hAnsi="Times New Roman" w:eastAsia="宋体" w:cs="Times New Roman"/>
                <w:caps w:val="0"/>
                <w:smallCaps w:val="0"/>
                <w:color w:val="auto"/>
                <w:spacing w:val="0"/>
                <w:highlight w:val="none"/>
                <w:vertAlign w:val="subscript"/>
              </w:rPr>
              <w:t>ma</w:t>
            </w:r>
            <w:r>
              <w:rPr>
                <w:rFonts w:hint="eastAsia" w:ascii="Times New Roman" w:hAnsi="Times New Roman" w:eastAsia="宋体" w:cs="Times New Roman"/>
                <w:caps w:val="0"/>
                <w:smallCaps w:val="0"/>
                <w:color w:val="auto"/>
                <w:spacing w:val="0"/>
                <w:highlight w:val="none"/>
                <w:vertAlign w:val="subscript"/>
                <w:lang w:val="en-US" w:eastAsia="zh-CN"/>
              </w:rPr>
              <w:t>x</w:t>
            </w:r>
            <w:r>
              <w:rPr>
                <w:rFonts w:ascii="Times New Roman" w:hAnsi="Times New Roman" w:eastAsia="宋体" w:cs="Times New Roman"/>
                <w:caps w:val="0"/>
                <w:smallCaps w:val="0"/>
                <w:color w:val="auto"/>
                <w:spacing w:val="0"/>
                <w:highlight w:val="none"/>
              </w:rPr>
              <w:t>≥10</w:t>
            </w:r>
          </w:p>
        </w:tc>
      </w:tr>
      <w:tr w14:paraId="1D8D42C6">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30" w:type="dxa"/>
            <w:tcBorders>
              <w:tl2br w:val="nil"/>
              <w:tr2bl w:val="nil"/>
            </w:tcBorders>
            <w:vAlign w:val="center"/>
          </w:tcPr>
          <w:p w14:paraId="35F8DF6A">
            <w:pPr>
              <w:pStyle w:val="66"/>
              <w:widowControl w:val="0"/>
              <w:spacing w:before="72" w:beforeLines="30" w:after="72" w:afterLines="3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二级</w:t>
            </w:r>
          </w:p>
        </w:tc>
        <w:tc>
          <w:tcPr>
            <w:tcW w:w="6271" w:type="dxa"/>
            <w:tcBorders>
              <w:tl2br w:val="nil"/>
              <w:tr2bl w:val="nil"/>
            </w:tcBorders>
            <w:vAlign w:val="center"/>
          </w:tcPr>
          <w:p w14:paraId="7DF6C83F">
            <w:pPr>
              <w:pStyle w:val="66"/>
              <w:widowControl w:val="0"/>
              <w:spacing w:before="72" w:beforeLines="30" w:after="72" w:afterLines="3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w:t>
            </w:r>
            <w:r>
              <w:rPr>
                <w:rFonts w:hint="default" w:ascii="Times New Roman" w:hAnsi="Times New Roman" w:eastAsia="宋体" w:cs="Times New Roman"/>
                <w:caps w:val="0"/>
                <w:smallCaps w:val="0"/>
                <w:color w:val="auto"/>
                <w:spacing w:val="0"/>
                <w:highlight w:val="none"/>
              </w:rPr>
              <w:t>P</w:t>
            </w:r>
            <w:r>
              <w:rPr>
                <w:rFonts w:hint="default" w:ascii="Times New Roman" w:hAnsi="Times New Roman" w:eastAsia="宋体" w:cs="Times New Roman"/>
                <w:caps w:val="0"/>
                <w:smallCaps w:val="0"/>
                <w:color w:val="auto"/>
                <w:spacing w:val="0"/>
                <w:highlight w:val="none"/>
                <w:vertAlign w:val="subscript"/>
              </w:rPr>
              <w:t>ma</w:t>
            </w:r>
            <w:r>
              <w:rPr>
                <w:rFonts w:hint="eastAsia" w:ascii="Times New Roman" w:hAnsi="Times New Roman" w:eastAsia="宋体" w:cs="Times New Roman"/>
                <w:caps w:val="0"/>
                <w:smallCaps w:val="0"/>
                <w:color w:val="auto"/>
                <w:spacing w:val="0"/>
                <w:highlight w:val="none"/>
                <w:vertAlign w:val="subscript"/>
                <w:lang w:val="en-US" w:eastAsia="zh-CN"/>
              </w:rPr>
              <w:t>x</w:t>
            </w:r>
            <w:r>
              <w:rPr>
                <w:rFonts w:ascii="Times New Roman" w:hAnsi="Times New Roman" w:eastAsia="宋体" w:cs="Times New Roman"/>
                <w:caps w:val="0"/>
                <w:smallCaps w:val="0"/>
                <w:color w:val="auto"/>
                <w:spacing w:val="0"/>
                <w:highlight w:val="none"/>
              </w:rPr>
              <w:t>＜10%</w:t>
            </w:r>
          </w:p>
        </w:tc>
      </w:tr>
      <w:tr w14:paraId="15717F10">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30" w:type="dxa"/>
            <w:tcBorders>
              <w:bottom w:val="single" w:color="auto" w:sz="8" w:space="0"/>
              <w:tl2br w:val="nil"/>
              <w:tr2bl w:val="nil"/>
            </w:tcBorders>
            <w:vAlign w:val="center"/>
          </w:tcPr>
          <w:p w14:paraId="287E89D2">
            <w:pPr>
              <w:pStyle w:val="66"/>
              <w:widowControl w:val="0"/>
              <w:spacing w:before="72" w:beforeLines="30" w:after="72" w:afterLines="3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三级</w:t>
            </w:r>
          </w:p>
        </w:tc>
        <w:tc>
          <w:tcPr>
            <w:tcW w:w="6271" w:type="dxa"/>
            <w:tcBorders>
              <w:bottom w:val="single" w:color="auto" w:sz="8" w:space="0"/>
              <w:tl2br w:val="nil"/>
              <w:tr2bl w:val="nil"/>
            </w:tcBorders>
            <w:vAlign w:val="center"/>
          </w:tcPr>
          <w:p w14:paraId="3F9F5836">
            <w:pPr>
              <w:pStyle w:val="66"/>
              <w:widowControl w:val="0"/>
              <w:spacing w:before="72" w:beforeLines="30" w:after="72" w:afterLines="30"/>
              <w:rPr>
                <w:rFonts w:ascii="Times New Roman" w:hAnsi="Times New Roman" w:eastAsia="宋体" w:cs="Times New Roman"/>
                <w:caps w:val="0"/>
                <w:smallCaps w:val="0"/>
                <w:color w:val="auto"/>
                <w:spacing w:val="0"/>
                <w:highlight w:val="none"/>
              </w:rPr>
            </w:pPr>
            <w:r>
              <w:rPr>
                <w:rFonts w:hint="default" w:ascii="Times New Roman" w:hAnsi="Times New Roman" w:eastAsia="宋体" w:cs="Times New Roman"/>
                <w:caps w:val="0"/>
                <w:smallCaps w:val="0"/>
                <w:color w:val="auto"/>
                <w:spacing w:val="0"/>
                <w:highlight w:val="none"/>
              </w:rPr>
              <w:t>P</w:t>
            </w:r>
            <w:r>
              <w:rPr>
                <w:rFonts w:hint="default" w:ascii="Times New Roman" w:hAnsi="Times New Roman" w:eastAsia="宋体" w:cs="Times New Roman"/>
                <w:caps w:val="0"/>
                <w:smallCaps w:val="0"/>
                <w:color w:val="auto"/>
                <w:spacing w:val="0"/>
                <w:highlight w:val="none"/>
                <w:vertAlign w:val="subscript"/>
              </w:rPr>
              <w:t>ma</w:t>
            </w:r>
            <w:r>
              <w:rPr>
                <w:rFonts w:hint="eastAsia" w:ascii="Times New Roman" w:hAnsi="Times New Roman" w:eastAsia="宋体" w:cs="Times New Roman"/>
                <w:caps w:val="0"/>
                <w:smallCaps w:val="0"/>
                <w:color w:val="auto"/>
                <w:spacing w:val="0"/>
                <w:highlight w:val="none"/>
                <w:vertAlign w:val="subscript"/>
                <w:lang w:val="en-US" w:eastAsia="zh-CN"/>
              </w:rPr>
              <w:t>x</w:t>
            </w:r>
            <w:r>
              <w:rPr>
                <w:rFonts w:ascii="Times New Roman" w:hAnsi="Times New Roman" w:eastAsia="宋体" w:cs="Times New Roman"/>
                <w:caps w:val="0"/>
                <w:smallCaps w:val="0"/>
                <w:color w:val="auto"/>
                <w:spacing w:val="0"/>
                <w:highlight w:val="none"/>
              </w:rPr>
              <w:t>＜1%</w:t>
            </w:r>
          </w:p>
        </w:tc>
      </w:tr>
    </w:tbl>
    <w:p w14:paraId="318D0A1A">
      <w:pPr>
        <w:pStyle w:val="96"/>
        <w:tabs>
          <w:tab w:val="left" w:pos="6033"/>
          <w:tab w:val="left" w:pos="6271"/>
        </w:tabs>
        <w:autoSpaceDE w:val="0"/>
        <w:autoSpaceDN w:val="0"/>
        <w:spacing w:before="120" w:line="480" w:lineRule="exact"/>
        <w:jc w:val="center"/>
        <w:textAlignment w:val="bottom"/>
        <w:rPr>
          <w:rFonts w:ascii="Times New Roman" w:hAnsi="Times New Roman" w:eastAsia="宋体" w:cs="Times New Roman"/>
          <w:b/>
          <w:caps w:val="0"/>
          <w:smallCaps w:val="0"/>
          <w:color w:val="auto"/>
          <w:spacing w:val="0"/>
          <w:szCs w:val="24"/>
          <w:highlight w:val="none"/>
        </w:rPr>
      </w:pPr>
      <w:bookmarkStart w:id="48" w:name="_Ref488155516"/>
      <w:r>
        <w:rPr>
          <w:rFonts w:ascii="Times New Roman" w:hAnsi="Times New Roman" w:eastAsia="宋体" w:cs="Times New Roman"/>
          <w:b/>
          <w:caps w:val="0"/>
          <w:smallCaps w:val="0"/>
          <w:color w:val="auto"/>
          <w:spacing w:val="0"/>
          <w:szCs w:val="24"/>
          <w:highlight w:val="none"/>
        </w:rPr>
        <w:t>表2.5-3点源参数表</w:t>
      </w:r>
    </w:p>
    <w:tbl>
      <w:tblPr>
        <w:tblStyle w:val="172"/>
        <w:tblW w:w="5001"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311"/>
        <w:gridCol w:w="552"/>
        <w:gridCol w:w="450"/>
        <w:gridCol w:w="434"/>
        <w:gridCol w:w="420"/>
        <w:gridCol w:w="471"/>
        <w:gridCol w:w="505"/>
        <w:gridCol w:w="522"/>
        <w:gridCol w:w="450"/>
        <w:gridCol w:w="600"/>
        <w:gridCol w:w="366"/>
        <w:gridCol w:w="445"/>
        <w:gridCol w:w="574"/>
        <w:gridCol w:w="471"/>
        <w:gridCol w:w="461"/>
        <w:gridCol w:w="465"/>
        <w:gridCol w:w="639"/>
        <w:gridCol w:w="643"/>
        <w:gridCol w:w="509"/>
      </w:tblGrid>
      <w:tr w14:paraId="720C95C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690" w:hRule="atLeast"/>
          <w:tblHeader/>
          <w:jc w:val="center"/>
        </w:trPr>
        <w:tc>
          <w:tcPr>
            <w:tcW w:w="311" w:type="dxa"/>
            <w:vMerge w:val="restart"/>
            <w:shd w:val="clear" w:color="auto" w:fill="auto"/>
            <w:vAlign w:val="center"/>
          </w:tcPr>
          <w:p w14:paraId="43793B6E">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序号</w:t>
            </w:r>
          </w:p>
        </w:tc>
        <w:tc>
          <w:tcPr>
            <w:tcW w:w="552" w:type="dxa"/>
            <w:vMerge w:val="restart"/>
            <w:shd w:val="clear" w:color="auto" w:fill="auto"/>
            <w:vAlign w:val="center"/>
          </w:tcPr>
          <w:p w14:paraId="19DAC4E3">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名称</w:t>
            </w:r>
          </w:p>
        </w:tc>
        <w:tc>
          <w:tcPr>
            <w:tcW w:w="884" w:type="dxa"/>
            <w:gridSpan w:val="2"/>
            <w:shd w:val="clear" w:color="auto" w:fill="auto"/>
            <w:vAlign w:val="center"/>
          </w:tcPr>
          <w:p w14:paraId="4EC4EE93">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排气筒底部中心坐标/m</w:t>
            </w:r>
          </w:p>
        </w:tc>
        <w:tc>
          <w:tcPr>
            <w:tcW w:w="420" w:type="dxa"/>
            <w:vMerge w:val="restart"/>
            <w:shd w:val="clear" w:color="auto" w:fill="auto"/>
            <w:vAlign w:val="center"/>
          </w:tcPr>
          <w:p w14:paraId="0E67E3CB">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排气筒底部海拔高度/m</w:t>
            </w:r>
          </w:p>
        </w:tc>
        <w:tc>
          <w:tcPr>
            <w:tcW w:w="471" w:type="dxa"/>
            <w:vMerge w:val="restart"/>
            <w:shd w:val="clear" w:color="auto" w:fill="auto"/>
            <w:vAlign w:val="center"/>
          </w:tcPr>
          <w:p w14:paraId="45835137">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排气筒高度/m</w:t>
            </w:r>
          </w:p>
        </w:tc>
        <w:tc>
          <w:tcPr>
            <w:tcW w:w="505" w:type="dxa"/>
            <w:vMerge w:val="restart"/>
            <w:shd w:val="clear" w:color="auto" w:fill="auto"/>
            <w:vAlign w:val="center"/>
          </w:tcPr>
          <w:p w14:paraId="48D19318">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排气筒出口内径/m</w:t>
            </w:r>
          </w:p>
        </w:tc>
        <w:tc>
          <w:tcPr>
            <w:tcW w:w="522" w:type="dxa"/>
            <w:vMerge w:val="restart"/>
            <w:shd w:val="clear" w:color="auto" w:fill="auto"/>
            <w:vAlign w:val="center"/>
          </w:tcPr>
          <w:p w14:paraId="37DD2BF3">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烟气流速/（m/s）</w:t>
            </w:r>
          </w:p>
        </w:tc>
        <w:tc>
          <w:tcPr>
            <w:tcW w:w="450" w:type="dxa"/>
            <w:vMerge w:val="restart"/>
            <w:shd w:val="clear" w:color="auto" w:fill="auto"/>
            <w:vAlign w:val="center"/>
          </w:tcPr>
          <w:p w14:paraId="213BAE56">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烟气温度/℃</w:t>
            </w:r>
          </w:p>
        </w:tc>
        <w:tc>
          <w:tcPr>
            <w:tcW w:w="600" w:type="dxa"/>
            <w:vMerge w:val="restart"/>
            <w:shd w:val="clear" w:color="auto" w:fill="auto"/>
            <w:vAlign w:val="center"/>
          </w:tcPr>
          <w:p w14:paraId="03C03EA6">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年排放小时数/h</w:t>
            </w:r>
          </w:p>
        </w:tc>
        <w:tc>
          <w:tcPr>
            <w:tcW w:w="366" w:type="dxa"/>
            <w:vMerge w:val="restart"/>
            <w:shd w:val="clear" w:color="auto" w:fill="auto"/>
            <w:vAlign w:val="center"/>
          </w:tcPr>
          <w:p w14:paraId="58FBC48E">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排放工况</w:t>
            </w:r>
          </w:p>
        </w:tc>
        <w:tc>
          <w:tcPr>
            <w:tcW w:w="4207" w:type="dxa"/>
            <w:gridSpan w:val="8"/>
            <w:shd w:val="clear" w:color="auto" w:fill="auto"/>
            <w:vAlign w:val="center"/>
          </w:tcPr>
          <w:p w14:paraId="2DC0F7D7">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污染物排放速率/(kg/h)</w:t>
            </w:r>
          </w:p>
        </w:tc>
      </w:tr>
      <w:tr w14:paraId="7E6622F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80" w:hRule="atLeast"/>
          <w:jc w:val="center"/>
        </w:trPr>
        <w:tc>
          <w:tcPr>
            <w:tcW w:w="311" w:type="dxa"/>
            <w:vMerge w:val="continue"/>
            <w:shd w:val="clear" w:color="auto" w:fill="auto"/>
            <w:vAlign w:val="center"/>
          </w:tcPr>
          <w:p w14:paraId="46FEAFE7">
            <w:pPr>
              <w:pStyle w:val="171"/>
              <w:widowControl/>
              <w:adjustRightInd/>
              <w:spacing w:before="0" w:beforeLines="0" w:after="0" w:afterLines="0" w:line="240" w:lineRule="auto"/>
              <w:ind w:firstLine="0"/>
              <w:rPr>
                <w:caps w:val="0"/>
                <w:smallCaps w:val="0"/>
                <w:color w:val="auto"/>
                <w:spacing w:val="0"/>
                <w:sz w:val="21"/>
                <w:highlight w:val="none"/>
              </w:rPr>
            </w:pPr>
          </w:p>
        </w:tc>
        <w:tc>
          <w:tcPr>
            <w:tcW w:w="552" w:type="dxa"/>
            <w:vMerge w:val="continue"/>
            <w:shd w:val="clear" w:color="auto" w:fill="auto"/>
            <w:vAlign w:val="center"/>
          </w:tcPr>
          <w:p w14:paraId="772F4F87">
            <w:pPr>
              <w:pStyle w:val="171"/>
              <w:widowControl/>
              <w:adjustRightInd/>
              <w:spacing w:before="0" w:beforeLines="0" w:after="0" w:afterLines="0" w:line="240" w:lineRule="auto"/>
              <w:ind w:firstLine="0"/>
              <w:rPr>
                <w:caps w:val="0"/>
                <w:smallCaps w:val="0"/>
                <w:color w:val="auto"/>
                <w:spacing w:val="0"/>
                <w:sz w:val="21"/>
                <w:highlight w:val="none"/>
              </w:rPr>
            </w:pPr>
          </w:p>
        </w:tc>
        <w:tc>
          <w:tcPr>
            <w:tcW w:w="450" w:type="dxa"/>
            <w:shd w:val="clear" w:color="auto" w:fill="auto"/>
            <w:vAlign w:val="center"/>
          </w:tcPr>
          <w:p w14:paraId="7E8EC600">
            <w:pPr>
              <w:pStyle w:val="171"/>
              <w:widowControl/>
              <w:adjustRightInd/>
              <w:spacing w:before="0" w:beforeLines="0" w:after="0" w:afterLines="0" w:line="240" w:lineRule="auto"/>
              <w:ind w:firstLine="0"/>
              <w:rPr>
                <w:i/>
                <w:caps w:val="0"/>
                <w:smallCaps w:val="0"/>
                <w:color w:val="auto"/>
                <w:spacing w:val="0"/>
                <w:sz w:val="21"/>
                <w:highlight w:val="none"/>
              </w:rPr>
            </w:pPr>
            <w:r>
              <w:rPr>
                <w:i/>
                <w:caps w:val="0"/>
                <w:smallCaps w:val="0"/>
                <w:color w:val="auto"/>
                <w:spacing w:val="0"/>
                <w:sz w:val="21"/>
                <w:highlight w:val="none"/>
              </w:rPr>
              <w:t>X</w:t>
            </w:r>
          </w:p>
        </w:tc>
        <w:tc>
          <w:tcPr>
            <w:tcW w:w="434" w:type="dxa"/>
            <w:shd w:val="clear" w:color="auto" w:fill="auto"/>
            <w:vAlign w:val="center"/>
          </w:tcPr>
          <w:p w14:paraId="0EC5FD5D">
            <w:pPr>
              <w:pStyle w:val="171"/>
              <w:widowControl/>
              <w:adjustRightInd/>
              <w:spacing w:before="0" w:beforeLines="0" w:after="0" w:afterLines="0" w:line="240" w:lineRule="auto"/>
              <w:ind w:firstLine="0"/>
              <w:rPr>
                <w:i/>
                <w:caps w:val="0"/>
                <w:smallCaps w:val="0"/>
                <w:color w:val="auto"/>
                <w:spacing w:val="0"/>
                <w:sz w:val="21"/>
                <w:highlight w:val="none"/>
              </w:rPr>
            </w:pPr>
            <w:r>
              <w:rPr>
                <w:i/>
                <w:caps w:val="0"/>
                <w:smallCaps w:val="0"/>
                <w:color w:val="auto"/>
                <w:spacing w:val="0"/>
                <w:sz w:val="21"/>
                <w:highlight w:val="none"/>
              </w:rPr>
              <w:t>Y</w:t>
            </w:r>
          </w:p>
        </w:tc>
        <w:tc>
          <w:tcPr>
            <w:tcW w:w="420" w:type="dxa"/>
            <w:vMerge w:val="continue"/>
            <w:shd w:val="clear" w:color="auto" w:fill="auto"/>
            <w:vAlign w:val="center"/>
          </w:tcPr>
          <w:p w14:paraId="575368F8">
            <w:pPr>
              <w:pStyle w:val="171"/>
              <w:widowControl/>
              <w:adjustRightInd/>
              <w:spacing w:before="0" w:beforeLines="0" w:after="0" w:afterLines="0" w:line="240" w:lineRule="auto"/>
              <w:ind w:firstLine="0"/>
              <w:rPr>
                <w:caps w:val="0"/>
                <w:smallCaps w:val="0"/>
                <w:color w:val="auto"/>
                <w:spacing w:val="0"/>
                <w:sz w:val="21"/>
                <w:highlight w:val="none"/>
              </w:rPr>
            </w:pPr>
          </w:p>
        </w:tc>
        <w:tc>
          <w:tcPr>
            <w:tcW w:w="471" w:type="dxa"/>
            <w:vMerge w:val="continue"/>
            <w:shd w:val="clear" w:color="auto" w:fill="auto"/>
            <w:vAlign w:val="center"/>
          </w:tcPr>
          <w:p w14:paraId="5317B422">
            <w:pPr>
              <w:pStyle w:val="171"/>
              <w:widowControl/>
              <w:adjustRightInd/>
              <w:spacing w:before="0" w:beforeLines="0" w:after="0" w:afterLines="0" w:line="240" w:lineRule="auto"/>
              <w:ind w:firstLine="0"/>
              <w:rPr>
                <w:caps w:val="0"/>
                <w:smallCaps w:val="0"/>
                <w:color w:val="auto"/>
                <w:spacing w:val="0"/>
                <w:sz w:val="21"/>
                <w:highlight w:val="none"/>
              </w:rPr>
            </w:pPr>
          </w:p>
        </w:tc>
        <w:tc>
          <w:tcPr>
            <w:tcW w:w="505" w:type="dxa"/>
            <w:vMerge w:val="continue"/>
            <w:shd w:val="clear" w:color="auto" w:fill="auto"/>
            <w:vAlign w:val="center"/>
          </w:tcPr>
          <w:p w14:paraId="1649BF5B">
            <w:pPr>
              <w:pStyle w:val="171"/>
              <w:widowControl/>
              <w:adjustRightInd/>
              <w:spacing w:before="0" w:beforeLines="0" w:after="0" w:afterLines="0" w:line="240" w:lineRule="auto"/>
              <w:ind w:firstLine="0"/>
              <w:rPr>
                <w:caps w:val="0"/>
                <w:smallCaps w:val="0"/>
                <w:color w:val="auto"/>
                <w:spacing w:val="0"/>
                <w:sz w:val="21"/>
                <w:highlight w:val="none"/>
              </w:rPr>
            </w:pPr>
          </w:p>
        </w:tc>
        <w:tc>
          <w:tcPr>
            <w:tcW w:w="522" w:type="dxa"/>
            <w:vMerge w:val="continue"/>
            <w:shd w:val="clear" w:color="auto" w:fill="auto"/>
            <w:vAlign w:val="center"/>
          </w:tcPr>
          <w:p w14:paraId="7CCD897D">
            <w:pPr>
              <w:pStyle w:val="171"/>
              <w:widowControl/>
              <w:adjustRightInd/>
              <w:spacing w:before="0" w:beforeLines="0" w:after="0" w:afterLines="0" w:line="240" w:lineRule="auto"/>
              <w:ind w:firstLine="0"/>
              <w:rPr>
                <w:caps w:val="0"/>
                <w:smallCaps w:val="0"/>
                <w:color w:val="auto"/>
                <w:spacing w:val="0"/>
                <w:sz w:val="21"/>
                <w:highlight w:val="none"/>
              </w:rPr>
            </w:pPr>
          </w:p>
        </w:tc>
        <w:tc>
          <w:tcPr>
            <w:tcW w:w="450" w:type="dxa"/>
            <w:vMerge w:val="continue"/>
            <w:shd w:val="clear" w:color="auto" w:fill="auto"/>
            <w:vAlign w:val="center"/>
          </w:tcPr>
          <w:p w14:paraId="524842FA">
            <w:pPr>
              <w:pStyle w:val="171"/>
              <w:widowControl/>
              <w:adjustRightInd/>
              <w:spacing w:before="0" w:beforeLines="0" w:after="0" w:afterLines="0" w:line="240" w:lineRule="auto"/>
              <w:ind w:firstLine="0"/>
              <w:rPr>
                <w:caps w:val="0"/>
                <w:smallCaps w:val="0"/>
                <w:color w:val="auto"/>
                <w:spacing w:val="0"/>
                <w:sz w:val="21"/>
                <w:highlight w:val="none"/>
              </w:rPr>
            </w:pPr>
          </w:p>
        </w:tc>
        <w:tc>
          <w:tcPr>
            <w:tcW w:w="600" w:type="dxa"/>
            <w:vMerge w:val="continue"/>
            <w:shd w:val="clear" w:color="auto" w:fill="auto"/>
            <w:vAlign w:val="center"/>
          </w:tcPr>
          <w:p w14:paraId="40C8D277">
            <w:pPr>
              <w:pStyle w:val="171"/>
              <w:widowControl/>
              <w:adjustRightInd/>
              <w:spacing w:before="0" w:beforeLines="0" w:after="0" w:afterLines="0" w:line="240" w:lineRule="auto"/>
              <w:ind w:firstLine="0"/>
              <w:rPr>
                <w:caps w:val="0"/>
                <w:smallCaps w:val="0"/>
                <w:color w:val="auto"/>
                <w:spacing w:val="0"/>
                <w:sz w:val="21"/>
                <w:highlight w:val="none"/>
              </w:rPr>
            </w:pPr>
          </w:p>
        </w:tc>
        <w:tc>
          <w:tcPr>
            <w:tcW w:w="366" w:type="dxa"/>
            <w:vMerge w:val="continue"/>
            <w:shd w:val="clear" w:color="auto" w:fill="auto"/>
            <w:vAlign w:val="center"/>
          </w:tcPr>
          <w:p w14:paraId="17383FD4">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2CFEA4CD">
            <w:pPr>
              <w:pStyle w:val="171"/>
              <w:widowControl/>
              <w:adjustRightInd/>
              <w:spacing w:before="0" w:beforeLines="0" w:after="0" w:afterLines="0" w:line="240" w:lineRule="auto"/>
              <w:ind w:firstLine="0"/>
              <w:rPr>
                <w:rFonts w:hint="default" w:eastAsia="宋体"/>
                <w:caps w:val="0"/>
                <w:smallCaps w:val="0"/>
                <w:color w:val="auto"/>
                <w:spacing w:val="0"/>
                <w:sz w:val="21"/>
                <w:highlight w:val="none"/>
                <w:lang w:val="en-US" w:eastAsia="zh-CN"/>
              </w:rPr>
            </w:pPr>
            <w:r>
              <w:rPr>
                <w:rFonts w:hint="eastAsia"/>
                <w:caps w:val="0"/>
                <w:smallCaps w:val="0"/>
                <w:color w:val="auto"/>
                <w:spacing w:val="0"/>
                <w:sz w:val="21"/>
                <w:highlight w:val="none"/>
                <w:lang w:val="en-US" w:eastAsia="zh-CN"/>
              </w:rPr>
              <w:t>NOx</w:t>
            </w:r>
          </w:p>
        </w:tc>
        <w:tc>
          <w:tcPr>
            <w:tcW w:w="574" w:type="dxa"/>
            <w:shd w:val="clear" w:color="auto" w:fill="auto"/>
            <w:vAlign w:val="center"/>
          </w:tcPr>
          <w:p w14:paraId="16730D1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氯化氢</w:t>
            </w:r>
          </w:p>
        </w:tc>
        <w:tc>
          <w:tcPr>
            <w:tcW w:w="471" w:type="dxa"/>
            <w:shd w:val="clear" w:color="auto" w:fill="auto"/>
            <w:vAlign w:val="center"/>
          </w:tcPr>
          <w:p w14:paraId="47E7A90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非甲烷总烃</w:t>
            </w:r>
          </w:p>
        </w:tc>
        <w:tc>
          <w:tcPr>
            <w:tcW w:w="461" w:type="dxa"/>
            <w:shd w:val="clear" w:color="auto" w:fill="auto"/>
            <w:vAlign w:val="center"/>
          </w:tcPr>
          <w:p w14:paraId="245B70E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二甲苯</w:t>
            </w:r>
          </w:p>
        </w:tc>
        <w:tc>
          <w:tcPr>
            <w:tcW w:w="465" w:type="dxa"/>
            <w:shd w:val="clear" w:color="auto" w:fill="auto"/>
            <w:vAlign w:val="center"/>
          </w:tcPr>
          <w:p w14:paraId="74C3FFD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氨气</w:t>
            </w:r>
          </w:p>
        </w:tc>
        <w:tc>
          <w:tcPr>
            <w:tcW w:w="639" w:type="dxa"/>
            <w:shd w:val="clear" w:color="auto" w:fill="auto"/>
            <w:vAlign w:val="center"/>
          </w:tcPr>
          <w:p w14:paraId="4A6FB40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PM</w:t>
            </w:r>
            <w:r>
              <w:rPr>
                <w:caps w:val="0"/>
                <w:smallCaps w:val="0"/>
                <w:color w:val="auto"/>
                <w:spacing w:val="0"/>
                <w:sz w:val="21"/>
                <w:highlight w:val="none"/>
                <w:vertAlign w:val="subscript"/>
              </w:rPr>
              <w:t>10</w:t>
            </w:r>
          </w:p>
        </w:tc>
        <w:tc>
          <w:tcPr>
            <w:tcW w:w="643" w:type="dxa"/>
            <w:shd w:val="clear" w:color="auto" w:fill="auto"/>
            <w:vAlign w:val="center"/>
          </w:tcPr>
          <w:p w14:paraId="3A74D05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镉及其化合物</w:t>
            </w:r>
          </w:p>
        </w:tc>
        <w:tc>
          <w:tcPr>
            <w:tcW w:w="509" w:type="dxa"/>
            <w:shd w:val="clear" w:color="auto" w:fill="auto"/>
            <w:vAlign w:val="center"/>
          </w:tcPr>
          <w:p w14:paraId="43A884A5">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硫化氢</w:t>
            </w:r>
          </w:p>
        </w:tc>
      </w:tr>
      <w:tr w14:paraId="57BDC38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16DC2C3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w:t>
            </w:r>
          </w:p>
        </w:tc>
        <w:tc>
          <w:tcPr>
            <w:tcW w:w="552" w:type="dxa"/>
            <w:shd w:val="clear" w:color="auto" w:fill="auto"/>
            <w:vAlign w:val="center"/>
          </w:tcPr>
          <w:p w14:paraId="7A74186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DA001</w:t>
            </w:r>
          </w:p>
        </w:tc>
        <w:tc>
          <w:tcPr>
            <w:tcW w:w="450" w:type="dxa"/>
            <w:shd w:val="clear" w:color="auto" w:fill="auto"/>
            <w:vAlign w:val="center"/>
          </w:tcPr>
          <w:p w14:paraId="29CBF9F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113</w:t>
            </w:r>
          </w:p>
        </w:tc>
        <w:tc>
          <w:tcPr>
            <w:tcW w:w="434" w:type="dxa"/>
            <w:shd w:val="clear" w:color="auto" w:fill="auto"/>
            <w:vAlign w:val="center"/>
          </w:tcPr>
          <w:p w14:paraId="22FA222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82</w:t>
            </w:r>
          </w:p>
        </w:tc>
        <w:tc>
          <w:tcPr>
            <w:tcW w:w="420" w:type="dxa"/>
            <w:shd w:val="clear" w:color="auto" w:fill="auto"/>
            <w:vAlign w:val="center"/>
          </w:tcPr>
          <w:p w14:paraId="1E000DE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08832ED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21</w:t>
            </w:r>
          </w:p>
        </w:tc>
        <w:tc>
          <w:tcPr>
            <w:tcW w:w="505" w:type="dxa"/>
            <w:shd w:val="clear" w:color="auto" w:fill="auto"/>
            <w:vAlign w:val="center"/>
          </w:tcPr>
          <w:p w14:paraId="7F876C9F">
            <w:pPr>
              <w:pStyle w:val="171"/>
              <w:widowControl/>
              <w:adjustRightInd/>
              <w:spacing w:before="0" w:beforeLines="0" w:after="0" w:afterLines="0" w:line="240" w:lineRule="auto"/>
              <w:ind w:firstLine="0"/>
              <w:rPr>
                <w:rFonts w:hint="eastAsia" w:eastAsia="宋体"/>
                <w:caps w:val="0"/>
                <w:smallCaps w:val="0"/>
                <w:color w:val="auto"/>
                <w:spacing w:val="0"/>
                <w:sz w:val="21"/>
                <w:highlight w:val="none"/>
                <w:lang w:eastAsia="zh-CN"/>
              </w:rPr>
            </w:pPr>
            <w:r>
              <w:rPr>
                <w:caps w:val="0"/>
                <w:smallCaps w:val="0"/>
                <w:color w:val="auto"/>
                <w:spacing w:val="0"/>
                <w:sz w:val="21"/>
                <w:highlight w:val="none"/>
              </w:rPr>
              <w:t>0.</w:t>
            </w:r>
            <w:r>
              <w:rPr>
                <w:rFonts w:hint="eastAsia"/>
                <w:caps w:val="0"/>
                <w:smallCaps w:val="0"/>
                <w:color w:val="auto"/>
                <w:spacing w:val="0"/>
                <w:sz w:val="21"/>
                <w:highlight w:val="none"/>
                <w:lang w:val="en-US" w:eastAsia="zh-CN"/>
              </w:rPr>
              <w:t>5</w:t>
            </w:r>
          </w:p>
        </w:tc>
        <w:tc>
          <w:tcPr>
            <w:tcW w:w="522" w:type="dxa"/>
            <w:shd w:val="clear" w:color="auto" w:fill="auto"/>
            <w:vAlign w:val="center"/>
          </w:tcPr>
          <w:p w14:paraId="0DC3F9E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17.68</w:t>
            </w:r>
          </w:p>
        </w:tc>
        <w:tc>
          <w:tcPr>
            <w:tcW w:w="450" w:type="dxa"/>
            <w:shd w:val="clear" w:color="auto" w:fill="auto"/>
            <w:vAlign w:val="center"/>
          </w:tcPr>
          <w:p w14:paraId="4834724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58B3A17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restart"/>
            <w:shd w:val="clear" w:color="auto" w:fill="auto"/>
            <w:vAlign w:val="center"/>
          </w:tcPr>
          <w:p w14:paraId="6319560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正常工况</w:t>
            </w:r>
          </w:p>
        </w:tc>
        <w:tc>
          <w:tcPr>
            <w:tcW w:w="445" w:type="dxa"/>
            <w:shd w:val="clear" w:color="auto" w:fill="auto"/>
            <w:vAlign w:val="center"/>
          </w:tcPr>
          <w:p w14:paraId="2209572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3BF4702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5F32E57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077ACC7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4374531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5E4BE1A6">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rFonts w:hint="eastAsia"/>
                <w:caps w:val="0"/>
                <w:smallCaps w:val="0"/>
                <w:color w:val="auto"/>
                <w:spacing w:val="0"/>
                <w:sz w:val="21"/>
                <w:highlight w:val="none"/>
                <w:lang w:val="en-US" w:eastAsia="zh-CN"/>
              </w:rPr>
              <w:t>0.0190</w:t>
            </w:r>
          </w:p>
        </w:tc>
        <w:tc>
          <w:tcPr>
            <w:tcW w:w="643" w:type="dxa"/>
            <w:shd w:val="clear" w:color="auto" w:fill="auto"/>
            <w:vAlign w:val="center"/>
          </w:tcPr>
          <w:p w14:paraId="444735D0">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rFonts w:hint="eastAsia"/>
                <w:caps w:val="0"/>
                <w:smallCaps w:val="0"/>
                <w:color w:val="auto"/>
                <w:spacing w:val="0"/>
                <w:sz w:val="21"/>
                <w:highlight w:val="none"/>
                <w:lang w:val="en-US" w:eastAsia="zh-CN"/>
              </w:rPr>
              <w:t>1.82</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5</w:t>
            </w:r>
          </w:p>
        </w:tc>
        <w:tc>
          <w:tcPr>
            <w:tcW w:w="509" w:type="dxa"/>
            <w:shd w:val="clear" w:color="auto" w:fill="auto"/>
            <w:vAlign w:val="center"/>
          </w:tcPr>
          <w:p w14:paraId="0A7C4587">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5E5C36C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2FB32BE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w:t>
            </w:r>
          </w:p>
        </w:tc>
        <w:tc>
          <w:tcPr>
            <w:tcW w:w="552" w:type="dxa"/>
            <w:shd w:val="clear" w:color="auto" w:fill="auto"/>
            <w:vAlign w:val="center"/>
          </w:tcPr>
          <w:p w14:paraId="5696789F">
            <w:pPr>
              <w:snapToGrid w:val="0"/>
              <w:spacing w:before="74"/>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DA002</w:t>
            </w:r>
          </w:p>
        </w:tc>
        <w:tc>
          <w:tcPr>
            <w:tcW w:w="450" w:type="dxa"/>
            <w:shd w:val="clear" w:color="auto" w:fill="auto"/>
            <w:vAlign w:val="center"/>
          </w:tcPr>
          <w:p w14:paraId="1011781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27</w:t>
            </w:r>
          </w:p>
        </w:tc>
        <w:tc>
          <w:tcPr>
            <w:tcW w:w="434" w:type="dxa"/>
            <w:shd w:val="clear" w:color="auto" w:fill="auto"/>
            <w:vAlign w:val="center"/>
          </w:tcPr>
          <w:p w14:paraId="1CC8CC3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146</w:t>
            </w:r>
          </w:p>
        </w:tc>
        <w:tc>
          <w:tcPr>
            <w:tcW w:w="420" w:type="dxa"/>
            <w:shd w:val="clear" w:color="auto" w:fill="auto"/>
            <w:vAlign w:val="center"/>
          </w:tcPr>
          <w:p w14:paraId="578C76A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2F8AAA30">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22E2524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2785CD6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11.79</w:t>
            </w:r>
          </w:p>
        </w:tc>
        <w:tc>
          <w:tcPr>
            <w:tcW w:w="450" w:type="dxa"/>
            <w:shd w:val="clear" w:color="auto" w:fill="auto"/>
            <w:vAlign w:val="center"/>
          </w:tcPr>
          <w:p w14:paraId="7848ACE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2C8B91F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5BBAA49A">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7CC6DF9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699ABFB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2B217AB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05FD7AA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36DFB96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3DB45D03">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caps w:val="0"/>
                <w:smallCaps w:val="0"/>
                <w:color w:val="auto"/>
                <w:spacing w:val="0"/>
                <w:sz w:val="21"/>
                <w:highlight w:val="none"/>
              </w:rPr>
              <w:t>9.</w:t>
            </w:r>
            <w:r>
              <w:rPr>
                <w:rFonts w:hint="eastAsia"/>
                <w:caps w:val="0"/>
                <w:smallCaps w:val="0"/>
                <w:color w:val="auto"/>
                <w:spacing w:val="0"/>
                <w:sz w:val="21"/>
                <w:highlight w:val="none"/>
                <w:lang w:val="en-US" w:eastAsia="zh-CN"/>
              </w:rPr>
              <w:t>00</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4</w:t>
            </w:r>
          </w:p>
        </w:tc>
        <w:tc>
          <w:tcPr>
            <w:tcW w:w="643" w:type="dxa"/>
            <w:shd w:val="clear" w:color="auto" w:fill="auto"/>
            <w:vAlign w:val="center"/>
          </w:tcPr>
          <w:p w14:paraId="16319E9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6F70DCA5">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572D2A9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602C7AF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w:t>
            </w:r>
          </w:p>
        </w:tc>
        <w:tc>
          <w:tcPr>
            <w:tcW w:w="552" w:type="dxa"/>
            <w:shd w:val="clear" w:color="auto" w:fill="auto"/>
            <w:vAlign w:val="center"/>
          </w:tcPr>
          <w:p w14:paraId="078E5745">
            <w:pPr>
              <w:snapToGrid w:val="0"/>
              <w:spacing w:before="74"/>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DA003</w:t>
            </w:r>
          </w:p>
        </w:tc>
        <w:tc>
          <w:tcPr>
            <w:tcW w:w="450" w:type="dxa"/>
            <w:shd w:val="clear" w:color="auto" w:fill="auto"/>
            <w:vAlign w:val="center"/>
          </w:tcPr>
          <w:p w14:paraId="59C9A79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348</w:t>
            </w:r>
          </w:p>
        </w:tc>
        <w:tc>
          <w:tcPr>
            <w:tcW w:w="434" w:type="dxa"/>
            <w:shd w:val="clear" w:color="auto" w:fill="auto"/>
            <w:vAlign w:val="center"/>
          </w:tcPr>
          <w:p w14:paraId="5D6B187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119</w:t>
            </w:r>
          </w:p>
        </w:tc>
        <w:tc>
          <w:tcPr>
            <w:tcW w:w="420" w:type="dxa"/>
            <w:shd w:val="clear" w:color="auto" w:fill="auto"/>
            <w:vAlign w:val="center"/>
          </w:tcPr>
          <w:p w14:paraId="02E2C56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0D03A11D">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6780074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5AFA097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4.44</w:t>
            </w:r>
          </w:p>
        </w:tc>
        <w:tc>
          <w:tcPr>
            <w:tcW w:w="450" w:type="dxa"/>
            <w:shd w:val="clear" w:color="auto" w:fill="auto"/>
            <w:vAlign w:val="center"/>
          </w:tcPr>
          <w:p w14:paraId="1A9C038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1151772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776A7E14">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1CCCB9F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29E80371">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5A76F30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31316D5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144534B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6BD3A2CA">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caps w:val="0"/>
                <w:smallCaps w:val="0"/>
                <w:color w:val="auto"/>
                <w:spacing w:val="0"/>
                <w:sz w:val="21"/>
                <w:highlight w:val="none"/>
              </w:rPr>
              <w:t>1.</w:t>
            </w:r>
            <w:r>
              <w:rPr>
                <w:rFonts w:hint="eastAsia"/>
                <w:caps w:val="0"/>
                <w:smallCaps w:val="0"/>
                <w:color w:val="auto"/>
                <w:spacing w:val="0"/>
                <w:sz w:val="21"/>
                <w:highlight w:val="none"/>
                <w:lang w:val="en-US" w:eastAsia="zh-CN"/>
              </w:rPr>
              <w:t>41</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51B80A87">
            <w:pPr>
              <w:pStyle w:val="171"/>
              <w:widowControl/>
              <w:adjustRightInd/>
              <w:spacing w:before="0" w:beforeLines="0" w:after="0" w:afterLines="0" w:line="240" w:lineRule="auto"/>
              <w:ind w:firstLine="0" w:firstLineChars="0"/>
              <w:rPr>
                <w:caps w:val="0"/>
                <w:smallCaps w:val="0"/>
                <w:color w:val="auto"/>
                <w:spacing w:val="0"/>
                <w:sz w:val="21"/>
                <w:highlight w:val="none"/>
              </w:rPr>
            </w:pPr>
            <w:r>
              <w:rPr>
                <w:rFonts w:hint="eastAsia"/>
                <w:caps w:val="0"/>
                <w:smallCaps w:val="0"/>
                <w:color w:val="auto"/>
                <w:spacing w:val="0"/>
                <w:sz w:val="21"/>
                <w:highlight w:val="none"/>
                <w:lang w:val="en-US" w:eastAsia="zh-CN"/>
              </w:rPr>
              <w:t>5.66</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7</w:t>
            </w:r>
          </w:p>
        </w:tc>
        <w:tc>
          <w:tcPr>
            <w:tcW w:w="509" w:type="dxa"/>
            <w:shd w:val="clear" w:color="auto" w:fill="auto"/>
            <w:vAlign w:val="center"/>
          </w:tcPr>
          <w:p w14:paraId="6A9EE71E">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3570456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2A6683A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w:t>
            </w:r>
          </w:p>
        </w:tc>
        <w:tc>
          <w:tcPr>
            <w:tcW w:w="552" w:type="dxa"/>
            <w:shd w:val="clear" w:color="auto" w:fill="auto"/>
            <w:vAlign w:val="center"/>
          </w:tcPr>
          <w:p w14:paraId="6D9F974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DA004</w:t>
            </w:r>
          </w:p>
        </w:tc>
        <w:tc>
          <w:tcPr>
            <w:tcW w:w="450" w:type="dxa"/>
            <w:shd w:val="clear" w:color="auto" w:fill="auto"/>
            <w:vAlign w:val="center"/>
          </w:tcPr>
          <w:p w14:paraId="71AA939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114</w:t>
            </w:r>
          </w:p>
        </w:tc>
        <w:tc>
          <w:tcPr>
            <w:tcW w:w="434" w:type="dxa"/>
            <w:shd w:val="clear" w:color="auto" w:fill="auto"/>
            <w:vAlign w:val="center"/>
          </w:tcPr>
          <w:p w14:paraId="42451FA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219</w:t>
            </w:r>
          </w:p>
        </w:tc>
        <w:tc>
          <w:tcPr>
            <w:tcW w:w="420" w:type="dxa"/>
            <w:shd w:val="clear" w:color="auto" w:fill="auto"/>
            <w:vAlign w:val="center"/>
          </w:tcPr>
          <w:p w14:paraId="182BB46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4BFFCD31">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0088AF2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7BC64B5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4.44</w:t>
            </w:r>
          </w:p>
        </w:tc>
        <w:tc>
          <w:tcPr>
            <w:tcW w:w="450" w:type="dxa"/>
            <w:shd w:val="clear" w:color="auto" w:fill="auto"/>
            <w:vAlign w:val="center"/>
          </w:tcPr>
          <w:p w14:paraId="3ECB42E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0E9B624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510A66C7">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62AAB72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38DA787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469C0A3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3BF82F8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69CD29D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15DEF4FB">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caps w:val="0"/>
                <w:smallCaps w:val="0"/>
                <w:color w:val="auto"/>
                <w:spacing w:val="0"/>
                <w:sz w:val="21"/>
                <w:highlight w:val="none"/>
              </w:rPr>
              <w:t>1.</w:t>
            </w:r>
            <w:r>
              <w:rPr>
                <w:rFonts w:hint="eastAsia"/>
                <w:caps w:val="0"/>
                <w:smallCaps w:val="0"/>
                <w:color w:val="auto"/>
                <w:spacing w:val="0"/>
                <w:sz w:val="21"/>
                <w:highlight w:val="none"/>
                <w:lang w:val="en-US" w:eastAsia="zh-CN"/>
              </w:rPr>
              <w:t>41</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674BF0F0">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rFonts w:hint="eastAsia"/>
                <w:caps w:val="0"/>
                <w:smallCaps w:val="0"/>
                <w:color w:val="auto"/>
                <w:spacing w:val="0"/>
                <w:sz w:val="21"/>
                <w:highlight w:val="none"/>
                <w:lang w:val="en-US" w:eastAsia="zh-CN"/>
              </w:rPr>
              <w:t>5.66</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7</w:t>
            </w:r>
          </w:p>
        </w:tc>
        <w:tc>
          <w:tcPr>
            <w:tcW w:w="509" w:type="dxa"/>
            <w:shd w:val="clear" w:color="auto" w:fill="auto"/>
            <w:vAlign w:val="center"/>
          </w:tcPr>
          <w:p w14:paraId="0C9FE5C2">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440D778B">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791E2BC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w:t>
            </w:r>
          </w:p>
        </w:tc>
        <w:tc>
          <w:tcPr>
            <w:tcW w:w="552" w:type="dxa"/>
            <w:shd w:val="clear" w:color="auto" w:fill="auto"/>
            <w:vAlign w:val="center"/>
          </w:tcPr>
          <w:p w14:paraId="1CA896FF">
            <w:pPr>
              <w:snapToGrid w:val="0"/>
              <w:spacing w:before="74"/>
              <w:jc w:val="center"/>
              <w:textAlignment w:val="center"/>
              <w:rPr>
                <w:rFonts w:hint="eastAsia" w:ascii="Times New Roman" w:hAnsi="Times New Roman" w:eastAsia="宋体" w:cs="Times New Roman"/>
                <w:caps w:val="0"/>
                <w:smallCaps w:val="0"/>
                <w:color w:val="auto"/>
                <w:spacing w:val="0"/>
                <w:sz w:val="21"/>
                <w:highlight w:val="none"/>
                <w:lang w:eastAsia="zh-CN"/>
              </w:rPr>
            </w:pPr>
            <w:r>
              <w:rPr>
                <w:rStyle w:val="218"/>
                <w:rFonts w:ascii="Times New Roman" w:hAnsi="Times New Roman" w:cs="Times New Roman"/>
                <w:caps w:val="0"/>
                <w:smallCaps w:val="0"/>
                <w:color w:val="auto"/>
                <w:spacing w:val="0"/>
                <w:sz w:val="21"/>
                <w:szCs w:val="21"/>
                <w:highlight w:val="none"/>
                <w:lang w:bidi="ar"/>
              </w:rPr>
              <w:t>DA00</w:t>
            </w:r>
            <w:r>
              <w:rPr>
                <w:rStyle w:val="218"/>
                <w:rFonts w:hint="eastAsia" w:ascii="Times New Roman" w:hAnsi="Times New Roman" w:eastAsia="宋体" w:cs="Times New Roman"/>
                <w:caps w:val="0"/>
                <w:smallCaps w:val="0"/>
                <w:color w:val="auto"/>
                <w:spacing w:val="0"/>
                <w:sz w:val="21"/>
                <w:szCs w:val="21"/>
                <w:highlight w:val="none"/>
                <w:lang w:val="en-US" w:eastAsia="zh-CN" w:bidi="ar"/>
              </w:rPr>
              <w:t>5</w:t>
            </w:r>
          </w:p>
        </w:tc>
        <w:tc>
          <w:tcPr>
            <w:tcW w:w="450" w:type="dxa"/>
            <w:shd w:val="clear" w:color="auto" w:fill="auto"/>
            <w:vAlign w:val="center"/>
          </w:tcPr>
          <w:p w14:paraId="1FFA7CF7">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271</w:t>
            </w:r>
          </w:p>
        </w:tc>
        <w:tc>
          <w:tcPr>
            <w:tcW w:w="434" w:type="dxa"/>
            <w:shd w:val="clear" w:color="auto" w:fill="auto"/>
            <w:vAlign w:val="center"/>
          </w:tcPr>
          <w:p w14:paraId="22F8669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84</w:t>
            </w:r>
          </w:p>
        </w:tc>
        <w:tc>
          <w:tcPr>
            <w:tcW w:w="420" w:type="dxa"/>
            <w:shd w:val="clear" w:color="auto" w:fill="auto"/>
            <w:vAlign w:val="center"/>
          </w:tcPr>
          <w:p w14:paraId="6F94E317">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1E2DC25B">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4CBAE160">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163173BD">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highlight w:val="none"/>
              </w:rPr>
              <w:t>11.79</w:t>
            </w:r>
          </w:p>
        </w:tc>
        <w:tc>
          <w:tcPr>
            <w:tcW w:w="450" w:type="dxa"/>
            <w:shd w:val="clear" w:color="auto" w:fill="auto"/>
            <w:vAlign w:val="center"/>
          </w:tcPr>
          <w:p w14:paraId="26A50676">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1DED3C6D">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7200</w:t>
            </w:r>
          </w:p>
        </w:tc>
        <w:tc>
          <w:tcPr>
            <w:tcW w:w="366" w:type="dxa"/>
            <w:vMerge w:val="restart"/>
            <w:shd w:val="clear" w:color="auto" w:fill="auto"/>
            <w:vAlign w:val="center"/>
          </w:tcPr>
          <w:p w14:paraId="48A66E5E">
            <w:pPr>
              <w:pStyle w:val="171"/>
              <w:widowControl/>
              <w:adjustRightInd/>
              <w:spacing w:before="0" w:beforeLines="0" w:after="0" w:afterLines="0" w:line="240" w:lineRule="auto"/>
              <w:ind w:firstLine="0" w:firstLineChars="0"/>
              <w:rPr>
                <w:caps w:val="0"/>
                <w:smallCaps w:val="0"/>
                <w:color w:val="auto"/>
                <w:spacing w:val="0"/>
                <w:sz w:val="21"/>
                <w:highlight w:val="none"/>
              </w:rPr>
            </w:pPr>
          </w:p>
        </w:tc>
        <w:tc>
          <w:tcPr>
            <w:tcW w:w="445" w:type="dxa"/>
            <w:shd w:val="clear" w:color="auto" w:fill="auto"/>
            <w:vAlign w:val="center"/>
          </w:tcPr>
          <w:p w14:paraId="1C51EB0B">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6C54E4D1">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7E741ABC">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0FBC6A38">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5E63A481">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319D1AC0">
            <w:pPr>
              <w:pStyle w:val="171"/>
              <w:widowControl/>
              <w:adjustRightInd/>
              <w:spacing w:before="0" w:beforeLines="0" w:after="0" w:afterLines="0" w:line="240" w:lineRule="auto"/>
              <w:ind w:firstLine="0" w:firstLineChars="0"/>
              <w:rPr>
                <w:caps w:val="0"/>
                <w:smallCaps w:val="0"/>
                <w:color w:val="auto"/>
                <w:spacing w:val="0"/>
                <w:sz w:val="21"/>
                <w:highlight w:val="none"/>
              </w:rPr>
            </w:pPr>
            <w:r>
              <w:rPr>
                <w:rFonts w:hint="eastAsia"/>
                <w:caps w:val="0"/>
                <w:smallCaps w:val="0"/>
                <w:color w:val="auto"/>
                <w:spacing w:val="0"/>
                <w:sz w:val="21"/>
                <w:highlight w:val="none"/>
                <w:lang w:val="en-US" w:eastAsia="zh-CN"/>
              </w:rPr>
              <w:t>1.80</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583F81C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442D5364">
            <w:pPr>
              <w:pStyle w:val="171"/>
              <w:widowControl/>
              <w:adjustRightInd/>
              <w:spacing w:before="0" w:beforeLines="0" w:after="0" w:afterLines="0" w:line="240" w:lineRule="auto"/>
              <w:ind w:firstLine="0" w:firstLineChars="0"/>
              <w:rPr>
                <w:caps w:val="0"/>
                <w:smallCaps w:val="0"/>
                <w:color w:val="auto"/>
                <w:spacing w:val="0"/>
                <w:sz w:val="21"/>
                <w:highlight w:val="none"/>
              </w:rPr>
            </w:pPr>
            <w:r>
              <w:rPr>
                <w:rFonts w:hint="eastAsia"/>
                <w:caps w:val="0"/>
                <w:smallCaps w:val="0"/>
                <w:color w:val="auto"/>
                <w:spacing w:val="0"/>
                <w:sz w:val="21"/>
                <w:highlight w:val="none"/>
              </w:rPr>
              <w:t>-</w:t>
            </w:r>
          </w:p>
        </w:tc>
      </w:tr>
      <w:tr w14:paraId="156CB8A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18BF6AB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6</w:t>
            </w:r>
          </w:p>
        </w:tc>
        <w:tc>
          <w:tcPr>
            <w:tcW w:w="552" w:type="dxa"/>
            <w:shd w:val="clear" w:color="auto" w:fill="auto"/>
            <w:vAlign w:val="center"/>
          </w:tcPr>
          <w:p w14:paraId="6E3B0E2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DA006</w:t>
            </w:r>
          </w:p>
        </w:tc>
        <w:tc>
          <w:tcPr>
            <w:tcW w:w="450" w:type="dxa"/>
            <w:shd w:val="clear" w:color="auto" w:fill="auto"/>
            <w:vAlign w:val="center"/>
          </w:tcPr>
          <w:p w14:paraId="2DD6F13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129</w:t>
            </w:r>
          </w:p>
        </w:tc>
        <w:tc>
          <w:tcPr>
            <w:tcW w:w="434" w:type="dxa"/>
            <w:shd w:val="clear" w:color="auto" w:fill="auto"/>
            <w:vAlign w:val="center"/>
          </w:tcPr>
          <w:p w14:paraId="32A49A2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84</w:t>
            </w:r>
          </w:p>
        </w:tc>
        <w:tc>
          <w:tcPr>
            <w:tcW w:w="420" w:type="dxa"/>
            <w:shd w:val="clear" w:color="auto" w:fill="auto"/>
            <w:vAlign w:val="center"/>
          </w:tcPr>
          <w:p w14:paraId="4A2601B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01876CD1">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09417D8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212E474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8.89</w:t>
            </w:r>
          </w:p>
        </w:tc>
        <w:tc>
          <w:tcPr>
            <w:tcW w:w="450" w:type="dxa"/>
            <w:shd w:val="clear" w:color="auto" w:fill="auto"/>
            <w:vAlign w:val="center"/>
          </w:tcPr>
          <w:p w14:paraId="2800202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000A06E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407074AB">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628F722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09BE40C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534D16E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564EFF5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041DE4C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381B4FCF">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rFonts w:hint="eastAsia"/>
                <w:caps w:val="0"/>
                <w:smallCaps w:val="0"/>
                <w:color w:val="auto"/>
                <w:spacing w:val="0"/>
                <w:sz w:val="21"/>
                <w:highlight w:val="none"/>
                <w:lang w:val="en-US" w:eastAsia="zh-CN"/>
              </w:rPr>
              <w:t>1.30</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75F4BDE5">
            <w:pPr>
              <w:pStyle w:val="171"/>
              <w:widowControl/>
              <w:adjustRightInd/>
              <w:spacing w:before="0" w:beforeLines="0" w:after="0" w:afterLines="0" w:line="240" w:lineRule="auto"/>
              <w:ind w:firstLine="0" w:firstLineChars="0"/>
              <w:jc w:val="both"/>
              <w:rPr>
                <w:caps w:val="0"/>
                <w:smallCaps w:val="0"/>
                <w:color w:val="auto"/>
                <w:spacing w:val="0"/>
                <w:sz w:val="21"/>
                <w:highlight w:val="none"/>
              </w:rPr>
            </w:pPr>
            <w:r>
              <w:rPr>
                <w:rFonts w:hint="eastAsia"/>
                <w:caps w:val="0"/>
                <w:smallCaps w:val="0"/>
                <w:color w:val="auto"/>
                <w:spacing w:val="0"/>
                <w:sz w:val="21"/>
                <w:highlight w:val="none"/>
                <w:lang w:val="en-US" w:eastAsia="zh-CN"/>
              </w:rPr>
              <w:t>5.66</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7</w:t>
            </w:r>
          </w:p>
        </w:tc>
        <w:tc>
          <w:tcPr>
            <w:tcW w:w="509" w:type="dxa"/>
            <w:shd w:val="clear" w:color="auto" w:fill="auto"/>
            <w:vAlign w:val="center"/>
          </w:tcPr>
          <w:p w14:paraId="3883B1D8">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775A2BF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269C208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w:t>
            </w:r>
          </w:p>
        </w:tc>
        <w:tc>
          <w:tcPr>
            <w:tcW w:w="552" w:type="dxa"/>
            <w:shd w:val="clear" w:color="auto" w:fill="auto"/>
            <w:vAlign w:val="center"/>
          </w:tcPr>
          <w:p w14:paraId="77B9D3D0">
            <w:pPr>
              <w:snapToGrid w:val="0"/>
              <w:spacing w:before="74"/>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DA007</w:t>
            </w:r>
          </w:p>
        </w:tc>
        <w:tc>
          <w:tcPr>
            <w:tcW w:w="450" w:type="dxa"/>
            <w:shd w:val="clear" w:color="auto" w:fill="auto"/>
            <w:vAlign w:val="center"/>
          </w:tcPr>
          <w:p w14:paraId="4059DA51">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348</w:t>
            </w:r>
          </w:p>
        </w:tc>
        <w:tc>
          <w:tcPr>
            <w:tcW w:w="434" w:type="dxa"/>
            <w:shd w:val="clear" w:color="auto" w:fill="auto"/>
            <w:vAlign w:val="center"/>
          </w:tcPr>
          <w:p w14:paraId="4443063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124</w:t>
            </w:r>
          </w:p>
        </w:tc>
        <w:tc>
          <w:tcPr>
            <w:tcW w:w="420" w:type="dxa"/>
            <w:shd w:val="clear" w:color="auto" w:fill="auto"/>
            <w:vAlign w:val="center"/>
          </w:tcPr>
          <w:p w14:paraId="3CAB3C3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78E34983">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09F4BDA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03C451B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17.71</w:t>
            </w:r>
          </w:p>
        </w:tc>
        <w:tc>
          <w:tcPr>
            <w:tcW w:w="450" w:type="dxa"/>
            <w:shd w:val="clear" w:color="auto" w:fill="auto"/>
            <w:vAlign w:val="center"/>
          </w:tcPr>
          <w:p w14:paraId="6391DE6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7C5E1AF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023D7762">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08AF26A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5773AB0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2E40581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0.022</w:t>
            </w:r>
          </w:p>
        </w:tc>
        <w:tc>
          <w:tcPr>
            <w:tcW w:w="461" w:type="dxa"/>
            <w:shd w:val="clear" w:color="auto" w:fill="auto"/>
            <w:vAlign w:val="center"/>
          </w:tcPr>
          <w:p w14:paraId="57F5AEC1">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0021EFB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06FB706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43" w:type="dxa"/>
            <w:shd w:val="clear" w:color="auto" w:fill="auto"/>
            <w:vAlign w:val="center"/>
          </w:tcPr>
          <w:p w14:paraId="32C564C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33AD3291">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3C13790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3F3E37AB">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w:t>
            </w:r>
          </w:p>
        </w:tc>
        <w:tc>
          <w:tcPr>
            <w:tcW w:w="552" w:type="dxa"/>
            <w:shd w:val="clear" w:color="auto" w:fill="auto"/>
            <w:vAlign w:val="center"/>
          </w:tcPr>
          <w:p w14:paraId="5622D606">
            <w:pPr>
              <w:snapToGrid w:val="0"/>
              <w:spacing w:before="74"/>
              <w:jc w:val="center"/>
              <w:textAlignment w:val="center"/>
              <w:rPr>
                <w:rStyle w:val="218"/>
                <w:rFonts w:ascii="Times New Roman" w:hAnsi="Times New Roman" w:cs="Times New Roman"/>
                <w:caps w:val="0"/>
                <w:smallCaps w:val="0"/>
                <w:color w:val="auto"/>
                <w:spacing w:val="0"/>
                <w:sz w:val="21"/>
                <w:szCs w:val="21"/>
                <w:highlight w:val="none"/>
                <w:lang w:bidi="ar"/>
              </w:rPr>
            </w:pPr>
            <w:r>
              <w:rPr>
                <w:rStyle w:val="218"/>
                <w:rFonts w:ascii="Times New Roman" w:hAnsi="Times New Roman" w:cs="Times New Roman"/>
                <w:caps w:val="0"/>
                <w:smallCaps w:val="0"/>
                <w:color w:val="auto"/>
                <w:spacing w:val="0"/>
                <w:sz w:val="21"/>
                <w:szCs w:val="21"/>
                <w:highlight w:val="none"/>
                <w:lang w:bidi="ar"/>
              </w:rPr>
              <w:t>DA00</w:t>
            </w:r>
            <w:r>
              <w:rPr>
                <w:rStyle w:val="218"/>
                <w:rFonts w:hint="eastAsia" w:ascii="Times New Roman" w:hAnsi="Times New Roman" w:eastAsia="宋体" w:cs="Times New Roman"/>
                <w:caps w:val="0"/>
                <w:smallCaps w:val="0"/>
                <w:color w:val="auto"/>
                <w:spacing w:val="0"/>
                <w:sz w:val="21"/>
                <w:szCs w:val="21"/>
                <w:highlight w:val="none"/>
                <w:lang w:val="en-US" w:eastAsia="zh-CN" w:bidi="ar"/>
              </w:rPr>
              <w:t>8</w:t>
            </w:r>
          </w:p>
        </w:tc>
        <w:tc>
          <w:tcPr>
            <w:tcW w:w="450" w:type="dxa"/>
            <w:shd w:val="clear" w:color="auto" w:fill="auto"/>
            <w:vAlign w:val="center"/>
          </w:tcPr>
          <w:p w14:paraId="050691B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97</w:t>
            </w:r>
          </w:p>
        </w:tc>
        <w:tc>
          <w:tcPr>
            <w:tcW w:w="434" w:type="dxa"/>
            <w:shd w:val="clear" w:color="auto" w:fill="auto"/>
            <w:vAlign w:val="center"/>
          </w:tcPr>
          <w:p w14:paraId="39C8DBC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81</w:t>
            </w:r>
          </w:p>
        </w:tc>
        <w:tc>
          <w:tcPr>
            <w:tcW w:w="420" w:type="dxa"/>
            <w:shd w:val="clear" w:color="auto" w:fill="auto"/>
            <w:vAlign w:val="center"/>
          </w:tcPr>
          <w:p w14:paraId="41C34897">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295B9D19">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1870A75C">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6D473C5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highlight w:val="none"/>
              </w:rPr>
              <w:t>14.88</w:t>
            </w:r>
          </w:p>
        </w:tc>
        <w:tc>
          <w:tcPr>
            <w:tcW w:w="450" w:type="dxa"/>
            <w:shd w:val="clear" w:color="auto" w:fill="auto"/>
            <w:vAlign w:val="center"/>
          </w:tcPr>
          <w:p w14:paraId="293CDE90">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3601184D">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7200</w:t>
            </w:r>
          </w:p>
        </w:tc>
        <w:tc>
          <w:tcPr>
            <w:tcW w:w="366" w:type="dxa"/>
            <w:vMerge w:val="restart"/>
            <w:shd w:val="clear" w:color="auto" w:fill="auto"/>
            <w:vAlign w:val="center"/>
          </w:tcPr>
          <w:p w14:paraId="5CCA190B">
            <w:pPr>
              <w:pStyle w:val="171"/>
              <w:widowControl/>
              <w:adjustRightInd/>
              <w:spacing w:before="0" w:beforeLines="0" w:after="0" w:afterLines="0" w:line="240" w:lineRule="auto"/>
              <w:ind w:firstLine="0" w:firstLineChars="0"/>
              <w:rPr>
                <w:caps w:val="0"/>
                <w:smallCaps w:val="0"/>
                <w:color w:val="auto"/>
                <w:spacing w:val="0"/>
                <w:sz w:val="21"/>
                <w:highlight w:val="none"/>
              </w:rPr>
            </w:pPr>
          </w:p>
        </w:tc>
        <w:tc>
          <w:tcPr>
            <w:tcW w:w="445" w:type="dxa"/>
            <w:shd w:val="clear" w:color="auto" w:fill="auto"/>
            <w:vAlign w:val="center"/>
          </w:tcPr>
          <w:p w14:paraId="3C5515C7">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0.00953</w:t>
            </w:r>
          </w:p>
        </w:tc>
        <w:tc>
          <w:tcPr>
            <w:tcW w:w="574" w:type="dxa"/>
            <w:shd w:val="clear" w:color="auto" w:fill="auto"/>
            <w:vAlign w:val="center"/>
          </w:tcPr>
          <w:p w14:paraId="32533008">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0.00153</w:t>
            </w:r>
          </w:p>
        </w:tc>
        <w:tc>
          <w:tcPr>
            <w:tcW w:w="471" w:type="dxa"/>
            <w:shd w:val="clear" w:color="auto" w:fill="auto"/>
            <w:vAlign w:val="center"/>
          </w:tcPr>
          <w:p w14:paraId="4B9B70D4">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3459682D">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362C4745">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kern w:val="0"/>
                <w:sz w:val="21"/>
                <w:highlight w:val="none"/>
                <w:lang w:bidi="ar"/>
              </w:rPr>
              <w:t>7</w:t>
            </w:r>
            <w:r>
              <w:rPr>
                <w:rFonts w:hint="eastAsia"/>
                <w:caps w:val="0"/>
                <w:smallCaps w:val="0"/>
                <w:color w:val="auto"/>
                <w:spacing w:val="0"/>
                <w:kern w:val="0"/>
                <w:sz w:val="21"/>
                <w:highlight w:val="none"/>
                <w:lang w:bidi="ar"/>
              </w:rPr>
              <w:t>.</w:t>
            </w:r>
            <w:r>
              <w:rPr>
                <w:caps w:val="0"/>
                <w:smallCaps w:val="0"/>
                <w:color w:val="auto"/>
                <w:spacing w:val="0"/>
                <w:kern w:val="0"/>
                <w:sz w:val="21"/>
                <w:highlight w:val="none"/>
                <w:lang w:bidi="ar"/>
              </w:rPr>
              <w:t>89×10</w:t>
            </w:r>
            <w:r>
              <w:rPr>
                <w:caps w:val="0"/>
                <w:smallCaps w:val="0"/>
                <w:color w:val="auto"/>
                <w:spacing w:val="0"/>
                <w:kern w:val="0"/>
                <w:sz w:val="21"/>
                <w:highlight w:val="none"/>
                <w:vertAlign w:val="superscript"/>
                <w:lang w:bidi="ar"/>
              </w:rPr>
              <w:t>-</w:t>
            </w:r>
            <w:r>
              <w:rPr>
                <w:rFonts w:hint="eastAsia"/>
                <w:caps w:val="0"/>
                <w:smallCaps w:val="0"/>
                <w:color w:val="auto"/>
                <w:spacing w:val="0"/>
                <w:kern w:val="0"/>
                <w:sz w:val="21"/>
                <w:highlight w:val="none"/>
                <w:vertAlign w:val="superscript"/>
                <w:lang w:bidi="ar"/>
              </w:rPr>
              <w:t>6</w:t>
            </w:r>
          </w:p>
        </w:tc>
        <w:tc>
          <w:tcPr>
            <w:tcW w:w="639" w:type="dxa"/>
            <w:shd w:val="clear" w:color="auto" w:fill="auto"/>
            <w:vAlign w:val="center"/>
          </w:tcPr>
          <w:p w14:paraId="122CBF94">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643" w:type="dxa"/>
            <w:shd w:val="clear" w:color="auto" w:fill="auto"/>
            <w:vAlign w:val="center"/>
          </w:tcPr>
          <w:p w14:paraId="1FEDB73B">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46CD68E3">
            <w:pPr>
              <w:pStyle w:val="171"/>
              <w:widowControl/>
              <w:adjustRightInd/>
              <w:spacing w:before="0" w:beforeLines="0" w:after="0" w:afterLines="0" w:line="240" w:lineRule="auto"/>
              <w:ind w:firstLine="0" w:firstLineChars="0"/>
              <w:rPr>
                <w:rFonts w:hint="eastAsia"/>
                <w:caps w:val="0"/>
                <w:smallCaps w:val="0"/>
                <w:color w:val="auto"/>
                <w:spacing w:val="0"/>
                <w:sz w:val="21"/>
                <w:highlight w:val="none"/>
              </w:rPr>
            </w:pPr>
            <w:r>
              <w:rPr>
                <w:rFonts w:hint="eastAsia"/>
                <w:caps w:val="0"/>
                <w:smallCaps w:val="0"/>
                <w:color w:val="auto"/>
                <w:spacing w:val="0"/>
                <w:kern w:val="0"/>
                <w:sz w:val="21"/>
                <w:highlight w:val="none"/>
                <w:lang w:bidi="ar"/>
              </w:rPr>
              <w:t>3.06</w:t>
            </w:r>
            <w:r>
              <w:rPr>
                <w:caps w:val="0"/>
                <w:smallCaps w:val="0"/>
                <w:color w:val="auto"/>
                <w:spacing w:val="0"/>
                <w:kern w:val="0"/>
                <w:sz w:val="21"/>
                <w:highlight w:val="none"/>
                <w:lang w:bidi="ar"/>
              </w:rPr>
              <w:t>×10</w:t>
            </w:r>
            <w:r>
              <w:rPr>
                <w:caps w:val="0"/>
                <w:smallCaps w:val="0"/>
                <w:color w:val="auto"/>
                <w:spacing w:val="0"/>
                <w:kern w:val="0"/>
                <w:sz w:val="21"/>
                <w:highlight w:val="none"/>
                <w:vertAlign w:val="superscript"/>
                <w:lang w:bidi="ar"/>
              </w:rPr>
              <w:t>-</w:t>
            </w:r>
            <w:r>
              <w:rPr>
                <w:rFonts w:hint="eastAsia"/>
                <w:caps w:val="0"/>
                <w:smallCaps w:val="0"/>
                <w:color w:val="auto"/>
                <w:spacing w:val="0"/>
                <w:kern w:val="0"/>
                <w:sz w:val="21"/>
                <w:highlight w:val="none"/>
                <w:vertAlign w:val="superscript"/>
                <w:lang w:bidi="ar"/>
              </w:rPr>
              <w:t>7</w:t>
            </w:r>
          </w:p>
        </w:tc>
      </w:tr>
      <w:tr w14:paraId="0AB49CA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538BDC06">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9</w:t>
            </w:r>
          </w:p>
        </w:tc>
        <w:tc>
          <w:tcPr>
            <w:tcW w:w="552" w:type="dxa"/>
            <w:shd w:val="clear" w:color="auto" w:fill="auto"/>
            <w:vAlign w:val="center"/>
          </w:tcPr>
          <w:p w14:paraId="6E337C5D">
            <w:pPr>
              <w:pStyle w:val="171"/>
              <w:widowControl/>
              <w:adjustRightInd/>
              <w:spacing w:before="0" w:beforeLines="0" w:after="0" w:afterLines="0" w:line="240" w:lineRule="auto"/>
              <w:ind w:firstLine="0"/>
              <w:rPr>
                <w:rStyle w:val="218"/>
                <w:rFonts w:hint="eastAsia" w:ascii="Times New Roman" w:hAnsi="Times New Roman" w:eastAsia="宋体" w:cs="Times New Roman"/>
                <w:caps w:val="0"/>
                <w:smallCaps w:val="0"/>
                <w:color w:val="auto"/>
                <w:spacing w:val="0"/>
                <w:sz w:val="21"/>
                <w:szCs w:val="21"/>
                <w:highlight w:val="none"/>
                <w:lang w:eastAsia="zh-CN" w:bidi="ar"/>
              </w:rPr>
            </w:pPr>
            <w:r>
              <w:rPr>
                <w:caps w:val="0"/>
                <w:smallCaps w:val="0"/>
                <w:color w:val="auto"/>
                <w:spacing w:val="0"/>
                <w:sz w:val="21"/>
                <w:highlight w:val="none"/>
              </w:rPr>
              <w:t>DA00</w:t>
            </w:r>
            <w:r>
              <w:rPr>
                <w:rFonts w:hint="eastAsia"/>
                <w:caps w:val="0"/>
                <w:smallCaps w:val="0"/>
                <w:color w:val="auto"/>
                <w:spacing w:val="0"/>
                <w:sz w:val="21"/>
                <w:highlight w:val="none"/>
                <w:lang w:val="en-US" w:eastAsia="zh-CN"/>
              </w:rPr>
              <w:t>9</w:t>
            </w:r>
          </w:p>
        </w:tc>
        <w:tc>
          <w:tcPr>
            <w:tcW w:w="450" w:type="dxa"/>
            <w:shd w:val="clear" w:color="auto" w:fill="auto"/>
            <w:vAlign w:val="center"/>
          </w:tcPr>
          <w:p w14:paraId="246DDC9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348</w:t>
            </w:r>
          </w:p>
        </w:tc>
        <w:tc>
          <w:tcPr>
            <w:tcW w:w="434" w:type="dxa"/>
            <w:shd w:val="clear" w:color="auto" w:fill="auto"/>
            <w:vAlign w:val="center"/>
          </w:tcPr>
          <w:p w14:paraId="6A91489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136</w:t>
            </w:r>
          </w:p>
        </w:tc>
        <w:tc>
          <w:tcPr>
            <w:tcW w:w="420" w:type="dxa"/>
            <w:shd w:val="clear" w:color="auto" w:fill="auto"/>
            <w:vAlign w:val="center"/>
          </w:tcPr>
          <w:p w14:paraId="3A54B68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489A6B42">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22CBBEB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7254F56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7.86</w:t>
            </w:r>
          </w:p>
        </w:tc>
        <w:tc>
          <w:tcPr>
            <w:tcW w:w="450" w:type="dxa"/>
            <w:shd w:val="clear" w:color="auto" w:fill="auto"/>
            <w:vAlign w:val="center"/>
          </w:tcPr>
          <w:p w14:paraId="1775980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6624EC8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2400</w:t>
            </w:r>
          </w:p>
        </w:tc>
        <w:tc>
          <w:tcPr>
            <w:tcW w:w="366" w:type="dxa"/>
            <w:vMerge w:val="continue"/>
            <w:shd w:val="clear" w:color="auto" w:fill="auto"/>
            <w:vAlign w:val="center"/>
          </w:tcPr>
          <w:p w14:paraId="3953CECE">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02C31DD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425CCCE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108B5A0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4.40×10</w:t>
            </w:r>
            <w:r>
              <w:rPr>
                <w:caps w:val="0"/>
                <w:smallCaps w:val="0"/>
                <w:color w:val="auto"/>
                <w:spacing w:val="0"/>
                <w:sz w:val="21"/>
                <w:highlight w:val="none"/>
                <w:vertAlign w:val="superscript"/>
              </w:rPr>
              <w:t>-6</w:t>
            </w:r>
          </w:p>
        </w:tc>
        <w:tc>
          <w:tcPr>
            <w:tcW w:w="461" w:type="dxa"/>
            <w:shd w:val="clear" w:color="auto" w:fill="auto"/>
            <w:vAlign w:val="center"/>
          </w:tcPr>
          <w:p w14:paraId="592775F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8.06×10</w:t>
            </w:r>
            <w:r>
              <w:rPr>
                <w:caps w:val="0"/>
                <w:smallCaps w:val="0"/>
                <w:color w:val="auto"/>
                <w:spacing w:val="0"/>
                <w:sz w:val="21"/>
                <w:highlight w:val="none"/>
                <w:vertAlign w:val="superscript"/>
              </w:rPr>
              <w:t>-6</w:t>
            </w:r>
          </w:p>
        </w:tc>
        <w:tc>
          <w:tcPr>
            <w:tcW w:w="465" w:type="dxa"/>
            <w:shd w:val="clear" w:color="auto" w:fill="auto"/>
            <w:vAlign w:val="center"/>
          </w:tcPr>
          <w:p w14:paraId="6F9F6B5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8.51×10</w:t>
            </w:r>
            <w:r>
              <w:rPr>
                <w:caps w:val="0"/>
                <w:smallCaps w:val="0"/>
                <w:color w:val="auto"/>
                <w:spacing w:val="0"/>
                <w:sz w:val="21"/>
                <w:highlight w:val="none"/>
                <w:vertAlign w:val="superscript"/>
              </w:rPr>
              <w:t>-7</w:t>
            </w:r>
          </w:p>
        </w:tc>
        <w:tc>
          <w:tcPr>
            <w:tcW w:w="639" w:type="dxa"/>
            <w:shd w:val="clear" w:color="auto" w:fill="auto"/>
            <w:vAlign w:val="center"/>
          </w:tcPr>
          <w:p w14:paraId="46CD0B7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43" w:type="dxa"/>
            <w:shd w:val="clear" w:color="auto" w:fill="auto"/>
            <w:vAlign w:val="center"/>
          </w:tcPr>
          <w:p w14:paraId="4AEEAEA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1F8E7C75">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bl>
    <w:p w14:paraId="1B218231">
      <w:pPr>
        <w:pStyle w:val="96"/>
        <w:tabs>
          <w:tab w:val="left" w:pos="6033"/>
          <w:tab w:val="left" w:pos="6271"/>
        </w:tabs>
        <w:autoSpaceDE w:val="0"/>
        <w:autoSpaceDN w:val="0"/>
        <w:spacing w:before="120" w:line="480" w:lineRule="exact"/>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表2.5-</w:t>
      </w:r>
      <w:r>
        <w:rPr>
          <w:rFonts w:hint="eastAsia" w:ascii="Times New Roman" w:hAnsi="Times New Roman" w:eastAsia="宋体" w:cs="Times New Roman"/>
          <w:b/>
          <w:caps w:val="0"/>
          <w:smallCaps w:val="0"/>
          <w:color w:val="auto"/>
          <w:spacing w:val="0"/>
          <w:szCs w:val="24"/>
          <w:highlight w:val="none"/>
        </w:rPr>
        <w:t>4面</w:t>
      </w:r>
      <w:r>
        <w:rPr>
          <w:rFonts w:ascii="Times New Roman" w:hAnsi="Times New Roman" w:eastAsia="宋体" w:cs="Times New Roman"/>
          <w:b/>
          <w:caps w:val="0"/>
          <w:smallCaps w:val="0"/>
          <w:color w:val="auto"/>
          <w:spacing w:val="0"/>
          <w:szCs w:val="24"/>
          <w:highlight w:val="none"/>
        </w:rPr>
        <w:t>源参数表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1"/>
        <w:gridCol w:w="900"/>
        <w:gridCol w:w="1584"/>
        <w:gridCol w:w="1423"/>
        <w:gridCol w:w="737"/>
        <w:gridCol w:w="737"/>
        <w:gridCol w:w="680"/>
        <w:gridCol w:w="388"/>
        <w:gridCol w:w="604"/>
        <w:gridCol w:w="676"/>
        <w:gridCol w:w="630"/>
        <w:gridCol w:w="457"/>
      </w:tblGrid>
      <w:tr w14:paraId="63D6AA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53" w:type="pct"/>
            <w:vMerge w:val="restart"/>
            <w:vAlign w:val="center"/>
          </w:tcPr>
          <w:p w14:paraId="19307A7F">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编号</w:t>
            </w:r>
          </w:p>
        </w:tc>
        <w:tc>
          <w:tcPr>
            <w:tcW w:w="484" w:type="pct"/>
            <w:vMerge w:val="restart"/>
            <w:vAlign w:val="center"/>
          </w:tcPr>
          <w:p w14:paraId="6C336BA5">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名称</w:t>
            </w:r>
          </w:p>
        </w:tc>
        <w:tc>
          <w:tcPr>
            <w:tcW w:w="1616" w:type="pct"/>
            <w:gridSpan w:val="2"/>
            <w:vAlign w:val="center"/>
          </w:tcPr>
          <w:p w14:paraId="6FF550B7">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面源各顶点坐标（°）</w:t>
            </w:r>
          </w:p>
        </w:tc>
        <w:tc>
          <w:tcPr>
            <w:tcW w:w="397" w:type="pct"/>
            <w:vMerge w:val="restart"/>
            <w:vAlign w:val="center"/>
          </w:tcPr>
          <w:p w14:paraId="1A58BC82">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面源海拔高度（m）</w:t>
            </w:r>
          </w:p>
        </w:tc>
        <w:tc>
          <w:tcPr>
            <w:tcW w:w="397" w:type="pct"/>
            <w:vMerge w:val="restart"/>
            <w:vAlign w:val="center"/>
          </w:tcPr>
          <w:p w14:paraId="3BA68C85">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面源有效排放高度（m）</w:t>
            </w:r>
          </w:p>
        </w:tc>
        <w:tc>
          <w:tcPr>
            <w:tcW w:w="366" w:type="pct"/>
            <w:vMerge w:val="restart"/>
            <w:vAlign w:val="center"/>
          </w:tcPr>
          <w:p w14:paraId="507B613D">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年排放小时数（h）</w:t>
            </w:r>
          </w:p>
        </w:tc>
        <w:tc>
          <w:tcPr>
            <w:tcW w:w="209" w:type="pct"/>
            <w:vMerge w:val="restart"/>
            <w:vAlign w:val="center"/>
          </w:tcPr>
          <w:p w14:paraId="070737D8">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排放工况</w:t>
            </w:r>
          </w:p>
        </w:tc>
        <w:tc>
          <w:tcPr>
            <w:tcW w:w="1274" w:type="pct"/>
            <w:gridSpan w:val="4"/>
            <w:vAlign w:val="center"/>
          </w:tcPr>
          <w:p w14:paraId="290A7761">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污染物排放速率（kg/h）</w:t>
            </w:r>
          </w:p>
        </w:tc>
      </w:tr>
      <w:tr w14:paraId="38D31D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Merge w:val="continue"/>
            <w:vAlign w:val="center"/>
          </w:tcPr>
          <w:p w14:paraId="60C507EC">
            <w:pPr>
              <w:spacing w:line="0" w:lineRule="atLeast"/>
              <w:jc w:val="center"/>
              <w:rPr>
                <w:rFonts w:ascii="Times New Roman" w:hAnsi="宋体" w:eastAsia="宋体"/>
                <w:caps w:val="0"/>
                <w:smallCaps w:val="0"/>
                <w:color w:val="auto"/>
                <w:spacing w:val="0"/>
                <w:sz w:val="21"/>
                <w:highlight w:val="none"/>
              </w:rPr>
            </w:pPr>
          </w:p>
        </w:tc>
        <w:tc>
          <w:tcPr>
            <w:tcW w:w="484" w:type="pct"/>
            <w:vMerge w:val="continue"/>
            <w:vAlign w:val="center"/>
          </w:tcPr>
          <w:p w14:paraId="4092FC33">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0DF82180">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经度</w:t>
            </w:r>
          </w:p>
        </w:tc>
        <w:tc>
          <w:tcPr>
            <w:tcW w:w="765" w:type="pct"/>
            <w:vAlign w:val="center"/>
          </w:tcPr>
          <w:p w14:paraId="5F160EC6">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纬度</w:t>
            </w:r>
          </w:p>
        </w:tc>
        <w:tc>
          <w:tcPr>
            <w:tcW w:w="397" w:type="pct"/>
            <w:vMerge w:val="continue"/>
            <w:vAlign w:val="center"/>
          </w:tcPr>
          <w:p w14:paraId="5D62CB93">
            <w:pPr>
              <w:spacing w:line="0" w:lineRule="atLeast"/>
              <w:jc w:val="center"/>
              <w:rPr>
                <w:rFonts w:ascii="Times New Roman" w:hAnsi="宋体" w:eastAsia="宋体"/>
                <w:caps w:val="0"/>
                <w:smallCaps w:val="0"/>
                <w:color w:val="auto"/>
                <w:spacing w:val="0"/>
                <w:sz w:val="21"/>
                <w:highlight w:val="none"/>
              </w:rPr>
            </w:pPr>
          </w:p>
        </w:tc>
        <w:tc>
          <w:tcPr>
            <w:tcW w:w="397" w:type="pct"/>
            <w:vMerge w:val="continue"/>
            <w:vAlign w:val="center"/>
          </w:tcPr>
          <w:p w14:paraId="0A55C878">
            <w:pPr>
              <w:spacing w:line="0" w:lineRule="atLeast"/>
              <w:jc w:val="center"/>
              <w:rPr>
                <w:rFonts w:ascii="Times New Roman" w:hAnsi="宋体" w:eastAsia="宋体"/>
                <w:caps w:val="0"/>
                <w:smallCaps w:val="0"/>
                <w:color w:val="auto"/>
                <w:spacing w:val="0"/>
                <w:sz w:val="21"/>
                <w:highlight w:val="none"/>
              </w:rPr>
            </w:pPr>
          </w:p>
        </w:tc>
        <w:tc>
          <w:tcPr>
            <w:tcW w:w="366" w:type="pct"/>
            <w:vMerge w:val="continue"/>
            <w:vAlign w:val="center"/>
          </w:tcPr>
          <w:p w14:paraId="79D0D91A">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7A77D612">
            <w:pPr>
              <w:spacing w:line="0" w:lineRule="atLeast"/>
              <w:jc w:val="center"/>
              <w:rPr>
                <w:rFonts w:ascii="Times New Roman" w:hAnsi="宋体" w:eastAsia="宋体"/>
                <w:caps w:val="0"/>
                <w:smallCaps w:val="0"/>
                <w:color w:val="auto"/>
                <w:spacing w:val="0"/>
                <w:sz w:val="21"/>
                <w:highlight w:val="none"/>
              </w:rPr>
            </w:pPr>
          </w:p>
        </w:tc>
        <w:tc>
          <w:tcPr>
            <w:tcW w:w="325" w:type="pct"/>
            <w:vAlign w:val="center"/>
          </w:tcPr>
          <w:p w14:paraId="414E0491">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非甲烷总烃</w:t>
            </w:r>
          </w:p>
        </w:tc>
        <w:tc>
          <w:tcPr>
            <w:tcW w:w="364" w:type="pct"/>
            <w:vAlign w:val="center"/>
          </w:tcPr>
          <w:p w14:paraId="376D7789">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二甲苯</w:t>
            </w:r>
          </w:p>
        </w:tc>
        <w:tc>
          <w:tcPr>
            <w:tcW w:w="339" w:type="pct"/>
            <w:vAlign w:val="center"/>
          </w:tcPr>
          <w:p w14:paraId="3B4197DA">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氨气</w:t>
            </w:r>
          </w:p>
        </w:tc>
        <w:tc>
          <w:tcPr>
            <w:tcW w:w="245" w:type="pct"/>
            <w:vAlign w:val="center"/>
          </w:tcPr>
          <w:p w14:paraId="4DDEDFF0">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硫化氢</w:t>
            </w:r>
          </w:p>
        </w:tc>
      </w:tr>
      <w:tr w14:paraId="501CCC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4904816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w:t>
            </w:r>
          </w:p>
        </w:tc>
        <w:tc>
          <w:tcPr>
            <w:tcW w:w="484" w:type="pct"/>
            <w:vMerge w:val="restart"/>
            <w:vAlign w:val="center"/>
          </w:tcPr>
          <w:p w14:paraId="58A58EF5">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实验室废气</w:t>
            </w:r>
          </w:p>
        </w:tc>
        <w:tc>
          <w:tcPr>
            <w:tcW w:w="851" w:type="pct"/>
            <w:vAlign w:val="center"/>
          </w:tcPr>
          <w:p w14:paraId="18C53E4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130.46995433</w:t>
            </w:r>
          </w:p>
        </w:tc>
        <w:tc>
          <w:tcPr>
            <w:tcW w:w="765" w:type="pct"/>
            <w:vAlign w:val="center"/>
          </w:tcPr>
          <w:p w14:paraId="45F9632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46.81852939</w:t>
            </w:r>
          </w:p>
        </w:tc>
        <w:tc>
          <w:tcPr>
            <w:tcW w:w="397" w:type="pct"/>
            <w:vAlign w:val="center"/>
          </w:tcPr>
          <w:p w14:paraId="64877F7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0664F31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restart"/>
            <w:vAlign w:val="center"/>
          </w:tcPr>
          <w:p w14:paraId="57E6449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7200</w:t>
            </w:r>
          </w:p>
        </w:tc>
        <w:tc>
          <w:tcPr>
            <w:tcW w:w="209" w:type="pct"/>
            <w:vMerge w:val="continue"/>
            <w:vAlign w:val="center"/>
          </w:tcPr>
          <w:p w14:paraId="5D0F7051">
            <w:pPr>
              <w:spacing w:line="0" w:lineRule="atLeast"/>
              <w:jc w:val="center"/>
              <w:rPr>
                <w:rFonts w:ascii="Times New Roman" w:hAnsi="宋体" w:eastAsia="宋体"/>
                <w:caps w:val="0"/>
                <w:smallCaps w:val="0"/>
                <w:color w:val="auto"/>
                <w:spacing w:val="0"/>
                <w:sz w:val="21"/>
                <w:highlight w:val="none"/>
              </w:rPr>
            </w:pPr>
          </w:p>
        </w:tc>
        <w:tc>
          <w:tcPr>
            <w:tcW w:w="325" w:type="pct"/>
            <w:vMerge w:val="restart"/>
            <w:vAlign w:val="center"/>
          </w:tcPr>
          <w:p w14:paraId="737E8531">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364" w:type="pct"/>
            <w:vMerge w:val="restart"/>
            <w:vAlign w:val="center"/>
          </w:tcPr>
          <w:p w14:paraId="73237333">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8.96×10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339" w:type="pct"/>
            <w:vMerge w:val="restart"/>
            <w:vAlign w:val="center"/>
          </w:tcPr>
          <w:p w14:paraId="07F38E90">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245" w:type="pct"/>
            <w:vMerge w:val="restart"/>
            <w:vAlign w:val="center"/>
          </w:tcPr>
          <w:p w14:paraId="7F44154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r>
      <w:tr w14:paraId="2C6264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2852E1AF">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2</w:t>
            </w:r>
          </w:p>
        </w:tc>
        <w:tc>
          <w:tcPr>
            <w:tcW w:w="484" w:type="pct"/>
            <w:vMerge w:val="continue"/>
            <w:vAlign w:val="center"/>
          </w:tcPr>
          <w:p w14:paraId="63158A89">
            <w:pPr>
              <w:pStyle w:val="212"/>
              <w:rPr>
                <w:caps w:val="0"/>
                <w:smallCaps w:val="0"/>
                <w:color w:val="auto"/>
                <w:spacing w:val="0"/>
                <w:highlight w:val="none"/>
              </w:rPr>
            </w:pPr>
          </w:p>
        </w:tc>
        <w:tc>
          <w:tcPr>
            <w:tcW w:w="851" w:type="pct"/>
            <w:vAlign w:val="center"/>
          </w:tcPr>
          <w:p w14:paraId="4925573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130.47006123</w:t>
            </w:r>
          </w:p>
        </w:tc>
        <w:tc>
          <w:tcPr>
            <w:tcW w:w="765" w:type="pct"/>
            <w:vAlign w:val="center"/>
          </w:tcPr>
          <w:p w14:paraId="010BD3D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46.81844098</w:t>
            </w:r>
          </w:p>
        </w:tc>
        <w:tc>
          <w:tcPr>
            <w:tcW w:w="397" w:type="pct"/>
            <w:vAlign w:val="center"/>
          </w:tcPr>
          <w:p w14:paraId="6809DDA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6E59A10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1A8A46A0">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6378BB66">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24E10125">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5E8FF9FA">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4346C807">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2D06F1FD">
            <w:pPr>
              <w:spacing w:line="0" w:lineRule="atLeast"/>
              <w:jc w:val="center"/>
              <w:rPr>
                <w:rFonts w:ascii="Times New Roman" w:hAnsi="宋体" w:eastAsia="宋体"/>
                <w:caps w:val="0"/>
                <w:smallCaps w:val="0"/>
                <w:color w:val="auto"/>
                <w:spacing w:val="0"/>
                <w:sz w:val="21"/>
                <w:highlight w:val="none"/>
              </w:rPr>
            </w:pPr>
          </w:p>
        </w:tc>
      </w:tr>
      <w:tr w14:paraId="3EEA1C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0B20652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3</w:t>
            </w:r>
          </w:p>
        </w:tc>
        <w:tc>
          <w:tcPr>
            <w:tcW w:w="484" w:type="pct"/>
            <w:vMerge w:val="continue"/>
            <w:vAlign w:val="center"/>
          </w:tcPr>
          <w:p w14:paraId="3036C55E">
            <w:pPr>
              <w:pStyle w:val="212"/>
              <w:rPr>
                <w:caps w:val="0"/>
                <w:smallCaps w:val="0"/>
                <w:color w:val="auto"/>
                <w:spacing w:val="0"/>
                <w:highlight w:val="none"/>
              </w:rPr>
            </w:pPr>
          </w:p>
        </w:tc>
        <w:tc>
          <w:tcPr>
            <w:tcW w:w="851" w:type="pct"/>
            <w:vAlign w:val="center"/>
          </w:tcPr>
          <w:p w14:paraId="0236843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130.47026439</w:t>
            </w:r>
          </w:p>
        </w:tc>
        <w:tc>
          <w:tcPr>
            <w:tcW w:w="765" w:type="pct"/>
            <w:vAlign w:val="center"/>
          </w:tcPr>
          <w:p w14:paraId="691F7A1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46.81850660</w:t>
            </w:r>
          </w:p>
        </w:tc>
        <w:tc>
          <w:tcPr>
            <w:tcW w:w="397" w:type="pct"/>
            <w:vAlign w:val="center"/>
          </w:tcPr>
          <w:p w14:paraId="3CFF8AA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4E13367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72D05D7D">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015CAA98">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046A4D17">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6DB3F68E">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4641D185">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1C0110C1">
            <w:pPr>
              <w:spacing w:line="0" w:lineRule="atLeast"/>
              <w:jc w:val="center"/>
              <w:rPr>
                <w:rFonts w:ascii="Times New Roman" w:hAnsi="宋体" w:eastAsia="宋体"/>
                <w:caps w:val="0"/>
                <w:smallCaps w:val="0"/>
                <w:color w:val="auto"/>
                <w:spacing w:val="0"/>
                <w:sz w:val="21"/>
                <w:highlight w:val="none"/>
              </w:rPr>
            </w:pPr>
          </w:p>
        </w:tc>
      </w:tr>
      <w:tr w14:paraId="2BA1DE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3" w:type="pct"/>
            <w:vAlign w:val="center"/>
          </w:tcPr>
          <w:p w14:paraId="4C707E7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w:t>
            </w:r>
          </w:p>
        </w:tc>
        <w:tc>
          <w:tcPr>
            <w:tcW w:w="484" w:type="pct"/>
            <w:vMerge w:val="continue"/>
            <w:vAlign w:val="center"/>
          </w:tcPr>
          <w:p w14:paraId="4E01D00F">
            <w:pPr>
              <w:pStyle w:val="212"/>
              <w:rPr>
                <w:caps w:val="0"/>
                <w:smallCaps w:val="0"/>
                <w:color w:val="auto"/>
                <w:spacing w:val="0"/>
                <w:highlight w:val="none"/>
              </w:rPr>
            </w:pPr>
          </w:p>
        </w:tc>
        <w:tc>
          <w:tcPr>
            <w:tcW w:w="851" w:type="pct"/>
            <w:vAlign w:val="center"/>
          </w:tcPr>
          <w:p w14:paraId="2C57CEE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130.47011473,</w:t>
            </w:r>
          </w:p>
        </w:tc>
        <w:tc>
          <w:tcPr>
            <w:tcW w:w="765" w:type="pct"/>
            <w:vAlign w:val="center"/>
          </w:tcPr>
          <w:p w14:paraId="296D4BF5">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46.81864653</w:t>
            </w:r>
          </w:p>
        </w:tc>
        <w:tc>
          <w:tcPr>
            <w:tcW w:w="397" w:type="pct"/>
            <w:vAlign w:val="center"/>
          </w:tcPr>
          <w:p w14:paraId="5765271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39E4B58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3E474C66">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76237BD5">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48DB82A3">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76AFC3FB">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32E106B3">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1D4DB5B3">
            <w:pPr>
              <w:spacing w:line="0" w:lineRule="atLeast"/>
              <w:jc w:val="center"/>
              <w:rPr>
                <w:rFonts w:ascii="Times New Roman" w:hAnsi="宋体" w:eastAsia="宋体"/>
                <w:caps w:val="0"/>
                <w:smallCaps w:val="0"/>
                <w:color w:val="auto"/>
                <w:spacing w:val="0"/>
                <w:sz w:val="21"/>
                <w:highlight w:val="none"/>
              </w:rPr>
            </w:pPr>
          </w:p>
        </w:tc>
      </w:tr>
      <w:tr w14:paraId="48E200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59FCBCD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5</w:t>
            </w:r>
          </w:p>
        </w:tc>
        <w:tc>
          <w:tcPr>
            <w:tcW w:w="484" w:type="pct"/>
            <w:vMerge w:val="restart"/>
            <w:vAlign w:val="center"/>
          </w:tcPr>
          <w:p w14:paraId="647ADD34">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光刻胶涂覆曝光固化废气</w:t>
            </w:r>
          </w:p>
        </w:tc>
        <w:tc>
          <w:tcPr>
            <w:tcW w:w="851" w:type="pct"/>
            <w:vAlign w:val="center"/>
          </w:tcPr>
          <w:p w14:paraId="0766D49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130.46706694</w:t>
            </w:r>
          </w:p>
        </w:tc>
        <w:tc>
          <w:tcPr>
            <w:tcW w:w="765" w:type="pct"/>
            <w:vAlign w:val="center"/>
          </w:tcPr>
          <w:p w14:paraId="3EAA392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46.81669247</w:t>
            </w:r>
          </w:p>
        </w:tc>
        <w:tc>
          <w:tcPr>
            <w:tcW w:w="397" w:type="pct"/>
            <w:vAlign w:val="center"/>
          </w:tcPr>
          <w:p w14:paraId="3ACD68D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56C5E6C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15D534C1">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2F78767E">
            <w:pPr>
              <w:spacing w:line="0" w:lineRule="atLeast"/>
              <w:jc w:val="center"/>
              <w:rPr>
                <w:rFonts w:ascii="Times New Roman" w:hAnsi="宋体" w:eastAsia="宋体"/>
                <w:caps w:val="0"/>
                <w:smallCaps w:val="0"/>
                <w:color w:val="auto"/>
                <w:spacing w:val="0"/>
                <w:sz w:val="21"/>
                <w:highlight w:val="none"/>
              </w:rPr>
            </w:pPr>
          </w:p>
        </w:tc>
        <w:tc>
          <w:tcPr>
            <w:tcW w:w="325" w:type="pct"/>
            <w:vMerge w:val="restart"/>
            <w:vAlign w:val="center"/>
          </w:tcPr>
          <w:p w14:paraId="79FA05EE">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0.00578</w:t>
            </w:r>
          </w:p>
        </w:tc>
        <w:tc>
          <w:tcPr>
            <w:tcW w:w="364" w:type="pct"/>
            <w:vMerge w:val="restart"/>
            <w:vAlign w:val="center"/>
          </w:tcPr>
          <w:p w14:paraId="359C6FA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339" w:type="pct"/>
            <w:vMerge w:val="restart"/>
            <w:vAlign w:val="center"/>
          </w:tcPr>
          <w:p w14:paraId="3D6D7DD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245" w:type="pct"/>
            <w:vMerge w:val="restart"/>
            <w:vAlign w:val="center"/>
          </w:tcPr>
          <w:p w14:paraId="36158A5F">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r>
      <w:tr w14:paraId="38AFA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3E94F55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6</w:t>
            </w:r>
          </w:p>
        </w:tc>
        <w:tc>
          <w:tcPr>
            <w:tcW w:w="484" w:type="pct"/>
            <w:vMerge w:val="continue"/>
            <w:vAlign w:val="center"/>
          </w:tcPr>
          <w:p w14:paraId="79352066">
            <w:pPr>
              <w:pStyle w:val="212"/>
              <w:rPr>
                <w:caps w:val="0"/>
                <w:smallCaps w:val="0"/>
                <w:color w:val="auto"/>
                <w:spacing w:val="0"/>
                <w:highlight w:val="none"/>
              </w:rPr>
            </w:pPr>
          </w:p>
        </w:tc>
        <w:tc>
          <w:tcPr>
            <w:tcW w:w="851" w:type="pct"/>
            <w:vAlign w:val="center"/>
          </w:tcPr>
          <w:p w14:paraId="34A2C59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130.47033911</w:t>
            </w:r>
          </w:p>
        </w:tc>
        <w:tc>
          <w:tcPr>
            <w:tcW w:w="765" w:type="pct"/>
            <w:vAlign w:val="center"/>
          </w:tcPr>
          <w:p w14:paraId="6BC6511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46.81794080</w:t>
            </w:r>
          </w:p>
        </w:tc>
        <w:tc>
          <w:tcPr>
            <w:tcW w:w="397" w:type="pct"/>
            <w:vAlign w:val="center"/>
          </w:tcPr>
          <w:p w14:paraId="33A5B62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22E9CD8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7D39A43D">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7AF01AE1">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6AAC5CEA">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2A72EB54">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5D79D868">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7B446F2A">
            <w:pPr>
              <w:spacing w:line="0" w:lineRule="atLeast"/>
              <w:jc w:val="center"/>
              <w:rPr>
                <w:rFonts w:ascii="Times New Roman" w:hAnsi="宋体" w:eastAsia="宋体"/>
                <w:caps w:val="0"/>
                <w:smallCaps w:val="0"/>
                <w:color w:val="auto"/>
                <w:spacing w:val="0"/>
                <w:sz w:val="21"/>
                <w:highlight w:val="none"/>
              </w:rPr>
            </w:pPr>
          </w:p>
        </w:tc>
      </w:tr>
      <w:tr w14:paraId="4B4A4E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688CB24F">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w:t>
            </w:r>
          </w:p>
        </w:tc>
        <w:tc>
          <w:tcPr>
            <w:tcW w:w="484" w:type="pct"/>
            <w:vMerge w:val="continue"/>
            <w:vAlign w:val="center"/>
          </w:tcPr>
          <w:p w14:paraId="5BFFA797">
            <w:pPr>
              <w:pStyle w:val="212"/>
              <w:rPr>
                <w:caps w:val="0"/>
                <w:smallCaps w:val="0"/>
                <w:color w:val="auto"/>
                <w:spacing w:val="0"/>
                <w:highlight w:val="none"/>
              </w:rPr>
            </w:pPr>
          </w:p>
        </w:tc>
        <w:tc>
          <w:tcPr>
            <w:tcW w:w="851" w:type="pct"/>
            <w:vAlign w:val="center"/>
          </w:tcPr>
          <w:p w14:paraId="4458AC8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130.46980464</w:t>
            </w:r>
          </w:p>
        </w:tc>
        <w:tc>
          <w:tcPr>
            <w:tcW w:w="765" w:type="pct"/>
            <w:vAlign w:val="center"/>
          </w:tcPr>
          <w:p w14:paraId="2504EFD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46.81854444</w:t>
            </w:r>
          </w:p>
        </w:tc>
        <w:tc>
          <w:tcPr>
            <w:tcW w:w="397" w:type="pct"/>
            <w:vAlign w:val="center"/>
          </w:tcPr>
          <w:p w14:paraId="5B058A6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2B61E45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2E998D1E">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4288E0B3">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0BF60037">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3C925D5B">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11830EF2">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65A17EED">
            <w:pPr>
              <w:spacing w:line="0" w:lineRule="atLeast"/>
              <w:jc w:val="center"/>
              <w:rPr>
                <w:rFonts w:ascii="Times New Roman" w:hAnsi="宋体" w:eastAsia="宋体"/>
                <w:caps w:val="0"/>
                <w:smallCaps w:val="0"/>
                <w:color w:val="auto"/>
                <w:spacing w:val="0"/>
                <w:sz w:val="21"/>
                <w:highlight w:val="none"/>
              </w:rPr>
            </w:pPr>
          </w:p>
        </w:tc>
      </w:tr>
      <w:tr w14:paraId="6E94D8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585E216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8</w:t>
            </w:r>
          </w:p>
        </w:tc>
        <w:tc>
          <w:tcPr>
            <w:tcW w:w="484" w:type="pct"/>
            <w:vMerge w:val="continue"/>
            <w:vAlign w:val="center"/>
          </w:tcPr>
          <w:p w14:paraId="3FBB31CB">
            <w:pPr>
              <w:pStyle w:val="212"/>
              <w:rPr>
                <w:caps w:val="0"/>
                <w:smallCaps w:val="0"/>
                <w:color w:val="auto"/>
                <w:spacing w:val="0"/>
                <w:highlight w:val="none"/>
              </w:rPr>
            </w:pPr>
          </w:p>
        </w:tc>
        <w:tc>
          <w:tcPr>
            <w:tcW w:w="851" w:type="pct"/>
            <w:vAlign w:val="center"/>
          </w:tcPr>
          <w:p w14:paraId="7A85AD1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130.46671418</w:t>
            </w:r>
          </w:p>
        </w:tc>
        <w:tc>
          <w:tcPr>
            <w:tcW w:w="765" w:type="pct"/>
            <w:vAlign w:val="center"/>
          </w:tcPr>
          <w:p w14:paraId="4E4CF36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46.81726626</w:t>
            </w:r>
          </w:p>
        </w:tc>
        <w:tc>
          <w:tcPr>
            <w:tcW w:w="397" w:type="pct"/>
            <w:vAlign w:val="center"/>
          </w:tcPr>
          <w:p w14:paraId="30610705">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648D7F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2176867C">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02587ECE">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0EC0ADFD">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4B9D140F">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269B836E">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14981F38">
            <w:pPr>
              <w:spacing w:line="0" w:lineRule="atLeast"/>
              <w:jc w:val="center"/>
              <w:rPr>
                <w:rFonts w:ascii="Times New Roman" w:hAnsi="宋体" w:eastAsia="宋体"/>
                <w:caps w:val="0"/>
                <w:smallCaps w:val="0"/>
                <w:color w:val="auto"/>
                <w:spacing w:val="0"/>
                <w:sz w:val="21"/>
                <w:highlight w:val="none"/>
              </w:rPr>
            </w:pPr>
          </w:p>
        </w:tc>
      </w:tr>
      <w:tr w14:paraId="320BE6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3C14D3FC">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9</w:t>
            </w:r>
          </w:p>
        </w:tc>
        <w:tc>
          <w:tcPr>
            <w:tcW w:w="484" w:type="pct"/>
            <w:vMerge w:val="restart"/>
            <w:vAlign w:val="center"/>
          </w:tcPr>
          <w:p w14:paraId="03E4EBEA">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Style w:val="218"/>
                <w:rFonts w:hint="eastAsia" w:cs="Times New Roman"/>
                <w:caps w:val="0"/>
                <w:smallCaps w:val="0"/>
                <w:color w:val="auto"/>
                <w:spacing w:val="0"/>
                <w:sz w:val="21"/>
                <w:szCs w:val="21"/>
                <w:highlight w:val="none"/>
                <w:lang w:bidi="ar"/>
              </w:rPr>
              <w:t>污水处理站废气</w:t>
            </w:r>
          </w:p>
        </w:tc>
        <w:tc>
          <w:tcPr>
            <w:tcW w:w="851" w:type="pct"/>
            <w:vAlign w:val="center"/>
          </w:tcPr>
          <w:p w14:paraId="5EBC0D0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130.46739840</w:t>
            </w:r>
          </w:p>
        </w:tc>
        <w:tc>
          <w:tcPr>
            <w:tcW w:w="765" w:type="pct"/>
            <w:vAlign w:val="center"/>
          </w:tcPr>
          <w:p w14:paraId="729F054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46.81655212</w:t>
            </w:r>
          </w:p>
        </w:tc>
        <w:tc>
          <w:tcPr>
            <w:tcW w:w="397" w:type="pct"/>
            <w:vAlign w:val="center"/>
          </w:tcPr>
          <w:p w14:paraId="23FFD2E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88DB51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6513FF0A">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4B46FF06">
            <w:pPr>
              <w:spacing w:line="0" w:lineRule="atLeast"/>
              <w:jc w:val="center"/>
              <w:rPr>
                <w:rFonts w:ascii="Times New Roman" w:hAnsi="宋体" w:eastAsia="宋体"/>
                <w:caps w:val="0"/>
                <w:smallCaps w:val="0"/>
                <w:color w:val="auto"/>
                <w:spacing w:val="0"/>
                <w:sz w:val="21"/>
                <w:highlight w:val="none"/>
              </w:rPr>
            </w:pPr>
          </w:p>
        </w:tc>
        <w:tc>
          <w:tcPr>
            <w:tcW w:w="325" w:type="pct"/>
            <w:vMerge w:val="restart"/>
            <w:vAlign w:val="center"/>
          </w:tcPr>
          <w:p w14:paraId="150CB3E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364" w:type="pct"/>
            <w:vMerge w:val="restart"/>
            <w:vAlign w:val="center"/>
          </w:tcPr>
          <w:p w14:paraId="225A321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339" w:type="pct"/>
            <w:vMerge w:val="restart"/>
            <w:vAlign w:val="center"/>
          </w:tcPr>
          <w:p w14:paraId="1C14A119">
            <w:pPr>
              <w:spacing w:line="0" w:lineRule="atLeast"/>
              <w:jc w:val="center"/>
              <w:rPr>
                <w:rFonts w:ascii="Times New Roman" w:hAnsi="宋体" w:eastAsia="宋体"/>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2.08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245" w:type="pct"/>
            <w:vMerge w:val="restart"/>
            <w:vAlign w:val="center"/>
          </w:tcPr>
          <w:p w14:paraId="6AA664A1">
            <w:pPr>
              <w:spacing w:line="0" w:lineRule="atLeast"/>
              <w:jc w:val="center"/>
              <w:rPr>
                <w:rFonts w:ascii="Times New Roman" w:hAnsi="宋体" w:eastAsia="宋体"/>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8.05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r>
      <w:tr w14:paraId="021422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5014679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10</w:t>
            </w:r>
          </w:p>
        </w:tc>
        <w:tc>
          <w:tcPr>
            <w:tcW w:w="484" w:type="pct"/>
            <w:vMerge w:val="continue"/>
            <w:vAlign w:val="center"/>
          </w:tcPr>
          <w:p w14:paraId="24C71F9D">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3F5B898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130.46767644</w:t>
            </w:r>
          </w:p>
        </w:tc>
        <w:tc>
          <w:tcPr>
            <w:tcW w:w="765" w:type="pct"/>
            <w:vAlign w:val="center"/>
          </w:tcPr>
          <w:p w14:paraId="5A554C9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46.81665431</w:t>
            </w:r>
          </w:p>
        </w:tc>
        <w:tc>
          <w:tcPr>
            <w:tcW w:w="397" w:type="pct"/>
            <w:vAlign w:val="center"/>
          </w:tcPr>
          <w:p w14:paraId="6D8DA3A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477756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6F925461">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194EEC46">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52220FD7">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60630D7B">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50F08185">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0245486A">
            <w:pPr>
              <w:spacing w:line="0" w:lineRule="atLeast"/>
              <w:jc w:val="center"/>
              <w:rPr>
                <w:rFonts w:ascii="Times New Roman" w:hAnsi="宋体" w:eastAsia="宋体"/>
                <w:caps w:val="0"/>
                <w:smallCaps w:val="0"/>
                <w:color w:val="auto"/>
                <w:spacing w:val="0"/>
                <w:sz w:val="21"/>
                <w:highlight w:val="none"/>
              </w:rPr>
            </w:pPr>
          </w:p>
        </w:tc>
      </w:tr>
      <w:tr w14:paraId="4F049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4AAA2F7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11</w:t>
            </w:r>
          </w:p>
        </w:tc>
        <w:tc>
          <w:tcPr>
            <w:tcW w:w="484" w:type="pct"/>
            <w:vMerge w:val="continue"/>
            <w:vAlign w:val="center"/>
          </w:tcPr>
          <w:p w14:paraId="61C400C3">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6A5FA2A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130.46759093</w:t>
            </w:r>
          </w:p>
        </w:tc>
        <w:tc>
          <w:tcPr>
            <w:tcW w:w="765" w:type="pct"/>
            <w:vAlign w:val="center"/>
          </w:tcPr>
          <w:p w14:paraId="4AEBA4F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46.81680877</w:t>
            </w:r>
          </w:p>
        </w:tc>
        <w:tc>
          <w:tcPr>
            <w:tcW w:w="397" w:type="pct"/>
            <w:vAlign w:val="center"/>
          </w:tcPr>
          <w:p w14:paraId="5281AA2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39D787DD">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334D0EC1">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51231382">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628C26F1">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1DB7F289">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320DC951">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739E3BFF">
            <w:pPr>
              <w:spacing w:line="0" w:lineRule="atLeast"/>
              <w:jc w:val="center"/>
              <w:rPr>
                <w:rFonts w:ascii="Times New Roman" w:hAnsi="宋体" w:eastAsia="宋体"/>
                <w:caps w:val="0"/>
                <w:smallCaps w:val="0"/>
                <w:color w:val="auto"/>
                <w:spacing w:val="0"/>
                <w:sz w:val="21"/>
                <w:highlight w:val="none"/>
              </w:rPr>
            </w:pPr>
          </w:p>
        </w:tc>
      </w:tr>
      <w:tr w14:paraId="753558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49B2CAE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484" w:type="pct"/>
            <w:vMerge w:val="continue"/>
            <w:vAlign w:val="center"/>
          </w:tcPr>
          <w:p w14:paraId="5477B3D3">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765693D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130.46727011</w:t>
            </w:r>
          </w:p>
        </w:tc>
        <w:tc>
          <w:tcPr>
            <w:tcW w:w="765" w:type="pct"/>
            <w:vAlign w:val="center"/>
          </w:tcPr>
          <w:p w14:paraId="11673BA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46.81665526</w:t>
            </w:r>
          </w:p>
        </w:tc>
        <w:tc>
          <w:tcPr>
            <w:tcW w:w="397" w:type="pct"/>
            <w:vAlign w:val="center"/>
          </w:tcPr>
          <w:p w14:paraId="3D56F2F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3F7C3F7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4B275742">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26EAFE59">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778BD791">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26036ED9">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448D3090">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794818BC">
            <w:pPr>
              <w:spacing w:line="0" w:lineRule="atLeast"/>
              <w:jc w:val="center"/>
              <w:rPr>
                <w:rFonts w:ascii="Times New Roman" w:hAnsi="宋体" w:eastAsia="宋体"/>
                <w:caps w:val="0"/>
                <w:smallCaps w:val="0"/>
                <w:color w:val="auto"/>
                <w:spacing w:val="0"/>
                <w:sz w:val="21"/>
                <w:highlight w:val="none"/>
              </w:rPr>
            </w:pPr>
          </w:p>
        </w:tc>
      </w:tr>
    </w:tbl>
    <w:p w14:paraId="1F5B093F">
      <w:pPr>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估算模型参数选取如下：</w:t>
      </w:r>
    </w:p>
    <w:p w14:paraId="7BBA2C7C">
      <w:pPr>
        <w:tabs>
          <w:tab w:val="left" w:pos="0"/>
        </w:tabs>
        <w:adjustRightInd w:val="0"/>
        <w:snapToGrid w:val="0"/>
        <w:spacing w:line="360" w:lineRule="auto"/>
        <w:ind w:firstLine="480" w:firstLineChars="200"/>
        <w:jc w:val="both"/>
        <w:rPr>
          <w:rStyle w:val="47"/>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Cs w:val="24"/>
          <w:highlight w:val="none"/>
        </w:rPr>
        <w:t>①根据《环境影响评价技术导则大气环境》(HJ2.2-2018)附录B的B.6.1城市/农村选项，“当项目周边3km半径范围内一半以上属于城市建成区或者规划区时选择城市，否则选择农村”。本项目周边3km半径范围内一半以上属于城市，故选取城市选项。</w:t>
      </w:r>
    </w:p>
    <w:p w14:paraId="4EBBD8BD">
      <w:pPr>
        <w:widowControl w:val="0"/>
        <w:tabs>
          <w:tab w:val="left" w:pos="0"/>
        </w:tabs>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②环境温度取值来源于佳木斯市二十年气象数据统计。</w:t>
      </w:r>
    </w:p>
    <w:p w14:paraId="44569466">
      <w:pPr>
        <w:widowControl w:val="0"/>
        <w:tabs>
          <w:tab w:val="left" w:pos="0"/>
        </w:tabs>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③根据中国干湿度分布图判断，项目地区属于</w:t>
      </w:r>
      <w:r>
        <w:rPr>
          <w:rFonts w:ascii="Times New Roman" w:hAnsi="Times New Roman" w:eastAsia="宋体" w:cs="Times New Roman"/>
          <w:caps w:val="0"/>
          <w:smallCaps w:val="0"/>
          <w:color w:val="auto"/>
          <w:spacing w:val="0"/>
          <w:szCs w:val="24"/>
          <w:highlight w:val="none"/>
        </w:rPr>
        <w:t>湿润气候。</w:t>
      </w:r>
    </w:p>
    <w:p w14:paraId="16D3DA57">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fldChar w:fldCharType="begin"/>
      </w:r>
      <w:r>
        <w:rPr>
          <w:rFonts w:ascii="Times New Roman" w:hAnsi="Times New Roman" w:eastAsia="宋体" w:cs="Times New Roman"/>
          <w:caps w:val="0"/>
          <w:smallCaps w:val="0"/>
          <w:color w:val="auto"/>
          <w:spacing w:val="0"/>
          <w:szCs w:val="24"/>
          <w:highlight w:val="none"/>
        </w:rPr>
        <w:instrText xml:space="preserve"> = 4 \* GB3 \* MERGEFORMAT </w:instrText>
      </w:r>
      <w:r>
        <w:rPr>
          <w:rFonts w:ascii="Times New Roman" w:hAnsi="Times New Roman" w:eastAsia="宋体" w:cs="Times New Roman"/>
          <w:caps w:val="0"/>
          <w:smallCaps w:val="0"/>
          <w:color w:val="auto"/>
          <w:spacing w:val="0"/>
          <w:szCs w:val="24"/>
          <w:highlight w:val="none"/>
        </w:rPr>
        <w:fldChar w:fldCharType="separate"/>
      </w:r>
      <w:r>
        <w:rPr>
          <w:rFonts w:ascii="Times New Roman" w:hAnsi="Times New Roman" w:eastAsia="宋体" w:cs="Times New Roman"/>
          <w:caps w:val="0"/>
          <w:smallCaps w:val="0"/>
          <w:color w:val="auto"/>
          <w:spacing w:val="0"/>
          <w:highlight w:val="none"/>
        </w:rPr>
        <w:t>④</w:t>
      </w:r>
      <w:r>
        <w:rPr>
          <w:rFonts w:ascii="Times New Roman" w:hAnsi="Times New Roman" w:eastAsia="宋体" w:cs="Times New Roman"/>
          <w:caps w:val="0"/>
          <w:smallCaps w:val="0"/>
          <w:color w:val="auto"/>
          <w:spacing w:val="0"/>
          <w:szCs w:val="24"/>
          <w:highlight w:val="none"/>
        </w:rPr>
        <w:fldChar w:fldCharType="end"/>
      </w:r>
      <w:r>
        <w:rPr>
          <w:rFonts w:ascii="Times New Roman" w:hAnsi="Times New Roman" w:eastAsia="宋体" w:cs="Times New Roman"/>
          <w:caps w:val="0"/>
          <w:smallCaps w:val="0"/>
          <w:color w:val="auto"/>
          <w:spacing w:val="0"/>
          <w:szCs w:val="24"/>
          <w:highlight w:val="none"/>
        </w:rPr>
        <w:t>根据EIA2018大气预测软件的DEM地形文件，地形数据分辨率90m。</w:t>
      </w:r>
    </w:p>
    <w:p w14:paraId="5F458B87">
      <w:pPr>
        <w:pStyle w:val="36"/>
        <w:spacing w:line="360" w:lineRule="auto"/>
        <w:ind w:firstLine="0" w:firstLineChars="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5888" behindDoc="0" locked="0" layoutInCell="1" allowOverlap="1">
                <wp:simplePos x="0" y="0"/>
                <wp:positionH relativeFrom="column">
                  <wp:posOffset>2860040</wp:posOffset>
                </wp:positionH>
                <wp:positionV relativeFrom="paragraph">
                  <wp:posOffset>1445895</wp:posOffset>
                </wp:positionV>
                <wp:extent cx="156210" cy="181610"/>
                <wp:effectExtent l="19685" t="26035" r="27305" b="33655"/>
                <wp:wrapNone/>
                <wp:docPr id="40" name="十字星 40"/>
                <wp:cNvGraphicFramePr/>
                <a:graphic xmlns:a="http://schemas.openxmlformats.org/drawingml/2006/main">
                  <a:graphicData uri="http://schemas.microsoft.com/office/word/2010/wordprocessingShape">
                    <wps:wsp>
                      <wps:cNvSpPr/>
                      <wps:spPr>
                        <a:xfrm>
                          <a:off x="0" y="0"/>
                          <a:ext cx="156210" cy="181610"/>
                        </a:xfrm>
                        <a:prstGeom prst="star4">
                          <a:avLst>
                            <a:gd name="adj" fmla="val 12500"/>
                          </a:avLst>
                        </a:prstGeom>
                        <a:solidFill>
                          <a:srgbClr val="FFFF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87" type="#_x0000_t187" style="position:absolute;left:0pt;margin-left:225.2pt;margin-top:113.85pt;height:14.3pt;width:12.3pt;z-index:251685888;mso-width-relative:page;mso-height-relative:page;" fillcolor="#FFFF00" filled="t" stroked="t" coordsize="21600,21600" o:gfxdata="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fO4dNwAAAAL&#10;AQAADwAAAAAAAAABACAAAAAiAAAAZHJzL2Rvd25yZXYueG1sUEsBAhQAFAAAAAgAh07iQARCAwAY&#10;AgAATwQAAA4AAAAAAAAAAQAgAAAAKwEAAGRycy9lMm9Eb2MueG1sUEsFBgAAAAAGAAYAWQEAALUF&#10;AAAAAA==&#10;" adj="8100">
                <v:fill on="t" focussize="0,0"/>
                <v:stroke color="#000000" joinstyle="miter"/>
                <v:imagedata o:title=""/>
                <o:lock v:ext="edit" aspectratio="f"/>
              </v:shape>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6912" behindDoc="0" locked="0" layoutInCell="1" allowOverlap="1">
                <wp:simplePos x="0" y="0"/>
                <wp:positionH relativeFrom="column">
                  <wp:posOffset>2990215</wp:posOffset>
                </wp:positionH>
                <wp:positionV relativeFrom="paragraph">
                  <wp:posOffset>1551305</wp:posOffset>
                </wp:positionV>
                <wp:extent cx="1038860" cy="330200"/>
                <wp:effectExtent l="4445" t="5080" r="10795" b="7620"/>
                <wp:wrapNone/>
                <wp:docPr id="39" name="文本框 39"/>
                <wp:cNvGraphicFramePr/>
                <a:graphic xmlns:a="http://schemas.openxmlformats.org/drawingml/2006/main">
                  <a:graphicData uri="http://schemas.microsoft.com/office/word/2010/wordprocessingShape">
                    <wps:wsp>
                      <wps:cNvSpPr txBox="1"/>
                      <wps:spPr>
                        <a:xfrm>
                          <a:off x="0" y="0"/>
                          <a:ext cx="1038860" cy="330200"/>
                        </a:xfrm>
                        <a:prstGeom prst="rect">
                          <a:avLst/>
                        </a:prstGeom>
                        <a:noFill/>
                        <a:ln w="9525" cap="flat" cmpd="sng">
                          <a:solidFill>
                            <a:srgbClr val="000000"/>
                          </a:solidFill>
                          <a:prstDash val="solid"/>
                          <a:miter/>
                          <a:headEnd type="none" w="med" len="med"/>
                          <a:tailEnd type="none" w="med" len="med"/>
                        </a:ln>
                      </wps:spPr>
                      <wps:txbx>
                        <w:txbxContent>
                          <w:p w14:paraId="32A88AD2">
                            <w:pPr>
                              <w:rPr>
                                <w:rFonts w:eastAsia="宋体"/>
                              </w:rPr>
                            </w:pPr>
                            <w:r>
                              <w:rPr>
                                <w:rFonts w:hint="eastAsia"/>
                              </w:rPr>
                              <w:t>本项目位置</w:t>
                            </w:r>
                          </w:p>
                        </w:txbxContent>
                      </wps:txbx>
                      <wps:bodyPr upright="1"/>
                    </wps:wsp>
                  </a:graphicData>
                </a:graphic>
              </wp:anchor>
            </w:drawing>
          </mc:Choice>
          <mc:Fallback>
            <w:pict>
              <v:shape id="_x0000_s1026" o:spid="_x0000_s1026" o:spt="202" type="#_x0000_t202" style="position:absolute;left:0pt;margin-left:235.45pt;margin-top:122.15pt;height:26pt;width:81.8pt;z-index:251686912;mso-width-relative:page;mso-height-relative:page;" filled="f" stroked="t" coordsize="21600,21600" o:gfxdata="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5wDowtcAAAALAQAADwAAAAAAAAABACAAAAAiAAAAZHJz&#10;L2Rvd25yZXYueG1sUEsBAhQAFAAAAAgAh07iQPcq6eEFAgAADwQAAA4AAAAAAAAAAQAgAAAAJgEA&#10;AGRycy9lMm9Eb2MueG1sUEsFBgAAAAAGAAYAWQEAAJ0FAAAAAA==&#10;">
                <v:fill on="f" focussize="0,0"/>
                <v:stroke color="#000000" joinstyle="miter"/>
                <v:imagedata o:title=""/>
                <o:lock v:ext="edit" aspectratio="f"/>
                <v:textbox>
                  <w:txbxContent>
                    <w:p w14:paraId="32A88AD2">
                      <w:pPr>
                        <w:rPr>
                          <w:rFonts w:eastAsia="宋体"/>
                        </w:rPr>
                      </w:pPr>
                      <w:r>
                        <w:rPr>
                          <w:rFonts w:hint="eastAsia"/>
                        </w:rPr>
                        <w:t>本项目位置</w:t>
                      </w:r>
                    </w:p>
                  </w:txbxContent>
                </v:textbox>
              </v:shape>
            </w:pict>
          </mc:Fallback>
        </mc:AlternateContent>
      </w:r>
      <w:r>
        <w:rPr>
          <w:caps w:val="0"/>
          <w:smallCaps w:val="0"/>
          <w:color w:val="auto"/>
          <w:spacing w:val="0"/>
          <w:highlight w:val="none"/>
        </w:rPr>
        <w:drawing>
          <wp:inline distT="0" distB="0" distL="114300" distR="114300">
            <wp:extent cx="5751195" cy="3240405"/>
            <wp:effectExtent l="0" t="0" r="1905" b="17145"/>
            <wp:docPr id="6" name="图片 6" descr="d903394476fcd9f8206896cc8a6edb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903394476fcd9f8206896cc8a6edbfb"/>
                    <pic:cNvPicPr>
                      <a:picLocks noChangeAspect="1"/>
                    </pic:cNvPicPr>
                  </pic:nvPicPr>
                  <pic:blipFill>
                    <a:blip r:embed="rId26"/>
                    <a:stretch>
                      <a:fillRect/>
                    </a:stretch>
                  </pic:blipFill>
                  <pic:spPr>
                    <a:xfrm>
                      <a:off x="0" y="0"/>
                      <a:ext cx="5751195" cy="3240405"/>
                    </a:xfrm>
                    <a:prstGeom prst="rect">
                      <a:avLst/>
                    </a:prstGeom>
                  </pic:spPr>
                </pic:pic>
              </a:graphicData>
            </a:graphic>
          </wp:inline>
        </w:drawing>
      </w:r>
    </w:p>
    <w:p w14:paraId="55126C62">
      <w:pPr>
        <w:pStyle w:val="36"/>
        <w:ind w:firstLine="0" w:firstLineChars="0"/>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图2.5-1地面地形高程图</w:t>
      </w:r>
    </w:p>
    <w:p w14:paraId="56FCF412">
      <w:pPr>
        <w:pStyle w:val="96"/>
        <w:tabs>
          <w:tab w:val="left" w:pos="6033"/>
          <w:tab w:val="left" w:pos="6271"/>
        </w:tabs>
        <w:autoSpaceDE w:val="0"/>
        <w:autoSpaceDN w:val="0"/>
        <w:spacing w:before="120" w:line="240" w:lineRule="auto"/>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w:t>
      </w:r>
      <w:bookmarkEnd w:id="48"/>
      <w:r>
        <w:rPr>
          <w:rFonts w:ascii="Times New Roman" w:hAnsi="Times New Roman" w:eastAsia="宋体" w:cs="Times New Roman"/>
          <w:b/>
          <w:caps w:val="0"/>
          <w:smallCaps w:val="0"/>
          <w:color w:val="auto"/>
          <w:spacing w:val="0"/>
          <w:szCs w:val="24"/>
          <w:highlight w:val="none"/>
        </w:rPr>
        <w:t>2.5-</w:t>
      </w:r>
      <w:r>
        <w:rPr>
          <w:rFonts w:hint="eastAsia" w:ascii="Times New Roman" w:hAnsi="Times New Roman" w:eastAsia="宋体" w:cs="Times New Roman"/>
          <w:b/>
          <w:caps w:val="0"/>
          <w:smallCaps w:val="0"/>
          <w:color w:val="auto"/>
          <w:spacing w:val="0"/>
          <w:szCs w:val="24"/>
          <w:highlight w:val="none"/>
          <w:lang w:val="en-US" w:eastAsia="zh-CN"/>
        </w:rPr>
        <w:t>5</w:t>
      </w:r>
      <w:r>
        <w:rPr>
          <w:rFonts w:ascii="Times New Roman" w:hAnsi="Times New Roman" w:eastAsia="宋体" w:cs="Times New Roman"/>
          <w:b/>
          <w:caps w:val="0"/>
          <w:smallCaps w:val="0"/>
          <w:color w:val="auto"/>
          <w:spacing w:val="0"/>
          <w:szCs w:val="24"/>
          <w:highlight w:val="none"/>
        </w:rPr>
        <w:t>估算模型参数表</w:t>
      </w:r>
    </w:p>
    <w:tbl>
      <w:tblPr>
        <w:tblStyle w:val="172"/>
        <w:tblW w:w="9070" w:type="dxa"/>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2004"/>
        <w:gridCol w:w="4617"/>
        <w:gridCol w:w="2449"/>
      </w:tblGrid>
      <w:tr w14:paraId="16B3894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07" w:hRule="atLeast"/>
          <w:tblHeader/>
          <w:jc w:val="center"/>
        </w:trPr>
        <w:tc>
          <w:tcPr>
            <w:tcW w:w="6621" w:type="dxa"/>
            <w:gridSpan w:val="2"/>
            <w:tcBorders>
              <w:top w:val="single" w:color="auto" w:sz="8" w:space="0"/>
            </w:tcBorders>
            <w:shd w:val="clear" w:color="auto" w:fill="auto"/>
            <w:vAlign w:val="center"/>
          </w:tcPr>
          <w:p w14:paraId="4259C47C">
            <w:pPr>
              <w:pStyle w:val="66"/>
              <w:widowControl w:val="0"/>
              <w:wordWrap/>
              <w:spacing w:before="0" w:beforeLines="0" w:beforeAutospacing="0" w:after="0" w:afterLines="0" w:afterAutospacing="0" w:line="240" w:lineRule="auto"/>
              <w:ind w:left="0" w:leftChars="0" w:right="0" w:rightChars="0" w:firstLine="0" w:firstLineChars="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参数</w:t>
            </w:r>
          </w:p>
        </w:tc>
        <w:tc>
          <w:tcPr>
            <w:tcW w:w="2449" w:type="dxa"/>
            <w:tcBorders>
              <w:top w:val="single" w:color="auto" w:sz="8" w:space="0"/>
            </w:tcBorders>
            <w:shd w:val="clear" w:color="auto" w:fill="auto"/>
            <w:noWrap/>
            <w:vAlign w:val="center"/>
          </w:tcPr>
          <w:p w14:paraId="05F5BDFF">
            <w:pPr>
              <w:pStyle w:val="66"/>
              <w:widowControl w:val="0"/>
              <w:wordWrap/>
              <w:spacing w:before="0" w:beforeLines="0" w:beforeAutospacing="0" w:after="0" w:afterLines="0" w:afterAutospacing="0" w:line="240" w:lineRule="auto"/>
              <w:ind w:left="0" w:leftChars="0" w:right="0" w:rightChars="0" w:firstLine="0" w:firstLineChars="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取值</w:t>
            </w:r>
          </w:p>
        </w:tc>
      </w:tr>
      <w:tr w14:paraId="39CA2D2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004" w:type="dxa"/>
            <w:vMerge w:val="restart"/>
            <w:shd w:val="clear" w:color="auto" w:fill="auto"/>
            <w:vAlign w:val="center"/>
          </w:tcPr>
          <w:p w14:paraId="12666A6F">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城市/农村选项</w:t>
            </w:r>
          </w:p>
        </w:tc>
        <w:tc>
          <w:tcPr>
            <w:tcW w:w="4617" w:type="dxa"/>
            <w:shd w:val="clear" w:color="auto" w:fill="auto"/>
            <w:noWrap/>
            <w:vAlign w:val="center"/>
          </w:tcPr>
          <w:p w14:paraId="123CFF92">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城市/农村</w:t>
            </w:r>
          </w:p>
        </w:tc>
        <w:tc>
          <w:tcPr>
            <w:tcW w:w="2449" w:type="dxa"/>
            <w:shd w:val="clear" w:color="auto" w:fill="auto"/>
            <w:noWrap/>
            <w:vAlign w:val="center"/>
          </w:tcPr>
          <w:p w14:paraId="4BEAA2B9">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城市</w:t>
            </w:r>
          </w:p>
        </w:tc>
      </w:tr>
      <w:tr w14:paraId="4E589E5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PrEx>
        <w:trPr>
          <w:jc w:val="center"/>
        </w:trPr>
        <w:tc>
          <w:tcPr>
            <w:tcW w:w="2004" w:type="dxa"/>
            <w:vMerge w:val="continue"/>
            <w:shd w:val="clear" w:color="auto" w:fill="auto"/>
            <w:vAlign w:val="center"/>
          </w:tcPr>
          <w:p w14:paraId="6A56DC98">
            <w:pPr>
              <w:pStyle w:val="66"/>
              <w:widowControl w:val="0"/>
              <w:spacing w:before="74"/>
              <w:rPr>
                <w:rFonts w:ascii="Times New Roman" w:hAnsi="Times New Roman" w:eastAsia="宋体" w:cs="Times New Roman"/>
                <w:caps w:val="0"/>
                <w:smallCaps w:val="0"/>
                <w:color w:val="auto"/>
                <w:spacing w:val="0"/>
                <w:highlight w:val="none"/>
              </w:rPr>
            </w:pPr>
          </w:p>
        </w:tc>
        <w:tc>
          <w:tcPr>
            <w:tcW w:w="4617" w:type="dxa"/>
            <w:shd w:val="clear" w:color="auto" w:fill="auto"/>
            <w:noWrap/>
            <w:vAlign w:val="center"/>
          </w:tcPr>
          <w:p w14:paraId="0A867BDF">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人口数（城市选项时）</w:t>
            </w:r>
          </w:p>
        </w:tc>
        <w:tc>
          <w:tcPr>
            <w:tcW w:w="2449" w:type="dxa"/>
            <w:shd w:val="clear" w:color="auto" w:fill="auto"/>
            <w:noWrap/>
            <w:vAlign w:val="center"/>
          </w:tcPr>
          <w:p w14:paraId="6E45C90A">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820000</w:t>
            </w:r>
          </w:p>
        </w:tc>
      </w:tr>
      <w:tr w14:paraId="4BD2200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6621" w:type="dxa"/>
            <w:gridSpan w:val="2"/>
            <w:shd w:val="clear" w:color="auto" w:fill="auto"/>
            <w:vAlign w:val="center"/>
          </w:tcPr>
          <w:p w14:paraId="7EF97731">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最高环境温度/℃</w:t>
            </w:r>
          </w:p>
        </w:tc>
        <w:tc>
          <w:tcPr>
            <w:tcW w:w="2449" w:type="dxa"/>
            <w:shd w:val="clear" w:color="auto" w:fill="auto"/>
            <w:noWrap/>
            <w:vAlign w:val="center"/>
          </w:tcPr>
          <w:p w14:paraId="2AB85FBB">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38.0</w:t>
            </w:r>
          </w:p>
        </w:tc>
      </w:tr>
      <w:tr w14:paraId="072A0D3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6621" w:type="dxa"/>
            <w:gridSpan w:val="2"/>
            <w:shd w:val="clear" w:color="auto" w:fill="auto"/>
            <w:vAlign w:val="center"/>
          </w:tcPr>
          <w:p w14:paraId="13A4C166">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最低环境温度/℃</w:t>
            </w:r>
          </w:p>
        </w:tc>
        <w:tc>
          <w:tcPr>
            <w:tcW w:w="2449" w:type="dxa"/>
            <w:shd w:val="clear" w:color="auto" w:fill="auto"/>
            <w:noWrap/>
            <w:vAlign w:val="center"/>
          </w:tcPr>
          <w:p w14:paraId="1B7C68BF">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-41.0</w:t>
            </w:r>
          </w:p>
        </w:tc>
      </w:tr>
      <w:tr w14:paraId="3338351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6621" w:type="dxa"/>
            <w:gridSpan w:val="2"/>
            <w:shd w:val="clear" w:color="auto" w:fill="auto"/>
            <w:vAlign w:val="center"/>
          </w:tcPr>
          <w:p w14:paraId="6A744602">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土地利用类型</w:t>
            </w:r>
          </w:p>
        </w:tc>
        <w:tc>
          <w:tcPr>
            <w:tcW w:w="2449" w:type="dxa"/>
            <w:shd w:val="clear" w:color="auto" w:fill="auto"/>
            <w:noWrap/>
            <w:vAlign w:val="center"/>
          </w:tcPr>
          <w:p w14:paraId="65AD6710">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城市</w:t>
            </w:r>
          </w:p>
        </w:tc>
      </w:tr>
      <w:tr w14:paraId="078B8CD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6621" w:type="dxa"/>
            <w:gridSpan w:val="2"/>
            <w:shd w:val="clear" w:color="auto" w:fill="auto"/>
            <w:vAlign w:val="center"/>
          </w:tcPr>
          <w:p w14:paraId="0059D5F5">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区域湿度条件</w:t>
            </w:r>
          </w:p>
        </w:tc>
        <w:tc>
          <w:tcPr>
            <w:tcW w:w="2449" w:type="dxa"/>
            <w:shd w:val="clear" w:color="auto" w:fill="auto"/>
            <w:noWrap/>
            <w:vAlign w:val="center"/>
          </w:tcPr>
          <w:p w14:paraId="6075D89E">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湿润</w:t>
            </w:r>
          </w:p>
        </w:tc>
      </w:tr>
      <w:tr w14:paraId="59146C6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004" w:type="dxa"/>
            <w:vMerge w:val="restart"/>
            <w:shd w:val="clear" w:color="auto" w:fill="auto"/>
            <w:vAlign w:val="center"/>
          </w:tcPr>
          <w:p w14:paraId="02D45BC0">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是否考虑地形</w:t>
            </w:r>
          </w:p>
        </w:tc>
        <w:tc>
          <w:tcPr>
            <w:tcW w:w="4617" w:type="dxa"/>
            <w:shd w:val="clear" w:color="auto" w:fill="auto"/>
            <w:noWrap/>
            <w:vAlign w:val="center"/>
          </w:tcPr>
          <w:p w14:paraId="0D3E655B">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考虑地形</w:t>
            </w:r>
          </w:p>
        </w:tc>
        <w:tc>
          <w:tcPr>
            <w:tcW w:w="2449" w:type="dxa"/>
            <w:shd w:val="clear" w:color="auto" w:fill="auto"/>
            <w:noWrap/>
            <w:vAlign w:val="center"/>
          </w:tcPr>
          <w:p w14:paraId="3D0DC35A">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√是□否</w:t>
            </w:r>
          </w:p>
        </w:tc>
      </w:tr>
      <w:tr w14:paraId="3C13684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004" w:type="dxa"/>
            <w:vMerge w:val="continue"/>
            <w:shd w:val="clear" w:color="auto" w:fill="auto"/>
            <w:vAlign w:val="center"/>
          </w:tcPr>
          <w:p w14:paraId="29C8900E">
            <w:pPr>
              <w:pStyle w:val="66"/>
              <w:widowControl w:val="0"/>
              <w:spacing w:before="74"/>
              <w:rPr>
                <w:rFonts w:ascii="Times New Roman" w:hAnsi="Times New Roman" w:eastAsia="宋体" w:cs="Times New Roman"/>
                <w:caps w:val="0"/>
                <w:smallCaps w:val="0"/>
                <w:color w:val="auto"/>
                <w:spacing w:val="0"/>
                <w:highlight w:val="none"/>
              </w:rPr>
            </w:pPr>
          </w:p>
        </w:tc>
        <w:tc>
          <w:tcPr>
            <w:tcW w:w="4617" w:type="dxa"/>
            <w:shd w:val="clear" w:color="auto" w:fill="auto"/>
            <w:noWrap/>
            <w:vAlign w:val="center"/>
          </w:tcPr>
          <w:p w14:paraId="36BBB320">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地形数据分辨率/m</w:t>
            </w:r>
          </w:p>
        </w:tc>
        <w:tc>
          <w:tcPr>
            <w:tcW w:w="2449" w:type="dxa"/>
            <w:shd w:val="clear" w:color="auto" w:fill="auto"/>
            <w:noWrap/>
            <w:vAlign w:val="center"/>
          </w:tcPr>
          <w:p w14:paraId="75F67DA9">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90</w:t>
            </w:r>
          </w:p>
        </w:tc>
      </w:tr>
      <w:tr w14:paraId="484AA92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004" w:type="dxa"/>
            <w:vMerge w:val="restart"/>
            <w:shd w:val="clear" w:color="auto" w:fill="auto"/>
            <w:vAlign w:val="center"/>
          </w:tcPr>
          <w:p w14:paraId="163C1520">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是否考虑岸线熏烟</w:t>
            </w:r>
          </w:p>
        </w:tc>
        <w:tc>
          <w:tcPr>
            <w:tcW w:w="4617" w:type="dxa"/>
            <w:shd w:val="clear" w:color="auto" w:fill="auto"/>
            <w:noWrap/>
            <w:vAlign w:val="center"/>
          </w:tcPr>
          <w:p w14:paraId="1DF3FD14">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考虑岸线熏烟</w:t>
            </w:r>
          </w:p>
        </w:tc>
        <w:tc>
          <w:tcPr>
            <w:tcW w:w="2449" w:type="dxa"/>
            <w:shd w:val="clear" w:color="auto" w:fill="auto"/>
            <w:noWrap/>
            <w:vAlign w:val="center"/>
          </w:tcPr>
          <w:p w14:paraId="2FD8ECD7">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□是√否</w:t>
            </w:r>
          </w:p>
        </w:tc>
      </w:tr>
      <w:tr w14:paraId="4754580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004" w:type="dxa"/>
            <w:vMerge w:val="continue"/>
            <w:shd w:val="clear" w:color="auto" w:fill="auto"/>
            <w:vAlign w:val="center"/>
          </w:tcPr>
          <w:p w14:paraId="26B763BB">
            <w:pPr>
              <w:pStyle w:val="66"/>
              <w:widowControl w:val="0"/>
              <w:spacing w:before="74"/>
              <w:rPr>
                <w:rFonts w:ascii="Times New Roman" w:hAnsi="Times New Roman" w:eastAsia="宋体" w:cs="Times New Roman"/>
                <w:caps w:val="0"/>
                <w:smallCaps w:val="0"/>
                <w:color w:val="auto"/>
                <w:spacing w:val="0"/>
                <w:highlight w:val="none"/>
              </w:rPr>
            </w:pPr>
          </w:p>
        </w:tc>
        <w:tc>
          <w:tcPr>
            <w:tcW w:w="4617" w:type="dxa"/>
            <w:shd w:val="clear" w:color="auto" w:fill="auto"/>
            <w:noWrap/>
            <w:vAlign w:val="center"/>
          </w:tcPr>
          <w:p w14:paraId="074CBB1D">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岸线距离/km</w:t>
            </w:r>
          </w:p>
        </w:tc>
        <w:tc>
          <w:tcPr>
            <w:tcW w:w="2449" w:type="dxa"/>
            <w:shd w:val="clear" w:color="auto" w:fill="auto"/>
            <w:noWrap/>
            <w:vAlign w:val="center"/>
          </w:tcPr>
          <w:p w14:paraId="7693E5C6">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w:t>
            </w:r>
          </w:p>
        </w:tc>
      </w:tr>
      <w:tr w14:paraId="7AF5931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004" w:type="dxa"/>
            <w:vMerge w:val="continue"/>
            <w:tcBorders>
              <w:bottom w:val="single" w:color="auto" w:sz="8" w:space="0"/>
            </w:tcBorders>
            <w:shd w:val="clear" w:color="auto" w:fill="auto"/>
            <w:vAlign w:val="center"/>
          </w:tcPr>
          <w:p w14:paraId="2DA0C21C">
            <w:pPr>
              <w:pStyle w:val="66"/>
              <w:widowControl w:val="0"/>
              <w:spacing w:before="74"/>
              <w:rPr>
                <w:rFonts w:ascii="Times New Roman" w:hAnsi="Times New Roman" w:eastAsia="宋体" w:cs="Times New Roman"/>
                <w:caps w:val="0"/>
                <w:smallCaps w:val="0"/>
                <w:color w:val="auto"/>
                <w:spacing w:val="0"/>
                <w:highlight w:val="none"/>
              </w:rPr>
            </w:pPr>
          </w:p>
        </w:tc>
        <w:tc>
          <w:tcPr>
            <w:tcW w:w="4617" w:type="dxa"/>
            <w:tcBorders>
              <w:bottom w:val="single" w:color="auto" w:sz="8" w:space="0"/>
            </w:tcBorders>
            <w:shd w:val="clear" w:color="auto" w:fill="auto"/>
            <w:noWrap/>
            <w:vAlign w:val="center"/>
          </w:tcPr>
          <w:p w14:paraId="74ABE5A2">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岸线方向/°</w:t>
            </w:r>
          </w:p>
        </w:tc>
        <w:tc>
          <w:tcPr>
            <w:tcW w:w="2449" w:type="dxa"/>
            <w:tcBorders>
              <w:bottom w:val="single" w:color="auto" w:sz="8" w:space="0"/>
            </w:tcBorders>
            <w:shd w:val="clear" w:color="auto" w:fill="auto"/>
            <w:noWrap/>
            <w:vAlign w:val="center"/>
          </w:tcPr>
          <w:p w14:paraId="358B4907">
            <w:pPr>
              <w:pStyle w:val="66"/>
              <w:widowControl w:val="0"/>
              <w:spacing w:before="74"/>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w:t>
            </w:r>
          </w:p>
        </w:tc>
      </w:tr>
    </w:tbl>
    <w:p w14:paraId="0A117EB6">
      <w:pPr>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利用AERSCREEN估算模式预测，各污染源预测因子最大落地浓度及占标率统计结果见下表。</w:t>
      </w:r>
    </w:p>
    <w:p w14:paraId="669E73E2">
      <w:pPr>
        <w:widowControl w:val="0"/>
        <w:spacing w:before="120" w:line="240" w:lineRule="atLeast"/>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w:t>
      </w:r>
      <w:r>
        <w:rPr>
          <w:rFonts w:ascii="Times New Roman" w:hAnsi="Times New Roman" w:eastAsia="宋体" w:cs="Times New Roman"/>
          <w:b/>
          <w:bCs/>
          <w:caps w:val="0"/>
          <w:smallCaps w:val="0"/>
          <w:color w:val="auto"/>
          <w:spacing w:val="0"/>
          <w:szCs w:val="24"/>
          <w:highlight w:val="none"/>
        </w:rPr>
        <w:t>2.5-</w:t>
      </w:r>
      <w:r>
        <w:rPr>
          <w:rFonts w:hint="eastAsia" w:ascii="Times New Roman" w:hAnsi="Times New Roman" w:eastAsia="宋体" w:cs="Times New Roman"/>
          <w:b/>
          <w:bCs/>
          <w:caps w:val="0"/>
          <w:smallCaps w:val="0"/>
          <w:color w:val="auto"/>
          <w:spacing w:val="0"/>
          <w:szCs w:val="24"/>
          <w:highlight w:val="none"/>
          <w:lang w:val="en-US" w:eastAsia="zh-CN"/>
        </w:rPr>
        <w:t>6</w:t>
      </w:r>
      <w:r>
        <w:rPr>
          <w:rFonts w:ascii="Times New Roman" w:hAnsi="Times New Roman" w:eastAsia="宋体" w:cs="Times New Roman"/>
          <w:b/>
          <w:caps w:val="0"/>
          <w:smallCaps w:val="0"/>
          <w:color w:val="auto"/>
          <w:spacing w:val="0"/>
          <w:kern w:val="0"/>
          <w:szCs w:val="24"/>
          <w:highlight w:val="none"/>
        </w:rPr>
        <w:t>估值模式计算结果</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930"/>
        <w:gridCol w:w="1460"/>
        <w:gridCol w:w="1412"/>
        <w:gridCol w:w="1388"/>
        <w:gridCol w:w="1307"/>
        <w:gridCol w:w="1851"/>
        <w:gridCol w:w="836"/>
      </w:tblGrid>
      <w:tr w14:paraId="22710B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Align w:val="center"/>
          </w:tcPr>
          <w:p w14:paraId="580895CB">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污染源</w:t>
            </w:r>
          </w:p>
        </w:tc>
        <w:tc>
          <w:tcPr>
            <w:tcW w:w="794" w:type="pct"/>
            <w:vAlign w:val="center"/>
          </w:tcPr>
          <w:p w14:paraId="589097A9">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污染因子</w:t>
            </w:r>
          </w:p>
        </w:tc>
        <w:tc>
          <w:tcPr>
            <w:tcW w:w="768" w:type="pct"/>
            <w:vAlign w:val="center"/>
          </w:tcPr>
          <w:p w14:paraId="325B45AC">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最大地面空气质量浓度（μg/m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w:t>
            </w:r>
          </w:p>
        </w:tc>
        <w:tc>
          <w:tcPr>
            <w:tcW w:w="755" w:type="pct"/>
            <w:vAlign w:val="center"/>
          </w:tcPr>
          <w:p w14:paraId="74A6B4F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最大地面空气质量浓度距离（m）</w:t>
            </w:r>
          </w:p>
        </w:tc>
        <w:tc>
          <w:tcPr>
            <w:tcW w:w="711" w:type="pct"/>
            <w:vAlign w:val="center"/>
          </w:tcPr>
          <w:p w14:paraId="1CEDCDA9">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最大地面空气质量浓度占标率（%）</w:t>
            </w:r>
          </w:p>
        </w:tc>
        <w:tc>
          <w:tcPr>
            <w:tcW w:w="1007" w:type="pct"/>
            <w:vAlign w:val="center"/>
          </w:tcPr>
          <w:p w14:paraId="160EEF00">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判断级别</w:t>
            </w:r>
          </w:p>
        </w:tc>
        <w:tc>
          <w:tcPr>
            <w:tcW w:w="455" w:type="pct"/>
            <w:vAlign w:val="center"/>
          </w:tcPr>
          <w:p w14:paraId="200B0156">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评价等级</w:t>
            </w:r>
          </w:p>
        </w:tc>
      </w:tr>
      <w:tr w14:paraId="35D2E4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165" w:hRule="atLeast"/>
        </w:trPr>
        <w:tc>
          <w:tcPr>
            <w:tcW w:w="506" w:type="pct"/>
            <w:vMerge w:val="restart"/>
            <w:vAlign w:val="center"/>
          </w:tcPr>
          <w:p w14:paraId="735B07F5">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DA001</w:t>
            </w:r>
          </w:p>
        </w:tc>
        <w:tc>
          <w:tcPr>
            <w:tcW w:w="794" w:type="pct"/>
            <w:vAlign w:val="center"/>
          </w:tcPr>
          <w:p w14:paraId="770F3369">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p>
        </w:tc>
        <w:tc>
          <w:tcPr>
            <w:tcW w:w="768" w:type="pct"/>
            <w:vAlign w:val="center"/>
          </w:tcPr>
          <w:p w14:paraId="2166E782">
            <w:pPr>
              <w:pStyle w:val="212"/>
              <w:rPr>
                <w:rFonts w:hint="default" w:ascii="Times New Roman" w:hAnsi="Times New Roman" w:eastAsia="宋体" w:cs="Times New Roman"/>
                <w:caps w:val="0"/>
                <w:smallCaps w:val="0"/>
                <w:color w:val="auto"/>
                <w:spacing w:val="0"/>
                <w:highlight w:val="none"/>
                <w:lang w:val="en-US" w:eastAsia="zh-CN"/>
              </w:rPr>
            </w:pPr>
            <w:r>
              <w:rPr>
                <w:rFonts w:ascii="Times New Roman" w:hAnsi="Times New Roman" w:eastAsia="宋体" w:cs="Times New Roman"/>
                <w:caps w:val="0"/>
                <w:smallCaps w:val="0"/>
                <w:color w:val="auto"/>
                <w:spacing w:val="0"/>
                <w:highlight w:val="none"/>
              </w:rPr>
              <w:t>0.</w:t>
            </w:r>
            <w:r>
              <w:rPr>
                <w:rFonts w:hint="eastAsia" w:ascii="Times New Roman" w:hAnsi="Times New Roman" w:eastAsia="宋体" w:cs="Times New Roman"/>
                <w:caps w:val="0"/>
                <w:smallCaps w:val="0"/>
                <w:color w:val="auto"/>
                <w:spacing w:val="0"/>
                <w:highlight w:val="none"/>
                <w:lang w:val="en-US" w:eastAsia="zh-CN"/>
              </w:rPr>
              <w:t>222</w:t>
            </w:r>
          </w:p>
        </w:tc>
        <w:tc>
          <w:tcPr>
            <w:tcW w:w="755" w:type="pct"/>
            <w:vAlign w:val="center"/>
          </w:tcPr>
          <w:p w14:paraId="111B9324">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98</w:t>
            </w:r>
          </w:p>
        </w:tc>
        <w:tc>
          <w:tcPr>
            <w:tcW w:w="711" w:type="pct"/>
            <w:vAlign w:val="center"/>
          </w:tcPr>
          <w:p w14:paraId="475F2B90">
            <w:pPr>
              <w:pStyle w:val="212"/>
              <w:rPr>
                <w:rFonts w:hint="default"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kern w:val="0"/>
                <w:highlight w:val="none"/>
                <w:lang w:val="en-US" w:eastAsia="zh-CN" w:bidi="ar"/>
              </w:rPr>
              <w:t>0.05</w:t>
            </w:r>
          </w:p>
        </w:tc>
        <w:tc>
          <w:tcPr>
            <w:tcW w:w="1007" w:type="pct"/>
            <w:vAlign w:val="center"/>
          </w:tcPr>
          <w:p w14:paraId="3749A089">
            <w:pPr>
              <w:pStyle w:val="171"/>
              <w:keepNext w:val="0"/>
              <w:keepLines w:val="0"/>
              <w:pageBreakBefore w:val="0"/>
              <w:widowControl w:val="0"/>
              <w:kinsoku/>
              <w:wordWrap/>
              <w:overflowPunct/>
              <w:topLinePunct w:val="0"/>
              <w:autoSpaceDE/>
              <w:autoSpaceDN/>
              <w:bidi w:val="0"/>
              <w:adjustRightInd w:val="0"/>
              <w:snapToGrid w:val="0"/>
              <w:spacing w:before="0" w:beforeLines="0" w:after="0" w:afterLines="0"/>
              <w:ind w:firstLine="0"/>
              <w:textAlignment w:val="baseline"/>
              <w:rPr>
                <w:caps w:val="0"/>
                <w:smallCaps w:val="0"/>
                <w:color w:val="auto"/>
                <w:spacing w:val="0"/>
                <w:sz w:val="21"/>
                <w:highlight w:val="none"/>
              </w:rPr>
            </w:pPr>
            <w:r>
              <w:rPr>
                <w:caps w:val="0"/>
                <w:smallCaps w:val="0"/>
                <w:color w:val="auto"/>
                <w:spacing w:val="0"/>
                <w:sz w:val="21"/>
                <w:highlight w:val="none"/>
              </w:rPr>
              <w:t>Pmax＜1%，三级</w:t>
            </w:r>
          </w:p>
        </w:tc>
        <w:tc>
          <w:tcPr>
            <w:tcW w:w="455" w:type="pct"/>
            <w:vMerge w:val="restart"/>
            <w:vAlign w:val="center"/>
          </w:tcPr>
          <w:p w14:paraId="0521926F">
            <w:pPr>
              <w:pStyle w:val="171"/>
              <w:spacing w:before="24" w:after="24"/>
              <w:ind w:firstLine="0"/>
              <w:rPr>
                <w:caps w:val="0"/>
                <w:smallCaps w:val="0"/>
                <w:color w:val="auto"/>
                <w:spacing w:val="0"/>
                <w:sz w:val="21"/>
                <w:highlight w:val="none"/>
              </w:rPr>
            </w:pPr>
            <w:r>
              <w:rPr>
                <w:caps w:val="0"/>
                <w:smallCaps w:val="0"/>
                <w:color w:val="auto"/>
                <w:spacing w:val="0"/>
                <w:sz w:val="21"/>
                <w:highlight w:val="none"/>
              </w:rPr>
              <w:t>二级</w:t>
            </w:r>
          </w:p>
        </w:tc>
      </w:tr>
      <w:tr w14:paraId="24F1AB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122FFAFA">
            <w:pPr>
              <w:pStyle w:val="212"/>
              <w:rPr>
                <w:rFonts w:ascii="Times New Roman" w:hAnsi="Times New Roman" w:eastAsia="宋体" w:cs="Times New Roman"/>
                <w:caps w:val="0"/>
                <w:smallCaps w:val="0"/>
                <w:color w:val="auto"/>
                <w:spacing w:val="0"/>
                <w:highlight w:val="none"/>
              </w:rPr>
            </w:pPr>
          </w:p>
        </w:tc>
        <w:tc>
          <w:tcPr>
            <w:tcW w:w="794" w:type="pct"/>
            <w:vAlign w:val="center"/>
          </w:tcPr>
          <w:p w14:paraId="313BE9AC">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镉及其化合物</w:t>
            </w:r>
          </w:p>
        </w:tc>
        <w:tc>
          <w:tcPr>
            <w:tcW w:w="768" w:type="pct"/>
            <w:vAlign w:val="center"/>
          </w:tcPr>
          <w:p w14:paraId="3C7802FA">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lang w:val="en-US" w:eastAsia="zh-CN"/>
              </w:rPr>
              <w:t>2.10</w:t>
            </w:r>
            <w:r>
              <w:rPr>
                <w:rFonts w:ascii="Times New Roman" w:hAnsi="Times New Roman" w:eastAsia="宋体" w:cs="Times New Roman"/>
                <w:caps w:val="0"/>
                <w:smallCaps w:val="0"/>
                <w:color w:val="auto"/>
                <w:spacing w:val="0"/>
                <w:highlight w:val="none"/>
              </w:rPr>
              <w:t>×10</w:t>
            </w:r>
            <w:r>
              <w:rPr>
                <w:rFonts w:ascii="Times New Roman" w:hAnsi="Times New Roman" w:eastAsia="宋体" w:cs="Times New Roman"/>
                <w:caps w:val="0"/>
                <w:smallCaps w:val="0"/>
                <w:color w:val="auto"/>
                <w:spacing w:val="0"/>
                <w:highlight w:val="none"/>
                <w:vertAlign w:val="superscript"/>
              </w:rPr>
              <w:t>-4</w:t>
            </w:r>
          </w:p>
        </w:tc>
        <w:tc>
          <w:tcPr>
            <w:tcW w:w="755" w:type="pct"/>
            <w:vAlign w:val="center"/>
          </w:tcPr>
          <w:p w14:paraId="65CA6A08">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98</w:t>
            </w:r>
          </w:p>
        </w:tc>
        <w:tc>
          <w:tcPr>
            <w:tcW w:w="711" w:type="pct"/>
            <w:vAlign w:val="center"/>
          </w:tcPr>
          <w:p w14:paraId="2466EBEC">
            <w:pPr>
              <w:pStyle w:val="212"/>
              <w:rPr>
                <w:rFonts w:hint="default"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highlight w:val="none"/>
                <w:lang w:val="en-US" w:eastAsia="zh-CN"/>
              </w:rPr>
              <w:t>0.70</w:t>
            </w:r>
          </w:p>
        </w:tc>
        <w:tc>
          <w:tcPr>
            <w:tcW w:w="1007" w:type="pct"/>
            <w:vAlign w:val="center"/>
          </w:tcPr>
          <w:p w14:paraId="4EE30DDE">
            <w:pPr>
              <w:pStyle w:val="171"/>
              <w:keepNext w:val="0"/>
              <w:keepLines w:val="0"/>
              <w:pageBreakBefore w:val="0"/>
              <w:widowControl w:val="0"/>
              <w:kinsoku/>
              <w:wordWrap/>
              <w:overflowPunct/>
              <w:topLinePunct w:val="0"/>
              <w:autoSpaceDE/>
              <w:autoSpaceDN/>
              <w:bidi w:val="0"/>
              <w:adjustRightInd w:val="0"/>
              <w:snapToGrid w:val="0"/>
              <w:spacing w:before="0" w:beforeLines="0" w:after="0" w:afterLines="0"/>
              <w:ind w:firstLine="0"/>
              <w:textAlignment w:val="baseline"/>
              <w:rPr>
                <w:caps w:val="0"/>
                <w:smallCaps w:val="0"/>
                <w:color w:val="auto"/>
                <w:spacing w:val="0"/>
                <w:sz w:val="21"/>
                <w:highlight w:val="none"/>
              </w:rPr>
            </w:pPr>
            <w:r>
              <w:rPr>
                <w:caps w:val="0"/>
                <w:smallCaps w:val="0"/>
                <w:color w:val="auto"/>
                <w:spacing w:val="0"/>
                <w:sz w:val="21"/>
                <w:highlight w:val="none"/>
              </w:rPr>
              <w:t>Pmax＜1%，三级</w:t>
            </w:r>
          </w:p>
        </w:tc>
        <w:tc>
          <w:tcPr>
            <w:tcW w:w="455" w:type="pct"/>
            <w:vMerge w:val="continue"/>
          </w:tcPr>
          <w:p w14:paraId="1D48138A">
            <w:pPr>
              <w:pStyle w:val="212"/>
              <w:rPr>
                <w:rFonts w:ascii="Times New Roman" w:hAnsi="Times New Roman" w:eastAsia="宋体" w:cs="Times New Roman"/>
                <w:caps w:val="0"/>
                <w:smallCaps w:val="0"/>
                <w:color w:val="auto"/>
                <w:spacing w:val="0"/>
                <w:highlight w:val="none"/>
              </w:rPr>
            </w:pPr>
          </w:p>
        </w:tc>
      </w:tr>
      <w:tr w14:paraId="64E2CA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Align w:val="center"/>
          </w:tcPr>
          <w:p w14:paraId="51DC08BA">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DA002</w:t>
            </w:r>
          </w:p>
        </w:tc>
        <w:tc>
          <w:tcPr>
            <w:tcW w:w="794" w:type="pct"/>
            <w:vAlign w:val="center"/>
          </w:tcPr>
          <w:p w14:paraId="0041A93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p>
        </w:tc>
        <w:tc>
          <w:tcPr>
            <w:tcW w:w="768" w:type="pct"/>
            <w:vAlign w:val="center"/>
          </w:tcPr>
          <w:p w14:paraId="694A2A6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1.44×10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739A5C2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w:t>
            </w:r>
          </w:p>
        </w:tc>
        <w:tc>
          <w:tcPr>
            <w:tcW w:w="711" w:type="pct"/>
            <w:vAlign w:val="center"/>
          </w:tcPr>
          <w:p w14:paraId="5822C52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3.20×10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007" w:type="pct"/>
            <w:vAlign w:val="center"/>
          </w:tcPr>
          <w:p w14:paraId="4377050A">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0F9F1A92">
            <w:pPr>
              <w:pStyle w:val="212"/>
              <w:rPr>
                <w:rFonts w:ascii="Times New Roman" w:hAnsi="Times New Roman" w:eastAsia="宋体" w:cs="Times New Roman"/>
                <w:caps w:val="0"/>
                <w:smallCaps w:val="0"/>
                <w:color w:val="auto"/>
                <w:spacing w:val="0"/>
                <w:highlight w:val="none"/>
              </w:rPr>
            </w:pPr>
          </w:p>
        </w:tc>
      </w:tr>
      <w:tr w14:paraId="792C79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2214252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DA003</w:t>
            </w:r>
          </w:p>
        </w:tc>
        <w:tc>
          <w:tcPr>
            <w:tcW w:w="794" w:type="pct"/>
            <w:vAlign w:val="center"/>
          </w:tcPr>
          <w:p w14:paraId="7CC39BC1">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p>
        </w:tc>
        <w:tc>
          <w:tcPr>
            <w:tcW w:w="768" w:type="pct"/>
            <w:vAlign w:val="center"/>
          </w:tcPr>
          <w:p w14:paraId="7018AC8B">
            <w:pPr>
              <w:spacing w:before="74"/>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3.25×10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0255D87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w:t>
            </w:r>
          </w:p>
        </w:tc>
        <w:tc>
          <w:tcPr>
            <w:tcW w:w="711" w:type="pct"/>
            <w:vAlign w:val="center"/>
          </w:tcPr>
          <w:p w14:paraId="33E7455F">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7.22×10</w:t>
            </w:r>
            <w:r>
              <w:rPr>
                <w:rFonts w:ascii="Times New Roman" w:hAnsi="Times New Roman" w:eastAsia="宋体" w:cs="Times New Roman"/>
                <w:caps w:val="0"/>
                <w:smallCaps w:val="0"/>
                <w:color w:val="auto"/>
                <w:spacing w:val="0"/>
                <w:highlight w:val="none"/>
                <w:vertAlign w:val="superscript"/>
              </w:rPr>
              <w:t>-5</w:t>
            </w:r>
          </w:p>
        </w:tc>
        <w:tc>
          <w:tcPr>
            <w:tcW w:w="1007" w:type="pct"/>
            <w:vAlign w:val="center"/>
          </w:tcPr>
          <w:p w14:paraId="1A95AFAD">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6564DA89">
            <w:pPr>
              <w:pStyle w:val="212"/>
              <w:rPr>
                <w:rFonts w:ascii="Times New Roman" w:hAnsi="Times New Roman" w:eastAsia="宋体" w:cs="Times New Roman"/>
                <w:caps w:val="0"/>
                <w:smallCaps w:val="0"/>
                <w:color w:val="auto"/>
                <w:spacing w:val="0"/>
                <w:highlight w:val="none"/>
              </w:rPr>
            </w:pPr>
          </w:p>
        </w:tc>
      </w:tr>
      <w:tr w14:paraId="758B1A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2A19BD49">
            <w:pPr>
              <w:pStyle w:val="212"/>
              <w:rPr>
                <w:rFonts w:ascii="Times New Roman" w:hAnsi="Times New Roman" w:eastAsia="宋体" w:cs="Times New Roman"/>
                <w:caps w:val="0"/>
                <w:smallCaps w:val="0"/>
                <w:color w:val="auto"/>
                <w:spacing w:val="0"/>
                <w:highlight w:val="none"/>
              </w:rPr>
            </w:pPr>
          </w:p>
        </w:tc>
        <w:tc>
          <w:tcPr>
            <w:tcW w:w="794" w:type="pct"/>
            <w:vAlign w:val="center"/>
          </w:tcPr>
          <w:p w14:paraId="15EFEF7C">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镉及其化合物</w:t>
            </w:r>
          </w:p>
        </w:tc>
        <w:tc>
          <w:tcPr>
            <w:tcW w:w="768" w:type="pct"/>
            <w:vAlign w:val="center"/>
          </w:tcPr>
          <w:p w14:paraId="354B07DE">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1.52×10</w:t>
            </w:r>
            <w:r>
              <w:rPr>
                <w:rFonts w:ascii="Times New Roman" w:hAnsi="Times New Roman" w:eastAsia="宋体" w:cs="Times New Roman"/>
                <w:caps w:val="0"/>
                <w:smallCaps w:val="0"/>
                <w:color w:val="auto"/>
                <w:spacing w:val="0"/>
                <w:highlight w:val="none"/>
                <w:vertAlign w:val="superscript"/>
              </w:rPr>
              <w:t>-4</w:t>
            </w:r>
          </w:p>
        </w:tc>
        <w:tc>
          <w:tcPr>
            <w:tcW w:w="755" w:type="pct"/>
            <w:vAlign w:val="center"/>
          </w:tcPr>
          <w:p w14:paraId="09B98D51">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69</w:t>
            </w:r>
          </w:p>
        </w:tc>
        <w:tc>
          <w:tcPr>
            <w:tcW w:w="711" w:type="pct"/>
            <w:vAlign w:val="center"/>
          </w:tcPr>
          <w:p w14:paraId="44D5A8B1">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0.51</w:t>
            </w:r>
          </w:p>
        </w:tc>
        <w:tc>
          <w:tcPr>
            <w:tcW w:w="1007" w:type="pct"/>
            <w:vAlign w:val="center"/>
          </w:tcPr>
          <w:p w14:paraId="04AB4A3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0B1B92CE">
            <w:pPr>
              <w:pStyle w:val="212"/>
              <w:rPr>
                <w:rFonts w:ascii="Times New Roman" w:hAnsi="Times New Roman" w:eastAsia="宋体" w:cs="Times New Roman"/>
                <w:caps w:val="0"/>
                <w:smallCaps w:val="0"/>
                <w:color w:val="auto"/>
                <w:spacing w:val="0"/>
                <w:highlight w:val="none"/>
              </w:rPr>
            </w:pPr>
          </w:p>
        </w:tc>
      </w:tr>
      <w:tr w14:paraId="30E2F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2C4245E5">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DA004</w:t>
            </w:r>
          </w:p>
        </w:tc>
        <w:tc>
          <w:tcPr>
            <w:tcW w:w="794" w:type="pct"/>
            <w:vAlign w:val="center"/>
          </w:tcPr>
          <w:p w14:paraId="28F391E2">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p>
        </w:tc>
        <w:tc>
          <w:tcPr>
            <w:tcW w:w="768" w:type="pct"/>
            <w:vAlign w:val="center"/>
          </w:tcPr>
          <w:p w14:paraId="7F6CE75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3.38×10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28A59D4A">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w:t>
            </w:r>
          </w:p>
        </w:tc>
        <w:tc>
          <w:tcPr>
            <w:tcW w:w="711" w:type="pct"/>
            <w:vAlign w:val="center"/>
          </w:tcPr>
          <w:p w14:paraId="453D42AB">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highlight w:val="none"/>
                <w:lang w:bidi="ar"/>
              </w:rPr>
              <w:t>7.53×10</w:t>
            </w:r>
            <w:r>
              <w:rPr>
                <w:rFonts w:ascii="Times New Roman" w:hAnsi="Times New Roman" w:eastAsia="宋体" w:cs="Times New Roman"/>
                <w:caps w:val="0"/>
                <w:smallCaps w:val="0"/>
                <w:color w:val="auto"/>
                <w:spacing w:val="0"/>
                <w:kern w:val="0"/>
                <w:highlight w:val="none"/>
                <w:vertAlign w:val="superscript"/>
                <w:lang w:bidi="ar"/>
              </w:rPr>
              <w:t>-5</w:t>
            </w:r>
          </w:p>
        </w:tc>
        <w:tc>
          <w:tcPr>
            <w:tcW w:w="1007" w:type="pct"/>
            <w:vAlign w:val="center"/>
          </w:tcPr>
          <w:p w14:paraId="78B7A7BE">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287B0425">
            <w:pPr>
              <w:pStyle w:val="212"/>
              <w:rPr>
                <w:rFonts w:ascii="Times New Roman" w:hAnsi="Times New Roman" w:eastAsia="宋体" w:cs="Times New Roman"/>
                <w:caps w:val="0"/>
                <w:smallCaps w:val="0"/>
                <w:color w:val="auto"/>
                <w:spacing w:val="0"/>
                <w:highlight w:val="none"/>
              </w:rPr>
            </w:pPr>
          </w:p>
        </w:tc>
      </w:tr>
      <w:tr w14:paraId="631AC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0ADFA406">
            <w:pPr>
              <w:pStyle w:val="212"/>
              <w:rPr>
                <w:rFonts w:ascii="Times New Roman" w:hAnsi="Times New Roman" w:eastAsia="宋体" w:cs="Times New Roman"/>
                <w:caps w:val="0"/>
                <w:smallCaps w:val="0"/>
                <w:color w:val="auto"/>
                <w:spacing w:val="0"/>
                <w:highlight w:val="none"/>
              </w:rPr>
            </w:pPr>
          </w:p>
        </w:tc>
        <w:tc>
          <w:tcPr>
            <w:tcW w:w="794" w:type="pct"/>
            <w:vAlign w:val="center"/>
          </w:tcPr>
          <w:p w14:paraId="0EAE38E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镉及其化合物</w:t>
            </w:r>
          </w:p>
        </w:tc>
        <w:tc>
          <w:tcPr>
            <w:tcW w:w="768" w:type="pct"/>
            <w:vAlign w:val="center"/>
          </w:tcPr>
          <w:p w14:paraId="7F55456F">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1.52×10</w:t>
            </w:r>
            <w:r>
              <w:rPr>
                <w:rFonts w:ascii="Times New Roman" w:hAnsi="Times New Roman" w:eastAsia="宋体" w:cs="Times New Roman"/>
                <w:caps w:val="0"/>
                <w:smallCaps w:val="0"/>
                <w:color w:val="auto"/>
                <w:spacing w:val="0"/>
                <w:highlight w:val="none"/>
                <w:vertAlign w:val="superscript"/>
              </w:rPr>
              <w:t>-4</w:t>
            </w:r>
          </w:p>
        </w:tc>
        <w:tc>
          <w:tcPr>
            <w:tcW w:w="755" w:type="pct"/>
            <w:vAlign w:val="center"/>
          </w:tcPr>
          <w:p w14:paraId="0EEA70C9">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69</w:t>
            </w:r>
          </w:p>
        </w:tc>
        <w:tc>
          <w:tcPr>
            <w:tcW w:w="711" w:type="pct"/>
            <w:vAlign w:val="center"/>
          </w:tcPr>
          <w:p w14:paraId="314E0118">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0.51</w:t>
            </w:r>
          </w:p>
        </w:tc>
        <w:tc>
          <w:tcPr>
            <w:tcW w:w="1007" w:type="pct"/>
            <w:vAlign w:val="center"/>
          </w:tcPr>
          <w:p w14:paraId="505C8B38">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26207CD0">
            <w:pPr>
              <w:pStyle w:val="212"/>
              <w:rPr>
                <w:rFonts w:ascii="Times New Roman" w:hAnsi="Times New Roman" w:eastAsia="宋体" w:cs="Times New Roman"/>
                <w:caps w:val="0"/>
                <w:smallCaps w:val="0"/>
                <w:color w:val="auto"/>
                <w:spacing w:val="0"/>
                <w:highlight w:val="none"/>
              </w:rPr>
            </w:pPr>
          </w:p>
        </w:tc>
      </w:tr>
      <w:tr w14:paraId="5B8F08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Align w:val="center"/>
          </w:tcPr>
          <w:p w14:paraId="3A884F15">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w:t>
            </w:r>
            <w:r>
              <w:rPr>
                <w:rFonts w:hint="eastAsia" w:ascii="Times New Roman" w:hAnsi="Times New Roman" w:eastAsia="宋体" w:cs="Times New Roman"/>
                <w:caps w:val="0"/>
                <w:smallCaps w:val="0"/>
                <w:color w:val="auto"/>
                <w:spacing w:val="0"/>
                <w:highlight w:val="none"/>
                <w:lang w:val="en-US" w:eastAsia="zh-CN"/>
              </w:rPr>
              <w:t>5</w:t>
            </w:r>
          </w:p>
        </w:tc>
        <w:tc>
          <w:tcPr>
            <w:tcW w:w="794" w:type="pct"/>
            <w:vAlign w:val="center"/>
          </w:tcPr>
          <w:p w14:paraId="007FE5E3">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p>
        </w:tc>
        <w:tc>
          <w:tcPr>
            <w:tcW w:w="768" w:type="pct"/>
            <w:vAlign w:val="center"/>
          </w:tcPr>
          <w:p w14:paraId="3879F785">
            <w:pPr>
              <w:spacing w:before="74"/>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09021BE0">
            <w:pPr>
              <w:spacing w:before="74"/>
              <w:jc w:val="center"/>
              <w:textAlignment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1"/>
                <w:highlight w:val="none"/>
              </w:rPr>
              <w:t>74</w:t>
            </w:r>
          </w:p>
        </w:tc>
        <w:tc>
          <w:tcPr>
            <w:tcW w:w="711" w:type="pct"/>
            <w:vAlign w:val="center"/>
          </w:tcPr>
          <w:p w14:paraId="07D9D3D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highlight w:val="none"/>
                <w:lang w:bidi="ar"/>
              </w:rPr>
              <w:t>3.11×10</w:t>
            </w:r>
            <w:r>
              <w:rPr>
                <w:rFonts w:ascii="Times New Roman" w:hAnsi="Times New Roman" w:eastAsia="宋体" w:cs="Times New Roman"/>
                <w:caps w:val="0"/>
                <w:smallCaps w:val="0"/>
                <w:color w:val="auto"/>
                <w:spacing w:val="0"/>
                <w:kern w:val="0"/>
                <w:highlight w:val="none"/>
                <w:vertAlign w:val="superscript"/>
                <w:lang w:bidi="ar"/>
              </w:rPr>
              <w:t>-5</w:t>
            </w:r>
          </w:p>
        </w:tc>
        <w:tc>
          <w:tcPr>
            <w:tcW w:w="1007" w:type="pct"/>
            <w:vAlign w:val="center"/>
          </w:tcPr>
          <w:p w14:paraId="4F23219E">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7B7C85ED">
            <w:pPr>
              <w:pStyle w:val="212"/>
              <w:rPr>
                <w:rFonts w:ascii="Times New Roman" w:hAnsi="Times New Roman" w:eastAsia="宋体" w:cs="Times New Roman"/>
                <w:caps w:val="0"/>
                <w:smallCaps w:val="0"/>
                <w:color w:val="auto"/>
                <w:spacing w:val="0"/>
                <w:highlight w:val="none"/>
              </w:rPr>
            </w:pPr>
          </w:p>
        </w:tc>
      </w:tr>
      <w:tr w14:paraId="344A78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03296C33">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DA006</w:t>
            </w:r>
          </w:p>
        </w:tc>
        <w:tc>
          <w:tcPr>
            <w:tcW w:w="794" w:type="pct"/>
            <w:vAlign w:val="center"/>
          </w:tcPr>
          <w:p w14:paraId="0DDB8774">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p>
        </w:tc>
        <w:tc>
          <w:tcPr>
            <w:tcW w:w="768" w:type="pct"/>
            <w:vAlign w:val="center"/>
          </w:tcPr>
          <w:p w14:paraId="3D9C71D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2.93×10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45A68B0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w:t>
            </w:r>
          </w:p>
        </w:tc>
        <w:tc>
          <w:tcPr>
            <w:tcW w:w="711" w:type="pct"/>
            <w:vAlign w:val="center"/>
          </w:tcPr>
          <w:p w14:paraId="19BBCEC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6.51×10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007" w:type="pct"/>
            <w:vAlign w:val="center"/>
          </w:tcPr>
          <w:p w14:paraId="3B53F4B5">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7B712C26">
            <w:pPr>
              <w:pStyle w:val="212"/>
              <w:rPr>
                <w:rFonts w:ascii="Times New Roman" w:hAnsi="Times New Roman" w:eastAsia="宋体" w:cs="Times New Roman"/>
                <w:caps w:val="0"/>
                <w:smallCaps w:val="0"/>
                <w:color w:val="auto"/>
                <w:spacing w:val="0"/>
                <w:highlight w:val="none"/>
              </w:rPr>
            </w:pPr>
          </w:p>
        </w:tc>
      </w:tr>
      <w:tr w14:paraId="12CEF5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0E0757E3">
            <w:pPr>
              <w:pStyle w:val="212"/>
              <w:rPr>
                <w:rFonts w:ascii="Times New Roman" w:hAnsi="Times New Roman" w:eastAsia="宋体" w:cs="Times New Roman"/>
                <w:caps w:val="0"/>
                <w:smallCaps w:val="0"/>
                <w:color w:val="auto"/>
                <w:spacing w:val="0"/>
                <w:highlight w:val="none"/>
              </w:rPr>
            </w:pPr>
          </w:p>
        </w:tc>
        <w:tc>
          <w:tcPr>
            <w:tcW w:w="794" w:type="pct"/>
            <w:vAlign w:val="center"/>
          </w:tcPr>
          <w:p w14:paraId="1EE164C2">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镉及其化合物</w:t>
            </w:r>
          </w:p>
        </w:tc>
        <w:tc>
          <w:tcPr>
            <w:tcW w:w="768" w:type="pct"/>
            <w:vAlign w:val="center"/>
          </w:tcPr>
          <w:p w14:paraId="31D6313A">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1.31×10</w:t>
            </w:r>
            <w:r>
              <w:rPr>
                <w:rFonts w:ascii="Times New Roman" w:hAnsi="Times New Roman" w:eastAsia="宋体" w:cs="Times New Roman"/>
                <w:caps w:val="0"/>
                <w:smallCaps w:val="0"/>
                <w:color w:val="auto"/>
                <w:spacing w:val="0"/>
                <w:highlight w:val="none"/>
                <w:vertAlign w:val="superscript"/>
              </w:rPr>
              <w:t>-4</w:t>
            </w:r>
          </w:p>
        </w:tc>
        <w:tc>
          <w:tcPr>
            <w:tcW w:w="755" w:type="pct"/>
            <w:vAlign w:val="center"/>
          </w:tcPr>
          <w:p w14:paraId="3737E07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72</w:t>
            </w:r>
          </w:p>
        </w:tc>
        <w:tc>
          <w:tcPr>
            <w:tcW w:w="711" w:type="pct"/>
            <w:vAlign w:val="center"/>
          </w:tcPr>
          <w:p w14:paraId="440352A2">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0.44</w:t>
            </w:r>
          </w:p>
        </w:tc>
        <w:tc>
          <w:tcPr>
            <w:tcW w:w="1007" w:type="pct"/>
            <w:vAlign w:val="center"/>
          </w:tcPr>
          <w:p w14:paraId="11298C68">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0DE0B799">
            <w:pPr>
              <w:pStyle w:val="212"/>
              <w:rPr>
                <w:rFonts w:ascii="Times New Roman" w:hAnsi="Times New Roman" w:eastAsia="宋体" w:cs="Times New Roman"/>
                <w:caps w:val="0"/>
                <w:smallCaps w:val="0"/>
                <w:color w:val="auto"/>
                <w:spacing w:val="0"/>
                <w:highlight w:val="none"/>
              </w:rPr>
            </w:pPr>
          </w:p>
        </w:tc>
      </w:tr>
      <w:tr w14:paraId="6421C0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Align w:val="center"/>
          </w:tcPr>
          <w:p w14:paraId="663FF51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DA007</w:t>
            </w:r>
          </w:p>
        </w:tc>
        <w:tc>
          <w:tcPr>
            <w:tcW w:w="794" w:type="pct"/>
            <w:vAlign w:val="center"/>
          </w:tcPr>
          <w:p w14:paraId="23FE2C48">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非甲烷总烃</w:t>
            </w:r>
          </w:p>
        </w:tc>
        <w:tc>
          <w:tcPr>
            <w:tcW w:w="768" w:type="pct"/>
            <w:vAlign w:val="center"/>
          </w:tcPr>
          <w:p w14:paraId="693C889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2.80×10</w:t>
            </w:r>
            <w:r>
              <w:rPr>
                <w:rFonts w:ascii="Times New Roman" w:hAnsi="Times New Roman" w:eastAsia="宋体" w:cs="Times New Roman"/>
                <w:caps w:val="0"/>
                <w:smallCaps w:val="0"/>
                <w:color w:val="auto"/>
                <w:spacing w:val="0"/>
                <w:sz w:val="21"/>
                <w:highlight w:val="none"/>
                <w:vertAlign w:val="superscript"/>
              </w:rPr>
              <w:t>-1</w:t>
            </w:r>
          </w:p>
        </w:tc>
        <w:tc>
          <w:tcPr>
            <w:tcW w:w="755" w:type="pct"/>
            <w:vAlign w:val="center"/>
          </w:tcPr>
          <w:p w14:paraId="0119F36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78</w:t>
            </w:r>
          </w:p>
        </w:tc>
        <w:tc>
          <w:tcPr>
            <w:tcW w:w="711" w:type="pct"/>
            <w:vAlign w:val="center"/>
          </w:tcPr>
          <w:p w14:paraId="5C8D6033">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1.40×10</w:t>
            </w:r>
            <w:r>
              <w:rPr>
                <w:rFonts w:ascii="Times New Roman" w:hAnsi="Times New Roman" w:eastAsia="宋体" w:cs="Times New Roman"/>
                <w:caps w:val="0"/>
                <w:smallCaps w:val="0"/>
                <w:color w:val="auto"/>
                <w:spacing w:val="0"/>
                <w:highlight w:val="none"/>
                <w:vertAlign w:val="superscript"/>
              </w:rPr>
              <w:t>-2</w:t>
            </w:r>
          </w:p>
        </w:tc>
        <w:tc>
          <w:tcPr>
            <w:tcW w:w="1007" w:type="pct"/>
            <w:vAlign w:val="center"/>
          </w:tcPr>
          <w:p w14:paraId="78CB4428">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6BE10189">
            <w:pPr>
              <w:pStyle w:val="212"/>
              <w:rPr>
                <w:rFonts w:ascii="Times New Roman" w:hAnsi="Times New Roman" w:eastAsia="宋体" w:cs="Times New Roman"/>
                <w:caps w:val="0"/>
                <w:smallCaps w:val="0"/>
                <w:color w:val="auto"/>
                <w:spacing w:val="0"/>
                <w:highlight w:val="none"/>
              </w:rPr>
            </w:pPr>
          </w:p>
        </w:tc>
      </w:tr>
      <w:tr w14:paraId="7C90C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2EF3DF8F">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DA0</w:t>
            </w:r>
            <w:r>
              <w:rPr>
                <w:rFonts w:hint="eastAsia" w:ascii="Times New Roman" w:hAnsi="Times New Roman" w:eastAsia="宋体" w:cs="Times New Roman"/>
                <w:caps w:val="0"/>
                <w:smallCaps w:val="0"/>
                <w:color w:val="auto"/>
                <w:spacing w:val="0"/>
                <w:highlight w:val="none"/>
                <w:lang w:val="en-US" w:eastAsia="zh-CN"/>
              </w:rPr>
              <w:t>08</w:t>
            </w:r>
          </w:p>
        </w:tc>
        <w:tc>
          <w:tcPr>
            <w:tcW w:w="794" w:type="pct"/>
            <w:vAlign w:val="center"/>
          </w:tcPr>
          <w:p w14:paraId="541B8172">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NO</w:t>
            </w:r>
            <w:r>
              <w:rPr>
                <w:rFonts w:ascii="Times New Roman" w:hAnsi="Times New Roman" w:eastAsia="宋体" w:cs="Times New Roman"/>
                <w:caps w:val="0"/>
                <w:smallCaps w:val="0"/>
                <w:color w:val="auto"/>
                <w:spacing w:val="0"/>
                <w:highlight w:val="none"/>
                <w:vertAlign w:val="subscript"/>
              </w:rPr>
              <w:t>2</w:t>
            </w:r>
          </w:p>
        </w:tc>
        <w:tc>
          <w:tcPr>
            <w:tcW w:w="768" w:type="pct"/>
            <w:vAlign w:val="center"/>
          </w:tcPr>
          <w:p w14:paraId="0990D9A2">
            <w:pPr>
              <w:pStyle w:val="212"/>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highlight w:val="none"/>
              </w:rPr>
              <w:t>0.111</w:t>
            </w:r>
          </w:p>
        </w:tc>
        <w:tc>
          <w:tcPr>
            <w:tcW w:w="755" w:type="pct"/>
            <w:vAlign w:val="center"/>
          </w:tcPr>
          <w:p w14:paraId="56C81274">
            <w:pPr>
              <w:pStyle w:val="212"/>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highlight w:val="none"/>
              </w:rPr>
              <w:t>98</w:t>
            </w:r>
          </w:p>
        </w:tc>
        <w:tc>
          <w:tcPr>
            <w:tcW w:w="711" w:type="pct"/>
            <w:vAlign w:val="center"/>
          </w:tcPr>
          <w:p w14:paraId="180AEF30">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0.056</w:t>
            </w:r>
          </w:p>
        </w:tc>
        <w:tc>
          <w:tcPr>
            <w:tcW w:w="1007" w:type="pct"/>
            <w:vAlign w:val="center"/>
          </w:tcPr>
          <w:p w14:paraId="1C547804">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243B6383">
            <w:pPr>
              <w:pStyle w:val="212"/>
              <w:rPr>
                <w:rFonts w:ascii="Times New Roman" w:hAnsi="Times New Roman" w:eastAsia="宋体" w:cs="Times New Roman"/>
                <w:caps w:val="0"/>
                <w:smallCaps w:val="0"/>
                <w:color w:val="auto"/>
                <w:spacing w:val="0"/>
                <w:highlight w:val="none"/>
              </w:rPr>
            </w:pPr>
          </w:p>
        </w:tc>
      </w:tr>
      <w:tr w14:paraId="18EA39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58AF1744">
            <w:pPr>
              <w:pStyle w:val="212"/>
              <w:rPr>
                <w:rFonts w:ascii="Times New Roman" w:hAnsi="Times New Roman" w:eastAsia="宋体" w:cs="Times New Roman"/>
                <w:caps w:val="0"/>
                <w:smallCaps w:val="0"/>
                <w:color w:val="auto"/>
                <w:spacing w:val="0"/>
                <w:highlight w:val="none"/>
              </w:rPr>
            </w:pPr>
          </w:p>
        </w:tc>
        <w:tc>
          <w:tcPr>
            <w:tcW w:w="794" w:type="pct"/>
            <w:vAlign w:val="center"/>
          </w:tcPr>
          <w:p w14:paraId="39051D06">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氯化氢</w:t>
            </w:r>
          </w:p>
        </w:tc>
        <w:tc>
          <w:tcPr>
            <w:tcW w:w="768" w:type="pct"/>
            <w:vAlign w:val="center"/>
          </w:tcPr>
          <w:p w14:paraId="317D7E95">
            <w:pPr>
              <w:pStyle w:val="212"/>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highlight w:val="none"/>
              </w:rPr>
              <w:t>0.0179</w:t>
            </w:r>
          </w:p>
        </w:tc>
        <w:tc>
          <w:tcPr>
            <w:tcW w:w="755" w:type="pct"/>
            <w:vAlign w:val="center"/>
          </w:tcPr>
          <w:p w14:paraId="7814375F">
            <w:pPr>
              <w:pStyle w:val="212"/>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highlight w:val="none"/>
              </w:rPr>
              <w:t>98</w:t>
            </w:r>
          </w:p>
        </w:tc>
        <w:tc>
          <w:tcPr>
            <w:tcW w:w="711" w:type="pct"/>
            <w:vAlign w:val="center"/>
          </w:tcPr>
          <w:p w14:paraId="33444275">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0.0358</w:t>
            </w:r>
          </w:p>
        </w:tc>
        <w:tc>
          <w:tcPr>
            <w:tcW w:w="1007" w:type="pct"/>
            <w:vAlign w:val="center"/>
          </w:tcPr>
          <w:p w14:paraId="37B13506">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23911A01">
            <w:pPr>
              <w:pStyle w:val="212"/>
              <w:rPr>
                <w:rFonts w:ascii="Times New Roman" w:hAnsi="Times New Roman" w:eastAsia="宋体" w:cs="Times New Roman"/>
                <w:caps w:val="0"/>
                <w:smallCaps w:val="0"/>
                <w:color w:val="auto"/>
                <w:spacing w:val="0"/>
                <w:highlight w:val="none"/>
              </w:rPr>
            </w:pPr>
          </w:p>
        </w:tc>
      </w:tr>
      <w:tr w14:paraId="46E58E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60EBE27D">
            <w:pPr>
              <w:pStyle w:val="212"/>
              <w:rPr>
                <w:rFonts w:ascii="Times New Roman" w:hAnsi="Times New Roman" w:eastAsia="宋体" w:cs="Times New Roman"/>
                <w:caps w:val="0"/>
                <w:smallCaps w:val="0"/>
                <w:color w:val="auto"/>
                <w:spacing w:val="0"/>
                <w:highlight w:val="none"/>
              </w:rPr>
            </w:pPr>
          </w:p>
        </w:tc>
        <w:tc>
          <w:tcPr>
            <w:tcW w:w="794" w:type="pct"/>
            <w:vAlign w:val="center"/>
          </w:tcPr>
          <w:p w14:paraId="515D1222">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氨气</w:t>
            </w:r>
          </w:p>
        </w:tc>
        <w:tc>
          <w:tcPr>
            <w:tcW w:w="768" w:type="pct"/>
            <w:vAlign w:val="center"/>
          </w:tcPr>
          <w:p w14:paraId="6167A3B6">
            <w:pPr>
              <w:pStyle w:val="212"/>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highlight w:val="none"/>
              </w:rPr>
              <w:t>1.06</w:t>
            </w:r>
            <w:r>
              <w:rPr>
                <w:rFonts w:ascii="Times New Roman" w:hAnsi="Times New Roman" w:eastAsia="宋体" w:cs="Times New Roman"/>
                <w:caps w:val="0"/>
                <w:smallCaps w:val="0"/>
                <w:color w:val="auto"/>
                <w:spacing w:val="0"/>
                <w:highlight w:val="none"/>
              </w:rPr>
              <w:t>×10</w:t>
            </w:r>
            <w:r>
              <w:rPr>
                <w:rFonts w:ascii="Times New Roman" w:hAnsi="Times New Roman" w:eastAsia="宋体" w:cs="Times New Roman"/>
                <w:caps w:val="0"/>
                <w:smallCaps w:val="0"/>
                <w:color w:val="auto"/>
                <w:spacing w:val="0"/>
                <w:highlight w:val="none"/>
                <w:vertAlign w:val="superscript"/>
              </w:rPr>
              <w:t>-</w:t>
            </w:r>
            <w:r>
              <w:rPr>
                <w:rFonts w:hint="eastAsia" w:ascii="Times New Roman" w:hAnsi="Times New Roman" w:eastAsia="宋体" w:cs="Times New Roman"/>
                <w:caps w:val="0"/>
                <w:smallCaps w:val="0"/>
                <w:color w:val="auto"/>
                <w:spacing w:val="0"/>
                <w:highlight w:val="none"/>
                <w:vertAlign w:val="superscript"/>
              </w:rPr>
              <w:t>7</w:t>
            </w:r>
          </w:p>
        </w:tc>
        <w:tc>
          <w:tcPr>
            <w:tcW w:w="755" w:type="pct"/>
            <w:vAlign w:val="center"/>
          </w:tcPr>
          <w:p w14:paraId="7AF042D9">
            <w:pPr>
              <w:pStyle w:val="212"/>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highlight w:val="none"/>
              </w:rPr>
              <w:t>76</w:t>
            </w:r>
          </w:p>
        </w:tc>
        <w:tc>
          <w:tcPr>
            <w:tcW w:w="711" w:type="pct"/>
            <w:vAlign w:val="center"/>
          </w:tcPr>
          <w:p w14:paraId="451AEAFF">
            <w:pPr>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1"/>
                <w:highlight w:val="none"/>
                <w:lang w:bidi="ar"/>
              </w:rPr>
              <w:t>5.3</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c>
          <w:tcPr>
            <w:tcW w:w="1007" w:type="pct"/>
            <w:vAlign w:val="center"/>
          </w:tcPr>
          <w:p w14:paraId="084AE7A1">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02CC5F4C">
            <w:pPr>
              <w:pStyle w:val="212"/>
              <w:rPr>
                <w:rFonts w:ascii="Times New Roman" w:hAnsi="Times New Roman" w:eastAsia="宋体" w:cs="Times New Roman"/>
                <w:caps w:val="0"/>
                <w:smallCaps w:val="0"/>
                <w:color w:val="auto"/>
                <w:spacing w:val="0"/>
                <w:highlight w:val="none"/>
              </w:rPr>
            </w:pPr>
          </w:p>
        </w:tc>
      </w:tr>
      <w:tr w14:paraId="4670F8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1731ED27">
            <w:pPr>
              <w:pStyle w:val="212"/>
              <w:rPr>
                <w:rFonts w:ascii="Times New Roman" w:hAnsi="Times New Roman" w:eastAsia="宋体" w:cs="Times New Roman"/>
                <w:caps w:val="0"/>
                <w:smallCaps w:val="0"/>
                <w:color w:val="auto"/>
                <w:spacing w:val="0"/>
                <w:highlight w:val="none"/>
              </w:rPr>
            </w:pPr>
          </w:p>
        </w:tc>
        <w:tc>
          <w:tcPr>
            <w:tcW w:w="794" w:type="pct"/>
            <w:vAlign w:val="center"/>
          </w:tcPr>
          <w:p w14:paraId="70405B44">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硫化氢</w:t>
            </w:r>
          </w:p>
        </w:tc>
        <w:tc>
          <w:tcPr>
            <w:tcW w:w="768" w:type="pct"/>
            <w:vAlign w:val="center"/>
          </w:tcPr>
          <w:p w14:paraId="2B14B009">
            <w:pPr>
              <w:pStyle w:val="212"/>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highlight w:val="none"/>
              </w:rPr>
              <w:t>4.14</w:t>
            </w:r>
            <w:r>
              <w:rPr>
                <w:rFonts w:ascii="Times New Roman" w:hAnsi="Times New Roman" w:eastAsia="宋体" w:cs="Times New Roman"/>
                <w:caps w:val="0"/>
                <w:smallCaps w:val="0"/>
                <w:color w:val="auto"/>
                <w:spacing w:val="0"/>
                <w:highlight w:val="none"/>
              </w:rPr>
              <w:t>×10</w:t>
            </w:r>
            <w:r>
              <w:rPr>
                <w:rFonts w:ascii="Times New Roman" w:hAnsi="Times New Roman" w:eastAsia="宋体" w:cs="Times New Roman"/>
                <w:caps w:val="0"/>
                <w:smallCaps w:val="0"/>
                <w:color w:val="auto"/>
                <w:spacing w:val="0"/>
                <w:highlight w:val="none"/>
                <w:vertAlign w:val="superscript"/>
              </w:rPr>
              <w:t>-</w:t>
            </w:r>
            <w:r>
              <w:rPr>
                <w:rFonts w:hint="eastAsia" w:ascii="Times New Roman" w:hAnsi="Times New Roman" w:eastAsia="宋体" w:cs="Times New Roman"/>
                <w:caps w:val="0"/>
                <w:smallCaps w:val="0"/>
                <w:color w:val="auto"/>
                <w:spacing w:val="0"/>
                <w:highlight w:val="none"/>
                <w:vertAlign w:val="superscript"/>
              </w:rPr>
              <w:t>9</w:t>
            </w:r>
          </w:p>
        </w:tc>
        <w:tc>
          <w:tcPr>
            <w:tcW w:w="755" w:type="pct"/>
            <w:vAlign w:val="center"/>
          </w:tcPr>
          <w:p w14:paraId="4DC2B86E">
            <w:pPr>
              <w:pStyle w:val="212"/>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highlight w:val="none"/>
              </w:rPr>
              <w:t>76</w:t>
            </w:r>
          </w:p>
        </w:tc>
        <w:tc>
          <w:tcPr>
            <w:tcW w:w="711" w:type="pct"/>
            <w:vAlign w:val="center"/>
          </w:tcPr>
          <w:p w14:paraId="27C85E65">
            <w:pPr>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sz w:val="21"/>
                <w:highlight w:val="none"/>
              </w:rPr>
              <w:t>4.14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rPr>
              <w:t>8</w:t>
            </w:r>
          </w:p>
        </w:tc>
        <w:tc>
          <w:tcPr>
            <w:tcW w:w="1007" w:type="pct"/>
            <w:vAlign w:val="center"/>
          </w:tcPr>
          <w:p w14:paraId="3107C0B1">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61200798">
            <w:pPr>
              <w:pStyle w:val="212"/>
              <w:rPr>
                <w:rFonts w:ascii="Times New Roman" w:hAnsi="Times New Roman" w:eastAsia="宋体" w:cs="Times New Roman"/>
                <w:caps w:val="0"/>
                <w:smallCaps w:val="0"/>
                <w:color w:val="auto"/>
                <w:spacing w:val="0"/>
                <w:highlight w:val="none"/>
              </w:rPr>
            </w:pPr>
          </w:p>
        </w:tc>
      </w:tr>
      <w:tr w14:paraId="15C265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6BA3BD2E">
            <w:pPr>
              <w:pStyle w:val="212"/>
              <w:rPr>
                <w:rFonts w:hint="eastAsia" w:ascii="Times New Roman" w:hAnsi="Times New Roman" w:eastAsia="宋体" w:cs="Times New Roman"/>
                <w:caps w:val="0"/>
                <w:smallCaps w:val="0"/>
                <w:color w:val="auto"/>
                <w:spacing w:val="0"/>
                <w:highlight w:val="none"/>
                <w:lang w:eastAsia="zh-CN"/>
              </w:rPr>
            </w:pPr>
            <w:r>
              <w:rPr>
                <w:rFonts w:ascii="Times New Roman" w:hAnsi="Times New Roman" w:eastAsia="宋体" w:cs="Times New Roman"/>
                <w:caps w:val="0"/>
                <w:smallCaps w:val="0"/>
                <w:color w:val="auto"/>
                <w:spacing w:val="0"/>
                <w:highlight w:val="none"/>
              </w:rPr>
              <w:t>DA00</w:t>
            </w:r>
            <w:r>
              <w:rPr>
                <w:rFonts w:hint="eastAsia" w:ascii="Times New Roman" w:hAnsi="Times New Roman" w:eastAsia="宋体" w:cs="Times New Roman"/>
                <w:caps w:val="0"/>
                <w:smallCaps w:val="0"/>
                <w:color w:val="auto"/>
                <w:spacing w:val="0"/>
                <w:highlight w:val="none"/>
                <w:lang w:val="en-US" w:eastAsia="zh-CN"/>
              </w:rPr>
              <w:t>9</w:t>
            </w:r>
          </w:p>
        </w:tc>
        <w:tc>
          <w:tcPr>
            <w:tcW w:w="794" w:type="pct"/>
            <w:vAlign w:val="center"/>
          </w:tcPr>
          <w:p w14:paraId="60C3F44B">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非甲烷总烃</w:t>
            </w:r>
          </w:p>
        </w:tc>
        <w:tc>
          <w:tcPr>
            <w:tcW w:w="768" w:type="pct"/>
            <w:vAlign w:val="center"/>
          </w:tcPr>
          <w:p w14:paraId="0C90CF0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6.99×10</w:t>
            </w:r>
            <w:r>
              <w:rPr>
                <w:rFonts w:ascii="Times New Roman" w:hAnsi="Times New Roman" w:eastAsia="宋体" w:cs="Times New Roman"/>
                <w:caps w:val="0"/>
                <w:smallCaps w:val="0"/>
                <w:color w:val="auto"/>
                <w:spacing w:val="0"/>
                <w:sz w:val="21"/>
                <w:highlight w:val="none"/>
                <w:vertAlign w:val="superscript"/>
              </w:rPr>
              <w:t>-5</w:t>
            </w:r>
          </w:p>
        </w:tc>
        <w:tc>
          <w:tcPr>
            <w:tcW w:w="755" w:type="pct"/>
            <w:vAlign w:val="center"/>
          </w:tcPr>
          <w:p w14:paraId="74CD9BF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w:t>
            </w:r>
          </w:p>
        </w:tc>
        <w:tc>
          <w:tcPr>
            <w:tcW w:w="711" w:type="pct"/>
            <w:vAlign w:val="center"/>
          </w:tcPr>
          <w:p w14:paraId="129245F9">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2"/>
                <w:szCs w:val="22"/>
                <w:highlight w:val="none"/>
                <w:lang w:bidi="ar"/>
              </w:rPr>
              <w:t>3.50×10</w:t>
            </w:r>
            <w:r>
              <w:rPr>
                <w:rFonts w:ascii="Times New Roman" w:hAnsi="Times New Roman" w:eastAsia="宋体" w:cs="Times New Roman"/>
                <w:caps w:val="0"/>
                <w:smallCaps w:val="0"/>
                <w:color w:val="auto"/>
                <w:spacing w:val="0"/>
                <w:kern w:val="0"/>
                <w:sz w:val="22"/>
                <w:szCs w:val="22"/>
                <w:highlight w:val="none"/>
                <w:vertAlign w:val="superscript"/>
                <w:lang w:bidi="ar"/>
              </w:rPr>
              <w:t>-6</w:t>
            </w:r>
          </w:p>
        </w:tc>
        <w:tc>
          <w:tcPr>
            <w:tcW w:w="1007" w:type="pct"/>
            <w:vAlign w:val="center"/>
          </w:tcPr>
          <w:p w14:paraId="5F41012D">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2EA6642B">
            <w:pPr>
              <w:pStyle w:val="212"/>
              <w:rPr>
                <w:rFonts w:ascii="Times New Roman" w:hAnsi="Times New Roman" w:eastAsia="宋体" w:cs="Times New Roman"/>
                <w:caps w:val="0"/>
                <w:smallCaps w:val="0"/>
                <w:color w:val="auto"/>
                <w:spacing w:val="0"/>
                <w:highlight w:val="none"/>
              </w:rPr>
            </w:pPr>
          </w:p>
        </w:tc>
      </w:tr>
      <w:tr w14:paraId="735C7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0" w:hRule="atLeast"/>
        </w:trPr>
        <w:tc>
          <w:tcPr>
            <w:tcW w:w="506" w:type="pct"/>
            <w:vMerge w:val="continue"/>
            <w:vAlign w:val="center"/>
          </w:tcPr>
          <w:p w14:paraId="18D4B8B7">
            <w:pPr>
              <w:pStyle w:val="212"/>
              <w:rPr>
                <w:rFonts w:ascii="Times New Roman" w:hAnsi="Times New Roman" w:eastAsia="宋体" w:cs="Times New Roman"/>
                <w:caps w:val="0"/>
                <w:smallCaps w:val="0"/>
                <w:color w:val="auto"/>
                <w:spacing w:val="0"/>
                <w:highlight w:val="none"/>
              </w:rPr>
            </w:pPr>
          </w:p>
        </w:tc>
        <w:tc>
          <w:tcPr>
            <w:tcW w:w="794" w:type="pct"/>
            <w:vAlign w:val="center"/>
          </w:tcPr>
          <w:p w14:paraId="33EF32A5">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二甲苯</w:t>
            </w:r>
          </w:p>
        </w:tc>
        <w:tc>
          <w:tcPr>
            <w:tcW w:w="768" w:type="pct"/>
            <w:vAlign w:val="center"/>
          </w:tcPr>
          <w:p w14:paraId="16B1F4AF">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1.28×10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2DB23495">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w:t>
            </w:r>
          </w:p>
        </w:tc>
        <w:tc>
          <w:tcPr>
            <w:tcW w:w="711" w:type="pct"/>
            <w:vAlign w:val="center"/>
          </w:tcPr>
          <w:p w14:paraId="20B4F3AD">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highlight w:val="none"/>
                <w:lang w:bidi="ar"/>
              </w:rPr>
              <w:t>6.40×10</w:t>
            </w:r>
            <w:r>
              <w:rPr>
                <w:rFonts w:ascii="Times New Roman" w:hAnsi="Times New Roman" w:eastAsia="宋体" w:cs="Times New Roman"/>
                <w:caps w:val="0"/>
                <w:smallCaps w:val="0"/>
                <w:color w:val="auto"/>
                <w:spacing w:val="0"/>
                <w:kern w:val="0"/>
                <w:highlight w:val="none"/>
                <w:vertAlign w:val="superscript"/>
                <w:lang w:bidi="ar"/>
              </w:rPr>
              <w:t>-5</w:t>
            </w:r>
          </w:p>
        </w:tc>
        <w:tc>
          <w:tcPr>
            <w:tcW w:w="1007" w:type="pct"/>
            <w:vAlign w:val="center"/>
          </w:tcPr>
          <w:p w14:paraId="5F5A3FED">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5E3DD3FB">
            <w:pPr>
              <w:pStyle w:val="212"/>
              <w:rPr>
                <w:rFonts w:ascii="Times New Roman" w:hAnsi="Times New Roman" w:eastAsia="宋体" w:cs="Times New Roman"/>
                <w:caps w:val="0"/>
                <w:smallCaps w:val="0"/>
                <w:color w:val="auto"/>
                <w:spacing w:val="0"/>
                <w:highlight w:val="none"/>
              </w:rPr>
            </w:pPr>
          </w:p>
        </w:tc>
      </w:tr>
      <w:tr w14:paraId="2700B2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3C9DBDC2">
            <w:pPr>
              <w:pStyle w:val="212"/>
              <w:rPr>
                <w:rFonts w:ascii="Times New Roman" w:hAnsi="Times New Roman" w:eastAsia="宋体" w:cs="Times New Roman"/>
                <w:caps w:val="0"/>
                <w:smallCaps w:val="0"/>
                <w:color w:val="auto"/>
                <w:spacing w:val="0"/>
                <w:highlight w:val="none"/>
              </w:rPr>
            </w:pPr>
          </w:p>
        </w:tc>
        <w:tc>
          <w:tcPr>
            <w:tcW w:w="794" w:type="pct"/>
            <w:vAlign w:val="center"/>
          </w:tcPr>
          <w:p w14:paraId="13A41723">
            <w:pPr>
              <w:pStyle w:val="21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氨</w:t>
            </w:r>
          </w:p>
        </w:tc>
        <w:tc>
          <w:tcPr>
            <w:tcW w:w="768" w:type="pct"/>
            <w:vAlign w:val="center"/>
          </w:tcPr>
          <w:p w14:paraId="5C8F23B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1.35×10</w:t>
            </w:r>
            <w:r>
              <w:rPr>
                <w:rFonts w:ascii="Times New Roman" w:hAnsi="Times New Roman" w:eastAsia="宋体" w:cs="Times New Roman"/>
                <w:caps w:val="0"/>
                <w:smallCaps w:val="0"/>
                <w:color w:val="auto"/>
                <w:spacing w:val="0"/>
                <w:sz w:val="21"/>
                <w:highlight w:val="none"/>
                <w:vertAlign w:val="superscript"/>
              </w:rPr>
              <w:t>-5</w:t>
            </w:r>
          </w:p>
        </w:tc>
        <w:tc>
          <w:tcPr>
            <w:tcW w:w="755" w:type="pct"/>
            <w:vAlign w:val="center"/>
          </w:tcPr>
          <w:p w14:paraId="6BA5CEB0">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w:t>
            </w:r>
          </w:p>
        </w:tc>
        <w:tc>
          <w:tcPr>
            <w:tcW w:w="711" w:type="pct"/>
            <w:vAlign w:val="center"/>
          </w:tcPr>
          <w:p w14:paraId="6379201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6.75×10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007" w:type="pct"/>
            <w:vAlign w:val="center"/>
          </w:tcPr>
          <w:p w14:paraId="4C98E071">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3B8ED933">
            <w:pPr>
              <w:pStyle w:val="212"/>
              <w:rPr>
                <w:rFonts w:ascii="Times New Roman" w:hAnsi="Times New Roman" w:eastAsia="宋体" w:cs="Times New Roman"/>
                <w:caps w:val="0"/>
                <w:smallCaps w:val="0"/>
                <w:color w:val="auto"/>
                <w:spacing w:val="0"/>
                <w:highlight w:val="none"/>
              </w:rPr>
            </w:pPr>
          </w:p>
        </w:tc>
      </w:tr>
      <w:tr w14:paraId="24F27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Align w:val="center"/>
          </w:tcPr>
          <w:p w14:paraId="1E698E04">
            <w:pPr>
              <w:pStyle w:val="171"/>
              <w:widowControl/>
              <w:adjustRightInd/>
              <w:spacing w:before="0" w:beforeLines="0" w:after="0" w:afterLines="0" w:line="240" w:lineRule="auto"/>
              <w:ind w:firstLine="0"/>
              <w:rPr>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光刻胶涂覆曝光固化废气</w:t>
            </w:r>
          </w:p>
        </w:tc>
        <w:tc>
          <w:tcPr>
            <w:tcW w:w="794" w:type="pct"/>
            <w:vAlign w:val="center"/>
          </w:tcPr>
          <w:p w14:paraId="41407F41">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非甲烷总烃</w:t>
            </w:r>
          </w:p>
        </w:tc>
        <w:tc>
          <w:tcPr>
            <w:tcW w:w="768" w:type="pct"/>
            <w:vAlign w:val="center"/>
          </w:tcPr>
          <w:p w14:paraId="7277CCBE">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7.23×10</w:t>
            </w:r>
            <w:r>
              <w:rPr>
                <w:rFonts w:ascii="Times New Roman" w:hAnsi="Times New Roman" w:eastAsia="宋体" w:cs="Times New Roman"/>
                <w:caps w:val="0"/>
                <w:smallCaps w:val="0"/>
                <w:color w:val="auto"/>
                <w:spacing w:val="0"/>
                <w:sz w:val="21"/>
                <w:highlight w:val="none"/>
                <w:vertAlign w:val="superscript"/>
              </w:rPr>
              <w:t>-4</w:t>
            </w:r>
          </w:p>
        </w:tc>
        <w:tc>
          <w:tcPr>
            <w:tcW w:w="755" w:type="pct"/>
            <w:vAlign w:val="center"/>
          </w:tcPr>
          <w:p w14:paraId="2FA54674">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122</w:t>
            </w:r>
          </w:p>
        </w:tc>
        <w:tc>
          <w:tcPr>
            <w:tcW w:w="711" w:type="pct"/>
            <w:vAlign w:val="center"/>
          </w:tcPr>
          <w:p w14:paraId="680F75DB">
            <w:pPr>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6.03×10</w:t>
            </w:r>
            <w:r>
              <w:rPr>
                <w:rFonts w:ascii="Times New Roman" w:hAnsi="Times New Roman" w:eastAsia="宋体" w:cs="Times New Roman"/>
                <w:caps w:val="0"/>
                <w:smallCaps w:val="0"/>
                <w:color w:val="auto"/>
                <w:spacing w:val="0"/>
                <w:sz w:val="21"/>
                <w:highlight w:val="none"/>
                <w:vertAlign w:val="superscript"/>
              </w:rPr>
              <w:t>-5</w:t>
            </w:r>
          </w:p>
        </w:tc>
        <w:tc>
          <w:tcPr>
            <w:tcW w:w="1007" w:type="pct"/>
            <w:vAlign w:val="center"/>
          </w:tcPr>
          <w:p w14:paraId="5069FE67">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6C0F8720">
            <w:pPr>
              <w:pStyle w:val="212"/>
              <w:rPr>
                <w:rFonts w:ascii="Times New Roman" w:hAnsi="Times New Roman" w:eastAsia="宋体" w:cs="Times New Roman"/>
                <w:caps w:val="0"/>
                <w:smallCaps w:val="0"/>
                <w:color w:val="auto"/>
                <w:spacing w:val="0"/>
                <w:highlight w:val="none"/>
              </w:rPr>
            </w:pPr>
          </w:p>
        </w:tc>
      </w:tr>
      <w:tr w14:paraId="762FDF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5A0285F4">
            <w:pPr>
              <w:pStyle w:val="212"/>
              <w:rPr>
                <w:rFonts w:ascii="Times New Roman" w:hAnsi="Times New Roman" w:eastAsia="宋体" w:cs="Times New Roman"/>
                <w:caps w:val="0"/>
                <w:smallCaps w:val="0"/>
                <w:color w:val="auto"/>
                <w:spacing w:val="0"/>
                <w:highlight w:val="none"/>
              </w:rPr>
            </w:pPr>
            <w:r>
              <w:rPr>
                <w:rFonts w:hint="eastAsia" w:cs="Times New Roman"/>
                <w:caps w:val="0"/>
                <w:smallCaps w:val="0"/>
                <w:color w:val="auto"/>
                <w:spacing w:val="0"/>
                <w:highlight w:val="none"/>
              </w:rPr>
              <w:t>实验室废气</w:t>
            </w:r>
          </w:p>
        </w:tc>
        <w:tc>
          <w:tcPr>
            <w:tcW w:w="794" w:type="pct"/>
            <w:vAlign w:val="center"/>
          </w:tcPr>
          <w:p w14:paraId="40F0521F">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非甲烷总烃</w:t>
            </w:r>
          </w:p>
        </w:tc>
        <w:tc>
          <w:tcPr>
            <w:tcW w:w="768" w:type="pct"/>
            <w:vAlign w:val="center"/>
          </w:tcPr>
          <w:p w14:paraId="4D6EF5E0">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1.43×10</w:t>
            </w:r>
            <w:r>
              <w:rPr>
                <w:rFonts w:ascii="Times New Roman" w:hAnsi="Times New Roman" w:eastAsia="宋体" w:cs="Times New Roman"/>
                <w:caps w:val="0"/>
                <w:smallCaps w:val="0"/>
                <w:color w:val="auto"/>
                <w:spacing w:val="0"/>
                <w:sz w:val="21"/>
                <w:highlight w:val="none"/>
                <w:vertAlign w:val="superscript"/>
              </w:rPr>
              <w:t>-2</w:t>
            </w:r>
          </w:p>
        </w:tc>
        <w:tc>
          <w:tcPr>
            <w:tcW w:w="755" w:type="pct"/>
            <w:vAlign w:val="center"/>
          </w:tcPr>
          <w:p w14:paraId="611DA402">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711" w:type="pct"/>
            <w:vAlign w:val="center"/>
          </w:tcPr>
          <w:p w14:paraId="73BB57FA">
            <w:pPr>
              <w:jc w:val="center"/>
              <w:textAlignment w:val="center"/>
              <w:rPr>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1.19×10</w:t>
            </w:r>
            <w:r>
              <w:rPr>
                <w:rFonts w:ascii="Times New Roman" w:hAnsi="Times New Roman" w:eastAsia="宋体" w:cs="Times New Roman"/>
                <w:caps w:val="0"/>
                <w:smallCaps w:val="0"/>
                <w:color w:val="auto"/>
                <w:spacing w:val="0"/>
                <w:sz w:val="21"/>
                <w:highlight w:val="none"/>
                <w:vertAlign w:val="superscript"/>
              </w:rPr>
              <w:t>-3</w:t>
            </w:r>
          </w:p>
        </w:tc>
        <w:tc>
          <w:tcPr>
            <w:tcW w:w="1007" w:type="pct"/>
            <w:vAlign w:val="center"/>
          </w:tcPr>
          <w:p w14:paraId="57CEE08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707AD57D">
            <w:pPr>
              <w:pStyle w:val="212"/>
              <w:rPr>
                <w:rFonts w:ascii="Times New Roman" w:hAnsi="Times New Roman" w:eastAsia="宋体" w:cs="Times New Roman"/>
                <w:caps w:val="0"/>
                <w:smallCaps w:val="0"/>
                <w:color w:val="auto"/>
                <w:spacing w:val="0"/>
                <w:highlight w:val="none"/>
              </w:rPr>
            </w:pPr>
          </w:p>
        </w:tc>
      </w:tr>
      <w:tr w14:paraId="71D20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2795A0EE">
            <w:pPr>
              <w:pStyle w:val="171"/>
              <w:widowControl/>
              <w:adjustRightInd/>
              <w:spacing w:before="0" w:beforeLines="0" w:after="0" w:afterLines="0" w:line="240" w:lineRule="auto"/>
              <w:ind w:firstLine="0"/>
              <w:rPr>
                <w:caps w:val="0"/>
                <w:smallCaps w:val="0"/>
                <w:color w:val="auto"/>
                <w:spacing w:val="0"/>
                <w:sz w:val="21"/>
                <w:highlight w:val="none"/>
              </w:rPr>
            </w:pPr>
          </w:p>
        </w:tc>
        <w:tc>
          <w:tcPr>
            <w:tcW w:w="794" w:type="pct"/>
            <w:vAlign w:val="center"/>
          </w:tcPr>
          <w:p w14:paraId="314CAD70">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二甲苯</w:t>
            </w:r>
          </w:p>
        </w:tc>
        <w:tc>
          <w:tcPr>
            <w:tcW w:w="768" w:type="pct"/>
            <w:vAlign w:val="center"/>
          </w:tcPr>
          <w:p w14:paraId="4B520C11">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3.33×10</w:t>
            </w:r>
            <w:r>
              <w:rPr>
                <w:rFonts w:ascii="Times New Roman" w:hAnsi="Times New Roman" w:eastAsia="宋体" w:cs="Times New Roman"/>
                <w:caps w:val="0"/>
                <w:smallCaps w:val="0"/>
                <w:color w:val="auto"/>
                <w:spacing w:val="0"/>
                <w:sz w:val="21"/>
                <w:highlight w:val="none"/>
                <w:vertAlign w:val="superscript"/>
              </w:rPr>
              <w:t>-3</w:t>
            </w:r>
          </w:p>
        </w:tc>
        <w:tc>
          <w:tcPr>
            <w:tcW w:w="755" w:type="pct"/>
            <w:vAlign w:val="center"/>
          </w:tcPr>
          <w:p w14:paraId="28F8E246">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711" w:type="pct"/>
            <w:vAlign w:val="center"/>
          </w:tcPr>
          <w:p w14:paraId="154DDBC4">
            <w:pPr>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.67×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-3</w:t>
            </w:r>
          </w:p>
        </w:tc>
        <w:tc>
          <w:tcPr>
            <w:tcW w:w="1007" w:type="pct"/>
            <w:vAlign w:val="center"/>
          </w:tcPr>
          <w:p w14:paraId="03891429">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7B8FACDD">
            <w:pPr>
              <w:pStyle w:val="212"/>
              <w:rPr>
                <w:rFonts w:ascii="Times New Roman" w:hAnsi="Times New Roman" w:eastAsia="宋体" w:cs="Times New Roman"/>
                <w:caps w:val="0"/>
                <w:smallCaps w:val="0"/>
                <w:color w:val="auto"/>
                <w:spacing w:val="0"/>
                <w:highlight w:val="none"/>
              </w:rPr>
            </w:pPr>
          </w:p>
        </w:tc>
      </w:tr>
      <w:tr w14:paraId="372569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7AF3E844">
            <w:pPr>
              <w:pStyle w:val="212"/>
              <w:rPr>
                <w:rFonts w:ascii="Times New Roman" w:hAnsi="Times New Roman" w:eastAsia="宋体" w:cs="Times New Roman"/>
                <w:caps w:val="0"/>
                <w:smallCaps w:val="0"/>
                <w:color w:val="auto"/>
                <w:spacing w:val="0"/>
                <w:highlight w:val="none"/>
              </w:rPr>
            </w:pPr>
          </w:p>
        </w:tc>
        <w:tc>
          <w:tcPr>
            <w:tcW w:w="794" w:type="pct"/>
            <w:vAlign w:val="center"/>
          </w:tcPr>
          <w:p w14:paraId="3006344D">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氨气</w:t>
            </w:r>
          </w:p>
        </w:tc>
        <w:tc>
          <w:tcPr>
            <w:tcW w:w="768" w:type="pct"/>
            <w:vAlign w:val="center"/>
          </w:tcPr>
          <w:p w14:paraId="05344E8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2.60×10</w:t>
            </w:r>
            <w:r>
              <w:rPr>
                <w:rFonts w:ascii="Times New Roman" w:hAnsi="Times New Roman" w:cs="Times New Roman"/>
                <w:caps w:val="0"/>
                <w:smallCaps w:val="0"/>
                <w:color w:val="auto"/>
                <w:spacing w:val="0"/>
                <w:sz w:val="21"/>
                <w:highlight w:val="none"/>
                <w:vertAlign w:val="superscript"/>
              </w:rPr>
              <w:t>-3</w:t>
            </w:r>
          </w:p>
        </w:tc>
        <w:tc>
          <w:tcPr>
            <w:tcW w:w="755" w:type="pct"/>
            <w:vAlign w:val="center"/>
          </w:tcPr>
          <w:p w14:paraId="7D86A4A9">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711" w:type="pct"/>
            <w:vAlign w:val="center"/>
          </w:tcPr>
          <w:p w14:paraId="147B5C79">
            <w:pPr>
              <w:pStyle w:val="212"/>
              <w:rPr>
                <w:rFonts w:ascii="Times New Roman" w:hAnsi="Times New Roman" w:eastAsia="宋体" w:cs="Times New Roman"/>
                <w:caps w:val="0"/>
                <w:smallCaps w:val="0"/>
                <w:color w:val="auto"/>
                <w:spacing w:val="0"/>
                <w:kern w:val="0"/>
                <w:highlight w:val="none"/>
                <w:lang w:bidi="ar"/>
              </w:rPr>
            </w:pPr>
            <w:r>
              <w:rPr>
                <w:rFonts w:ascii="Times New Roman" w:hAnsi="Times New Roman" w:eastAsia="宋体" w:cs="Times New Roman"/>
                <w:caps w:val="0"/>
                <w:smallCaps w:val="0"/>
                <w:color w:val="auto"/>
                <w:spacing w:val="0"/>
                <w:kern w:val="0"/>
                <w:highlight w:val="none"/>
                <w:lang w:bidi="ar"/>
              </w:rPr>
              <w:t>1.30</w:t>
            </w:r>
            <w:r>
              <w:rPr>
                <w:rFonts w:ascii="Times New Roman" w:hAnsi="Times New Roman" w:cs="Times New Roman"/>
                <w:caps w:val="0"/>
                <w:smallCaps w:val="0"/>
                <w:color w:val="auto"/>
                <w:spacing w:val="0"/>
                <w:kern w:val="0"/>
                <w:highlight w:val="none"/>
                <w:lang w:bidi="ar"/>
              </w:rPr>
              <w:t>×10</w:t>
            </w:r>
            <w:r>
              <w:rPr>
                <w:rFonts w:ascii="Times New Roman" w:hAnsi="Times New Roman" w:cs="Times New Roman"/>
                <w:caps w:val="0"/>
                <w:smallCaps w:val="0"/>
                <w:color w:val="auto"/>
                <w:spacing w:val="0"/>
                <w:highlight w:val="none"/>
                <w:vertAlign w:val="superscript"/>
              </w:rPr>
              <w:t>-3</w:t>
            </w:r>
          </w:p>
        </w:tc>
        <w:tc>
          <w:tcPr>
            <w:tcW w:w="1007" w:type="pct"/>
            <w:vAlign w:val="center"/>
          </w:tcPr>
          <w:p w14:paraId="7C0A7B24">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3FE02418">
            <w:pPr>
              <w:pStyle w:val="212"/>
              <w:rPr>
                <w:rFonts w:ascii="Times New Roman" w:hAnsi="Times New Roman" w:eastAsia="宋体" w:cs="Times New Roman"/>
                <w:caps w:val="0"/>
                <w:smallCaps w:val="0"/>
                <w:color w:val="auto"/>
                <w:spacing w:val="0"/>
                <w:highlight w:val="none"/>
              </w:rPr>
            </w:pPr>
          </w:p>
        </w:tc>
      </w:tr>
      <w:tr w14:paraId="1B0F0D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restart"/>
            <w:vAlign w:val="center"/>
          </w:tcPr>
          <w:p w14:paraId="2D4DA4CB">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污水处理站废气</w:t>
            </w:r>
          </w:p>
        </w:tc>
        <w:tc>
          <w:tcPr>
            <w:tcW w:w="794" w:type="pct"/>
            <w:vAlign w:val="center"/>
          </w:tcPr>
          <w:p w14:paraId="7358D4A8">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氨气</w:t>
            </w:r>
          </w:p>
        </w:tc>
        <w:tc>
          <w:tcPr>
            <w:tcW w:w="768" w:type="pct"/>
            <w:vAlign w:val="center"/>
          </w:tcPr>
          <w:p w14:paraId="77D2175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6.13×10-3</w:t>
            </w:r>
          </w:p>
        </w:tc>
        <w:tc>
          <w:tcPr>
            <w:tcW w:w="755" w:type="pct"/>
            <w:vAlign w:val="center"/>
          </w:tcPr>
          <w:p w14:paraId="67316000">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711" w:type="pct"/>
            <w:vAlign w:val="center"/>
          </w:tcPr>
          <w:p w14:paraId="26D1CDB6">
            <w:pPr>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3.07</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007" w:type="pct"/>
            <w:vAlign w:val="center"/>
          </w:tcPr>
          <w:p w14:paraId="1973C1E0">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608F1031">
            <w:pPr>
              <w:pStyle w:val="212"/>
              <w:rPr>
                <w:rFonts w:ascii="Times New Roman" w:hAnsi="Times New Roman" w:eastAsia="宋体" w:cs="Times New Roman"/>
                <w:caps w:val="0"/>
                <w:smallCaps w:val="0"/>
                <w:color w:val="auto"/>
                <w:spacing w:val="0"/>
                <w:highlight w:val="none"/>
              </w:rPr>
            </w:pPr>
          </w:p>
        </w:tc>
      </w:tr>
      <w:tr w14:paraId="1FAC56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506" w:type="pct"/>
            <w:vMerge w:val="continue"/>
            <w:vAlign w:val="center"/>
          </w:tcPr>
          <w:p w14:paraId="65FFF77F">
            <w:pPr>
              <w:pStyle w:val="212"/>
              <w:rPr>
                <w:rFonts w:ascii="Times New Roman" w:hAnsi="Times New Roman" w:eastAsia="宋体" w:cs="Times New Roman"/>
                <w:caps w:val="0"/>
                <w:smallCaps w:val="0"/>
                <w:color w:val="auto"/>
                <w:spacing w:val="0"/>
                <w:highlight w:val="none"/>
              </w:rPr>
            </w:pPr>
          </w:p>
        </w:tc>
        <w:tc>
          <w:tcPr>
            <w:tcW w:w="794" w:type="pct"/>
            <w:vAlign w:val="center"/>
          </w:tcPr>
          <w:p w14:paraId="3F03E117">
            <w:pPr>
              <w:pStyle w:val="212"/>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硫化氢</w:t>
            </w:r>
          </w:p>
        </w:tc>
        <w:tc>
          <w:tcPr>
            <w:tcW w:w="768" w:type="pct"/>
            <w:vAlign w:val="center"/>
          </w:tcPr>
          <w:p w14:paraId="7C612781">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2.38×10</w:t>
            </w:r>
            <w:r>
              <w:rPr>
                <w:rFonts w:ascii="Times New Roman" w:hAnsi="Times New Roman" w:cs="Times New Roman"/>
                <w:caps w:val="0"/>
                <w:smallCaps w:val="0"/>
                <w:color w:val="auto"/>
                <w:spacing w:val="0"/>
                <w:sz w:val="21"/>
                <w:highlight w:val="none"/>
                <w:vertAlign w:val="superscript"/>
              </w:rPr>
              <w:t>-4</w:t>
            </w:r>
          </w:p>
        </w:tc>
        <w:tc>
          <w:tcPr>
            <w:tcW w:w="755" w:type="pct"/>
            <w:vAlign w:val="center"/>
          </w:tcPr>
          <w:p w14:paraId="4003F6E8">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711" w:type="pct"/>
            <w:vAlign w:val="center"/>
          </w:tcPr>
          <w:p w14:paraId="38CCFFBD">
            <w:pPr>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38</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007" w:type="pct"/>
            <w:vAlign w:val="center"/>
          </w:tcPr>
          <w:p w14:paraId="32A870ED">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Pmax＜1%，三级</w:t>
            </w:r>
          </w:p>
        </w:tc>
        <w:tc>
          <w:tcPr>
            <w:tcW w:w="455" w:type="pct"/>
            <w:vMerge w:val="continue"/>
          </w:tcPr>
          <w:p w14:paraId="22C0F605">
            <w:pPr>
              <w:pStyle w:val="212"/>
              <w:rPr>
                <w:rFonts w:ascii="Times New Roman" w:hAnsi="Times New Roman" w:eastAsia="宋体" w:cs="Times New Roman"/>
                <w:caps w:val="0"/>
                <w:smallCaps w:val="0"/>
                <w:color w:val="auto"/>
                <w:spacing w:val="0"/>
                <w:highlight w:val="none"/>
              </w:rPr>
            </w:pPr>
          </w:p>
        </w:tc>
      </w:tr>
    </w:tbl>
    <w:p w14:paraId="61D3ED74">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根据《环境影响评价技术导则——大气环境》（HJ2.2-2018），</w:t>
      </w:r>
      <w:r>
        <w:rPr>
          <w:rFonts w:ascii="Times New Roman" w:hAnsi="Times New Roman" w:eastAsia="宋体" w:cs="Times New Roman"/>
          <w:caps w:val="0"/>
          <w:smallCaps w:val="0"/>
          <w:color w:val="auto"/>
          <w:spacing w:val="0"/>
          <w:highlight w:val="none"/>
        </w:rPr>
        <w:t>项目以DA001排气筒排放的镉及其化合物占标率最大，最大占标率为</w:t>
      </w:r>
      <w:r>
        <w:rPr>
          <w:rFonts w:hint="eastAsia" w:ascii="Times New Roman" w:hAnsi="Times New Roman" w:eastAsia="宋体" w:cs="Times New Roman"/>
          <w:caps w:val="0"/>
          <w:smallCaps w:val="0"/>
          <w:color w:val="auto"/>
          <w:spacing w:val="0"/>
          <w:highlight w:val="none"/>
          <w:lang w:val="en-US" w:eastAsia="zh-CN"/>
        </w:rPr>
        <w:t>0.70</w:t>
      </w:r>
      <w:r>
        <w:rPr>
          <w:rFonts w:ascii="Times New Roman" w:hAnsi="Times New Roman" w:eastAsia="宋体" w:cs="Times New Roman"/>
          <w:caps w:val="0"/>
          <w:smallCaps w:val="0"/>
          <w:color w:val="auto"/>
          <w:spacing w:val="0"/>
          <w:highlight w:val="none"/>
        </w:rPr>
        <w:t>%，本项目大气环境影响评价工作等级为</w:t>
      </w:r>
      <w:r>
        <w:rPr>
          <w:rFonts w:hint="eastAsia" w:ascii="Times New Roman" w:hAnsi="Times New Roman" w:eastAsia="宋体" w:cs="Times New Roman"/>
          <w:caps w:val="0"/>
          <w:smallCaps w:val="0"/>
          <w:color w:val="auto"/>
          <w:spacing w:val="0"/>
          <w:highlight w:val="none"/>
          <w:lang w:val="en-US" w:eastAsia="zh-CN"/>
        </w:rPr>
        <w:t>三</w:t>
      </w:r>
      <w:r>
        <w:rPr>
          <w:rFonts w:ascii="Times New Roman" w:hAnsi="Times New Roman" w:eastAsia="宋体" w:cs="Times New Roman"/>
          <w:caps w:val="0"/>
          <w:smallCaps w:val="0"/>
          <w:color w:val="auto"/>
          <w:spacing w:val="0"/>
          <w:highlight w:val="none"/>
        </w:rPr>
        <w:t>级。</w:t>
      </w:r>
      <w:r>
        <w:rPr>
          <w:rFonts w:hint="eastAsia" w:ascii="Times New Roman" w:hAnsi="Times New Roman" w:eastAsia="宋体" w:cs="Times New Roman"/>
          <w:caps w:val="0"/>
          <w:smallCaps w:val="0"/>
          <w:color w:val="auto"/>
          <w:spacing w:val="0"/>
          <w:highlight w:val="none"/>
          <w:lang w:val="en-US" w:eastAsia="zh-CN"/>
        </w:rPr>
        <w:t>不设置大气评价范围</w:t>
      </w:r>
      <w:r>
        <w:rPr>
          <w:rFonts w:ascii="Times New Roman" w:hAnsi="Times New Roman" w:eastAsia="宋体" w:cs="Times New Roman"/>
          <w:caps w:val="0"/>
          <w:smallCaps w:val="0"/>
          <w:color w:val="auto"/>
          <w:spacing w:val="0"/>
          <w:highlight w:val="none"/>
        </w:rPr>
        <w:t>。</w:t>
      </w:r>
      <w:bookmarkStart w:id="49" w:name="_Toc477951938"/>
    </w:p>
    <w:p w14:paraId="67949DFB">
      <w:pPr>
        <w:pStyle w:val="5"/>
        <w:widowControl w:val="0"/>
        <w:rPr>
          <w:rFonts w:eastAsia="宋体"/>
          <w:caps w:val="0"/>
          <w:smallCaps w:val="0"/>
          <w:color w:val="auto"/>
          <w:spacing w:val="0"/>
          <w:sz w:val="30"/>
          <w:szCs w:val="30"/>
          <w:highlight w:val="none"/>
        </w:rPr>
      </w:pPr>
      <w:bookmarkStart w:id="50" w:name="_Toc15930"/>
      <w:r>
        <w:rPr>
          <w:rFonts w:eastAsia="宋体"/>
          <w:caps w:val="0"/>
          <w:smallCaps w:val="0"/>
          <w:color w:val="auto"/>
          <w:spacing w:val="0"/>
          <w:sz w:val="30"/>
          <w:szCs w:val="30"/>
          <w:highlight w:val="none"/>
        </w:rPr>
        <w:t>2.5.3声环境评价等级和范围</w:t>
      </w:r>
      <w:bookmarkEnd w:id="49"/>
      <w:bookmarkEnd w:id="50"/>
    </w:p>
    <w:p w14:paraId="32E029C3">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本项目位于《声环境质量标准》（GB3096-2008）</w:t>
      </w:r>
      <w:r>
        <w:rPr>
          <w:rFonts w:eastAsia="宋体"/>
          <w:caps w:val="0"/>
          <w:smallCaps w:val="0"/>
          <w:color w:val="auto"/>
          <w:spacing w:val="0"/>
          <w:highlight w:val="none"/>
        </w:rPr>
        <w:t>中“3</w:t>
      </w:r>
      <w:r>
        <w:rPr>
          <w:rFonts w:hint="eastAsia" w:eastAsia="宋体"/>
          <w:caps w:val="0"/>
          <w:smallCaps w:val="0"/>
          <w:color w:val="auto"/>
          <w:spacing w:val="0"/>
          <w:highlight w:val="none"/>
          <w:lang w:val="en-US" w:eastAsia="zh-CN"/>
        </w:rPr>
        <w:t>类、4a类</w:t>
      </w:r>
      <w:r>
        <w:rPr>
          <w:rFonts w:eastAsia="宋体"/>
          <w:caps w:val="0"/>
          <w:smallCaps w:val="0"/>
          <w:color w:val="auto"/>
          <w:spacing w:val="0"/>
          <w:highlight w:val="none"/>
        </w:rPr>
        <w:t>声环境功能区”，环境噪声执行《声环境质量标准》（GB3096-2008）3类</w:t>
      </w:r>
      <w:r>
        <w:rPr>
          <w:rFonts w:hint="eastAsia" w:eastAsia="宋体"/>
          <w:caps w:val="0"/>
          <w:smallCaps w:val="0"/>
          <w:color w:val="auto"/>
          <w:spacing w:val="0"/>
          <w:highlight w:val="none"/>
          <w:lang w:eastAsia="zh-CN"/>
        </w:rPr>
        <w:t>、</w:t>
      </w:r>
      <w:r>
        <w:rPr>
          <w:rFonts w:hint="eastAsia" w:eastAsia="宋体"/>
          <w:caps w:val="0"/>
          <w:smallCaps w:val="0"/>
          <w:color w:val="auto"/>
          <w:spacing w:val="0"/>
          <w:highlight w:val="none"/>
          <w:lang w:val="en-US" w:eastAsia="zh-CN"/>
        </w:rPr>
        <w:t>4a类</w:t>
      </w:r>
      <w:r>
        <w:rPr>
          <w:rFonts w:eastAsia="宋体"/>
          <w:caps w:val="0"/>
          <w:smallCaps w:val="0"/>
          <w:color w:val="auto"/>
          <w:spacing w:val="0"/>
          <w:highlight w:val="none"/>
        </w:rPr>
        <w:t>标准。</w:t>
      </w:r>
      <w:r>
        <w:rPr>
          <w:rFonts w:eastAsia="宋体"/>
          <w:caps w:val="0"/>
          <w:smallCaps w:val="0"/>
          <w:color w:val="auto"/>
          <w:spacing w:val="0"/>
          <w:highlight w:val="none"/>
        </w:rPr>
        <w:t>根据《环境影响评价技术导则声环境》（HJ2.4-2009）规定：建设项目所处的声环境功能区为GB3096规定的3地区，或建设项目建设前后评价范围内敏感目标噪声级增量在3dB(A)以下（不含3B（A）），且受影响人口数量变化不大时，声环境影响评价工作等级为三级。本项目200m范围内无声环境敏感保护目标，因此，声环境影响评价工作等级为三级。</w:t>
      </w:r>
    </w:p>
    <w:p w14:paraId="006794D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本项目声环境影响评价工作等级的划分，以及本工程所处的地理位置及当地的自然、社会环境条件，结合工程建设特点，项目200m范围内无声环境敏感保护目标，确定本项目声环境评价范围为项目厂界1m范围内。</w:t>
      </w:r>
    </w:p>
    <w:p w14:paraId="0E114AEC">
      <w:pPr>
        <w:pStyle w:val="5"/>
        <w:widowControl w:val="0"/>
        <w:rPr>
          <w:rFonts w:eastAsia="宋体"/>
          <w:caps w:val="0"/>
          <w:smallCaps w:val="0"/>
          <w:color w:val="auto"/>
          <w:spacing w:val="0"/>
          <w:sz w:val="30"/>
          <w:szCs w:val="30"/>
          <w:highlight w:val="none"/>
        </w:rPr>
      </w:pPr>
      <w:bookmarkStart w:id="51" w:name="_Toc477951939"/>
      <w:bookmarkStart w:id="52" w:name="_Toc18983"/>
      <w:r>
        <w:rPr>
          <w:rFonts w:eastAsia="宋体"/>
          <w:caps w:val="0"/>
          <w:smallCaps w:val="0"/>
          <w:color w:val="auto"/>
          <w:spacing w:val="0"/>
          <w:sz w:val="30"/>
          <w:szCs w:val="30"/>
          <w:highlight w:val="none"/>
        </w:rPr>
        <w:t>2.5.4地下水评价等级</w:t>
      </w:r>
      <w:bookmarkEnd w:id="51"/>
      <w:r>
        <w:rPr>
          <w:rFonts w:eastAsia="宋体"/>
          <w:caps w:val="0"/>
          <w:smallCaps w:val="0"/>
          <w:color w:val="auto"/>
          <w:spacing w:val="0"/>
          <w:sz w:val="30"/>
          <w:szCs w:val="30"/>
          <w:highlight w:val="none"/>
        </w:rPr>
        <w:t>和范围</w:t>
      </w:r>
      <w:bookmarkEnd w:id="52"/>
    </w:p>
    <w:p w14:paraId="30F4067D">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根据《环境影响评价技术导则-地下水环境》（HJ610-2016）对建设项目地下水评价的要求，根据建设项目行业分类和地下水环境敏感程度分级进行判定，确定该项目地下水环境影响评价工作等级。</w:t>
      </w:r>
    </w:p>
    <w:p w14:paraId="0E649037">
      <w:pPr>
        <w:widowControl w:val="0"/>
        <w:spacing w:line="360" w:lineRule="auto"/>
        <w:ind w:firstLine="480" w:firstLineChars="200"/>
        <w:rPr>
          <w:rFonts w:ascii="Times New Roman" w:hAnsi="Times New Roman" w:eastAsia="宋体" w:cs="Times New Roman"/>
          <w:caps w:val="0"/>
          <w:smallCaps w:val="0"/>
          <w:color w:val="auto"/>
          <w:spacing w:val="0"/>
          <w:kern w:val="0"/>
          <w:szCs w:val="20"/>
          <w:highlight w:val="none"/>
        </w:rPr>
      </w:pPr>
      <w:r>
        <w:rPr>
          <w:rFonts w:ascii="Times New Roman" w:hAnsi="Times New Roman" w:eastAsia="宋体" w:cs="Times New Roman"/>
          <w:caps w:val="0"/>
          <w:smallCaps w:val="0"/>
          <w:snapToGrid w:val="0"/>
          <w:color w:val="auto"/>
          <w:spacing w:val="0"/>
          <w:kern w:val="0"/>
          <w:highlight w:val="none"/>
        </w:rPr>
        <w:t>建设项目地下水环境影响评价等级的划分应依据建设项目行业分类和地下水环境敏感程度分级进行判定。具体见表2.5-</w:t>
      </w:r>
      <w:r>
        <w:rPr>
          <w:rFonts w:hint="eastAsia" w:ascii="Times New Roman" w:hAnsi="Times New Roman" w:eastAsia="宋体" w:cs="Times New Roman"/>
          <w:caps w:val="0"/>
          <w:smallCaps w:val="0"/>
          <w:snapToGrid w:val="0"/>
          <w:color w:val="auto"/>
          <w:spacing w:val="0"/>
          <w:kern w:val="0"/>
          <w:highlight w:val="none"/>
          <w:lang w:val="en-US" w:eastAsia="zh-CN"/>
        </w:rPr>
        <w:t>7</w:t>
      </w:r>
      <w:r>
        <w:rPr>
          <w:rFonts w:ascii="Times New Roman" w:hAnsi="Times New Roman" w:eastAsia="宋体" w:cs="Times New Roman"/>
          <w:caps w:val="0"/>
          <w:smallCaps w:val="0"/>
          <w:snapToGrid w:val="0"/>
          <w:color w:val="auto"/>
          <w:spacing w:val="0"/>
          <w:kern w:val="0"/>
          <w:highlight w:val="none"/>
        </w:rPr>
        <w:t>。</w:t>
      </w:r>
    </w:p>
    <w:p w14:paraId="155F6B95">
      <w:pPr>
        <w:widowControl w:val="0"/>
        <w:adjustRightInd w:val="0"/>
        <w:snapToGrid w:val="0"/>
        <w:ind w:left="48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表2.5-7地下水环境敏感程度分级</w:t>
      </w:r>
    </w:p>
    <w:tbl>
      <w:tblPr>
        <w:tblStyle w:val="37"/>
        <w:tblW w:w="5000" w:type="pct"/>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8066"/>
      </w:tblGrid>
      <w:tr w14:paraId="60707B6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1" w:type="dxa"/>
            <w:tcBorders>
              <w:top w:val="single" w:color="auto" w:sz="8" w:space="0"/>
              <w:bottom w:val="single" w:color="auto" w:sz="8" w:space="0"/>
            </w:tcBorders>
            <w:vAlign w:val="center"/>
          </w:tcPr>
          <w:p w14:paraId="4E2FBC8B">
            <w:pPr>
              <w:pStyle w:val="127"/>
              <w:widowControl w:val="0"/>
              <w:spacing w:before="48" w:beforeLines="20" w:after="48" w:afterLines="2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分级</w:t>
            </w:r>
          </w:p>
        </w:tc>
        <w:tc>
          <w:tcPr>
            <w:tcW w:w="7281" w:type="dxa"/>
            <w:tcBorders>
              <w:top w:val="single" w:color="auto" w:sz="8" w:space="0"/>
              <w:bottom w:val="single" w:color="auto" w:sz="8" w:space="0"/>
            </w:tcBorders>
            <w:vAlign w:val="center"/>
          </w:tcPr>
          <w:p w14:paraId="5CC38A16">
            <w:pPr>
              <w:pStyle w:val="127"/>
              <w:widowControl w:val="0"/>
              <w:spacing w:before="48" w:beforeLines="20" w:after="48" w:afterLines="2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项目场地的地下水环境敏感程度</w:t>
            </w:r>
          </w:p>
        </w:tc>
      </w:tr>
      <w:tr w14:paraId="2B6C31F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1" w:type="dxa"/>
            <w:tcBorders>
              <w:top w:val="single" w:color="auto" w:sz="8" w:space="0"/>
            </w:tcBorders>
            <w:vAlign w:val="center"/>
          </w:tcPr>
          <w:p w14:paraId="23E5D63B">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敏感</w:t>
            </w:r>
          </w:p>
        </w:tc>
        <w:tc>
          <w:tcPr>
            <w:tcW w:w="7281" w:type="dxa"/>
            <w:tcBorders>
              <w:top w:val="single" w:color="auto" w:sz="8" w:space="0"/>
            </w:tcBorders>
            <w:vAlign w:val="center"/>
          </w:tcPr>
          <w:p w14:paraId="681AFCE3">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集中式饮用水源地（包括已建成的在用、备用、应急水源地，在建和规划的水源地）准保护区；除集中式饮用水源地以外的国家或地方政府设定的与地下水环境相关的其它保护区，如热水、矿泉水、温泉等特殊地下水资源保护区。</w:t>
            </w:r>
          </w:p>
        </w:tc>
      </w:tr>
      <w:tr w14:paraId="2C9A640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1" w:type="dxa"/>
            <w:vAlign w:val="center"/>
          </w:tcPr>
          <w:p w14:paraId="39FDA79B">
            <w:pPr>
              <w:pStyle w:val="127"/>
              <w:widowControl w:val="0"/>
              <w:rPr>
                <w:rFonts w:ascii="Times New Roman" w:hAnsi="Times New Roman" w:eastAsia="宋体" w:cs="Times New Roman"/>
                <w:b/>
                <w:bCs/>
                <w:caps w:val="0"/>
                <w:smallCaps w:val="0"/>
                <w:color w:val="auto"/>
                <w:spacing w:val="0"/>
                <w:highlight w:val="none"/>
                <w:shd w:val="clear" w:color="FFFFFF" w:fill="D9D9D9"/>
              </w:rPr>
            </w:pPr>
            <w:r>
              <w:rPr>
                <w:rFonts w:ascii="Times New Roman" w:hAnsi="Times New Roman" w:eastAsia="宋体" w:cs="Times New Roman"/>
                <w:caps w:val="0"/>
                <w:smallCaps w:val="0"/>
                <w:color w:val="auto"/>
                <w:spacing w:val="0"/>
                <w:highlight w:val="none"/>
              </w:rPr>
              <w:t>较敏感</w:t>
            </w:r>
          </w:p>
        </w:tc>
        <w:tc>
          <w:tcPr>
            <w:tcW w:w="7281" w:type="dxa"/>
            <w:vAlign w:val="center"/>
          </w:tcPr>
          <w:p w14:paraId="63353DED">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集中式饮用水水源地（包括已建成的在用、备用、应急水源地，在建和规划的水源地）准保护区以外的补给径流区；特殊地下水资源（如矿泉水、温泉等）保护区以外的分布区以及分散居民饮用水源等其它未列入上述敏感分级的环境敏感区。</w:t>
            </w:r>
          </w:p>
        </w:tc>
      </w:tr>
      <w:tr w14:paraId="2F740EE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01" w:type="dxa"/>
            <w:tcBorders>
              <w:bottom w:val="single" w:color="auto" w:sz="8" w:space="0"/>
            </w:tcBorders>
            <w:vAlign w:val="center"/>
          </w:tcPr>
          <w:p w14:paraId="1932EEF5">
            <w:pPr>
              <w:pStyle w:val="127"/>
              <w:widowControl w:val="0"/>
              <w:rPr>
                <w:rFonts w:ascii="Times New Roman" w:hAnsi="Times New Roman" w:eastAsia="宋体" w:cs="Times New Roman"/>
                <w:b/>
                <w:caps w:val="0"/>
                <w:smallCaps w:val="0"/>
                <w:color w:val="auto"/>
                <w:spacing w:val="0"/>
                <w:highlight w:val="none"/>
                <w:shd w:val="clear" w:color="FFFFFF" w:fill="D9D9D9"/>
              </w:rPr>
            </w:pPr>
            <w:r>
              <w:rPr>
                <w:rFonts w:ascii="Times New Roman" w:hAnsi="Times New Roman" w:eastAsia="宋体" w:cs="Times New Roman"/>
                <w:caps w:val="0"/>
                <w:smallCaps w:val="0"/>
                <w:color w:val="auto"/>
                <w:spacing w:val="0"/>
                <w:highlight w:val="none"/>
              </w:rPr>
              <w:t>不敏感</w:t>
            </w:r>
          </w:p>
        </w:tc>
        <w:tc>
          <w:tcPr>
            <w:tcW w:w="7281" w:type="dxa"/>
            <w:tcBorders>
              <w:bottom w:val="single" w:color="auto" w:sz="8" w:space="0"/>
            </w:tcBorders>
            <w:vAlign w:val="center"/>
          </w:tcPr>
          <w:p w14:paraId="28A7B0A9">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上述地区之外的其它地区。</w:t>
            </w:r>
          </w:p>
        </w:tc>
      </w:tr>
    </w:tbl>
    <w:p w14:paraId="5FF2AAC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根据</w:t>
      </w:r>
      <w:r>
        <w:rPr>
          <w:rFonts w:hint="eastAsia" w:eastAsia="宋体"/>
          <w:caps w:val="0"/>
          <w:smallCaps w:val="0"/>
          <w:color w:val="auto"/>
          <w:spacing w:val="0"/>
          <w:highlight w:val="none"/>
          <w:lang w:eastAsia="zh-CN"/>
        </w:rPr>
        <w:t>《饮用水水源保护区划分技术规范》（</w:t>
      </w:r>
      <w:r>
        <w:rPr>
          <w:rFonts w:hint="eastAsia" w:eastAsia="宋体"/>
          <w:caps w:val="0"/>
          <w:smallCaps w:val="0"/>
          <w:color w:val="auto"/>
          <w:spacing w:val="0"/>
          <w:highlight w:val="none"/>
          <w:lang w:val="en-US" w:eastAsia="zh-CN"/>
        </w:rPr>
        <w:t>HJ 338-2018</w:t>
      </w:r>
      <w:r>
        <w:rPr>
          <w:rFonts w:hint="eastAsia" w:eastAsia="宋体"/>
          <w:caps w:val="0"/>
          <w:smallCaps w:val="0"/>
          <w:color w:val="auto"/>
          <w:spacing w:val="0"/>
          <w:highlight w:val="none"/>
          <w:lang w:eastAsia="zh-CN"/>
        </w:rPr>
        <w:t>）</w:t>
      </w:r>
      <w:r>
        <w:rPr>
          <w:rFonts w:eastAsia="宋体"/>
          <w:caps w:val="0"/>
          <w:smallCaps w:val="0"/>
          <w:color w:val="auto"/>
          <w:spacing w:val="0"/>
          <w:highlight w:val="none"/>
        </w:rPr>
        <w:t>计算公式法确定饮用水水源地地下水环境敏感程度，计算公式如下：</w:t>
      </w:r>
    </w:p>
    <w:p w14:paraId="752138E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L=a×K×I×T/n</w:t>
      </w:r>
      <w:r>
        <w:rPr>
          <w:rFonts w:eastAsia="宋体"/>
          <w:caps w:val="0"/>
          <w:smallCaps w:val="0"/>
          <w:color w:val="auto"/>
          <w:spacing w:val="0"/>
          <w:highlight w:val="none"/>
          <w:vertAlign w:val="subscript"/>
        </w:rPr>
        <w:t>e</w:t>
      </w:r>
    </w:p>
    <w:p w14:paraId="2480B3C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L-水源地敏感性外扩范围，m；</w:t>
      </w:r>
    </w:p>
    <w:p w14:paraId="252F4B3B">
      <w:pPr>
        <w:pStyle w:val="65"/>
        <w:widowControl w:val="0"/>
        <w:ind w:firstLine="480"/>
        <w:rPr>
          <w:rFonts w:hint="eastAsia" w:eastAsia="宋体"/>
          <w:caps w:val="0"/>
          <w:smallCaps w:val="0"/>
          <w:color w:val="auto"/>
          <w:spacing w:val="0"/>
          <w:highlight w:val="none"/>
          <w:lang w:eastAsia="zh-CN"/>
        </w:rPr>
      </w:pPr>
      <w:r>
        <w:rPr>
          <w:rFonts w:hint="eastAsia" w:eastAsia="宋体"/>
          <w:caps w:val="0"/>
          <w:smallCaps w:val="0"/>
          <w:color w:val="auto"/>
          <w:spacing w:val="0"/>
          <w:highlight w:val="none"/>
        </w:rPr>
        <w:t>a安全系数，</w:t>
      </w:r>
      <w:r>
        <w:rPr>
          <w:rFonts w:hint="eastAsia" w:eastAsia="宋体"/>
          <w:caps w:val="0"/>
          <w:smallCaps w:val="0"/>
          <w:color w:val="auto"/>
          <w:spacing w:val="0"/>
          <w:highlight w:val="none"/>
          <w:lang w:val="en-US" w:eastAsia="zh-CN"/>
        </w:rPr>
        <w:t>根据</w:t>
      </w:r>
      <w:r>
        <w:rPr>
          <w:rFonts w:hint="eastAsia" w:eastAsia="宋体"/>
          <w:caps w:val="0"/>
          <w:smallCaps w:val="0"/>
          <w:color w:val="auto"/>
          <w:spacing w:val="0"/>
          <w:highlight w:val="none"/>
          <w:lang w:eastAsia="zh-CN"/>
        </w:rPr>
        <w:t>《饮用水水源保护区划分技术规范》（</w:t>
      </w:r>
      <w:r>
        <w:rPr>
          <w:rFonts w:hint="eastAsia" w:eastAsia="宋体"/>
          <w:caps w:val="0"/>
          <w:smallCaps w:val="0"/>
          <w:color w:val="auto"/>
          <w:spacing w:val="0"/>
          <w:highlight w:val="none"/>
          <w:lang w:val="en-US" w:eastAsia="zh-CN"/>
        </w:rPr>
        <w:t>HJ 338-2018</w:t>
      </w:r>
      <w:r>
        <w:rPr>
          <w:rFonts w:hint="eastAsia" w:eastAsia="宋体"/>
          <w:caps w:val="0"/>
          <w:smallCaps w:val="0"/>
          <w:color w:val="auto"/>
          <w:spacing w:val="0"/>
          <w:highlight w:val="none"/>
          <w:lang w:eastAsia="zh-CN"/>
        </w:rPr>
        <w:t>）</w:t>
      </w:r>
      <w:r>
        <w:rPr>
          <w:rFonts w:hint="eastAsia" w:eastAsia="宋体"/>
          <w:caps w:val="0"/>
          <w:smallCaps w:val="0"/>
          <w:color w:val="auto"/>
          <w:spacing w:val="0"/>
          <w:highlight w:val="none"/>
          <w:lang w:val="en-US" w:eastAsia="zh-CN"/>
        </w:rPr>
        <w:t>中要求，</w:t>
      </w:r>
      <w:r>
        <w:rPr>
          <w:rFonts w:hint="eastAsia" w:eastAsia="宋体"/>
          <w:caps w:val="0"/>
          <w:smallCaps w:val="0"/>
          <w:color w:val="auto"/>
          <w:spacing w:val="0"/>
          <w:highlight w:val="none"/>
        </w:rPr>
        <w:t>一般取150%(为了安全起见，在理论计算的基础上加上一定量，以防未来用水量的增加以及干早期影响造成半径的扩大)</w:t>
      </w:r>
      <w:r>
        <w:rPr>
          <w:rFonts w:hint="eastAsia" w:eastAsia="宋体"/>
          <w:caps w:val="0"/>
          <w:smallCaps w:val="0"/>
          <w:color w:val="auto"/>
          <w:spacing w:val="0"/>
          <w:highlight w:val="none"/>
          <w:lang w:eastAsia="zh-CN"/>
        </w:rPr>
        <w:t>；</w:t>
      </w:r>
    </w:p>
    <w:p w14:paraId="483E415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K--渗透系数，m/d。项目所在区域含水介质为粗砂和砾砂，含水层平均渗透系数为74.54m/d；</w:t>
      </w:r>
    </w:p>
    <w:p w14:paraId="6BF09D8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I--水力坡度，无量纲；项目所在区域地形较平缓，根据水位监测结果，项目所在</w:t>
      </w:r>
      <w:r>
        <w:rPr>
          <w:rFonts w:hint="eastAsia" w:eastAsia="宋体"/>
          <w:caps w:val="0"/>
          <w:smallCaps w:val="0"/>
          <w:color w:val="auto"/>
          <w:spacing w:val="0"/>
          <w:highlight w:val="none"/>
        </w:rPr>
        <w:t>区域</w:t>
      </w:r>
      <w:r>
        <w:rPr>
          <w:rFonts w:eastAsia="宋体"/>
          <w:caps w:val="0"/>
          <w:smallCaps w:val="0"/>
          <w:color w:val="auto"/>
          <w:spacing w:val="0"/>
          <w:highlight w:val="none"/>
        </w:rPr>
        <w:t>水力坡度为1.5‰；</w:t>
      </w:r>
    </w:p>
    <w:p w14:paraId="4097CC59">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T--质点运移天数：未划定准保护区的中小型集中式饮用水水源以二级保护区外扩2000天质点迁移范围作为敏感区，质点再迁移3000天范围作为较敏感区；未划定保护区的中小型集中式饮用水水源井外扩3000天质点迁移范围作为敏感区，质点再迁移3000天范围作为较敏感区；以联村、联片或单村取村庄边界外扩3000天质点迁移距离范围作为较敏感区，不设置敏感区；</w:t>
      </w:r>
    </w:p>
    <w:p w14:paraId="404F174F">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n</w:t>
      </w:r>
      <w:r>
        <w:rPr>
          <w:rFonts w:eastAsia="宋体"/>
          <w:caps w:val="0"/>
          <w:smallCaps w:val="0"/>
          <w:color w:val="auto"/>
          <w:spacing w:val="0"/>
          <w:highlight w:val="none"/>
          <w:vertAlign w:val="subscript"/>
        </w:rPr>
        <w:t>e</w:t>
      </w:r>
      <w:r>
        <w:rPr>
          <w:rFonts w:eastAsia="宋体"/>
          <w:caps w:val="0"/>
          <w:smallCaps w:val="0"/>
          <w:color w:val="auto"/>
          <w:spacing w:val="0"/>
          <w:highlight w:val="none"/>
        </w:rPr>
        <w:t>--有效孔隙度，无量纲。根据《环境影响评价技术导则-地下水环境》（HJ610-2016），本项目取0.25。</w:t>
      </w:r>
    </w:p>
    <w:p w14:paraId="62A61CF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经计算，本项目所在区域地下水运移距离距各类水源地敏感程度距离见表2.5-</w:t>
      </w:r>
      <w:r>
        <w:rPr>
          <w:rFonts w:hint="eastAsia" w:eastAsia="宋体"/>
          <w:caps w:val="0"/>
          <w:smallCaps w:val="0"/>
          <w:color w:val="auto"/>
          <w:spacing w:val="0"/>
          <w:highlight w:val="none"/>
          <w:lang w:val="en-US" w:eastAsia="zh-CN"/>
        </w:rPr>
        <w:t>8</w:t>
      </w:r>
      <w:r>
        <w:rPr>
          <w:rFonts w:eastAsia="宋体"/>
          <w:caps w:val="0"/>
          <w:smallCaps w:val="0"/>
          <w:color w:val="auto"/>
          <w:spacing w:val="0"/>
          <w:highlight w:val="none"/>
        </w:rPr>
        <w:t>。</w:t>
      </w:r>
    </w:p>
    <w:p w14:paraId="170DEA0D">
      <w:pPr>
        <w:pStyle w:val="65"/>
        <w:widowControl w:val="0"/>
        <w:spacing w:line="240" w:lineRule="auto"/>
        <w:ind w:firstLine="0" w:firstLineChars="0"/>
        <w:jc w:val="center"/>
        <w:rPr>
          <w:rFonts w:eastAsia="宋体"/>
          <w:b/>
          <w:bCs/>
          <w:caps w:val="0"/>
          <w:smallCaps w:val="0"/>
          <w:color w:val="auto"/>
          <w:spacing w:val="0"/>
          <w:highlight w:val="none"/>
        </w:rPr>
      </w:pPr>
      <w:r>
        <w:rPr>
          <w:rFonts w:eastAsia="宋体"/>
          <w:b/>
          <w:bCs/>
          <w:caps w:val="0"/>
          <w:smallCaps w:val="0"/>
          <w:color w:val="auto"/>
          <w:spacing w:val="0"/>
          <w:highlight w:val="none"/>
        </w:rPr>
        <w:t>表2.5-</w:t>
      </w:r>
      <w:r>
        <w:rPr>
          <w:rFonts w:hint="eastAsia" w:eastAsia="宋体"/>
          <w:b/>
          <w:bCs/>
          <w:caps w:val="0"/>
          <w:smallCaps w:val="0"/>
          <w:color w:val="auto"/>
          <w:spacing w:val="0"/>
          <w:highlight w:val="none"/>
          <w:lang w:val="en-US" w:eastAsia="zh-CN"/>
        </w:rPr>
        <w:t>8</w:t>
      </w:r>
      <w:r>
        <w:rPr>
          <w:rFonts w:eastAsia="宋体"/>
          <w:b/>
          <w:bCs/>
          <w:caps w:val="0"/>
          <w:smallCaps w:val="0"/>
          <w:color w:val="auto"/>
          <w:spacing w:val="0"/>
          <w:highlight w:val="none"/>
        </w:rPr>
        <w:t>质点运移敏感程度距离计算结果表</w:t>
      </w:r>
    </w:p>
    <w:tbl>
      <w:tblPr>
        <w:tblStyle w:val="38"/>
        <w:tblW w:w="5000" w:type="pct"/>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285"/>
        <w:gridCol w:w="1872"/>
        <w:gridCol w:w="2064"/>
        <w:gridCol w:w="2065"/>
      </w:tblGrid>
      <w:tr w14:paraId="4465C53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974" w:type="dxa"/>
            <w:tcBorders>
              <w:top w:val="single" w:color="auto" w:sz="8" w:space="0"/>
              <w:bottom w:val="single" w:color="auto" w:sz="8" w:space="0"/>
            </w:tcBorders>
            <w:vAlign w:val="center"/>
          </w:tcPr>
          <w:p w14:paraId="018BCD74">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水源地类型</w:t>
            </w:r>
          </w:p>
        </w:tc>
        <w:tc>
          <w:tcPr>
            <w:tcW w:w="1695" w:type="dxa"/>
            <w:tcBorders>
              <w:top w:val="single" w:color="auto" w:sz="8" w:space="0"/>
              <w:bottom w:val="single" w:color="auto" w:sz="8" w:space="0"/>
            </w:tcBorders>
            <w:vAlign w:val="center"/>
          </w:tcPr>
          <w:p w14:paraId="38342E81">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敏感运移距离</w:t>
            </w:r>
          </w:p>
          <w:p w14:paraId="6B655748">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（m）</w:t>
            </w:r>
          </w:p>
        </w:tc>
        <w:tc>
          <w:tcPr>
            <w:tcW w:w="1869" w:type="dxa"/>
            <w:tcBorders>
              <w:top w:val="single" w:color="auto" w:sz="8" w:space="0"/>
              <w:bottom w:val="single" w:color="auto" w:sz="8" w:space="0"/>
            </w:tcBorders>
            <w:vAlign w:val="center"/>
          </w:tcPr>
          <w:p w14:paraId="02A3F889">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较敏感运移距离（m）</w:t>
            </w:r>
          </w:p>
        </w:tc>
        <w:tc>
          <w:tcPr>
            <w:tcW w:w="1870" w:type="dxa"/>
            <w:tcBorders>
              <w:top w:val="single" w:color="auto" w:sz="8" w:space="0"/>
              <w:bottom w:val="single" w:color="auto" w:sz="8" w:space="0"/>
            </w:tcBorders>
            <w:vAlign w:val="center"/>
          </w:tcPr>
          <w:p w14:paraId="7A53C367">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不敏感运移距离（m）</w:t>
            </w:r>
          </w:p>
        </w:tc>
      </w:tr>
      <w:tr w14:paraId="5423728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974" w:type="dxa"/>
            <w:tcBorders>
              <w:top w:val="single" w:color="auto" w:sz="8" w:space="0"/>
            </w:tcBorders>
            <w:vAlign w:val="center"/>
          </w:tcPr>
          <w:p w14:paraId="4786BD17">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联村、联片分散式水源地</w:t>
            </w:r>
          </w:p>
          <w:p w14:paraId="36C8ACB1">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（距水井）</w:t>
            </w:r>
          </w:p>
        </w:tc>
        <w:tc>
          <w:tcPr>
            <w:tcW w:w="1695" w:type="dxa"/>
            <w:tcBorders>
              <w:top w:val="single" w:color="auto" w:sz="8" w:space="0"/>
            </w:tcBorders>
            <w:vAlign w:val="center"/>
          </w:tcPr>
          <w:p w14:paraId="12DEBA0D">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w:t>
            </w:r>
          </w:p>
        </w:tc>
        <w:tc>
          <w:tcPr>
            <w:tcW w:w="1869" w:type="dxa"/>
            <w:tcBorders>
              <w:top w:val="single" w:color="auto" w:sz="8" w:space="0"/>
            </w:tcBorders>
            <w:vAlign w:val="center"/>
          </w:tcPr>
          <w:p w14:paraId="159A89FC">
            <w:pPr>
              <w:pStyle w:val="171"/>
              <w:spacing w:before="0" w:beforeLines="0" w:after="0" w:afterLines="0"/>
              <w:ind w:firstLine="0"/>
              <w:rPr>
                <w:rFonts w:hint="default" w:eastAsia="宋体"/>
                <w:caps w:val="0"/>
                <w:smallCaps w:val="0"/>
                <w:color w:val="auto"/>
                <w:spacing w:val="0"/>
                <w:sz w:val="21"/>
                <w:highlight w:val="none"/>
                <w:lang w:val="en-US"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2012.58</w:t>
            </w:r>
          </w:p>
        </w:tc>
        <w:tc>
          <w:tcPr>
            <w:tcW w:w="1870" w:type="dxa"/>
            <w:tcBorders>
              <w:top w:val="single" w:color="auto" w:sz="8" w:space="0"/>
            </w:tcBorders>
            <w:vAlign w:val="center"/>
          </w:tcPr>
          <w:p w14:paraId="67975E61">
            <w:pPr>
              <w:pStyle w:val="171"/>
              <w:spacing w:before="0" w:beforeLines="0" w:after="0" w:afterLines="0"/>
              <w:ind w:firstLine="0"/>
              <w:rPr>
                <w:rFonts w:hint="default" w:eastAsia="宋体"/>
                <w:caps w:val="0"/>
                <w:smallCaps w:val="0"/>
                <w:color w:val="auto"/>
                <w:spacing w:val="0"/>
                <w:sz w:val="21"/>
                <w:highlight w:val="none"/>
                <w:lang w:val="en-US"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2012.58</w:t>
            </w:r>
          </w:p>
        </w:tc>
      </w:tr>
      <w:tr w14:paraId="24C3FE6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974" w:type="dxa"/>
            <w:vAlign w:val="center"/>
          </w:tcPr>
          <w:p w14:paraId="77C6E5D6">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未划定保护区集中式水源地</w:t>
            </w:r>
          </w:p>
          <w:p w14:paraId="31417E3A">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（距水井）</w:t>
            </w:r>
          </w:p>
        </w:tc>
        <w:tc>
          <w:tcPr>
            <w:tcW w:w="1695" w:type="dxa"/>
            <w:vAlign w:val="center"/>
          </w:tcPr>
          <w:p w14:paraId="1DE5EF90">
            <w:pPr>
              <w:pStyle w:val="171"/>
              <w:spacing w:before="0" w:beforeLines="0" w:after="0" w:afterLines="0"/>
              <w:ind w:firstLine="0"/>
              <w:rPr>
                <w:rFonts w:hint="default" w:eastAsia="宋体"/>
                <w:caps w:val="0"/>
                <w:smallCaps w:val="0"/>
                <w:color w:val="auto"/>
                <w:spacing w:val="0"/>
                <w:sz w:val="21"/>
                <w:highlight w:val="none"/>
                <w:lang w:val="en-US"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2012.58</w:t>
            </w:r>
          </w:p>
        </w:tc>
        <w:tc>
          <w:tcPr>
            <w:tcW w:w="1869" w:type="dxa"/>
            <w:vAlign w:val="center"/>
          </w:tcPr>
          <w:p w14:paraId="149A8DB3">
            <w:pPr>
              <w:pStyle w:val="171"/>
              <w:spacing w:before="0" w:beforeLines="0" w:after="0" w:afterLines="0"/>
              <w:ind w:firstLine="0"/>
              <w:rPr>
                <w:rFonts w:hint="eastAsia" w:eastAsia="宋体"/>
                <w:caps w:val="0"/>
                <w:smallCaps w:val="0"/>
                <w:color w:val="auto"/>
                <w:spacing w:val="0"/>
                <w:sz w:val="21"/>
                <w:highlight w:val="none"/>
                <w:lang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4025.16</w:t>
            </w:r>
            <w:r>
              <w:rPr>
                <w:rFonts w:hint="eastAsia"/>
                <w:caps w:val="0"/>
                <w:smallCaps w:val="0"/>
                <w:color w:val="auto"/>
                <w:spacing w:val="0"/>
                <w:sz w:val="21"/>
                <w:highlight w:val="none"/>
                <w:lang w:eastAsia="zh-CN"/>
              </w:rPr>
              <w:t>（</w:t>
            </w:r>
            <w:r>
              <w:rPr>
                <w:rFonts w:hint="eastAsia"/>
                <w:caps w:val="0"/>
                <w:smallCaps w:val="0"/>
                <w:color w:val="auto"/>
                <w:spacing w:val="0"/>
                <w:sz w:val="21"/>
                <w:highlight w:val="none"/>
                <w:lang w:val="en-US" w:eastAsia="zh-CN"/>
              </w:rPr>
              <w:t>6000</w:t>
            </w:r>
            <w:r>
              <w:rPr>
                <w:rFonts w:hint="eastAsia"/>
                <w:caps w:val="0"/>
                <w:smallCaps w:val="0"/>
                <w:color w:val="auto"/>
                <w:spacing w:val="0"/>
                <w:sz w:val="21"/>
                <w:highlight w:val="none"/>
                <w:lang w:eastAsia="zh-CN"/>
              </w:rPr>
              <w:t>）</w:t>
            </w:r>
          </w:p>
        </w:tc>
        <w:tc>
          <w:tcPr>
            <w:tcW w:w="1870" w:type="dxa"/>
            <w:vAlign w:val="center"/>
          </w:tcPr>
          <w:p w14:paraId="60E20C1E">
            <w:pPr>
              <w:pStyle w:val="171"/>
              <w:spacing w:before="0" w:beforeLines="0" w:after="0" w:afterLines="0"/>
              <w:ind w:firstLine="0"/>
              <w:rPr>
                <w:rFonts w:hint="default" w:eastAsia="宋体"/>
                <w:caps w:val="0"/>
                <w:smallCaps w:val="0"/>
                <w:color w:val="auto"/>
                <w:spacing w:val="0"/>
                <w:sz w:val="21"/>
                <w:highlight w:val="none"/>
                <w:lang w:val="en-US"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4025.16</w:t>
            </w:r>
          </w:p>
        </w:tc>
      </w:tr>
      <w:tr w14:paraId="3B1303D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974" w:type="dxa"/>
            <w:tcBorders>
              <w:bottom w:val="single" w:color="auto" w:sz="8" w:space="0"/>
            </w:tcBorders>
            <w:vAlign w:val="center"/>
          </w:tcPr>
          <w:p w14:paraId="1F47B94D">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未划定准保护区集中式水源地</w:t>
            </w:r>
          </w:p>
          <w:p w14:paraId="6597BFEE">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（距二级保护区边界）</w:t>
            </w:r>
          </w:p>
        </w:tc>
        <w:tc>
          <w:tcPr>
            <w:tcW w:w="1695" w:type="dxa"/>
            <w:tcBorders>
              <w:bottom w:val="single" w:color="auto" w:sz="8" w:space="0"/>
            </w:tcBorders>
            <w:vAlign w:val="center"/>
          </w:tcPr>
          <w:p w14:paraId="1D95326D">
            <w:pPr>
              <w:pStyle w:val="171"/>
              <w:spacing w:before="0" w:beforeLines="0" w:after="0" w:afterLines="0"/>
              <w:ind w:firstLine="0"/>
              <w:rPr>
                <w:rFonts w:hint="default" w:eastAsia="宋体"/>
                <w:caps w:val="0"/>
                <w:smallCaps w:val="0"/>
                <w:color w:val="auto"/>
                <w:spacing w:val="0"/>
                <w:sz w:val="21"/>
                <w:highlight w:val="none"/>
                <w:lang w:val="en-US"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1341.72</w:t>
            </w:r>
          </w:p>
        </w:tc>
        <w:tc>
          <w:tcPr>
            <w:tcW w:w="1869" w:type="dxa"/>
            <w:tcBorders>
              <w:bottom w:val="single" w:color="auto" w:sz="8" w:space="0"/>
            </w:tcBorders>
            <w:vAlign w:val="center"/>
          </w:tcPr>
          <w:p w14:paraId="67F9DF9D">
            <w:pPr>
              <w:pStyle w:val="171"/>
              <w:spacing w:before="0" w:beforeLines="0" w:after="0" w:afterLines="0"/>
              <w:ind w:firstLine="0"/>
              <w:rPr>
                <w:rFonts w:hint="eastAsia" w:eastAsia="宋体"/>
                <w:caps w:val="0"/>
                <w:smallCaps w:val="0"/>
                <w:color w:val="auto"/>
                <w:spacing w:val="0"/>
                <w:sz w:val="21"/>
                <w:highlight w:val="none"/>
                <w:lang w:eastAsia="zh-CN"/>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3354.3</w:t>
            </w:r>
            <w:r>
              <w:rPr>
                <w:rFonts w:hint="eastAsia"/>
                <w:caps w:val="0"/>
                <w:smallCaps w:val="0"/>
                <w:color w:val="auto"/>
                <w:spacing w:val="0"/>
                <w:sz w:val="21"/>
                <w:highlight w:val="none"/>
                <w:lang w:eastAsia="zh-CN"/>
              </w:rPr>
              <w:t>（</w:t>
            </w:r>
            <w:r>
              <w:rPr>
                <w:rFonts w:hint="eastAsia"/>
                <w:caps w:val="0"/>
                <w:smallCaps w:val="0"/>
                <w:color w:val="auto"/>
                <w:spacing w:val="0"/>
                <w:sz w:val="21"/>
                <w:highlight w:val="none"/>
                <w:lang w:val="en-US" w:eastAsia="zh-CN"/>
              </w:rPr>
              <w:t>5000</w:t>
            </w:r>
            <w:r>
              <w:rPr>
                <w:rFonts w:hint="eastAsia"/>
                <w:caps w:val="0"/>
                <w:smallCaps w:val="0"/>
                <w:color w:val="auto"/>
                <w:spacing w:val="0"/>
                <w:sz w:val="21"/>
                <w:highlight w:val="none"/>
                <w:lang w:eastAsia="zh-CN"/>
              </w:rPr>
              <w:t>）</w:t>
            </w:r>
          </w:p>
        </w:tc>
        <w:tc>
          <w:tcPr>
            <w:tcW w:w="1870" w:type="dxa"/>
            <w:tcBorders>
              <w:bottom w:val="single" w:color="auto" w:sz="8" w:space="0"/>
            </w:tcBorders>
            <w:vAlign w:val="center"/>
          </w:tcPr>
          <w:p w14:paraId="6D4C28FE">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w:t>
            </w:r>
            <w:r>
              <w:rPr>
                <w:rFonts w:hint="eastAsia"/>
                <w:caps w:val="0"/>
                <w:smallCaps w:val="0"/>
                <w:color w:val="auto"/>
                <w:spacing w:val="0"/>
                <w:sz w:val="21"/>
                <w:highlight w:val="none"/>
                <w:lang w:val="en-US" w:eastAsia="zh-CN"/>
              </w:rPr>
              <w:t>3354.3</w:t>
            </w:r>
            <w:r>
              <w:rPr>
                <w:caps w:val="0"/>
                <w:smallCaps w:val="0"/>
                <w:color w:val="auto"/>
                <w:spacing w:val="0"/>
                <w:sz w:val="21"/>
                <w:highlight w:val="none"/>
              </w:rPr>
              <w:t>.2</w:t>
            </w:r>
          </w:p>
        </w:tc>
      </w:tr>
    </w:tbl>
    <w:p w14:paraId="7FAA969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项目区附近各村屯饮用水源地敏感程度判定见下表2.5-</w:t>
      </w:r>
      <w:r>
        <w:rPr>
          <w:rFonts w:hint="eastAsia" w:eastAsia="宋体"/>
          <w:caps w:val="0"/>
          <w:smallCaps w:val="0"/>
          <w:color w:val="auto"/>
          <w:spacing w:val="0"/>
          <w:highlight w:val="none"/>
          <w:lang w:val="en-US" w:eastAsia="zh-CN"/>
        </w:rPr>
        <w:t>9</w:t>
      </w:r>
      <w:r>
        <w:rPr>
          <w:rFonts w:eastAsia="宋体"/>
          <w:caps w:val="0"/>
          <w:smallCaps w:val="0"/>
          <w:color w:val="auto"/>
          <w:spacing w:val="0"/>
          <w:highlight w:val="none"/>
        </w:rPr>
        <w:t>。</w:t>
      </w:r>
    </w:p>
    <w:p w14:paraId="7807F3B4">
      <w:pPr>
        <w:pStyle w:val="96"/>
        <w:tabs>
          <w:tab w:val="left" w:pos="6033"/>
          <w:tab w:val="left" w:pos="6271"/>
        </w:tabs>
        <w:autoSpaceDE w:val="0"/>
        <w:autoSpaceDN w:val="0"/>
        <w:ind w:right="-65" w:rightChars="-27"/>
        <w:jc w:val="center"/>
        <w:textAlignment w:val="bottom"/>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表2.5-</w:t>
      </w:r>
      <w:r>
        <w:rPr>
          <w:rFonts w:hint="eastAsia" w:ascii="Times New Roman" w:hAnsi="Times New Roman" w:eastAsia="宋体" w:cs="Times New Roman"/>
          <w:b/>
          <w:bCs/>
          <w:caps w:val="0"/>
          <w:smallCaps w:val="0"/>
          <w:color w:val="auto"/>
          <w:spacing w:val="0"/>
          <w:highlight w:val="none"/>
          <w:lang w:val="en-US" w:eastAsia="zh-CN"/>
        </w:rPr>
        <w:t>9</w:t>
      </w:r>
      <w:r>
        <w:rPr>
          <w:rFonts w:ascii="Times New Roman" w:hAnsi="Times New Roman" w:eastAsia="宋体" w:cs="Times New Roman"/>
          <w:b/>
          <w:bCs/>
          <w:caps w:val="0"/>
          <w:smallCaps w:val="0"/>
          <w:color w:val="auto"/>
          <w:spacing w:val="0"/>
          <w:highlight w:val="none"/>
        </w:rPr>
        <w:t>厂区周边饮用水水源地分布情况及敏感程度分级表</w:t>
      </w:r>
    </w:p>
    <w:tbl>
      <w:tblPr>
        <w:tblStyle w:val="37"/>
        <w:tblW w:w="5000" w:type="pct"/>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90"/>
        <w:gridCol w:w="1994"/>
        <w:gridCol w:w="2469"/>
        <w:gridCol w:w="2393"/>
        <w:gridCol w:w="1840"/>
      </w:tblGrid>
      <w:tr w14:paraId="1B38003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76" w:type="dxa"/>
            <w:tcBorders>
              <w:top w:val="single" w:color="auto" w:sz="8" w:space="0"/>
              <w:bottom w:val="single" w:color="auto" w:sz="8" w:space="0"/>
            </w:tcBorders>
            <w:vAlign w:val="center"/>
          </w:tcPr>
          <w:p w14:paraId="695DEC42">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序号</w:t>
            </w:r>
          </w:p>
        </w:tc>
        <w:tc>
          <w:tcPr>
            <w:tcW w:w="1948" w:type="dxa"/>
            <w:tcBorders>
              <w:top w:val="single" w:color="auto" w:sz="8" w:space="0"/>
              <w:bottom w:val="single" w:color="auto" w:sz="8" w:space="0"/>
            </w:tcBorders>
            <w:vAlign w:val="center"/>
          </w:tcPr>
          <w:p w14:paraId="635FEDA7">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名称</w:t>
            </w:r>
          </w:p>
        </w:tc>
        <w:tc>
          <w:tcPr>
            <w:tcW w:w="2412" w:type="dxa"/>
            <w:tcBorders>
              <w:top w:val="single" w:color="auto" w:sz="8" w:space="0"/>
              <w:bottom w:val="single" w:color="auto" w:sz="8" w:space="0"/>
            </w:tcBorders>
            <w:vAlign w:val="center"/>
          </w:tcPr>
          <w:p w14:paraId="280774D8">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水源地类型</w:t>
            </w:r>
          </w:p>
        </w:tc>
        <w:tc>
          <w:tcPr>
            <w:tcW w:w="2337" w:type="dxa"/>
            <w:tcBorders>
              <w:top w:val="single" w:color="auto" w:sz="8" w:space="0"/>
              <w:bottom w:val="single" w:color="auto" w:sz="8" w:space="0"/>
            </w:tcBorders>
            <w:vAlign w:val="center"/>
          </w:tcPr>
          <w:p w14:paraId="195925A5">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取水井/联村边界/距厂区距离（m）</w:t>
            </w:r>
          </w:p>
        </w:tc>
        <w:tc>
          <w:tcPr>
            <w:tcW w:w="1797" w:type="dxa"/>
            <w:tcBorders>
              <w:top w:val="single" w:color="auto" w:sz="8" w:space="0"/>
              <w:bottom w:val="single" w:color="auto" w:sz="8" w:space="0"/>
            </w:tcBorders>
            <w:vAlign w:val="center"/>
          </w:tcPr>
          <w:p w14:paraId="17B48283">
            <w:pPr>
              <w:pStyle w:val="171"/>
              <w:spacing w:before="0" w:beforeLines="0" w:after="0" w:afterLines="0"/>
              <w:ind w:firstLine="0"/>
              <w:rPr>
                <w:b/>
                <w:caps w:val="0"/>
                <w:smallCaps w:val="0"/>
                <w:color w:val="auto"/>
                <w:spacing w:val="0"/>
                <w:sz w:val="21"/>
                <w:highlight w:val="none"/>
              </w:rPr>
            </w:pPr>
            <w:r>
              <w:rPr>
                <w:b/>
                <w:caps w:val="0"/>
                <w:smallCaps w:val="0"/>
                <w:color w:val="auto"/>
                <w:spacing w:val="0"/>
                <w:sz w:val="21"/>
                <w:highlight w:val="none"/>
              </w:rPr>
              <w:t>敏感程度分级</w:t>
            </w:r>
          </w:p>
        </w:tc>
      </w:tr>
      <w:tr w14:paraId="16936F0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6" w:type="dxa"/>
            <w:tcBorders>
              <w:top w:val="single" w:color="auto" w:sz="8" w:space="0"/>
            </w:tcBorders>
            <w:vAlign w:val="center"/>
          </w:tcPr>
          <w:p w14:paraId="042A6182">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1</w:t>
            </w:r>
          </w:p>
        </w:tc>
        <w:tc>
          <w:tcPr>
            <w:tcW w:w="1948" w:type="dxa"/>
            <w:tcBorders>
              <w:top w:val="single" w:color="auto" w:sz="8" w:space="0"/>
            </w:tcBorders>
            <w:vAlign w:val="center"/>
          </w:tcPr>
          <w:p w14:paraId="2DADF101">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宏伟村饮用水源</w:t>
            </w:r>
          </w:p>
        </w:tc>
        <w:tc>
          <w:tcPr>
            <w:tcW w:w="2412" w:type="dxa"/>
            <w:tcBorders>
              <w:top w:val="single" w:color="auto" w:sz="8" w:space="0"/>
            </w:tcBorders>
            <w:vAlign w:val="center"/>
          </w:tcPr>
          <w:p w14:paraId="2B3690CF">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村屯分散式水源</w:t>
            </w:r>
          </w:p>
        </w:tc>
        <w:tc>
          <w:tcPr>
            <w:tcW w:w="2337" w:type="dxa"/>
            <w:tcBorders>
              <w:top w:val="single" w:color="auto" w:sz="8" w:space="0"/>
            </w:tcBorders>
            <w:vAlign w:val="center"/>
          </w:tcPr>
          <w:p w14:paraId="36BFF4BF">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NW1.8km</w:t>
            </w:r>
          </w:p>
          <w:p w14:paraId="3756B4F6">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（距水源井）</w:t>
            </w:r>
          </w:p>
        </w:tc>
        <w:tc>
          <w:tcPr>
            <w:tcW w:w="1797" w:type="dxa"/>
            <w:tcBorders>
              <w:top w:val="single" w:color="auto" w:sz="8" w:space="0"/>
            </w:tcBorders>
            <w:vAlign w:val="center"/>
          </w:tcPr>
          <w:p w14:paraId="44680161">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较敏感</w:t>
            </w:r>
          </w:p>
        </w:tc>
      </w:tr>
      <w:tr w14:paraId="65BBF12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6" w:type="dxa"/>
            <w:vAlign w:val="center"/>
          </w:tcPr>
          <w:p w14:paraId="3AAEFBEF">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2</w:t>
            </w:r>
          </w:p>
        </w:tc>
        <w:tc>
          <w:tcPr>
            <w:tcW w:w="1948" w:type="dxa"/>
            <w:vAlign w:val="center"/>
          </w:tcPr>
          <w:p w14:paraId="2BFE9462">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恒心村饮用水源</w:t>
            </w:r>
          </w:p>
        </w:tc>
        <w:tc>
          <w:tcPr>
            <w:tcW w:w="2412" w:type="dxa"/>
            <w:vAlign w:val="center"/>
          </w:tcPr>
          <w:p w14:paraId="5E80D710">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村屯分散式水源</w:t>
            </w:r>
          </w:p>
        </w:tc>
        <w:tc>
          <w:tcPr>
            <w:tcW w:w="2337" w:type="dxa"/>
            <w:vAlign w:val="center"/>
          </w:tcPr>
          <w:p w14:paraId="069DC06E">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NE2.9</w:t>
            </w:r>
            <w:r>
              <w:rPr>
                <w:rFonts w:hint="eastAsia"/>
                <w:caps w:val="0"/>
                <w:smallCaps w:val="0"/>
                <w:color w:val="auto"/>
                <w:spacing w:val="0"/>
                <w:sz w:val="21"/>
                <w:highlight w:val="none"/>
              </w:rPr>
              <w:t>0</w:t>
            </w:r>
            <w:r>
              <w:rPr>
                <w:caps w:val="0"/>
                <w:smallCaps w:val="0"/>
                <w:color w:val="auto"/>
                <w:spacing w:val="0"/>
                <w:sz w:val="21"/>
                <w:highlight w:val="none"/>
              </w:rPr>
              <w:t>km</w:t>
            </w:r>
          </w:p>
          <w:p w14:paraId="4FBA3190">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（距水源井）</w:t>
            </w:r>
          </w:p>
        </w:tc>
        <w:tc>
          <w:tcPr>
            <w:tcW w:w="1797" w:type="dxa"/>
            <w:vAlign w:val="center"/>
          </w:tcPr>
          <w:p w14:paraId="74C5BCDB">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不敏感</w:t>
            </w:r>
          </w:p>
        </w:tc>
      </w:tr>
      <w:tr w14:paraId="1EFCCF8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6" w:type="dxa"/>
            <w:vAlign w:val="center"/>
          </w:tcPr>
          <w:p w14:paraId="64A71DEA">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3</w:t>
            </w:r>
          </w:p>
        </w:tc>
        <w:tc>
          <w:tcPr>
            <w:tcW w:w="1948" w:type="dxa"/>
            <w:vAlign w:val="center"/>
          </w:tcPr>
          <w:p w14:paraId="3E34515B">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红力村饮用水源</w:t>
            </w:r>
          </w:p>
        </w:tc>
        <w:tc>
          <w:tcPr>
            <w:tcW w:w="2412" w:type="dxa"/>
            <w:vAlign w:val="center"/>
          </w:tcPr>
          <w:p w14:paraId="16866893">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集中式水源（未划定准保护区）</w:t>
            </w:r>
          </w:p>
        </w:tc>
        <w:tc>
          <w:tcPr>
            <w:tcW w:w="2337" w:type="dxa"/>
            <w:vAlign w:val="center"/>
          </w:tcPr>
          <w:p w14:paraId="7641F33F">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N</w:t>
            </w:r>
            <w:r>
              <w:rPr>
                <w:rFonts w:hint="eastAsia"/>
                <w:caps w:val="0"/>
                <w:smallCaps w:val="0"/>
                <w:color w:val="auto"/>
                <w:spacing w:val="0"/>
                <w:sz w:val="21"/>
                <w:highlight w:val="none"/>
              </w:rPr>
              <w:t>2.</w:t>
            </w:r>
            <w:r>
              <w:rPr>
                <w:rFonts w:hint="eastAsia"/>
                <w:caps w:val="0"/>
                <w:smallCaps w:val="0"/>
                <w:color w:val="auto"/>
                <w:spacing w:val="0"/>
                <w:sz w:val="21"/>
                <w:highlight w:val="none"/>
                <w:lang w:val="en-US" w:eastAsia="zh-CN"/>
              </w:rPr>
              <w:t>9</w:t>
            </w:r>
            <w:r>
              <w:rPr>
                <w:caps w:val="0"/>
                <w:smallCaps w:val="0"/>
                <w:color w:val="auto"/>
                <w:spacing w:val="0"/>
                <w:sz w:val="21"/>
                <w:highlight w:val="none"/>
              </w:rPr>
              <w:t>km</w:t>
            </w:r>
          </w:p>
          <w:p w14:paraId="426B2470">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（距水源井）</w:t>
            </w:r>
          </w:p>
        </w:tc>
        <w:tc>
          <w:tcPr>
            <w:tcW w:w="1797" w:type="dxa"/>
            <w:vAlign w:val="center"/>
          </w:tcPr>
          <w:p w14:paraId="52DFF1FA">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较敏感</w:t>
            </w:r>
          </w:p>
        </w:tc>
      </w:tr>
      <w:tr w14:paraId="105F7EA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6" w:type="dxa"/>
            <w:vAlign w:val="center"/>
          </w:tcPr>
          <w:p w14:paraId="48F66903">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4</w:t>
            </w:r>
          </w:p>
        </w:tc>
        <w:tc>
          <w:tcPr>
            <w:tcW w:w="1948" w:type="dxa"/>
            <w:vAlign w:val="center"/>
          </w:tcPr>
          <w:p w14:paraId="6029EC38">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道德村饮用水源</w:t>
            </w:r>
          </w:p>
        </w:tc>
        <w:tc>
          <w:tcPr>
            <w:tcW w:w="2412" w:type="dxa"/>
            <w:vAlign w:val="center"/>
          </w:tcPr>
          <w:p w14:paraId="7DBE513C">
            <w:pPr>
              <w:pStyle w:val="171"/>
              <w:spacing w:before="0" w:beforeLines="0" w:after="0" w:afterLines="0"/>
              <w:ind w:firstLine="0"/>
              <w:rPr>
                <w:rFonts w:hint="eastAsia" w:eastAsia="宋体"/>
                <w:caps w:val="0"/>
                <w:smallCaps w:val="0"/>
                <w:color w:val="auto"/>
                <w:spacing w:val="0"/>
                <w:sz w:val="21"/>
                <w:highlight w:val="none"/>
                <w:lang w:eastAsia="zh-CN"/>
              </w:rPr>
            </w:pPr>
            <w:r>
              <w:rPr>
                <w:caps w:val="0"/>
                <w:smallCaps w:val="0"/>
                <w:color w:val="auto"/>
                <w:spacing w:val="0"/>
                <w:sz w:val="21"/>
                <w:highlight w:val="none"/>
              </w:rPr>
              <w:t>村屯分散式水源</w:t>
            </w:r>
          </w:p>
        </w:tc>
        <w:tc>
          <w:tcPr>
            <w:tcW w:w="2337" w:type="dxa"/>
            <w:vAlign w:val="center"/>
          </w:tcPr>
          <w:p w14:paraId="4609565E">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ES2.84km</w:t>
            </w:r>
          </w:p>
          <w:p w14:paraId="4A530E33">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（距水源井）</w:t>
            </w:r>
          </w:p>
        </w:tc>
        <w:tc>
          <w:tcPr>
            <w:tcW w:w="1797" w:type="dxa"/>
            <w:vAlign w:val="center"/>
          </w:tcPr>
          <w:p w14:paraId="1698A8D8">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不敏感</w:t>
            </w:r>
          </w:p>
        </w:tc>
      </w:tr>
      <w:tr w14:paraId="20EF111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6" w:type="dxa"/>
            <w:vAlign w:val="center"/>
          </w:tcPr>
          <w:p w14:paraId="463BA7E3">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5</w:t>
            </w:r>
          </w:p>
        </w:tc>
        <w:tc>
          <w:tcPr>
            <w:tcW w:w="1948" w:type="dxa"/>
            <w:vAlign w:val="center"/>
          </w:tcPr>
          <w:p w14:paraId="75B72DBD">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长兴村饮用水源</w:t>
            </w:r>
          </w:p>
        </w:tc>
        <w:tc>
          <w:tcPr>
            <w:tcW w:w="2412" w:type="dxa"/>
            <w:vAlign w:val="center"/>
          </w:tcPr>
          <w:p w14:paraId="5E442FE0">
            <w:pPr>
              <w:pStyle w:val="171"/>
              <w:spacing w:before="0" w:beforeLines="0" w:after="0" w:afterLines="0"/>
              <w:ind w:firstLine="0"/>
              <w:rPr>
                <w:rFonts w:hint="eastAsia" w:eastAsia="宋体"/>
                <w:caps w:val="0"/>
                <w:smallCaps w:val="0"/>
                <w:color w:val="auto"/>
                <w:spacing w:val="0"/>
                <w:sz w:val="21"/>
                <w:highlight w:val="none"/>
                <w:lang w:eastAsia="zh-CN"/>
              </w:rPr>
            </w:pPr>
            <w:r>
              <w:rPr>
                <w:caps w:val="0"/>
                <w:smallCaps w:val="0"/>
                <w:color w:val="auto"/>
                <w:spacing w:val="0"/>
                <w:sz w:val="21"/>
                <w:highlight w:val="none"/>
              </w:rPr>
              <w:t>村屯分散式水源</w:t>
            </w:r>
          </w:p>
        </w:tc>
        <w:tc>
          <w:tcPr>
            <w:tcW w:w="2337" w:type="dxa"/>
            <w:vAlign w:val="center"/>
          </w:tcPr>
          <w:p w14:paraId="5D908C72">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WS3.19km</w:t>
            </w:r>
          </w:p>
          <w:p w14:paraId="15971193">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（距水源井）</w:t>
            </w:r>
          </w:p>
        </w:tc>
        <w:tc>
          <w:tcPr>
            <w:tcW w:w="1797" w:type="dxa"/>
            <w:vAlign w:val="center"/>
          </w:tcPr>
          <w:p w14:paraId="20D2C573">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不敏感</w:t>
            </w:r>
          </w:p>
        </w:tc>
      </w:tr>
      <w:tr w14:paraId="13ABD76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76" w:type="dxa"/>
            <w:tcBorders>
              <w:bottom w:val="single" w:color="auto" w:sz="8" w:space="0"/>
            </w:tcBorders>
            <w:vAlign w:val="center"/>
          </w:tcPr>
          <w:p w14:paraId="68AD6F2A">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6</w:t>
            </w:r>
          </w:p>
        </w:tc>
        <w:tc>
          <w:tcPr>
            <w:tcW w:w="1948" w:type="dxa"/>
            <w:tcBorders>
              <w:bottom w:val="single" w:color="auto" w:sz="8" w:space="0"/>
            </w:tcBorders>
            <w:vAlign w:val="center"/>
          </w:tcPr>
          <w:p w14:paraId="083FFC47">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联合村饮用水源</w:t>
            </w:r>
          </w:p>
        </w:tc>
        <w:tc>
          <w:tcPr>
            <w:tcW w:w="2412" w:type="dxa"/>
            <w:tcBorders>
              <w:bottom w:val="single" w:color="auto" w:sz="8" w:space="0"/>
            </w:tcBorders>
            <w:vAlign w:val="center"/>
          </w:tcPr>
          <w:p w14:paraId="7DB0078F">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集中式水源地（未划定保护区）</w:t>
            </w:r>
          </w:p>
        </w:tc>
        <w:tc>
          <w:tcPr>
            <w:tcW w:w="2337" w:type="dxa"/>
            <w:tcBorders>
              <w:bottom w:val="single" w:color="auto" w:sz="8" w:space="0"/>
            </w:tcBorders>
            <w:vAlign w:val="center"/>
          </w:tcPr>
          <w:p w14:paraId="58D8AC8E">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WS3.11km</w:t>
            </w:r>
          </w:p>
          <w:p w14:paraId="514721C0">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（距水源井）</w:t>
            </w:r>
          </w:p>
        </w:tc>
        <w:tc>
          <w:tcPr>
            <w:tcW w:w="1797" w:type="dxa"/>
            <w:tcBorders>
              <w:bottom w:val="single" w:color="auto" w:sz="8" w:space="0"/>
            </w:tcBorders>
            <w:vAlign w:val="center"/>
          </w:tcPr>
          <w:p w14:paraId="6528AADB">
            <w:pPr>
              <w:pStyle w:val="171"/>
              <w:spacing w:before="0" w:beforeLines="0" w:after="0" w:afterLines="0"/>
              <w:ind w:firstLine="0"/>
              <w:rPr>
                <w:caps w:val="0"/>
                <w:smallCaps w:val="0"/>
                <w:color w:val="auto"/>
                <w:spacing w:val="0"/>
                <w:sz w:val="21"/>
                <w:highlight w:val="none"/>
              </w:rPr>
            </w:pPr>
            <w:r>
              <w:rPr>
                <w:caps w:val="0"/>
                <w:smallCaps w:val="0"/>
                <w:color w:val="auto"/>
                <w:spacing w:val="0"/>
                <w:sz w:val="21"/>
                <w:highlight w:val="none"/>
              </w:rPr>
              <w:t>不敏感</w:t>
            </w:r>
          </w:p>
        </w:tc>
      </w:tr>
    </w:tbl>
    <w:p w14:paraId="77978D2E">
      <w:pPr>
        <w:pStyle w:val="65"/>
        <w:widowControl w:val="0"/>
        <w:ind w:firstLine="480"/>
        <w:rPr>
          <w:rFonts w:eastAsia="宋体"/>
          <w:caps w:val="0"/>
          <w:smallCaps w:val="0"/>
          <w:color w:val="auto"/>
          <w:spacing w:val="0"/>
          <w:highlight w:val="none"/>
        </w:rPr>
      </w:pPr>
      <w:r>
        <w:rPr>
          <w:rFonts w:hint="eastAsia" w:eastAsia="宋体"/>
          <w:caps w:val="0"/>
          <w:smallCaps w:val="0"/>
          <w:color w:val="auto"/>
          <w:spacing w:val="0"/>
          <w:highlight w:val="none"/>
        </w:rPr>
        <w:t>综上，本项目为</w:t>
      </w:r>
      <w:r>
        <w:rPr>
          <w:rFonts w:eastAsia="宋体"/>
          <w:caps w:val="0"/>
          <w:smallCaps w:val="0"/>
          <w:color w:val="auto"/>
          <w:spacing w:val="0"/>
          <w:highlight w:val="none"/>
        </w:rPr>
        <w:t>地下水环境敏感程度</w:t>
      </w:r>
      <w:r>
        <w:rPr>
          <w:rFonts w:hint="eastAsia" w:eastAsia="宋体"/>
          <w:caps w:val="0"/>
          <w:smallCaps w:val="0"/>
          <w:color w:val="auto"/>
          <w:spacing w:val="0"/>
          <w:highlight w:val="none"/>
        </w:rPr>
        <w:t>为较敏感。</w:t>
      </w:r>
    </w:p>
    <w:p w14:paraId="346CBA7F">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按照《环境影响评价技术导则-地下水环境》（HJ610-2016）中附录A，确定本项目所属的地下水环境影响评价项目类别为</w:t>
      </w:r>
      <w:r>
        <w:rPr>
          <w:rFonts w:eastAsia="宋体"/>
          <w:caps w:val="0"/>
          <w:smallCaps w:val="0"/>
          <w:color w:val="auto"/>
          <w:spacing w:val="0"/>
          <w:szCs w:val="24"/>
          <w:highlight w:val="none"/>
        </w:rPr>
        <w:t>Ⅲ类</w:t>
      </w:r>
      <w:r>
        <w:rPr>
          <w:rFonts w:eastAsia="宋体"/>
          <w:caps w:val="0"/>
          <w:smallCaps w:val="0"/>
          <w:color w:val="auto"/>
          <w:spacing w:val="0"/>
          <w:highlight w:val="none"/>
        </w:rPr>
        <w:t>建设项目。</w:t>
      </w:r>
    </w:p>
    <w:p w14:paraId="765A439B">
      <w:pPr>
        <w:pStyle w:val="96"/>
        <w:tabs>
          <w:tab w:val="left" w:pos="6033"/>
          <w:tab w:val="left" w:pos="6271"/>
        </w:tabs>
        <w:autoSpaceDE w:val="0"/>
        <w:autoSpaceDN w:val="0"/>
        <w:snapToGrid w:val="0"/>
        <w:spacing w:line="240" w:lineRule="auto"/>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表2.5-</w:t>
      </w:r>
      <w:r>
        <w:rPr>
          <w:rFonts w:hint="eastAsia" w:ascii="Times New Roman" w:hAnsi="Times New Roman" w:eastAsia="宋体" w:cs="Times New Roman"/>
          <w:b/>
          <w:caps w:val="0"/>
          <w:smallCaps w:val="0"/>
          <w:color w:val="auto"/>
          <w:spacing w:val="0"/>
          <w:szCs w:val="24"/>
          <w:highlight w:val="none"/>
          <w:lang w:val="en-US" w:eastAsia="zh-CN"/>
        </w:rPr>
        <w:t>10</w:t>
      </w:r>
      <w:r>
        <w:rPr>
          <w:rFonts w:ascii="Times New Roman" w:hAnsi="Times New Roman" w:eastAsia="宋体" w:cs="Times New Roman"/>
          <w:b/>
          <w:caps w:val="0"/>
          <w:smallCaps w:val="0"/>
          <w:color w:val="auto"/>
          <w:spacing w:val="0"/>
          <w:szCs w:val="24"/>
          <w:highlight w:val="none"/>
        </w:rPr>
        <w:t>地下水评价工作项目类别判定表</w:t>
      </w:r>
    </w:p>
    <w:tbl>
      <w:tblPr>
        <w:tblStyle w:val="38"/>
        <w:tblW w:w="9070" w:type="dxa"/>
        <w:jc w:val="center"/>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1703"/>
        <w:gridCol w:w="1474"/>
        <w:gridCol w:w="1814"/>
        <w:gridCol w:w="1814"/>
      </w:tblGrid>
      <w:tr w14:paraId="32A96625">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Merge w:val="restart"/>
            <w:tcBorders>
              <w:left w:val="nil"/>
              <w:tl2br w:val="single" w:color="auto" w:sz="4" w:space="0"/>
            </w:tcBorders>
          </w:tcPr>
          <w:p w14:paraId="054FCF4E">
            <w:pPr>
              <w:pStyle w:val="65"/>
              <w:widowControl w:val="0"/>
              <w:spacing w:before="48" w:beforeLines="20" w:after="48" w:afterLines="20" w:line="240" w:lineRule="auto"/>
              <w:ind w:firstLine="0" w:firstLineChars="0"/>
              <w:jc w:val="right"/>
              <w:rPr>
                <w:rFonts w:eastAsia="宋体"/>
                <w:b/>
                <w:bCs/>
                <w:caps w:val="0"/>
                <w:smallCaps w:val="0"/>
                <w:color w:val="auto"/>
                <w:spacing w:val="0"/>
                <w:sz w:val="21"/>
                <w:highlight w:val="none"/>
              </w:rPr>
            </w:pPr>
            <w:r>
              <w:rPr>
                <w:rFonts w:eastAsia="宋体"/>
                <w:b/>
                <w:bCs/>
                <w:caps w:val="0"/>
                <w:smallCaps w:val="0"/>
                <w:color w:val="auto"/>
                <w:spacing w:val="0"/>
                <w:sz w:val="21"/>
                <w:highlight w:val="none"/>
              </w:rPr>
              <w:t>环评类别</w:t>
            </w:r>
          </w:p>
          <w:p w14:paraId="11A36956">
            <w:pPr>
              <w:pStyle w:val="65"/>
              <w:widowControl w:val="0"/>
              <w:spacing w:before="48" w:beforeLines="20" w:after="48" w:afterLines="20" w:line="240" w:lineRule="auto"/>
              <w:ind w:firstLine="0" w:firstLineChars="0"/>
              <w:jc w:val="both"/>
              <w:rPr>
                <w:rFonts w:eastAsia="宋体"/>
                <w:b/>
                <w:bCs/>
                <w:caps w:val="0"/>
                <w:smallCaps w:val="0"/>
                <w:color w:val="auto"/>
                <w:spacing w:val="0"/>
                <w:sz w:val="21"/>
                <w:highlight w:val="none"/>
              </w:rPr>
            </w:pPr>
            <w:r>
              <w:rPr>
                <w:rFonts w:eastAsia="宋体"/>
                <w:b/>
                <w:bCs/>
                <w:caps w:val="0"/>
                <w:smallCaps w:val="0"/>
                <w:color w:val="auto"/>
                <w:spacing w:val="0"/>
                <w:sz w:val="21"/>
                <w:highlight w:val="none"/>
              </w:rPr>
              <w:t>行业类别</w:t>
            </w:r>
          </w:p>
        </w:tc>
        <w:tc>
          <w:tcPr>
            <w:tcW w:w="1703" w:type="dxa"/>
            <w:vMerge w:val="restart"/>
            <w:vAlign w:val="center"/>
          </w:tcPr>
          <w:p w14:paraId="461B5E25">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报告书</w:t>
            </w:r>
          </w:p>
        </w:tc>
        <w:tc>
          <w:tcPr>
            <w:tcW w:w="1474" w:type="dxa"/>
            <w:vMerge w:val="restart"/>
            <w:vAlign w:val="center"/>
          </w:tcPr>
          <w:p w14:paraId="2509A6A3">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报告表</w:t>
            </w:r>
          </w:p>
        </w:tc>
        <w:tc>
          <w:tcPr>
            <w:tcW w:w="3628" w:type="dxa"/>
            <w:gridSpan w:val="2"/>
            <w:tcBorders>
              <w:right w:val="nil"/>
            </w:tcBorders>
          </w:tcPr>
          <w:p w14:paraId="3F6D91AF">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地下水环境影响评价项目类别</w:t>
            </w:r>
          </w:p>
        </w:tc>
      </w:tr>
      <w:tr w14:paraId="5080C866">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Merge w:val="continue"/>
            <w:tcBorders>
              <w:left w:val="nil"/>
            </w:tcBorders>
          </w:tcPr>
          <w:p w14:paraId="11797988">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p>
        </w:tc>
        <w:tc>
          <w:tcPr>
            <w:tcW w:w="1703" w:type="dxa"/>
            <w:vMerge w:val="continue"/>
          </w:tcPr>
          <w:p w14:paraId="00716048">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p>
        </w:tc>
        <w:tc>
          <w:tcPr>
            <w:tcW w:w="1474" w:type="dxa"/>
            <w:vMerge w:val="continue"/>
          </w:tcPr>
          <w:p w14:paraId="65A318F1">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p>
        </w:tc>
        <w:tc>
          <w:tcPr>
            <w:tcW w:w="1814" w:type="dxa"/>
          </w:tcPr>
          <w:p w14:paraId="71D152E4">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报告书</w:t>
            </w:r>
          </w:p>
        </w:tc>
        <w:tc>
          <w:tcPr>
            <w:tcW w:w="1814" w:type="dxa"/>
            <w:tcBorders>
              <w:right w:val="nil"/>
            </w:tcBorders>
          </w:tcPr>
          <w:p w14:paraId="10888FAE">
            <w:pPr>
              <w:pStyle w:val="65"/>
              <w:widowControl w:val="0"/>
              <w:spacing w:before="48" w:beforeLines="20" w:after="48" w:afterLines="20"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报告表</w:t>
            </w:r>
          </w:p>
        </w:tc>
      </w:tr>
      <w:tr w14:paraId="4784E1E6">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tcBorders>
              <w:left w:val="nil"/>
            </w:tcBorders>
            <w:vAlign w:val="center"/>
          </w:tcPr>
          <w:p w14:paraId="133CCB35">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电气机械及器材制造</w:t>
            </w:r>
          </w:p>
        </w:tc>
        <w:tc>
          <w:tcPr>
            <w:tcW w:w="1703" w:type="dxa"/>
            <w:vAlign w:val="center"/>
          </w:tcPr>
          <w:p w14:paraId="6A3F810B">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有电镀或喷漆工艺的；电池制造（无汞干电池除外）</w:t>
            </w:r>
          </w:p>
        </w:tc>
        <w:tc>
          <w:tcPr>
            <w:tcW w:w="1474" w:type="dxa"/>
            <w:vAlign w:val="center"/>
          </w:tcPr>
          <w:p w14:paraId="14BED148">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其他（仅组装的除外）</w:t>
            </w:r>
          </w:p>
        </w:tc>
        <w:tc>
          <w:tcPr>
            <w:tcW w:w="1814" w:type="dxa"/>
            <w:vAlign w:val="center"/>
          </w:tcPr>
          <w:p w14:paraId="37940203">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Ⅲ类</w:t>
            </w:r>
          </w:p>
        </w:tc>
        <w:tc>
          <w:tcPr>
            <w:tcW w:w="1814" w:type="dxa"/>
            <w:tcBorders>
              <w:right w:val="nil"/>
            </w:tcBorders>
            <w:vAlign w:val="center"/>
          </w:tcPr>
          <w:p w14:paraId="13BD2B22">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Ⅳ类</w:t>
            </w:r>
          </w:p>
        </w:tc>
      </w:tr>
    </w:tbl>
    <w:p w14:paraId="41CD6EE5">
      <w:pPr>
        <w:pStyle w:val="13"/>
        <w:widowControl w:val="0"/>
        <w:adjustRightInd w:val="0"/>
        <w:snapToGrid w:val="0"/>
        <w:spacing w:after="0" w:line="360" w:lineRule="auto"/>
        <w:ind w:right="158" w:rightChars="66"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根据《环境影响评价技术导则-地下水环境》（HJ610－2016），本项目属于Ⅲ类项目，地下水环境敏感程度为较敏感。因此，确定本项目地下水环境影响评价工作等级为“三”级。具体见表2.5-1</w:t>
      </w:r>
      <w:r>
        <w:rPr>
          <w:rFonts w:hint="eastAsia" w:ascii="Times New Roman" w:hAnsi="Times New Roman" w:eastAsia="宋体" w:cs="Times New Roman"/>
          <w:caps w:val="0"/>
          <w:smallCaps w:val="0"/>
          <w:snapToGrid w:val="0"/>
          <w:color w:val="auto"/>
          <w:spacing w:val="0"/>
          <w:kern w:val="0"/>
          <w:szCs w:val="24"/>
          <w:highlight w:val="none"/>
          <w:lang w:val="en-US" w:eastAsia="zh-CN"/>
        </w:rPr>
        <w:t>1</w:t>
      </w:r>
      <w:r>
        <w:rPr>
          <w:rFonts w:ascii="Times New Roman" w:hAnsi="Times New Roman" w:eastAsia="宋体" w:cs="Times New Roman"/>
          <w:caps w:val="0"/>
          <w:smallCaps w:val="0"/>
          <w:snapToGrid w:val="0"/>
          <w:color w:val="auto"/>
          <w:spacing w:val="0"/>
          <w:kern w:val="0"/>
          <w:szCs w:val="24"/>
          <w:highlight w:val="none"/>
        </w:rPr>
        <w:t>。</w:t>
      </w:r>
    </w:p>
    <w:p w14:paraId="72777FEC">
      <w:pPr>
        <w:widowControl w:val="0"/>
        <w:adjustRightInd w:val="0"/>
        <w:snapToGrid w:val="0"/>
        <w:ind w:left="480"/>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表2.5-1</w:t>
      </w:r>
      <w:r>
        <w:rPr>
          <w:rFonts w:hint="eastAsia" w:ascii="Times New Roman" w:hAnsi="Times New Roman" w:eastAsia="宋体" w:cs="Times New Roman"/>
          <w:b/>
          <w:bCs/>
          <w:caps w:val="0"/>
          <w:smallCaps w:val="0"/>
          <w:color w:val="auto"/>
          <w:spacing w:val="0"/>
          <w:highlight w:val="none"/>
          <w:lang w:val="en-US" w:eastAsia="zh-CN"/>
        </w:rPr>
        <w:t>1</w:t>
      </w:r>
      <w:r>
        <w:rPr>
          <w:rFonts w:ascii="Times New Roman" w:hAnsi="Times New Roman" w:eastAsia="宋体" w:cs="Times New Roman"/>
          <w:b/>
          <w:bCs/>
          <w:caps w:val="0"/>
          <w:smallCaps w:val="0"/>
          <w:color w:val="auto"/>
          <w:spacing w:val="0"/>
          <w:highlight w:val="none"/>
        </w:rPr>
        <w:t>建设项目评价工作等级分级</w:t>
      </w:r>
    </w:p>
    <w:tbl>
      <w:tblPr>
        <w:tblStyle w:val="37"/>
        <w:tblW w:w="5000" w:type="pct"/>
        <w:jc w:val="center"/>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715"/>
        <w:gridCol w:w="1943"/>
        <w:gridCol w:w="4628"/>
      </w:tblGrid>
      <w:tr w14:paraId="14FF64CD">
        <w:tblPrEx>
          <w:tblCellMar>
            <w:top w:w="0" w:type="dxa"/>
            <w:left w:w="108" w:type="dxa"/>
            <w:bottom w:w="0" w:type="dxa"/>
            <w:right w:w="108" w:type="dxa"/>
          </w:tblCellMar>
        </w:tblPrEx>
        <w:trPr>
          <w:trHeight w:val="579" w:hRule="atLeast"/>
          <w:jc w:val="center"/>
        </w:trPr>
        <w:tc>
          <w:tcPr>
            <w:tcW w:w="2546" w:type="dxa"/>
            <w:tcBorders>
              <w:bottom w:val="single" w:color="auto" w:sz="8" w:space="0"/>
              <w:tl2br w:val="single" w:color="000000" w:sz="4" w:space="0"/>
            </w:tcBorders>
          </w:tcPr>
          <w:p w14:paraId="2CBACAC6">
            <w:pPr>
              <w:pStyle w:val="171"/>
              <w:spacing w:before="24" w:after="24"/>
              <w:jc w:val="right"/>
              <w:rPr>
                <w:b/>
                <w:caps w:val="0"/>
                <w:smallCaps w:val="0"/>
                <w:color w:val="auto"/>
                <w:spacing w:val="0"/>
                <w:sz w:val="21"/>
                <w:highlight w:val="none"/>
              </w:rPr>
            </w:pPr>
            <w:r>
              <w:rPr>
                <w:b/>
                <w:caps w:val="0"/>
                <w:smallCaps w:val="0"/>
                <w:color w:val="auto"/>
                <w:spacing w:val="0"/>
                <w:sz w:val="21"/>
                <w:highlight w:val="none"/>
              </w:rPr>
              <w:t>项目类别</w:t>
            </w:r>
          </w:p>
          <w:p w14:paraId="1472E636">
            <w:pPr>
              <w:pStyle w:val="171"/>
              <w:spacing w:before="24" w:after="24"/>
              <w:jc w:val="left"/>
              <w:rPr>
                <w:b/>
                <w:caps w:val="0"/>
                <w:smallCaps w:val="0"/>
                <w:color w:val="auto"/>
                <w:spacing w:val="0"/>
                <w:sz w:val="21"/>
                <w:highlight w:val="none"/>
              </w:rPr>
            </w:pPr>
            <w:r>
              <w:rPr>
                <w:b/>
                <w:caps w:val="0"/>
                <w:smallCaps w:val="0"/>
                <w:color w:val="auto"/>
                <w:spacing w:val="0"/>
                <w:sz w:val="21"/>
                <w:highlight w:val="none"/>
              </w:rPr>
              <w:t>环境敏感程度</w:t>
            </w:r>
          </w:p>
        </w:tc>
        <w:tc>
          <w:tcPr>
            <w:tcW w:w="1822" w:type="dxa"/>
            <w:tcBorders>
              <w:bottom w:val="single" w:color="auto" w:sz="8" w:space="0"/>
            </w:tcBorders>
            <w:vAlign w:val="center"/>
          </w:tcPr>
          <w:p w14:paraId="1D6D5CC4">
            <w:pPr>
              <w:pStyle w:val="171"/>
              <w:spacing w:before="24" w:after="24"/>
              <w:rPr>
                <w:b/>
                <w:caps w:val="0"/>
                <w:smallCaps w:val="0"/>
                <w:color w:val="auto"/>
                <w:spacing w:val="0"/>
                <w:sz w:val="21"/>
                <w:highlight w:val="none"/>
              </w:rPr>
            </w:pPr>
            <w:r>
              <w:rPr>
                <w:b/>
                <w:caps w:val="0"/>
                <w:smallCaps w:val="0"/>
                <w:color w:val="auto"/>
                <w:spacing w:val="0"/>
                <w:sz w:val="21"/>
                <w:highlight w:val="none"/>
              </w:rPr>
              <w:t>Ⅲ类项目</w:t>
            </w:r>
          </w:p>
        </w:tc>
        <w:tc>
          <w:tcPr>
            <w:tcW w:w="4340" w:type="dxa"/>
            <w:tcBorders>
              <w:bottom w:val="single" w:color="auto" w:sz="8" w:space="0"/>
            </w:tcBorders>
            <w:vAlign w:val="center"/>
          </w:tcPr>
          <w:p w14:paraId="61658791">
            <w:pPr>
              <w:pStyle w:val="171"/>
              <w:spacing w:before="24" w:after="24"/>
              <w:rPr>
                <w:b/>
                <w:caps w:val="0"/>
                <w:smallCaps w:val="0"/>
                <w:color w:val="auto"/>
                <w:spacing w:val="0"/>
                <w:sz w:val="21"/>
                <w:highlight w:val="none"/>
              </w:rPr>
            </w:pPr>
            <w:r>
              <w:rPr>
                <w:b/>
                <w:caps w:val="0"/>
                <w:smallCaps w:val="0"/>
                <w:color w:val="auto"/>
                <w:spacing w:val="0"/>
                <w:sz w:val="21"/>
                <w:highlight w:val="none"/>
              </w:rPr>
              <w:t>本项目评价等级</w:t>
            </w:r>
          </w:p>
        </w:tc>
      </w:tr>
      <w:tr w14:paraId="0A2FD01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2546" w:type="dxa"/>
            <w:tcBorders>
              <w:top w:val="single" w:color="auto" w:sz="8" w:space="0"/>
            </w:tcBorders>
            <w:vAlign w:val="center"/>
          </w:tcPr>
          <w:p w14:paraId="72A2AEEE">
            <w:pPr>
              <w:pStyle w:val="171"/>
              <w:spacing w:before="24" w:after="24"/>
              <w:rPr>
                <w:caps w:val="0"/>
                <w:smallCaps w:val="0"/>
                <w:color w:val="auto"/>
                <w:spacing w:val="0"/>
                <w:sz w:val="21"/>
                <w:highlight w:val="none"/>
              </w:rPr>
            </w:pPr>
            <w:r>
              <w:rPr>
                <w:caps w:val="0"/>
                <w:smallCaps w:val="0"/>
                <w:color w:val="auto"/>
                <w:spacing w:val="0"/>
                <w:sz w:val="21"/>
                <w:highlight w:val="none"/>
              </w:rPr>
              <w:t>敏感</w:t>
            </w:r>
          </w:p>
        </w:tc>
        <w:tc>
          <w:tcPr>
            <w:tcW w:w="1822" w:type="dxa"/>
            <w:tcBorders>
              <w:top w:val="single" w:color="auto" w:sz="8" w:space="0"/>
            </w:tcBorders>
            <w:vAlign w:val="center"/>
          </w:tcPr>
          <w:p w14:paraId="2A16E773">
            <w:pPr>
              <w:pStyle w:val="171"/>
              <w:spacing w:before="24" w:after="24"/>
              <w:rPr>
                <w:caps w:val="0"/>
                <w:smallCaps w:val="0"/>
                <w:color w:val="auto"/>
                <w:spacing w:val="0"/>
                <w:sz w:val="21"/>
                <w:highlight w:val="none"/>
              </w:rPr>
            </w:pPr>
            <w:r>
              <w:rPr>
                <w:caps w:val="0"/>
                <w:smallCaps w:val="0"/>
                <w:color w:val="auto"/>
                <w:spacing w:val="0"/>
                <w:sz w:val="21"/>
                <w:highlight w:val="none"/>
              </w:rPr>
              <w:t>二</w:t>
            </w:r>
          </w:p>
        </w:tc>
        <w:tc>
          <w:tcPr>
            <w:tcW w:w="4340" w:type="dxa"/>
            <w:vMerge w:val="restart"/>
            <w:tcBorders>
              <w:top w:val="single" w:color="auto" w:sz="8" w:space="0"/>
            </w:tcBorders>
            <w:vAlign w:val="center"/>
          </w:tcPr>
          <w:p w14:paraId="222E65BF">
            <w:pPr>
              <w:pStyle w:val="171"/>
              <w:spacing w:before="24" w:after="24"/>
              <w:rPr>
                <w:caps w:val="0"/>
                <w:smallCaps w:val="0"/>
                <w:color w:val="auto"/>
                <w:spacing w:val="0"/>
                <w:sz w:val="21"/>
                <w:highlight w:val="none"/>
              </w:rPr>
            </w:pPr>
            <w:r>
              <w:rPr>
                <w:caps w:val="0"/>
                <w:smallCaps w:val="0"/>
                <w:color w:val="auto"/>
                <w:spacing w:val="0"/>
                <w:sz w:val="21"/>
                <w:highlight w:val="none"/>
              </w:rPr>
              <w:t>该项目属于Ⅲ类项目，评价区地下水环境敏感程度为较敏感，根据HJ610－2016判定依据判定评价等级为三级。</w:t>
            </w:r>
          </w:p>
        </w:tc>
      </w:tr>
      <w:tr w14:paraId="23B371C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2546" w:type="dxa"/>
          </w:tcPr>
          <w:p w14:paraId="7CA4974C">
            <w:pPr>
              <w:pStyle w:val="127"/>
              <w:widowControl w:val="0"/>
              <w:rPr>
                <w:rFonts w:ascii="Times New Roman" w:hAnsi="Times New Roman" w:eastAsia="宋体" w:cs="Times New Roman"/>
                <w:b/>
                <w:bCs/>
                <w:caps w:val="0"/>
                <w:smallCaps w:val="0"/>
                <w:color w:val="auto"/>
                <w:spacing w:val="0"/>
                <w:highlight w:val="none"/>
                <w:shd w:val="clear" w:color="FFFFFF" w:fill="D9D9D9"/>
              </w:rPr>
            </w:pPr>
            <w:r>
              <w:rPr>
                <w:rFonts w:ascii="Times New Roman" w:hAnsi="Times New Roman" w:eastAsia="宋体" w:cs="Times New Roman"/>
                <w:caps w:val="0"/>
                <w:smallCaps w:val="0"/>
                <w:color w:val="auto"/>
                <w:spacing w:val="0"/>
                <w:highlight w:val="none"/>
              </w:rPr>
              <w:t>较敏感</w:t>
            </w:r>
            <w:r>
              <w:rPr>
                <w:rFonts w:ascii="Times New Roman" w:hAnsi="Times New Roman" w:eastAsia="宋体" w:cs="Times New Roman"/>
                <w:caps w:val="0"/>
                <w:smallCaps w:val="0"/>
                <w:color w:val="auto"/>
                <w:spacing w:val="0"/>
                <w:highlight w:val="none"/>
                <w:shd w:val="clear" w:color="FFFFFF" w:fill="auto"/>
              </w:rPr>
              <w:t>√</w:t>
            </w:r>
          </w:p>
        </w:tc>
        <w:tc>
          <w:tcPr>
            <w:tcW w:w="1822" w:type="dxa"/>
          </w:tcPr>
          <w:p w14:paraId="234D3366">
            <w:pPr>
              <w:pStyle w:val="127"/>
              <w:widowControl w:val="0"/>
              <w:rPr>
                <w:rFonts w:ascii="Times New Roman" w:hAnsi="Times New Roman" w:eastAsia="宋体" w:cs="Times New Roman"/>
                <w:b/>
                <w:bCs/>
                <w:caps w:val="0"/>
                <w:smallCaps w:val="0"/>
                <w:color w:val="auto"/>
                <w:spacing w:val="0"/>
                <w:highlight w:val="none"/>
                <w:shd w:val="clear" w:color="FFFFFF" w:fill="D9D9D9"/>
              </w:rPr>
            </w:pPr>
            <w:r>
              <w:rPr>
                <w:rFonts w:ascii="Times New Roman" w:hAnsi="Times New Roman" w:eastAsia="宋体" w:cs="Times New Roman"/>
                <w:caps w:val="0"/>
                <w:smallCaps w:val="0"/>
                <w:color w:val="auto"/>
                <w:spacing w:val="0"/>
                <w:highlight w:val="none"/>
                <w:shd w:val="clear" w:color="FFFFFF" w:fill="auto"/>
              </w:rPr>
              <w:t>三√</w:t>
            </w:r>
          </w:p>
        </w:tc>
        <w:tc>
          <w:tcPr>
            <w:tcW w:w="4340" w:type="dxa"/>
            <w:vMerge w:val="continue"/>
            <w:vAlign w:val="center"/>
          </w:tcPr>
          <w:p w14:paraId="27FBD63E">
            <w:pPr>
              <w:pStyle w:val="127"/>
              <w:widowControl w:val="0"/>
              <w:rPr>
                <w:rFonts w:ascii="Times New Roman" w:hAnsi="Times New Roman" w:eastAsia="宋体" w:cs="Times New Roman"/>
                <w:caps w:val="0"/>
                <w:smallCaps w:val="0"/>
                <w:color w:val="auto"/>
                <w:spacing w:val="0"/>
                <w:highlight w:val="none"/>
              </w:rPr>
            </w:pPr>
          </w:p>
        </w:tc>
      </w:tr>
      <w:tr w14:paraId="2189F754">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2546" w:type="dxa"/>
            <w:vAlign w:val="center"/>
          </w:tcPr>
          <w:p w14:paraId="00EC8642">
            <w:pPr>
              <w:pStyle w:val="171"/>
              <w:spacing w:before="24" w:after="24"/>
              <w:rPr>
                <w:caps w:val="0"/>
                <w:smallCaps w:val="0"/>
                <w:color w:val="auto"/>
                <w:spacing w:val="0"/>
                <w:sz w:val="21"/>
                <w:highlight w:val="none"/>
              </w:rPr>
            </w:pPr>
            <w:r>
              <w:rPr>
                <w:caps w:val="0"/>
                <w:smallCaps w:val="0"/>
                <w:color w:val="auto"/>
                <w:spacing w:val="0"/>
                <w:sz w:val="21"/>
                <w:highlight w:val="none"/>
              </w:rPr>
              <w:t>不敏感</w:t>
            </w:r>
          </w:p>
        </w:tc>
        <w:tc>
          <w:tcPr>
            <w:tcW w:w="1822" w:type="dxa"/>
            <w:vAlign w:val="center"/>
          </w:tcPr>
          <w:p w14:paraId="1188601E">
            <w:pPr>
              <w:pStyle w:val="171"/>
              <w:spacing w:before="24" w:after="24"/>
              <w:rPr>
                <w:caps w:val="0"/>
                <w:smallCaps w:val="0"/>
                <w:color w:val="auto"/>
                <w:spacing w:val="0"/>
                <w:sz w:val="21"/>
                <w:highlight w:val="none"/>
              </w:rPr>
            </w:pPr>
            <w:r>
              <w:rPr>
                <w:caps w:val="0"/>
                <w:smallCaps w:val="0"/>
                <w:color w:val="auto"/>
                <w:spacing w:val="0"/>
                <w:sz w:val="21"/>
                <w:highlight w:val="none"/>
              </w:rPr>
              <w:t>三</w:t>
            </w:r>
          </w:p>
        </w:tc>
        <w:tc>
          <w:tcPr>
            <w:tcW w:w="4340" w:type="dxa"/>
            <w:vMerge w:val="continue"/>
            <w:vAlign w:val="center"/>
          </w:tcPr>
          <w:p w14:paraId="5ECC0351">
            <w:pPr>
              <w:pStyle w:val="127"/>
              <w:widowControl w:val="0"/>
              <w:rPr>
                <w:rFonts w:ascii="Times New Roman" w:hAnsi="Times New Roman" w:eastAsia="宋体" w:cs="Times New Roman"/>
                <w:caps w:val="0"/>
                <w:smallCaps w:val="0"/>
                <w:color w:val="auto"/>
                <w:spacing w:val="0"/>
                <w:highlight w:val="none"/>
              </w:rPr>
            </w:pPr>
          </w:p>
        </w:tc>
      </w:tr>
    </w:tbl>
    <w:p w14:paraId="53E6407D">
      <w:pPr>
        <w:pStyle w:val="65"/>
        <w:widowControl w:val="0"/>
        <w:ind w:firstLine="480"/>
        <w:jc w:val="both"/>
        <w:rPr>
          <w:rFonts w:eastAsia="宋体"/>
          <w:caps w:val="0"/>
          <w:smallCaps w:val="0"/>
          <w:snapToGrid w:val="0"/>
          <w:color w:val="auto"/>
          <w:spacing w:val="0"/>
          <w:kern w:val="0"/>
          <w:szCs w:val="24"/>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r>
        <w:rPr>
          <w:rFonts w:eastAsia="宋体"/>
          <w:caps w:val="0"/>
          <w:smallCaps w:val="0"/>
          <w:color w:val="auto"/>
          <w:spacing w:val="0"/>
          <w:highlight w:val="none"/>
        </w:rPr>
        <w:t>根据</w:t>
      </w:r>
      <w:r>
        <w:rPr>
          <w:rFonts w:eastAsia="宋体"/>
          <w:caps w:val="0"/>
          <w:smallCaps w:val="0"/>
          <w:snapToGrid w:val="0"/>
          <w:color w:val="auto"/>
          <w:spacing w:val="0"/>
          <w:kern w:val="0"/>
          <w:szCs w:val="24"/>
          <w:highlight w:val="none"/>
        </w:rPr>
        <w:t>《环境影响评价技术导则-地下水环境》（HJ610－2016）本项目地下水环境影响调查评价范围采用公式计算法，地下水下游取5000d质点运移距离L为项目下游距离，上游取L/2为项目上游距离，两侧流方向各为L/2为侧向距离，经计算L</w:t>
      </w:r>
      <w:r>
        <w:rPr>
          <w:rFonts w:eastAsia="宋体"/>
          <w:caps w:val="0"/>
          <w:smallCaps w:val="0"/>
          <w:snapToGrid w:val="0"/>
          <w:color w:val="auto"/>
          <w:spacing w:val="0"/>
          <w:kern w:val="0"/>
          <w:szCs w:val="24"/>
          <w:highlight w:val="none"/>
        </w:rPr>
        <w:t>为4</w:t>
      </w:r>
      <w:r>
        <w:rPr>
          <w:rFonts w:hint="eastAsia" w:eastAsia="宋体"/>
          <w:caps w:val="0"/>
          <w:smallCaps w:val="0"/>
          <w:snapToGrid w:val="0"/>
          <w:color w:val="auto"/>
          <w:spacing w:val="0"/>
          <w:kern w:val="0"/>
          <w:szCs w:val="24"/>
          <w:highlight w:val="none"/>
          <w:lang w:val="en-US" w:eastAsia="zh-CN"/>
        </w:rPr>
        <w:t>5</w:t>
      </w:r>
      <w:r>
        <w:rPr>
          <w:rFonts w:eastAsia="宋体"/>
          <w:caps w:val="0"/>
          <w:smallCaps w:val="0"/>
          <w:snapToGrid w:val="0"/>
          <w:color w:val="auto"/>
          <w:spacing w:val="0"/>
          <w:kern w:val="0"/>
          <w:szCs w:val="24"/>
          <w:highlight w:val="none"/>
        </w:rPr>
        <w:t>00m，</w:t>
      </w:r>
      <w:r>
        <w:rPr>
          <w:rFonts w:eastAsia="宋体"/>
          <w:caps w:val="0"/>
          <w:smallCaps w:val="0"/>
          <w:snapToGrid w:val="0"/>
          <w:color w:val="auto"/>
          <w:spacing w:val="0"/>
          <w:kern w:val="0"/>
          <w:szCs w:val="24"/>
          <w:highlight w:val="none"/>
        </w:rPr>
        <w:t>本次评价范围约为2</w:t>
      </w:r>
      <w:r>
        <w:rPr>
          <w:rFonts w:hint="eastAsia" w:eastAsia="宋体"/>
          <w:caps w:val="0"/>
          <w:smallCaps w:val="0"/>
          <w:snapToGrid w:val="0"/>
          <w:color w:val="auto"/>
          <w:spacing w:val="0"/>
          <w:kern w:val="0"/>
          <w:szCs w:val="24"/>
          <w:highlight w:val="none"/>
          <w:lang w:val="en-US" w:eastAsia="zh-CN"/>
        </w:rPr>
        <w:t>6.14</w:t>
      </w:r>
      <w:r>
        <w:rPr>
          <w:rFonts w:eastAsia="宋体"/>
          <w:caps w:val="0"/>
          <w:smallCaps w:val="0"/>
          <w:snapToGrid w:val="0"/>
          <w:color w:val="auto"/>
          <w:spacing w:val="0"/>
          <w:kern w:val="0"/>
          <w:szCs w:val="24"/>
          <w:highlight w:val="none"/>
        </w:rPr>
        <w:t>km</w:t>
      </w:r>
      <w:r>
        <w:rPr>
          <w:rFonts w:eastAsia="宋体"/>
          <w:caps w:val="0"/>
          <w:smallCaps w:val="0"/>
          <w:snapToGrid w:val="0"/>
          <w:color w:val="auto"/>
          <w:spacing w:val="0"/>
          <w:kern w:val="0"/>
          <w:szCs w:val="24"/>
          <w:highlight w:val="none"/>
          <w:vertAlign w:val="superscript"/>
        </w:rPr>
        <w:t>2</w:t>
      </w:r>
      <w:r>
        <w:rPr>
          <w:rFonts w:eastAsia="宋体"/>
          <w:caps w:val="0"/>
          <w:smallCaps w:val="0"/>
          <w:snapToGrid w:val="0"/>
          <w:color w:val="auto"/>
          <w:spacing w:val="0"/>
          <w:kern w:val="0"/>
          <w:szCs w:val="24"/>
          <w:highlight w:val="none"/>
        </w:rPr>
        <w:t>区域。评价区范围、敏感目标分布及水位水质监测点见图2.5-2。</w:t>
      </w:r>
    </w:p>
    <w:p w14:paraId="228F9F56">
      <w:pPr>
        <w:pStyle w:val="13"/>
        <w:widowControl w:val="0"/>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mc:AlternateContent>
          <mc:Choice Requires="wps">
            <w:drawing>
              <wp:anchor distT="0" distB="0" distL="114300" distR="114300" simplePos="0" relativeHeight="251695104" behindDoc="0" locked="0" layoutInCell="1" allowOverlap="1">
                <wp:simplePos x="0" y="0"/>
                <wp:positionH relativeFrom="column">
                  <wp:posOffset>3572510</wp:posOffset>
                </wp:positionH>
                <wp:positionV relativeFrom="paragraph">
                  <wp:posOffset>1667510</wp:posOffset>
                </wp:positionV>
                <wp:extent cx="1089660" cy="281305"/>
                <wp:effectExtent l="0" t="0" r="0" b="0"/>
                <wp:wrapNone/>
                <wp:docPr id="113" name="文本框 113"/>
                <wp:cNvGraphicFramePr/>
                <a:graphic xmlns:a="http://schemas.openxmlformats.org/drawingml/2006/main">
                  <a:graphicData uri="http://schemas.microsoft.com/office/word/2010/wordprocessingShape">
                    <wps:wsp>
                      <wps:cNvSpPr txBox="1"/>
                      <wps:spPr>
                        <a:xfrm>
                          <a:off x="4757420" y="2651125"/>
                          <a:ext cx="1089660" cy="281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FD048">
                            <w:pPr>
                              <w:rPr>
                                <w:color w:val="FFFF00"/>
                                <w:sz w:val="18"/>
                                <w:szCs w:val="15"/>
                              </w:rPr>
                            </w:pPr>
                            <w:r>
                              <w:rPr>
                                <w:rFonts w:hint="eastAsia"/>
                                <w:color w:val="FFFF00"/>
                                <w:sz w:val="18"/>
                                <w:szCs w:val="15"/>
                              </w:rPr>
                              <w:t>地下水流向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3pt;margin-top:131.3pt;height:22.15pt;width:85.8pt;z-index:251695104;mso-width-relative:page;mso-height-relative:page;" filled="f" stroked="f" coordsize="21600,21600" o:gfxdata="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DaaSTcAAAACwEAAA8AAAAA&#10;AAAAAQAgAAAAIgAAAGRycy9kb3ducmV2LnhtbFBLAQIUABQAAAAIAIdO4kCKzZAeSQIAAHYEAAAO&#10;AAAAAAAAAAEAIAAAACsBAABkcnMvZTJvRG9jLnhtbFBLBQYAAAAABgAGAFkBAADmBQAAAAA=&#10;">
                <v:fill on="f" focussize="0,0"/>
                <v:stroke on="f" weight="0.5pt"/>
                <v:imagedata o:title=""/>
                <o:lock v:ext="edit" aspectratio="f"/>
                <v:textbox>
                  <w:txbxContent>
                    <w:p w14:paraId="5C4FD048">
                      <w:pPr>
                        <w:rPr>
                          <w:color w:val="FFFF00"/>
                          <w:sz w:val="18"/>
                          <w:szCs w:val="15"/>
                        </w:rPr>
                      </w:pPr>
                      <w:r>
                        <w:rPr>
                          <w:rFonts w:hint="eastAsia"/>
                          <w:color w:val="FFFF00"/>
                          <w:sz w:val="18"/>
                          <w:szCs w:val="15"/>
                        </w:rPr>
                        <w:t>地下水流向</w:t>
                      </w:r>
                    </w:p>
                  </w:txbxContent>
                </v:textbox>
              </v:shape>
            </w:pict>
          </mc:Fallback>
        </mc:AlternateContent>
      </w:r>
      <w:r>
        <w:rPr>
          <w:caps w:val="0"/>
          <w:smallCaps w:val="0"/>
          <w:color w:val="auto"/>
          <w:spacing w:val="0"/>
          <w:highlight w:val="none"/>
        </w:rPr>
        <mc:AlternateContent>
          <mc:Choice Requires="wps">
            <w:drawing>
              <wp:anchor distT="0" distB="0" distL="114300" distR="114300" simplePos="0" relativeHeight="251694080" behindDoc="0" locked="0" layoutInCell="1" allowOverlap="1">
                <wp:simplePos x="0" y="0"/>
                <wp:positionH relativeFrom="column">
                  <wp:posOffset>3804285</wp:posOffset>
                </wp:positionH>
                <wp:positionV relativeFrom="paragraph">
                  <wp:posOffset>1869440</wp:posOffset>
                </wp:positionV>
                <wp:extent cx="706755" cy="288925"/>
                <wp:effectExtent l="5080" t="15240" r="12065" b="19685"/>
                <wp:wrapNone/>
                <wp:docPr id="90" name="直接箭头连接符 90"/>
                <wp:cNvGraphicFramePr/>
                <a:graphic xmlns:a="http://schemas.openxmlformats.org/drawingml/2006/main">
                  <a:graphicData uri="http://schemas.microsoft.com/office/word/2010/wordprocessingShape">
                    <wps:wsp>
                      <wps:cNvCnPr/>
                      <wps:spPr>
                        <a:xfrm flipV="1">
                          <a:off x="3920490" y="2753360"/>
                          <a:ext cx="706755" cy="288925"/>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99.55pt;margin-top:147.2pt;height:22.75pt;width:55.65pt;z-index:251694080;mso-width-relative:page;mso-height-relative:page;" filled="f" stroked="t" coordsize="21600,21600" o:gfxdata="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B1TerbAAAACwEAAA8A&#10;AAAAAAAAAQAgAAAAIgAAAGRycy9kb3ducmV2LnhtbFBLAQIUABQAAAAIAIdO4kDwycWDFAIAAOQD&#10;AAAOAAAAAAAAAAEAIAAAACoBAABkcnMvZTJvRG9jLnhtbFBLBQYAAAAABgAGAFkBAACwBQAAAAA=&#10;">
                <v:fill on="f" focussize="0,0"/>
                <v:stroke weight="2pt" color="#FF0000 [3204]" joinstyle="round" endarrow="open"/>
                <v:imagedata o:title=""/>
                <o:lock v:ext="edit" aspectratio="f"/>
              </v:shape>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2816" behindDoc="0" locked="0" layoutInCell="1" allowOverlap="1">
                <wp:simplePos x="0" y="0"/>
                <wp:positionH relativeFrom="column">
                  <wp:posOffset>4526915</wp:posOffset>
                </wp:positionH>
                <wp:positionV relativeFrom="paragraph">
                  <wp:posOffset>2049145</wp:posOffset>
                </wp:positionV>
                <wp:extent cx="133985" cy="127000"/>
                <wp:effectExtent l="12700" t="12700" r="24765" b="12700"/>
                <wp:wrapNone/>
                <wp:docPr id="110" name="等腰三角形 110"/>
                <wp:cNvGraphicFramePr/>
                <a:graphic xmlns:a="http://schemas.openxmlformats.org/drawingml/2006/main">
                  <a:graphicData uri="http://schemas.microsoft.com/office/word/2010/wordprocessingShape">
                    <wps:wsp>
                      <wps:cNvSpPr/>
                      <wps:spPr>
                        <a:xfrm>
                          <a:off x="4679950" y="2736850"/>
                          <a:ext cx="133985" cy="127000"/>
                        </a:xfrm>
                        <a:prstGeom prst="triangl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56.45pt;margin-top:161.35pt;height:10pt;width:10.55pt;z-index:251682816;v-text-anchor:middle;mso-width-relative:page;mso-height-relative:page;" fillcolor="#FF0000" filled="t" stroked="t" coordsize="21600,21600" o:gfxdata="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yrlqOtoAAAALAQAADwAAAAAAAAABACAAAAAiAAAAZHJzL2Rvd25yZXYueG1sUEsBAhQAFAAA&#10;AAgAh07iQO+AY9uYAgAAGwUAAA4AAAAAAAAAAQAgAAAAKQEAAGRycy9lMm9Eb2MueG1sUEsFBgAA&#10;AAAGAAYAWQEAADMGAAAAAA==&#10;" adj="10800">
                <v:fill on="t" focussize="0,0"/>
                <v:stroke weight="2pt" color="#376092 [2404]" joinstyle="round"/>
                <v:imagedata o:title=""/>
                <o:lock v:ext="edit" aspectratio="f"/>
              </v:shape>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4864" behindDoc="0" locked="0" layoutInCell="1" allowOverlap="1">
                <wp:simplePos x="0" y="0"/>
                <wp:positionH relativeFrom="column">
                  <wp:posOffset>4813935</wp:posOffset>
                </wp:positionH>
                <wp:positionV relativeFrom="paragraph">
                  <wp:posOffset>1479550</wp:posOffset>
                </wp:positionV>
                <wp:extent cx="133985" cy="127000"/>
                <wp:effectExtent l="12700" t="12700" r="24765" b="12700"/>
                <wp:wrapNone/>
                <wp:docPr id="112" name="等腰三角形 112"/>
                <wp:cNvGraphicFramePr/>
                <a:graphic xmlns:a="http://schemas.openxmlformats.org/drawingml/2006/main">
                  <a:graphicData uri="http://schemas.microsoft.com/office/word/2010/wordprocessingShape">
                    <wps:wsp>
                      <wps:cNvSpPr/>
                      <wps:spPr>
                        <a:xfrm>
                          <a:off x="0" y="0"/>
                          <a:ext cx="133985" cy="127000"/>
                        </a:xfrm>
                        <a:prstGeom prst="triangl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79.05pt;margin-top:116.5pt;height:10pt;width:10.55pt;z-index:251684864;v-text-anchor:middle;mso-width-relative:page;mso-height-relative:page;" fillcolor="#FF0000" filled="t" stroked="t" coordsize="21600,21600" o:gfxdata="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A3JWjzaAAAA&#10;CwEAAA8AAAAAAAAAAQAgAAAAIgAAAGRycy9kb3ducmV2LnhtbFBLAQIUABQAAAAIAIdO4kAftNFh&#10;jQIAAA8FAAAOAAAAAAAAAAEAIAAAACkBAABkcnMvZTJvRG9jLnhtbFBLBQYAAAAABgAGAFkBAAAo&#10;BgAAAAA=&#10;" adj="10800">
                <v:fill on="t" focussize="0,0"/>
                <v:stroke weight="2pt" color="#376092 [2404]" joinstyle="round"/>
                <v:imagedata o:title=""/>
                <o:lock v:ext="edit" aspectratio="f"/>
              </v:shape>
            </w:pict>
          </mc:Fallback>
        </mc:AlternateContent>
      </w:r>
      <w:r>
        <w:rPr>
          <w:rFonts w:ascii="Times New Roman" w:hAnsi="Times New Roman" w:eastAsia="宋体" w:cs="Times New Roman"/>
          <w:caps w:val="0"/>
          <w:smallCaps w:val="0"/>
          <w:color w:val="auto"/>
          <w:spacing w:val="0"/>
          <w:highlight w:val="none"/>
        </w:rPr>
        <w:drawing>
          <wp:anchor distT="0" distB="0" distL="114300" distR="114300" simplePos="0" relativeHeight="251688960" behindDoc="0" locked="0" layoutInCell="1" allowOverlap="1">
            <wp:simplePos x="0" y="0"/>
            <wp:positionH relativeFrom="column">
              <wp:posOffset>5851525</wp:posOffset>
            </wp:positionH>
            <wp:positionV relativeFrom="paragraph">
              <wp:posOffset>5146040</wp:posOffset>
            </wp:positionV>
            <wp:extent cx="113665" cy="156845"/>
            <wp:effectExtent l="0" t="0" r="635" b="14605"/>
            <wp:wrapNone/>
            <wp:docPr id="9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0"/>
                    <pic:cNvPicPr>
                      <a:picLocks noChangeAspect="1"/>
                    </pic:cNvPicPr>
                  </pic:nvPicPr>
                  <pic:blipFill>
                    <a:blip r:embed="rId27"/>
                    <a:stretch>
                      <a:fillRect/>
                    </a:stretch>
                  </pic:blipFill>
                  <pic:spPr>
                    <a:xfrm>
                      <a:off x="0" y="0"/>
                      <a:ext cx="113665" cy="156845"/>
                    </a:xfrm>
                    <a:prstGeom prst="rect">
                      <a:avLst/>
                    </a:prstGeom>
                    <a:noFill/>
                    <a:ln>
                      <a:noFill/>
                    </a:ln>
                  </pic:spPr>
                </pic:pic>
              </a:graphicData>
            </a:graphic>
          </wp:anchor>
        </w:drawing>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3840" behindDoc="0" locked="0" layoutInCell="1" allowOverlap="1">
                <wp:simplePos x="0" y="0"/>
                <wp:positionH relativeFrom="column">
                  <wp:posOffset>5859145</wp:posOffset>
                </wp:positionH>
                <wp:positionV relativeFrom="paragraph">
                  <wp:posOffset>4936490</wp:posOffset>
                </wp:positionV>
                <wp:extent cx="133985" cy="127000"/>
                <wp:effectExtent l="12700" t="12700" r="24765" b="12700"/>
                <wp:wrapNone/>
                <wp:docPr id="111" name="等腰三角形 111"/>
                <wp:cNvGraphicFramePr/>
                <a:graphic xmlns:a="http://schemas.openxmlformats.org/drawingml/2006/main">
                  <a:graphicData uri="http://schemas.microsoft.com/office/word/2010/wordprocessingShape">
                    <wps:wsp>
                      <wps:cNvSpPr/>
                      <wps:spPr>
                        <a:xfrm>
                          <a:off x="0" y="0"/>
                          <a:ext cx="133985" cy="127000"/>
                        </a:xfrm>
                        <a:prstGeom prst="triangl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61.35pt;margin-top:388.7pt;height:10pt;width:10.55pt;z-index:251683840;v-text-anchor:middle;mso-width-relative:page;mso-height-relative:page;" fillcolor="#FF0000" filled="t" stroked="t" coordsize="21600,21600" o:gfxdata="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XoK0/aAAAA&#10;CwEAAA8AAAAAAAAAAQAgAAAAIgAAAGRycy9kb3ducmV2LnhtbFBLAQIUABQAAAAIAIdO4kAXvPQe&#10;jQIAAA8FAAAOAAAAAAAAAAEAIAAAACkBAABkcnMvZTJvRG9jLnhtbFBLBQYAAAAABgAGAFkBAAAo&#10;BgAAAAA=&#10;" adj="10800">
                <v:fill on="t" focussize="0,0"/>
                <v:stroke weight="2pt" color="#376092 [2404]" joinstyle="round"/>
                <v:imagedata o:title=""/>
                <o:lock v:ext="edit" aspectratio="f"/>
              </v:shape>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1792" behindDoc="0" locked="0" layoutInCell="1" allowOverlap="1">
                <wp:simplePos x="0" y="0"/>
                <wp:positionH relativeFrom="column">
                  <wp:posOffset>5756275</wp:posOffset>
                </wp:positionH>
                <wp:positionV relativeFrom="paragraph">
                  <wp:posOffset>4757420</wp:posOffset>
                </wp:positionV>
                <wp:extent cx="290195" cy="118745"/>
                <wp:effectExtent l="12700" t="12700" r="20955" b="20955"/>
                <wp:wrapNone/>
                <wp:docPr id="109" name="矩形 109"/>
                <wp:cNvGraphicFramePr/>
                <a:graphic xmlns:a="http://schemas.openxmlformats.org/drawingml/2006/main">
                  <a:graphicData uri="http://schemas.microsoft.com/office/word/2010/wordprocessingShape">
                    <wps:wsp>
                      <wps:cNvSpPr/>
                      <wps:spPr>
                        <a:xfrm>
                          <a:off x="0" y="0"/>
                          <a:ext cx="290195" cy="118745"/>
                        </a:xfrm>
                        <a:prstGeom prst="rect">
                          <a:avLst/>
                        </a:prstGeom>
                        <a:no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3.25pt;margin-top:374.6pt;height:9.35pt;width:22.85pt;z-index:251681792;v-text-anchor:middle;mso-width-relative:page;mso-height-relative:page;" filled="f" stroked="t" coordsize="21600,21600" o:gfxdata="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KpuKF2wAAAAsBAAAPAAAAAAAAAAEAIAAAACIAAABkcnMvZG93bnJldi54bWxQSwECFAAU&#10;AAAACACHTuJAoeKTqmACAAC3BAAADgAAAAAAAAABACAAAAAqAQAAZHJzL2Uyb0RvYy54bWxQSwUG&#10;AAAAAAYABgBZAQAA/AUAAAAA&#10;">
                <v:fill on="f" focussize="0,0"/>
                <v:stroke weight="2pt" color="#00B050 [2404]" joinstyle="round"/>
                <v:imagedata o:title=""/>
                <o:lock v:ext="edit" aspectratio="f"/>
              </v:rect>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80768" behindDoc="0" locked="0" layoutInCell="1" allowOverlap="1">
                <wp:simplePos x="0" y="0"/>
                <wp:positionH relativeFrom="column">
                  <wp:posOffset>5760085</wp:posOffset>
                </wp:positionH>
                <wp:positionV relativeFrom="paragraph">
                  <wp:posOffset>4553585</wp:posOffset>
                </wp:positionV>
                <wp:extent cx="290195" cy="118745"/>
                <wp:effectExtent l="12700" t="12700" r="20955" b="20955"/>
                <wp:wrapNone/>
                <wp:docPr id="108" name="矩形 108"/>
                <wp:cNvGraphicFramePr/>
                <a:graphic xmlns:a="http://schemas.openxmlformats.org/drawingml/2006/main">
                  <a:graphicData uri="http://schemas.microsoft.com/office/word/2010/wordprocessingShape">
                    <wps:wsp>
                      <wps:cNvSpPr/>
                      <wps:spPr>
                        <a:xfrm>
                          <a:off x="974090" y="5474970"/>
                          <a:ext cx="290195" cy="11874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3.55pt;margin-top:358.55pt;height:9.35pt;width:22.85pt;z-index:251680768;v-text-anchor:middle;mso-width-relative:page;mso-height-relative:page;" filled="f" stroked="t" coordsize="21600,21600" o:gfxdata="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uV3p8toAAAALAQAADwAAAAAAAAABACAAAAAiAAAAZHJzL2Rvd25yZXYu&#10;eG1sUEsBAhQAFAAAAAgAh07iQExXlutrAgAAwgQAAA4AAAAAAAAAAQAgAAAAKQEAAGRycy9lMm9E&#10;b2MueG1sUEsFBgAAAAAGAAYAWQEAAAYGAAAAAA==&#10;">
                <v:fill on="f" focussize="0,0"/>
                <v:stroke weight="2pt" color="#FF0000 [2404]" joinstyle="round"/>
                <v:imagedata o:title=""/>
                <o:lock v:ext="edit" aspectratio="f"/>
              </v:rect>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79744" behindDoc="0" locked="0" layoutInCell="1" allowOverlap="1">
                <wp:simplePos x="0" y="0"/>
                <wp:positionH relativeFrom="column">
                  <wp:posOffset>5706110</wp:posOffset>
                </wp:positionH>
                <wp:positionV relativeFrom="paragraph">
                  <wp:posOffset>4269740</wp:posOffset>
                </wp:positionV>
                <wp:extent cx="1562100" cy="1123315"/>
                <wp:effectExtent l="4445" t="4445" r="14605" b="15240"/>
                <wp:wrapNone/>
                <wp:docPr id="87" name="文本框 87"/>
                <wp:cNvGraphicFramePr/>
                <a:graphic xmlns:a="http://schemas.openxmlformats.org/drawingml/2006/main">
                  <a:graphicData uri="http://schemas.microsoft.com/office/word/2010/wordprocessingShape">
                    <wps:wsp>
                      <wps:cNvSpPr txBox="1"/>
                      <wps:spPr>
                        <a:xfrm>
                          <a:off x="929640" y="5251450"/>
                          <a:ext cx="1562100" cy="11233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B4843C">
                            <w:r>
                              <w:rPr>
                                <w:rFonts w:hint="eastAsia"/>
                              </w:rPr>
                              <w:t>图例</w:t>
                            </w:r>
                          </w:p>
                          <w:p w14:paraId="41B912BA">
                            <w:pPr>
                              <w:pStyle w:val="13"/>
                              <w:spacing w:after="0"/>
                              <w:ind w:firstLine="480" w:firstLineChars="200"/>
                            </w:pPr>
                            <w:r>
                              <w:rPr>
                                <w:rFonts w:hint="eastAsia"/>
                              </w:rPr>
                              <w:t>厂区边界</w:t>
                            </w:r>
                          </w:p>
                          <w:p w14:paraId="0D85C89D">
                            <w:pPr>
                              <w:ind w:firstLine="480" w:firstLineChars="200"/>
                            </w:pPr>
                            <w:r>
                              <w:rPr>
                                <w:rFonts w:hint="eastAsia"/>
                              </w:rPr>
                              <w:t>评价范围</w:t>
                            </w:r>
                          </w:p>
                          <w:p w14:paraId="3AB0FE7A">
                            <w:pPr>
                              <w:pStyle w:val="13"/>
                              <w:spacing w:after="0"/>
                              <w:ind w:firstLine="480" w:firstLineChars="200"/>
                            </w:pPr>
                            <w:r>
                              <w:rPr>
                                <w:rFonts w:hint="eastAsia"/>
                              </w:rPr>
                              <w:t>敏感目标</w:t>
                            </w:r>
                          </w:p>
                          <w:p w14:paraId="5CB7F082">
                            <w:pPr>
                              <w:pStyle w:val="13"/>
                              <w:spacing w:after="0"/>
                              <w:ind w:firstLine="480" w:firstLineChars="200"/>
                            </w:pPr>
                            <w:r>
                              <w:rPr>
                                <w:rFonts w:hint="eastAsia"/>
                              </w:rPr>
                              <w:t>水质及水位监测点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9.3pt;margin-top:336.2pt;height:88.45pt;width:123pt;z-index:251679744;mso-width-relative:page;mso-height-relative:page;" fillcolor="#FFFFFF [3201]" filled="t" stroked="t" coordsize="21600,21600" o:gfxdata="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obFZrXAAAADAEAAA8AAAAAAAAAAQAgAAAAIgAAAGRycy9kb3ducmV2LnhtbFBLAQIUABQA&#10;AAAIAIdO4kCvtescYwIAAMUEAAAOAAAAAAAAAAEAIAAAACYBAABkcnMvZTJvRG9jLnhtbFBLBQYA&#10;AAAABgAGAFkBAAD7BQAAAAA=&#10;">
                <v:fill on="t" focussize="0,0"/>
                <v:stroke weight="0.5pt" color="#000000 [3204]" joinstyle="round"/>
                <v:imagedata o:title=""/>
                <o:lock v:ext="edit" aspectratio="f"/>
                <v:textbox>
                  <w:txbxContent>
                    <w:p w14:paraId="15B4843C">
                      <w:r>
                        <w:rPr>
                          <w:rFonts w:hint="eastAsia"/>
                        </w:rPr>
                        <w:t>图例</w:t>
                      </w:r>
                    </w:p>
                    <w:p w14:paraId="41B912BA">
                      <w:pPr>
                        <w:pStyle w:val="13"/>
                        <w:spacing w:after="0"/>
                        <w:ind w:firstLine="480" w:firstLineChars="200"/>
                      </w:pPr>
                      <w:r>
                        <w:rPr>
                          <w:rFonts w:hint="eastAsia"/>
                        </w:rPr>
                        <w:t>厂区边界</w:t>
                      </w:r>
                    </w:p>
                    <w:p w14:paraId="0D85C89D">
                      <w:pPr>
                        <w:ind w:firstLine="480" w:firstLineChars="200"/>
                      </w:pPr>
                      <w:r>
                        <w:rPr>
                          <w:rFonts w:hint="eastAsia"/>
                        </w:rPr>
                        <w:t>评价范围</w:t>
                      </w:r>
                    </w:p>
                    <w:p w14:paraId="3AB0FE7A">
                      <w:pPr>
                        <w:pStyle w:val="13"/>
                        <w:spacing w:after="0"/>
                        <w:ind w:firstLine="480" w:firstLineChars="200"/>
                      </w:pPr>
                      <w:r>
                        <w:rPr>
                          <w:rFonts w:hint="eastAsia"/>
                        </w:rPr>
                        <w:t>敏感目标</w:t>
                      </w:r>
                    </w:p>
                    <w:p w14:paraId="5CB7F082">
                      <w:pPr>
                        <w:pStyle w:val="13"/>
                        <w:spacing w:after="0"/>
                        <w:ind w:firstLine="480" w:firstLineChars="200"/>
                      </w:pPr>
                      <w:r>
                        <w:rPr>
                          <w:rFonts w:hint="eastAsia"/>
                        </w:rPr>
                        <w:t>水质及水位监测点</w:t>
                      </w:r>
                    </w:p>
                  </w:txbxContent>
                </v:textbox>
              </v:shape>
            </w:pict>
          </mc:Fallback>
        </mc:AlternateContent>
      </w:r>
      <w:r>
        <w:rPr>
          <w:color w:val="auto"/>
          <w:highlight w:val="none"/>
        </w:rPr>
        <w:drawing>
          <wp:inline distT="0" distB="0" distL="114300" distR="114300">
            <wp:extent cx="7999730" cy="5400040"/>
            <wp:effectExtent l="0" t="0" r="1270" b="10160"/>
            <wp:docPr id="1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5"/>
                    <pic:cNvPicPr>
                      <a:picLocks noChangeAspect="1"/>
                    </pic:cNvPicPr>
                  </pic:nvPicPr>
                  <pic:blipFill>
                    <a:blip r:embed="rId28"/>
                    <a:stretch>
                      <a:fillRect/>
                    </a:stretch>
                  </pic:blipFill>
                  <pic:spPr>
                    <a:xfrm>
                      <a:off x="0" y="0"/>
                      <a:ext cx="7999730" cy="5400040"/>
                    </a:xfrm>
                    <a:prstGeom prst="rect">
                      <a:avLst/>
                    </a:prstGeom>
                    <a:noFill/>
                    <a:ln>
                      <a:noFill/>
                    </a:ln>
                  </pic:spPr>
                </pic:pic>
              </a:graphicData>
            </a:graphic>
          </wp:inline>
        </w:drawing>
      </w:r>
    </w:p>
    <w:p w14:paraId="2FE32B50">
      <w:pPr>
        <w:widowControl w:val="0"/>
        <w:adjustRightInd w:val="0"/>
        <w:snapToGrid w:val="0"/>
        <w:ind w:left="480"/>
        <w:jc w:val="center"/>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b/>
          <w:bCs/>
          <w:caps w:val="0"/>
          <w:smallCaps w:val="0"/>
          <w:color w:val="auto"/>
          <w:spacing w:val="0"/>
          <w:highlight w:val="none"/>
        </w:rPr>
        <w:t>图2.5-2评价区范围、敏感目标分布及水位水质监测点图</w:t>
      </w:r>
    </w:p>
    <w:p w14:paraId="2A1A9809">
      <w:pPr>
        <w:pStyle w:val="65"/>
        <w:widowControl w:val="0"/>
        <w:ind w:firstLine="480"/>
        <w:rPr>
          <w:rFonts w:eastAsia="宋体"/>
          <w:caps w:val="0"/>
          <w:smallCaps w:val="0"/>
          <w:snapToGrid w:val="0"/>
          <w:color w:val="auto"/>
          <w:spacing w:val="0"/>
          <w:kern w:val="0"/>
          <w:szCs w:val="24"/>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6FA114C3">
      <w:pPr>
        <w:pStyle w:val="5"/>
        <w:widowControl w:val="0"/>
        <w:rPr>
          <w:rFonts w:eastAsia="宋体"/>
          <w:caps w:val="0"/>
          <w:smallCaps w:val="0"/>
          <w:color w:val="auto"/>
          <w:spacing w:val="0"/>
          <w:sz w:val="30"/>
          <w:szCs w:val="30"/>
          <w:highlight w:val="none"/>
        </w:rPr>
      </w:pPr>
      <w:bookmarkStart w:id="53" w:name="_Toc32562"/>
      <w:bookmarkStart w:id="54" w:name="_Toc477951940"/>
      <w:r>
        <w:rPr>
          <w:rFonts w:eastAsia="宋体"/>
          <w:caps w:val="0"/>
          <w:smallCaps w:val="0"/>
          <w:color w:val="auto"/>
          <w:spacing w:val="0"/>
          <w:sz w:val="30"/>
          <w:szCs w:val="30"/>
          <w:highlight w:val="none"/>
        </w:rPr>
        <w:t>2.5.5土壤环境影响评价等级和范围</w:t>
      </w:r>
      <w:bookmarkEnd w:id="53"/>
    </w:p>
    <w:p w14:paraId="78F9B2CB">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参考《环境影响评价技术导则土壤环境》（HJ964-2018）附录A，本项目与该附录中设备制造、汽车制造及其他用品制造项目相近，且项目本身无电镀工艺的；不使用有机涂层；无钝化工艺的热镀锌。故参考有化学处理工艺的项目考虑，定为Ⅱ类项目</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根据厂区面积为107202</w:t>
      </w:r>
      <w:r>
        <w:rPr>
          <w:rFonts w:ascii="Times New Roman" w:hAnsi="Times New Roman" w:eastAsia="宋体" w:cs="Times New Roman"/>
          <w:caps w:val="0"/>
          <w:smallCaps w:val="0"/>
          <w:color w:val="auto"/>
          <w:spacing w:val="0"/>
          <w:kern w:val="0"/>
          <w:szCs w:val="24"/>
          <w:highlight w:val="none"/>
          <w:lang w:bidi="ar"/>
        </w:rPr>
        <w:t>m</w:t>
      </w:r>
      <w:r>
        <w:rPr>
          <w:rFonts w:ascii="Times New Roman" w:hAnsi="Times New Roman" w:eastAsia="宋体" w:cs="Times New Roman"/>
          <w:caps w:val="0"/>
          <w:smallCaps w:val="0"/>
          <w:color w:val="auto"/>
          <w:spacing w:val="0"/>
          <w:kern w:val="0"/>
          <w:szCs w:val="24"/>
          <w:highlight w:val="none"/>
          <w:vertAlign w:val="superscript"/>
          <w:lang w:bidi="ar"/>
        </w:rPr>
        <w:t>2</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占地面积为50000m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≤107202m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≤5</w:t>
      </w:r>
      <w:r>
        <w:rPr>
          <w:rFonts w:hint="eastAsia" w:ascii="Times New Roman" w:hAnsi="Times New Roman" w:eastAsia="宋体" w:cs="Times New Roman"/>
          <w:caps w:val="0"/>
          <w:smallCaps w:val="0"/>
          <w:color w:val="auto"/>
          <w:spacing w:val="0"/>
          <w:kern w:val="0"/>
          <w:szCs w:val="24"/>
          <w:highlight w:val="none"/>
          <w:lang w:bidi="ar"/>
        </w:rPr>
        <w:t>0</w:t>
      </w:r>
      <w:r>
        <w:rPr>
          <w:rFonts w:ascii="Times New Roman" w:hAnsi="Times New Roman" w:eastAsia="宋体" w:cs="Times New Roman"/>
          <w:caps w:val="0"/>
          <w:smallCaps w:val="0"/>
          <w:color w:val="auto"/>
          <w:spacing w:val="0"/>
          <w:kern w:val="0"/>
          <w:szCs w:val="24"/>
          <w:highlight w:val="none"/>
          <w:lang w:bidi="ar"/>
        </w:rPr>
        <w:t>0000m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，占地规模为</w:t>
      </w:r>
      <w:r>
        <w:rPr>
          <w:rFonts w:hint="eastAsia" w:ascii="Times New Roman" w:hAnsi="Times New Roman" w:eastAsia="宋体" w:cs="Times New Roman"/>
          <w:caps w:val="0"/>
          <w:smallCaps w:val="0"/>
          <w:color w:val="auto"/>
          <w:spacing w:val="0"/>
          <w:kern w:val="0"/>
          <w:szCs w:val="24"/>
          <w:highlight w:val="none"/>
          <w:lang w:bidi="ar"/>
        </w:rPr>
        <w:t>中</w:t>
      </w:r>
      <w:r>
        <w:rPr>
          <w:rFonts w:ascii="Times New Roman" w:hAnsi="Times New Roman" w:eastAsia="宋体" w:cs="Times New Roman"/>
          <w:caps w:val="0"/>
          <w:smallCaps w:val="0"/>
          <w:color w:val="auto"/>
          <w:spacing w:val="0"/>
          <w:kern w:val="0"/>
          <w:szCs w:val="24"/>
          <w:highlight w:val="none"/>
          <w:lang w:bidi="ar"/>
        </w:rPr>
        <w:t>型；</w:t>
      </w:r>
      <w:r>
        <w:rPr>
          <w:rFonts w:ascii="Times New Roman" w:hAnsi="Times New Roman" w:eastAsia="宋体" w:cs="Times New Roman"/>
          <w:caps w:val="0"/>
          <w:smallCaps w:val="0"/>
          <w:color w:val="auto"/>
          <w:spacing w:val="0"/>
          <w:highlight w:val="none"/>
        </w:rPr>
        <w:t>参考“环境保护部发布的《农用地土壤污染状况详查点位布设技术规定》”中其他电池制造业大气沉降影响基本范围0.5km，本项目0.5km范围内无土壤环境敏感保护目标，都为园区内工业用地，故判断本项目环境敏感程度为不敏感。</w:t>
      </w:r>
    </w:p>
    <w:p w14:paraId="3830EB6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故判定本项目土壤环境影响评价工作等级为三级。</w:t>
      </w:r>
    </w:p>
    <w:p w14:paraId="7EC3BFB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本项目土壤环境影响评价范围内项目占地范围内和占地范围外0.05km区域。</w:t>
      </w:r>
    </w:p>
    <w:p w14:paraId="366615C6">
      <w:pPr>
        <w:pStyle w:val="5"/>
        <w:widowControl w:val="0"/>
        <w:rPr>
          <w:rFonts w:eastAsia="宋体"/>
          <w:caps w:val="0"/>
          <w:smallCaps w:val="0"/>
          <w:color w:val="auto"/>
          <w:spacing w:val="0"/>
          <w:sz w:val="30"/>
          <w:szCs w:val="30"/>
          <w:highlight w:val="none"/>
        </w:rPr>
      </w:pPr>
      <w:bookmarkStart w:id="55" w:name="_Toc2891"/>
      <w:r>
        <w:rPr>
          <w:rFonts w:eastAsia="宋体"/>
          <w:caps w:val="0"/>
          <w:smallCaps w:val="0"/>
          <w:color w:val="auto"/>
          <w:spacing w:val="0"/>
          <w:sz w:val="30"/>
          <w:szCs w:val="30"/>
          <w:highlight w:val="none"/>
        </w:rPr>
        <w:t>2.5.</w:t>
      </w:r>
      <w:r>
        <w:rPr>
          <w:rFonts w:hint="eastAsia" w:eastAsia="宋体"/>
          <w:caps w:val="0"/>
          <w:smallCaps w:val="0"/>
          <w:color w:val="auto"/>
          <w:spacing w:val="0"/>
          <w:sz w:val="30"/>
          <w:szCs w:val="30"/>
          <w:highlight w:val="none"/>
          <w:lang w:val="en-US" w:eastAsia="zh-CN"/>
        </w:rPr>
        <w:t>6</w:t>
      </w:r>
      <w:r>
        <w:rPr>
          <w:rFonts w:eastAsia="宋体"/>
          <w:caps w:val="0"/>
          <w:smallCaps w:val="0"/>
          <w:color w:val="auto"/>
          <w:spacing w:val="0"/>
          <w:sz w:val="30"/>
          <w:szCs w:val="30"/>
          <w:highlight w:val="none"/>
        </w:rPr>
        <w:t>生态环境影响评价等级和范围</w:t>
      </w:r>
      <w:bookmarkEnd w:id="55"/>
    </w:p>
    <w:p w14:paraId="262F46C0">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本项目位于佳木斯市高新技术开发区轻工园区内</w:t>
      </w:r>
      <w:r>
        <w:rPr>
          <w:rFonts w:eastAsia="宋体"/>
          <w:caps w:val="0"/>
          <w:smallCaps w:val="0"/>
          <w:color w:val="auto"/>
          <w:spacing w:val="0"/>
          <w:highlight w:val="none"/>
        </w:rPr>
        <w:t>，</w:t>
      </w:r>
      <w:r>
        <w:rPr>
          <w:rFonts w:ascii="宋体" w:hAnsi="宋体" w:eastAsia="宋体" w:cs="宋体"/>
          <w:caps w:val="0"/>
          <w:smallCaps w:val="0"/>
          <w:color w:val="auto"/>
          <w:spacing w:val="0"/>
          <w:szCs w:val="24"/>
          <w:highlight w:val="none"/>
        </w:rPr>
        <w:t>符合生态环境分区管控要求</w:t>
      </w:r>
      <w:r>
        <w:rPr>
          <w:rFonts w:hint="eastAsia" w:ascii="宋体" w:hAnsi="宋体" w:eastAsia="宋体" w:cs="宋体"/>
          <w:caps w:val="0"/>
          <w:smallCaps w:val="0"/>
          <w:color w:val="auto"/>
          <w:spacing w:val="0"/>
          <w:szCs w:val="24"/>
          <w:highlight w:val="none"/>
        </w:rPr>
        <w:t>，</w:t>
      </w:r>
      <w:r>
        <w:rPr>
          <w:rFonts w:hint="eastAsia" w:eastAsia="宋体"/>
          <w:caps w:val="0"/>
          <w:smallCaps w:val="0"/>
          <w:color w:val="auto"/>
          <w:spacing w:val="0"/>
          <w:highlight w:val="none"/>
        </w:rPr>
        <w:t>用地性质为工业用地，</w:t>
      </w:r>
      <w:r>
        <w:rPr>
          <w:rFonts w:eastAsia="宋体"/>
          <w:caps w:val="0"/>
          <w:smallCaps w:val="0"/>
          <w:color w:val="auto"/>
          <w:spacing w:val="0"/>
          <w:highlight w:val="none"/>
        </w:rPr>
        <w:t>厂区周围为工业园区内部，占地面积</w:t>
      </w:r>
      <w:r>
        <w:rPr>
          <w:rFonts w:hint="eastAsia" w:eastAsia="宋体"/>
          <w:caps w:val="0"/>
          <w:smallCaps w:val="0"/>
          <w:color w:val="auto"/>
          <w:spacing w:val="0"/>
          <w:highlight w:val="none"/>
        </w:rPr>
        <w:t>107202</w:t>
      </w:r>
      <w:r>
        <w:rPr>
          <w:rFonts w:eastAsia="宋体"/>
          <w:caps w:val="0"/>
          <w:smallCaps w:val="0"/>
          <w:color w:val="auto"/>
          <w:spacing w:val="0"/>
          <w:highlight w:val="none"/>
        </w:rPr>
        <w:t>m</w:t>
      </w:r>
      <w:r>
        <w:rPr>
          <w:rFonts w:eastAsia="宋体"/>
          <w:caps w:val="0"/>
          <w:smallCaps w:val="0"/>
          <w:color w:val="auto"/>
          <w:spacing w:val="0"/>
          <w:highlight w:val="none"/>
          <w:vertAlign w:val="superscript"/>
        </w:rPr>
        <w:t>2</w:t>
      </w:r>
      <w:r>
        <w:rPr>
          <w:rFonts w:eastAsia="宋体"/>
          <w:caps w:val="0"/>
          <w:smallCaps w:val="0"/>
          <w:color w:val="auto"/>
          <w:spacing w:val="0"/>
          <w:highlight w:val="none"/>
        </w:rPr>
        <w:t>，</w:t>
      </w:r>
      <w:r>
        <w:rPr>
          <w:rFonts w:hint="eastAsia" w:eastAsia="宋体"/>
          <w:caps w:val="0"/>
          <w:smallCaps w:val="0"/>
          <w:color w:val="auto"/>
          <w:spacing w:val="0"/>
          <w:highlight w:val="none"/>
        </w:rPr>
        <w:t>占地规模不大于20km</w:t>
      </w:r>
      <w:r>
        <w:rPr>
          <w:rFonts w:hint="eastAsia" w:eastAsia="宋体"/>
          <w:caps w:val="0"/>
          <w:smallCaps w:val="0"/>
          <w:color w:val="auto"/>
          <w:spacing w:val="0"/>
          <w:highlight w:val="none"/>
          <w:vertAlign w:val="superscript"/>
        </w:rPr>
        <w:t>2</w:t>
      </w:r>
      <w:r>
        <w:rPr>
          <w:rFonts w:hint="eastAsia" w:eastAsia="宋体"/>
          <w:caps w:val="0"/>
          <w:smallCaps w:val="0"/>
          <w:color w:val="auto"/>
          <w:spacing w:val="0"/>
          <w:highlight w:val="none"/>
        </w:rPr>
        <w:t>，</w:t>
      </w:r>
      <w:r>
        <w:rPr>
          <w:rFonts w:eastAsia="宋体"/>
          <w:caps w:val="0"/>
          <w:smallCaps w:val="0"/>
          <w:color w:val="auto"/>
          <w:spacing w:val="0"/>
          <w:highlight w:val="none"/>
        </w:rPr>
        <w:t>项目周边不涉及国家公园、自然保护区、世界自然遗产、自然公园，项目不涉及生态红线，项目周边无水文要素影响，周边地下水水位和土壤影响范围内无天然林、公益林、湿地等生态保护目标，根据《环境影响评价技术导则-生态影响》(HJ19-2022)中的工作等级判定原则，可不确定评价等级，直接进行生态影响简单分析。</w:t>
      </w:r>
    </w:p>
    <w:p w14:paraId="6B9C305E">
      <w:pPr>
        <w:pStyle w:val="5"/>
        <w:widowControl w:val="0"/>
        <w:rPr>
          <w:rFonts w:eastAsia="宋体"/>
          <w:caps w:val="0"/>
          <w:smallCaps w:val="0"/>
          <w:color w:val="auto"/>
          <w:spacing w:val="0"/>
          <w:sz w:val="30"/>
          <w:szCs w:val="30"/>
          <w:highlight w:val="none"/>
        </w:rPr>
      </w:pPr>
      <w:bookmarkStart w:id="56" w:name="_Toc1087"/>
      <w:r>
        <w:rPr>
          <w:rFonts w:eastAsia="宋体"/>
          <w:caps w:val="0"/>
          <w:smallCaps w:val="0"/>
          <w:color w:val="auto"/>
          <w:spacing w:val="0"/>
          <w:sz w:val="30"/>
          <w:szCs w:val="30"/>
          <w:highlight w:val="none"/>
        </w:rPr>
        <w:t>2.5.</w:t>
      </w:r>
      <w:r>
        <w:rPr>
          <w:rFonts w:hint="eastAsia" w:eastAsia="宋体"/>
          <w:caps w:val="0"/>
          <w:smallCaps w:val="0"/>
          <w:color w:val="auto"/>
          <w:spacing w:val="0"/>
          <w:sz w:val="30"/>
          <w:szCs w:val="30"/>
          <w:highlight w:val="none"/>
          <w:lang w:val="en-US" w:eastAsia="zh-CN"/>
        </w:rPr>
        <w:t>7</w:t>
      </w:r>
      <w:r>
        <w:rPr>
          <w:rFonts w:eastAsia="宋体"/>
          <w:caps w:val="0"/>
          <w:smallCaps w:val="0"/>
          <w:color w:val="auto"/>
          <w:spacing w:val="0"/>
          <w:sz w:val="30"/>
          <w:szCs w:val="30"/>
          <w:highlight w:val="none"/>
        </w:rPr>
        <w:t>环境风险评价等级和范围</w:t>
      </w:r>
      <w:bookmarkEnd w:id="56"/>
    </w:p>
    <w:p w14:paraId="51E1F326">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1、危险物质及工艺系统危险性（P）的分级</w:t>
      </w:r>
    </w:p>
    <w:p w14:paraId="0D8FF772">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通过对项目生产过程中原辅材料、产品进行分析、对比，项目涉及的危险物质与《建设项目环境风险评价技术导则》（HJ169-2018）附录B进行对比以及参考《企业突发环境事件风险分级方法》（HJ941-2018）和《危险化学品重大危险源辨识》(GB18218-2018)（表1危险化学品名称及其临界量），</w:t>
      </w:r>
      <w:r>
        <w:rPr>
          <w:rFonts w:ascii="Times New Roman" w:hAnsi="Times New Roman" w:eastAsia="宋体" w:cs="Times New Roman"/>
          <w:caps w:val="0"/>
          <w:smallCaps w:val="0"/>
          <w:color w:val="auto"/>
          <w:spacing w:val="0"/>
          <w:szCs w:val="24"/>
          <w:highlight w:val="none"/>
        </w:rPr>
        <w:t>本项目涉及的危险物质主要有碲化镉、硒化镉、氯化镉、钼及其化合物（以钼计）</w:t>
      </w:r>
      <w:r>
        <w:rPr>
          <w:rFonts w:hint="eastAsia" w:ascii="Times New Roman" w:hAnsi="Times New Roman" w:eastAsia="宋体" w:cs="Times New Roman"/>
          <w:caps w:val="0"/>
          <w:smallCaps w:val="0"/>
          <w:color w:val="auto"/>
          <w:spacing w:val="0"/>
          <w:szCs w:val="24"/>
          <w:highlight w:val="none"/>
        </w:rPr>
        <w:t>、铬及其化合物（以铬计）、硝酸、盐酸、氨水及二甲苯</w:t>
      </w:r>
      <w:r>
        <w:rPr>
          <w:rFonts w:ascii="Times New Roman" w:hAnsi="Times New Roman" w:eastAsia="宋体" w:cs="Times New Roman"/>
          <w:caps w:val="0"/>
          <w:smallCaps w:val="0"/>
          <w:color w:val="auto"/>
          <w:spacing w:val="0"/>
          <w:szCs w:val="24"/>
          <w:highlight w:val="none"/>
        </w:rPr>
        <w:t>。</w:t>
      </w:r>
    </w:p>
    <w:p w14:paraId="30CD9CB4">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项目涉及的突发环境风险物质及其临界量如下表所示。</w:t>
      </w:r>
    </w:p>
    <w:p w14:paraId="289B5DFB">
      <w:pPr>
        <w:widowControl w:val="0"/>
        <w:spacing w:after="48" w:afterLines="20"/>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表2.5-</w:t>
      </w:r>
      <w:r>
        <w:rPr>
          <w:rFonts w:hint="eastAsia" w:ascii="Times New Roman" w:hAnsi="Times New Roman" w:eastAsia="宋体" w:cs="Times New Roman"/>
          <w:b/>
          <w:caps w:val="0"/>
          <w:smallCaps w:val="0"/>
          <w:color w:val="auto"/>
          <w:spacing w:val="0"/>
          <w:szCs w:val="24"/>
          <w:highlight w:val="none"/>
          <w:lang w:val="en-US" w:eastAsia="zh-CN"/>
        </w:rPr>
        <w:t>12</w:t>
      </w:r>
      <w:r>
        <w:rPr>
          <w:rFonts w:ascii="Times New Roman" w:hAnsi="Times New Roman" w:eastAsia="宋体" w:cs="Times New Roman"/>
          <w:b/>
          <w:caps w:val="0"/>
          <w:smallCaps w:val="0"/>
          <w:color w:val="auto"/>
          <w:spacing w:val="0"/>
          <w:szCs w:val="24"/>
          <w:highlight w:val="none"/>
        </w:rPr>
        <w:t>项目主要风险物质及其临界量</w:t>
      </w:r>
    </w:p>
    <w:tbl>
      <w:tblPr>
        <w:tblStyle w:val="37"/>
        <w:tblW w:w="5000" w:type="pct"/>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754"/>
        <w:gridCol w:w="3207"/>
        <w:gridCol w:w="902"/>
        <w:gridCol w:w="1733"/>
        <w:gridCol w:w="1684"/>
      </w:tblGrid>
      <w:tr w14:paraId="131AA4D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Borders>
              <w:top w:val="single" w:color="auto" w:sz="8" w:space="0"/>
              <w:bottom w:val="single" w:color="auto" w:sz="8" w:space="0"/>
            </w:tcBorders>
            <w:tcMar>
              <w:top w:w="0" w:type="dxa"/>
              <w:left w:w="105" w:type="dxa"/>
              <w:bottom w:w="0" w:type="dxa"/>
              <w:right w:w="105" w:type="dxa"/>
            </w:tcMar>
            <w:vAlign w:val="center"/>
          </w:tcPr>
          <w:p w14:paraId="7721384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名称</w:t>
            </w:r>
          </w:p>
        </w:tc>
        <w:tc>
          <w:tcPr>
            <w:tcW w:w="3207" w:type="dxa"/>
            <w:tcBorders>
              <w:top w:val="single" w:color="auto" w:sz="8" w:space="0"/>
              <w:bottom w:val="single" w:color="auto" w:sz="8" w:space="0"/>
            </w:tcBorders>
            <w:tcMar>
              <w:top w:w="0" w:type="dxa"/>
              <w:left w:w="105" w:type="dxa"/>
              <w:bottom w:w="0" w:type="dxa"/>
              <w:right w:w="105" w:type="dxa"/>
            </w:tcMar>
            <w:vAlign w:val="center"/>
          </w:tcPr>
          <w:p w14:paraId="792812E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类别</w:t>
            </w:r>
          </w:p>
        </w:tc>
        <w:tc>
          <w:tcPr>
            <w:tcW w:w="902" w:type="dxa"/>
            <w:tcBorders>
              <w:top w:val="single" w:color="auto" w:sz="8" w:space="0"/>
              <w:bottom w:val="single" w:color="auto" w:sz="8" w:space="0"/>
            </w:tcBorders>
            <w:tcMar>
              <w:top w:w="0" w:type="dxa"/>
              <w:left w:w="105" w:type="dxa"/>
              <w:bottom w:w="0" w:type="dxa"/>
              <w:right w:w="105" w:type="dxa"/>
            </w:tcMar>
            <w:vAlign w:val="center"/>
          </w:tcPr>
          <w:p w14:paraId="23CFC2D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最大存放量（t）</w:t>
            </w:r>
          </w:p>
        </w:tc>
        <w:tc>
          <w:tcPr>
            <w:tcW w:w="1733" w:type="dxa"/>
            <w:tcBorders>
              <w:top w:val="single" w:color="auto" w:sz="8" w:space="0"/>
              <w:bottom w:val="single" w:color="auto" w:sz="8" w:space="0"/>
            </w:tcBorders>
            <w:tcMar>
              <w:top w:w="0" w:type="dxa"/>
              <w:left w:w="105" w:type="dxa"/>
              <w:bottom w:w="0" w:type="dxa"/>
              <w:right w:w="105" w:type="dxa"/>
            </w:tcMar>
            <w:vAlign w:val="center"/>
          </w:tcPr>
          <w:p w14:paraId="00E0832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存放方式</w:t>
            </w:r>
          </w:p>
        </w:tc>
        <w:tc>
          <w:tcPr>
            <w:tcW w:w="1684" w:type="dxa"/>
            <w:tcBorders>
              <w:top w:val="single" w:color="auto" w:sz="8" w:space="0"/>
              <w:bottom w:val="single" w:color="auto" w:sz="8" w:space="0"/>
            </w:tcBorders>
            <w:tcMar>
              <w:top w:w="0" w:type="dxa"/>
              <w:left w:w="105" w:type="dxa"/>
              <w:bottom w:w="0" w:type="dxa"/>
              <w:right w:w="105" w:type="dxa"/>
            </w:tcMar>
            <w:vAlign w:val="center"/>
          </w:tcPr>
          <w:p w14:paraId="5FF4A29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临界量（t）</w:t>
            </w:r>
          </w:p>
        </w:tc>
      </w:tr>
      <w:tr w14:paraId="2402C06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Borders>
              <w:top w:val="single" w:color="auto" w:sz="8" w:space="0"/>
            </w:tcBorders>
            <w:tcMar>
              <w:top w:w="0" w:type="dxa"/>
              <w:left w:w="105" w:type="dxa"/>
              <w:bottom w:w="0" w:type="dxa"/>
              <w:right w:w="105" w:type="dxa"/>
            </w:tcMar>
            <w:vAlign w:val="center"/>
          </w:tcPr>
          <w:p w14:paraId="750C505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碲化镉*</w:t>
            </w:r>
          </w:p>
        </w:tc>
        <w:tc>
          <w:tcPr>
            <w:tcW w:w="3207" w:type="dxa"/>
            <w:tcBorders>
              <w:top w:val="single" w:color="auto" w:sz="8" w:space="0"/>
            </w:tcBorders>
            <w:tcMar>
              <w:top w:w="0" w:type="dxa"/>
              <w:left w:w="105" w:type="dxa"/>
              <w:bottom w:w="0" w:type="dxa"/>
              <w:right w:w="105" w:type="dxa"/>
            </w:tcMar>
            <w:vAlign w:val="center"/>
          </w:tcPr>
          <w:p w14:paraId="6C2FF21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危害水环境物质（急性毒性类别1）</w:t>
            </w:r>
          </w:p>
        </w:tc>
        <w:tc>
          <w:tcPr>
            <w:tcW w:w="902" w:type="dxa"/>
            <w:tcBorders>
              <w:top w:val="single" w:color="auto" w:sz="8" w:space="0"/>
            </w:tcBorders>
            <w:tcMar>
              <w:top w:w="0" w:type="dxa"/>
              <w:left w:w="105" w:type="dxa"/>
              <w:bottom w:w="0" w:type="dxa"/>
              <w:right w:w="105" w:type="dxa"/>
            </w:tcMar>
            <w:vAlign w:val="center"/>
          </w:tcPr>
          <w:p w14:paraId="6A4FDB44">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3</w:t>
            </w:r>
          </w:p>
        </w:tc>
        <w:tc>
          <w:tcPr>
            <w:tcW w:w="1733" w:type="dxa"/>
            <w:tcBorders>
              <w:top w:val="single" w:color="auto" w:sz="8" w:space="0"/>
            </w:tcBorders>
            <w:tcMar>
              <w:top w:w="0" w:type="dxa"/>
              <w:left w:w="105" w:type="dxa"/>
              <w:bottom w:w="0" w:type="dxa"/>
              <w:right w:w="105" w:type="dxa"/>
            </w:tcMar>
            <w:vAlign w:val="center"/>
          </w:tcPr>
          <w:p w14:paraId="243C35B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晶体，仓库内储存</w:t>
            </w:r>
            <w:r>
              <w:rPr>
                <w:rFonts w:hint="eastAsia"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及生产线中</w:t>
            </w:r>
          </w:p>
        </w:tc>
        <w:tc>
          <w:tcPr>
            <w:tcW w:w="1684" w:type="dxa"/>
            <w:tcBorders>
              <w:top w:val="single" w:color="auto" w:sz="8" w:space="0"/>
            </w:tcBorders>
            <w:tcMar>
              <w:top w:w="0" w:type="dxa"/>
              <w:left w:w="105" w:type="dxa"/>
              <w:bottom w:w="0" w:type="dxa"/>
              <w:right w:w="105" w:type="dxa"/>
            </w:tcMar>
            <w:vAlign w:val="center"/>
          </w:tcPr>
          <w:p w14:paraId="2CF2CE5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100</w:t>
            </w:r>
          </w:p>
        </w:tc>
      </w:tr>
      <w:tr w14:paraId="50527AB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0D13C2C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硒化镉*</w:t>
            </w:r>
          </w:p>
        </w:tc>
        <w:tc>
          <w:tcPr>
            <w:tcW w:w="3207" w:type="dxa"/>
            <w:tcMar>
              <w:top w:w="0" w:type="dxa"/>
              <w:left w:w="105" w:type="dxa"/>
              <w:bottom w:w="0" w:type="dxa"/>
              <w:right w:w="105" w:type="dxa"/>
            </w:tcMar>
            <w:vAlign w:val="center"/>
          </w:tcPr>
          <w:p w14:paraId="7464F27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危害水环境物质（急性毒性类别1）</w:t>
            </w:r>
          </w:p>
        </w:tc>
        <w:tc>
          <w:tcPr>
            <w:tcW w:w="902" w:type="dxa"/>
            <w:tcMar>
              <w:top w:w="0" w:type="dxa"/>
              <w:left w:w="105" w:type="dxa"/>
              <w:bottom w:w="0" w:type="dxa"/>
              <w:right w:w="105" w:type="dxa"/>
            </w:tcMar>
            <w:vAlign w:val="center"/>
          </w:tcPr>
          <w:p w14:paraId="3D9DB06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r>
              <w:rPr>
                <w:rFonts w:hint="eastAsia" w:ascii="Times New Roman" w:hAnsi="Times New Roman" w:eastAsia="宋体" w:cs="Times New Roman"/>
                <w:caps w:val="0"/>
                <w:smallCaps w:val="0"/>
                <w:color w:val="auto"/>
                <w:spacing w:val="0"/>
                <w:sz w:val="21"/>
                <w:highlight w:val="none"/>
              </w:rPr>
              <w:t>2</w:t>
            </w:r>
          </w:p>
        </w:tc>
        <w:tc>
          <w:tcPr>
            <w:tcW w:w="1733" w:type="dxa"/>
            <w:tcMar>
              <w:top w:w="0" w:type="dxa"/>
              <w:left w:w="105" w:type="dxa"/>
              <w:bottom w:w="0" w:type="dxa"/>
              <w:right w:w="105" w:type="dxa"/>
            </w:tcMar>
            <w:vAlign w:val="center"/>
          </w:tcPr>
          <w:p w14:paraId="2DA244F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晶体，仓库内储存</w:t>
            </w:r>
            <w:r>
              <w:rPr>
                <w:rFonts w:hint="eastAsia"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及生产线中</w:t>
            </w:r>
          </w:p>
        </w:tc>
        <w:tc>
          <w:tcPr>
            <w:tcW w:w="1684" w:type="dxa"/>
            <w:tcMar>
              <w:top w:w="0" w:type="dxa"/>
              <w:left w:w="105" w:type="dxa"/>
              <w:bottom w:w="0" w:type="dxa"/>
              <w:right w:w="105" w:type="dxa"/>
            </w:tcMar>
            <w:vAlign w:val="center"/>
          </w:tcPr>
          <w:p w14:paraId="603F761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100</w:t>
            </w:r>
          </w:p>
        </w:tc>
      </w:tr>
      <w:tr w14:paraId="62ABF4A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39E5CF3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氯化镉</w:t>
            </w:r>
          </w:p>
        </w:tc>
        <w:tc>
          <w:tcPr>
            <w:tcW w:w="3207" w:type="dxa"/>
            <w:tcMar>
              <w:top w:w="0" w:type="dxa"/>
              <w:left w:w="105" w:type="dxa"/>
              <w:bottom w:w="0" w:type="dxa"/>
              <w:right w:w="105" w:type="dxa"/>
            </w:tcMar>
            <w:vAlign w:val="center"/>
          </w:tcPr>
          <w:p w14:paraId="3FB07CC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29BB931C">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0.0805</w:t>
            </w:r>
          </w:p>
        </w:tc>
        <w:tc>
          <w:tcPr>
            <w:tcW w:w="1733" w:type="dxa"/>
            <w:tcMar>
              <w:top w:w="0" w:type="dxa"/>
              <w:left w:w="105" w:type="dxa"/>
              <w:bottom w:w="0" w:type="dxa"/>
              <w:right w:w="105" w:type="dxa"/>
            </w:tcMar>
            <w:vAlign w:val="center"/>
          </w:tcPr>
          <w:p w14:paraId="3AD8492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晶体，仓库内储存</w:t>
            </w:r>
            <w:r>
              <w:rPr>
                <w:rFonts w:hint="eastAsia"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及生产线中（生产线中为液体）</w:t>
            </w:r>
          </w:p>
        </w:tc>
        <w:tc>
          <w:tcPr>
            <w:tcW w:w="1684" w:type="dxa"/>
            <w:tcMar>
              <w:top w:w="0" w:type="dxa"/>
              <w:left w:w="105" w:type="dxa"/>
              <w:bottom w:w="0" w:type="dxa"/>
              <w:right w:w="105" w:type="dxa"/>
            </w:tcMar>
            <w:vAlign w:val="center"/>
          </w:tcPr>
          <w:p w14:paraId="57B2F1D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0.25</w:t>
            </w:r>
          </w:p>
        </w:tc>
      </w:tr>
      <w:tr w14:paraId="20837CE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4220C88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钼及其化合物（以钼计）</w:t>
            </w:r>
          </w:p>
        </w:tc>
        <w:tc>
          <w:tcPr>
            <w:tcW w:w="3207" w:type="dxa"/>
            <w:tcMar>
              <w:top w:w="0" w:type="dxa"/>
              <w:left w:w="105" w:type="dxa"/>
              <w:bottom w:w="0" w:type="dxa"/>
              <w:right w:w="105" w:type="dxa"/>
            </w:tcMar>
            <w:vAlign w:val="center"/>
          </w:tcPr>
          <w:p w14:paraId="68C10B3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098CA55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0.08</w:t>
            </w:r>
            <w:r>
              <w:rPr>
                <w:rFonts w:hint="eastAsia" w:ascii="Times New Roman" w:hAnsi="Times New Roman" w:eastAsia="宋体" w:cs="Times New Roman"/>
                <w:caps w:val="0"/>
                <w:smallCaps w:val="0"/>
                <w:color w:val="auto"/>
                <w:spacing w:val="0"/>
                <w:sz w:val="21"/>
                <w:highlight w:val="none"/>
              </w:rPr>
              <w:t>0</w:t>
            </w:r>
          </w:p>
        </w:tc>
        <w:tc>
          <w:tcPr>
            <w:tcW w:w="1733" w:type="dxa"/>
            <w:tcMar>
              <w:top w:w="0" w:type="dxa"/>
              <w:left w:w="105" w:type="dxa"/>
              <w:bottom w:w="0" w:type="dxa"/>
              <w:right w:w="105" w:type="dxa"/>
            </w:tcMar>
            <w:vAlign w:val="center"/>
          </w:tcPr>
          <w:p w14:paraId="7B7EE94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固态，仓库内储存</w:t>
            </w:r>
            <w:r>
              <w:rPr>
                <w:rFonts w:hint="eastAsia"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及生产线中</w:t>
            </w:r>
          </w:p>
        </w:tc>
        <w:tc>
          <w:tcPr>
            <w:tcW w:w="1684" w:type="dxa"/>
            <w:tcMar>
              <w:top w:w="0" w:type="dxa"/>
              <w:left w:w="105" w:type="dxa"/>
              <w:bottom w:w="0" w:type="dxa"/>
              <w:right w:w="105" w:type="dxa"/>
            </w:tcMar>
            <w:vAlign w:val="center"/>
          </w:tcPr>
          <w:p w14:paraId="465FAA7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0.25</w:t>
            </w:r>
          </w:p>
        </w:tc>
      </w:tr>
      <w:tr w14:paraId="7F3E901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772DF09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铬及其化合物（以铬计）</w:t>
            </w:r>
          </w:p>
        </w:tc>
        <w:tc>
          <w:tcPr>
            <w:tcW w:w="3207" w:type="dxa"/>
            <w:tcMar>
              <w:top w:w="0" w:type="dxa"/>
              <w:left w:w="105" w:type="dxa"/>
              <w:bottom w:w="0" w:type="dxa"/>
              <w:right w:w="105" w:type="dxa"/>
            </w:tcMar>
            <w:vAlign w:val="center"/>
          </w:tcPr>
          <w:p w14:paraId="2640252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69923D8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0.061</w:t>
            </w:r>
          </w:p>
        </w:tc>
        <w:tc>
          <w:tcPr>
            <w:tcW w:w="1733" w:type="dxa"/>
            <w:tcMar>
              <w:top w:w="0" w:type="dxa"/>
              <w:left w:w="105" w:type="dxa"/>
              <w:bottom w:w="0" w:type="dxa"/>
              <w:right w:w="105" w:type="dxa"/>
            </w:tcMar>
            <w:vAlign w:val="center"/>
          </w:tcPr>
          <w:p w14:paraId="367D054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固态，仓库内储存</w:t>
            </w:r>
            <w:r>
              <w:rPr>
                <w:rFonts w:hint="eastAsia"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及生产线中</w:t>
            </w:r>
          </w:p>
        </w:tc>
        <w:tc>
          <w:tcPr>
            <w:tcW w:w="1684" w:type="dxa"/>
            <w:tcMar>
              <w:top w:w="0" w:type="dxa"/>
              <w:left w:w="105" w:type="dxa"/>
              <w:bottom w:w="0" w:type="dxa"/>
              <w:right w:w="105" w:type="dxa"/>
            </w:tcMar>
            <w:vAlign w:val="center"/>
          </w:tcPr>
          <w:p w14:paraId="42D2E11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0.25</w:t>
            </w:r>
          </w:p>
        </w:tc>
      </w:tr>
      <w:tr w14:paraId="0A61254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525444E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硝酸</w:t>
            </w:r>
          </w:p>
        </w:tc>
        <w:tc>
          <w:tcPr>
            <w:tcW w:w="3207" w:type="dxa"/>
            <w:tcMar>
              <w:top w:w="0" w:type="dxa"/>
              <w:left w:w="105" w:type="dxa"/>
              <w:bottom w:w="0" w:type="dxa"/>
              <w:right w:w="105" w:type="dxa"/>
            </w:tcMar>
            <w:vAlign w:val="center"/>
          </w:tcPr>
          <w:p w14:paraId="1452B66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306517B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0.142</w:t>
            </w:r>
          </w:p>
        </w:tc>
        <w:tc>
          <w:tcPr>
            <w:tcW w:w="1733" w:type="dxa"/>
            <w:tcMar>
              <w:top w:w="0" w:type="dxa"/>
              <w:left w:w="105" w:type="dxa"/>
              <w:bottom w:w="0" w:type="dxa"/>
              <w:right w:w="105" w:type="dxa"/>
            </w:tcMar>
            <w:vAlign w:val="center"/>
          </w:tcPr>
          <w:p w14:paraId="05679776">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rPr>
              <w:t>硝酸间</w:t>
            </w:r>
            <w:r>
              <w:rPr>
                <w:rFonts w:hint="eastAsia" w:ascii="Times New Roman" w:hAnsi="Times New Roman" w:cs="Times New Roman"/>
                <w:caps w:val="0"/>
                <w:smallCaps w:val="0"/>
                <w:color w:val="auto"/>
                <w:spacing w:val="0"/>
                <w:sz w:val="21"/>
                <w:szCs w:val="21"/>
                <w:highlight w:val="none"/>
              </w:rPr>
              <w:t>，</w:t>
            </w:r>
            <w:r>
              <w:rPr>
                <w:rFonts w:hint="eastAsia" w:ascii="Times New Roman" w:hAnsi="Times New Roman" w:cs="Times New Roman"/>
                <w:caps w:val="0"/>
                <w:smallCaps w:val="0"/>
                <w:color w:val="auto"/>
                <w:spacing w:val="0"/>
                <w:sz w:val="21"/>
                <w:highlight w:val="none"/>
              </w:rPr>
              <w:t>及生产线中</w:t>
            </w:r>
          </w:p>
        </w:tc>
        <w:tc>
          <w:tcPr>
            <w:tcW w:w="1684" w:type="dxa"/>
            <w:tcMar>
              <w:top w:w="0" w:type="dxa"/>
              <w:left w:w="105" w:type="dxa"/>
              <w:bottom w:w="0" w:type="dxa"/>
              <w:right w:w="105" w:type="dxa"/>
            </w:tcMar>
            <w:vAlign w:val="center"/>
          </w:tcPr>
          <w:p w14:paraId="228C722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w:t>
            </w:r>
          </w:p>
        </w:tc>
      </w:tr>
      <w:tr w14:paraId="5D5D585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737B1B8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氨水</w:t>
            </w:r>
          </w:p>
        </w:tc>
        <w:tc>
          <w:tcPr>
            <w:tcW w:w="3207" w:type="dxa"/>
            <w:tcMar>
              <w:top w:w="0" w:type="dxa"/>
              <w:left w:w="105" w:type="dxa"/>
              <w:bottom w:w="0" w:type="dxa"/>
              <w:right w:w="105" w:type="dxa"/>
            </w:tcMar>
            <w:vAlign w:val="center"/>
          </w:tcPr>
          <w:p w14:paraId="66D6E30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6767E39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0.0005</w:t>
            </w:r>
          </w:p>
        </w:tc>
        <w:tc>
          <w:tcPr>
            <w:tcW w:w="1733" w:type="dxa"/>
            <w:tcMar>
              <w:top w:w="0" w:type="dxa"/>
              <w:left w:w="105" w:type="dxa"/>
              <w:bottom w:w="0" w:type="dxa"/>
              <w:right w:w="105" w:type="dxa"/>
            </w:tcMar>
            <w:vAlign w:val="center"/>
          </w:tcPr>
          <w:p w14:paraId="02F7309C">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实验室防爆柜</w:t>
            </w:r>
          </w:p>
        </w:tc>
        <w:tc>
          <w:tcPr>
            <w:tcW w:w="1684" w:type="dxa"/>
            <w:tcMar>
              <w:top w:w="0" w:type="dxa"/>
              <w:left w:w="105" w:type="dxa"/>
              <w:bottom w:w="0" w:type="dxa"/>
              <w:right w:w="105" w:type="dxa"/>
            </w:tcMar>
            <w:vAlign w:val="center"/>
          </w:tcPr>
          <w:p w14:paraId="7436BF9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w:t>
            </w:r>
          </w:p>
        </w:tc>
      </w:tr>
      <w:tr w14:paraId="1E06729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Mar>
              <w:top w:w="0" w:type="dxa"/>
              <w:left w:w="105" w:type="dxa"/>
              <w:bottom w:w="0" w:type="dxa"/>
              <w:right w:w="105" w:type="dxa"/>
            </w:tcMar>
            <w:vAlign w:val="center"/>
          </w:tcPr>
          <w:p w14:paraId="1E6A184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二甲苯</w:t>
            </w:r>
          </w:p>
        </w:tc>
        <w:tc>
          <w:tcPr>
            <w:tcW w:w="3207" w:type="dxa"/>
            <w:tcMar>
              <w:top w:w="0" w:type="dxa"/>
              <w:left w:w="105" w:type="dxa"/>
              <w:bottom w:w="0" w:type="dxa"/>
              <w:right w:w="105" w:type="dxa"/>
            </w:tcMar>
            <w:vAlign w:val="center"/>
          </w:tcPr>
          <w:p w14:paraId="3ED44C4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7EEE047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0.0024</w:t>
            </w:r>
          </w:p>
        </w:tc>
        <w:tc>
          <w:tcPr>
            <w:tcW w:w="1733" w:type="dxa"/>
            <w:tcMar>
              <w:top w:w="0" w:type="dxa"/>
              <w:left w:w="105" w:type="dxa"/>
              <w:bottom w:w="0" w:type="dxa"/>
              <w:right w:w="105" w:type="dxa"/>
            </w:tcMar>
            <w:vAlign w:val="center"/>
          </w:tcPr>
          <w:p w14:paraId="66253656">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实验室防爆柜</w:t>
            </w:r>
          </w:p>
        </w:tc>
        <w:tc>
          <w:tcPr>
            <w:tcW w:w="1684" w:type="dxa"/>
            <w:tcMar>
              <w:top w:w="0" w:type="dxa"/>
              <w:left w:w="105" w:type="dxa"/>
              <w:bottom w:w="0" w:type="dxa"/>
              <w:right w:w="105" w:type="dxa"/>
            </w:tcMar>
            <w:vAlign w:val="center"/>
          </w:tcPr>
          <w:p w14:paraId="6CFF327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w:t>
            </w:r>
          </w:p>
        </w:tc>
      </w:tr>
      <w:tr w14:paraId="563F609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shd w:val="clear" w:color="auto" w:fill="auto"/>
            <w:tcMar>
              <w:top w:w="0" w:type="dxa"/>
              <w:left w:w="105" w:type="dxa"/>
              <w:bottom w:w="0" w:type="dxa"/>
              <w:right w:w="105" w:type="dxa"/>
            </w:tcMar>
            <w:vAlign w:val="center"/>
          </w:tcPr>
          <w:p w14:paraId="366B5A4F">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废机油</w:t>
            </w:r>
          </w:p>
        </w:tc>
        <w:tc>
          <w:tcPr>
            <w:tcW w:w="3207" w:type="dxa"/>
            <w:shd w:val="clear" w:color="auto" w:fill="auto"/>
            <w:tcMar>
              <w:top w:w="0" w:type="dxa"/>
              <w:left w:w="105" w:type="dxa"/>
              <w:bottom w:w="0" w:type="dxa"/>
              <w:right w:w="105" w:type="dxa"/>
            </w:tcMar>
            <w:vAlign w:val="center"/>
          </w:tcPr>
          <w:p w14:paraId="38363B0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Mar>
              <w:top w:w="0" w:type="dxa"/>
              <w:left w:w="105" w:type="dxa"/>
              <w:bottom w:w="0" w:type="dxa"/>
              <w:right w:w="105" w:type="dxa"/>
            </w:tcMar>
            <w:vAlign w:val="center"/>
          </w:tcPr>
          <w:p w14:paraId="0A555E72">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0.1</w:t>
            </w:r>
          </w:p>
        </w:tc>
        <w:tc>
          <w:tcPr>
            <w:tcW w:w="1733" w:type="dxa"/>
            <w:tcMar>
              <w:top w:w="0" w:type="dxa"/>
              <w:left w:w="105" w:type="dxa"/>
              <w:bottom w:w="0" w:type="dxa"/>
              <w:right w:w="105" w:type="dxa"/>
            </w:tcMar>
            <w:vAlign w:val="center"/>
          </w:tcPr>
          <w:p w14:paraId="112BE71A">
            <w:pPr>
              <w:widowControl w:val="0"/>
              <w:spacing w:line="280" w:lineRule="exact"/>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危险废物贮存库</w:t>
            </w:r>
          </w:p>
        </w:tc>
        <w:tc>
          <w:tcPr>
            <w:tcW w:w="1684" w:type="dxa"/>
            <w:tcMar>
              <w:top w:w="0" w:type="dxa"/>
              <w:left w:w="105" w:type="dxa"/>
              <w:bottom w:w="0" w:type="dxa"/>
              <w:right w:w="105" w:type="dxa"/>
            </w:tcMar>
            <w:vAlign w:val="center"/>
          </w:tcPr>
          <w:p w14:paraId="57404E8C">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50</w:t>
            </w:r>
          </w:p>
        </w:tc>
      </w:tr>
      <w:tr w14:paraId="4807CF5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754" w:type="dxa"/>
            <w:tcBorders>
              <w:bottom w:val="single" w:color="auto" w:sz="8" w:space="0"/>
            </w:tcBorders>
            <w:tcMar>
              <w:top w:w="0" w:type="dxa"/>
              <w:left w:w="105" w:type="dxa"/>
              <w:bottom w:w="0" w:type="dxa"/>
              <w:right w:w="105" w:type="dxa"/>
            </w:tcMar>
            <w:vAlign w:val="center"/>
          </w:tcPr>
          <w:p w14:paraId="0DCA0AAD">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盐酸</w:t>
            </w:r>
          </w:p>
        </w:tc>
        <w:tc>
          <w:tcPr>
            <w:tcW w:w="3207" w:type="dxa"/>
            <w:tcBorders>
              <w:bottom w:val="single" w:color="auto" w:sz="8" w:space="0"/>
            </w:tcBorders>
            <w:tcMar>
              <w:top w:w="0" w:type="dxa"/>
              <w:left w:w="105" w:type="dxa"/>
              <w:bottom w:w="0" w:type="dxa"/>
              <w:right w:w="105" w:type="dxa"/>
            </w:tcMar>
            <w:vAlign w:val="center"/>
          </w:tcPr>
          <w:p w14:paraId="1D003B4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附录B中风险物质</w:t>
            </w:r>
          </w:p>
        </w:tc>
        <w:tc>
          <w:tcPr>
            <w:tcW w:w="902" w:type="dxa"/>
            <w:tcBorders>
              <w:bottom w:val="single" w:color="auto" w:sz="8" w:space="0"/>
            </w:tcBorders>
            <w:tcMar>
              <w:top w:w="0" w:type="dxa"/>
              <w:left w:w="105" w:type="dxa"/>
              <w:bottom w:w="0" w:type="dxa"/>
              <w:right w:w="105" w:type="dxa"/>
            </w:tcMar>
            <w:vAlign w:val="center"/>
          </w:tcPr>
          <w:p w14:paraId="19242F92">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0.093</w:t>
            </w:r>
          </w:p>
        </w:tc>
        <w:tc>
          <w:tcPr>
            <w:tcW w:w="1733" w:type="dxa"/>
            <w:tcBorders>
              <w:bottom w:val="single" w:color="auto" w:sz="8" w:space="0"/>
            </w:tcBorders>
            <w:tcMar>
              <w:top w:w="0" w:type="dxa"/>
              <w:left w:w="105" w:type="dxa"/>
              <w:bottom w:w="0" w:type="dxa"/>
              <w:right w:w="105" w:type="dxa"/>
            </w:tcMar>
            <w:vAlign w:val="center"/>
          </w:tcPr>
          <w:p w14:paraId="093030D9">
            <w:pPr>
              <w:widowControl w:val="0"/>
              <w:spacing w:line="280" w:lineRule="exact"/>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盐酸间</w:t>
            </w:r>
            <w:r>
              <w:rPr>
                <w:rFonts w:hint="eastAsia" w:ascii="Times New Roman" w:hAnsi="Times New Roman" w:eastAsia="宋体" w:cs="Times New Roman"/>
                <w:caps w:val="0"/>
                <w:smallCaps w:val="0"/>
                <w:color w:val="auto"/>
                <w:spacing w:val="0"/>
                <w:sz w:val="21"/>
                <w:highlight w:val="none"/>
              </w:rPr>
              <w:t>，及生产线中</w:t>
            </w:r>
          </w:p>
        </w:tc>
        <w:tc>
          <w:tcPr>
            <w:tcW w:w="1684" w:type="dxa"/>
            <w:tcBorders>
              <w:bottom w:val="single" w:color="auto" w:sz="8" w:space="0"/>
            </w:tcBorders>
            <w:tcMar>
              <w:top w:w="0" w:type="dxa"/>
              <w:left w:w="105" w:type="dxa"/>
              <w:bottom w:w="0" w:type="dxa"/>
              <w:right w:w="105" w:type="dxa"/>
            </w:tcMar>
            <w:vAlign w:val="center"/>
          </w:tcPr>
          <w:p w14:paraId="6FD270F1">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7.5</w:t>
            </w:r>
          </w:p>
        </w:tc>
      </w:tr>
    </w:tbl>
    <w:p w14:paraId="33CF7278">
      <w:pPr>
        <w:widowControl w:val="0"/>
        <w:spacing w:line="360" w:lineRule="auto"/>
        <w:ind w:firstLine="420" w:firstLineChars="20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注：带*为不在风险导附录B中其他危险物质临界量推荐值</w:t>
      </w:r>
    </w:p>
    <w:p w14:paraId="131451F5">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项目厂区风险物质危险性分级见下表。</w:t>
      </w:r>
    </w:p>
    <w:p w14:paraId="0BDAA9CA">
      <w:pPr>
        <w:widowControl w:val="0"/>
        <w:spacing w:after="48" w:afterLines="20"/>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表2.5-1</w:t>
      </w:r>
      <w:r>
        <w:rPr>
          <w:rFonts w:hint="eastAsia" w:ascii="Times New Roman" w:hAnsi="Times New Roman" w:eastAsia="宋体" w:cs="Times New Roman"/>
          <w:b/>
          <w:caps w:val="0"/>
          <w:smallCaps w:val="0"/>
          <w:color w:val="auto"/>
          <w:spacing w:val="0"/>
          <w:szCs w:val="24"/>
          <w:highlight w:val="none"/>
          <w:lang w:val="en-US" w:eastAsia="zh-CN"/>
        </w:rPr>
        <w:t>3</w:t>
      </w:r>
      <w:r>
        <w:rPr>
          <w:rFonts w:ascii="Times New Roman" w:hAnsi="Times New Roman" w:eastAsia="宋体" w:cs="Times New Roman"/>
          <w:b/>
          <w:caps w:val="0"/>
          <w:smallCaps w:val="0"/>
          <w:color w:val="auto"/>
          <w:spacing w:val="0"/>
          <w:szCs w:val="24"/>
          <w:highlight w:val="none"/>
        </w:rPr>
        <w:t>建设项目风险物质Q值确定表</w:t>
      </w:r>
    </w:p>
    <w:tbl>
      <w:tblPr>
        <w:tblStyle w:val="37"/>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808"/>
        <w:gridCol w:w="1678"/>
        <w:gridCol w:w="1404"/>
        <w:gridCol w:w="1960"/>
        <w:gridCol w:w="1403"/>
        <w:gridCol w:w="1817"/>
      </w:tblGrid>
      <w:tr w14:paraId="2207F84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Borders>
              <w:bottom w:val="single" w:color="auto" w:sz="8" w:space="0"/>
            </w:tcBorders>
            <w:vAlign w:val="center"/>
          </w:tcPr>
          <w:p w14:paraId="3F2F3D9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序号</w:t>
            </w:r>
          </w:p>
        </w:tc>
        <w:tc>
          <w:tcPr>
            <w:tcW w:w="1678" w:type="dxa"/>
            <w:tcBorders>
              <w:bottom w:val="single" w:color="auto" w:sz="8" w:space="0"/>
            </w:tcBorders>
            <w:vAlign w:val="center"/>
          </w:tcPr>
          <w:p w14:paraId="5C6E7D9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危险物质名称</w:t>
            </w:r>
          </w:p>
        </w:tc>
        <w:tc>
          <w:tcPr>
            <w:tcW w:w="1404" w:type="dxa"/>
            <w:tcBorders>
              <w:bottom w:val="single" w:color="auto" w:sz="8" w:space="0"/>
            </w:tcBorders>
            <w:vAlign w:val="center"/>
          </w:tcPr>
          <w:p w14:paraId="2061238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CAS号</w:t>
            </w:r>
          </w:p>
        </w:tc>
        <w:tc>
          <w:tcPr>
            <w:tcW w:w="1960" w:type="dxa"/>
            <w:tcBorders>
              <w:bottom w:val="single" w:color="auto" w:sz="8" w:space="0"/>
            </w:tcBorders>
            <w:vAlign w:val="center"/>
          </w:tcPr>
          <w:p w14:paraId="16CE093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最大存在总量qn/t</w:t>
            </w:r>
          </w:p>
        </w:tc>
        <w:tc>
          <w:tcPr>
            <w:tcW w:w="1403" w:type="dxa"/>
            <w:tcBorders>
              <w:bottom w:val="single" w:color="auto" w:sz="8" w:space="0"/>
            </w:tcBorders>
            <w:vAlign w:val="center"/>
          </w:tcPr>
          <w:p w14:paraId="0B7C3AB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临界量Qn/t</w:t>
            </w:r>
          </w:p>
        </w:tc>
        <w:tc>
          <w:tcPr>
            <w:tcW w:w="1817" w:type="dxa"/>
            <w:tcBorders>
              <w:bottom w:val="single" w:color="auto" w:sz="8" w:space="0"/>
            </w:tcBorders>
            <w:vAlign w:val="center"/>
          </w:tcPr>
          <w:p w14:paraId="49523AE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该种危险物质Q值</w:t>
            </w:r>
          </w:p>
        </w:tc>
      </w:tr>
      <w:tr w14:paraId="29723FB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Borders>
              <w:top w:val="single" w:color="auto" w:sz="8" w:space="0"/>
            </w:tcBorders>
          </w:tcPr>
          <w:p w14:paraId="21BB843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1678" w:type="dxa"/>
            <w:tcBorders>
              <w:top w:val="single" w:color="auto" w:sz="8" w:space="0"/>
            </w:tcBorders>
            <w:vAlign w:val="center"/>
          </w:tcPr>
          <w:p w14:paraId="0C2058C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碲化镉</w:t>
            </w:r>
          </w:p>
        </w:tc>
        <w:tc>
          <w:tcPr>
            <w:tcW w:w="1404" w:type="dxa"/>
            <w:tcBorders>
              <w:top w:val="single" w:color="auto" w:sz="8" w:space="0"/>
            </w:tcBorders>
          </w:tcPr>
          <w:p w14:paraId="726401A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1306-25-8</w:t>
            </w:r>
          </w:p>
        </w:tc>
        <w:tc>
          <w:tcPr>
            <w:tcW w:w="1960" w:type="dxa"/>
            <w:tcBorders>
              <w:top w:val="single" w:color="auto" w:sz="8" w:space="0"/>
            </w:tcBorders>
            <w:vAlign w:val="center"/>
          </w:tcPr>
          <w:p w14:paraId="6D9AE390">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w:t>
            </w:r>
          </w:p>
        </w:tc>
        <w:tc>
          <w:tcPr>
            <w:tcW w:w="1403" w:type="dxa"/>
            <w:tcBorders>
              <w:top w:val="single" w:color="auto" w:sz="8" w:space="0"/>
            </w:tcBorders>
            <w:vAlign w:val="center"/>
          </w:tcPr>
          <w:p w14:paraId="4F0B86F3">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100</w:t>
            </w:r>
          </w:p>
        </w:tc>
        <w:tc>
          <w:tcPr>
            <w:tcW w:w="1817" w:type="dxa"/>
            <w:tcBorders>
              <w:top w:val="single" w:color="auto" w:sz="8" w:space="0"/>
            </w:tcBorders>
            <w:vAlign w:val="center"/>
          </w:tcPr>
          <w:p w14:paraId="210F2261">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0.03</w:t>
            </w:r>
          </w:p>
        </w:tc>
      </w:tr>
      <w:tr w14:paraId="0C539E1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371F7B7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1678" w:type="dxa"/>
            <w:vAlign w:val="center"/>
          </w:tcPr>
          <w:p w14:paraId="7087EA0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硒化镉</w:t>
            </w:r>
          </w:p>
        </w:tc>
        <w:tc>
          <w:tcPr>
            <w:tcW w:w="1404" w:type="dxa"/>
          </w:tcPr>
          <w:p w14:paraId="3643056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1306-23-6</w:t>
            </w:r>
          </w:p>
        </w:tc>
        <w:tc>
          <w:tcPr>
            <w:tcW w:w="1960" w:type="dxa"/>
            <w:vAlign w:val="center"/>
          </w:tcPr>
          <w:p w14:paraId="7731E460">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0.2</w:t>
            </w:r>
          </w:p>
        </w:tc>
        <w:tc>
          <w:tcPr>
            <w:tcW w:w="1403" w:type="dxa"/>
            <w:vAlign w:val="center"/>
          </w:tcPr>
          <w:p w14:paraId="57D845D1">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100</w:t>
            </w:r>
          </w:p>
        </w:tc>
        <w:tc>
          <w:tcPr>
            <w:tcW w:w="1817" w:type="dxa"/>
            <w:vAlign w:val="center"/>
          </w:tcPr>
          <w:p w14:paraId="5D8E337B">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w:t>
            </w:r>
          </w:p>
        </w:tc>
      </w:tr>
      <w:tr w14:paraId="4D4A523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3C558AC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w:t>
            </w:r>
          </w:p>
        </w:tc>
        <w:tc>
          <w:tcPr>
            <w:tcW w:w="1678" w:type="dxa"/>
            <w:vAlign w:val="center"/>
          </w:tcPr>
          <w:p w14:paraId="72B01C3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氯化镉</w:t>
            </w:r>
          </w:p>
        </w:tc>
        <w:tc>
          <w:tcPr>
            <w:tcW w:w="1404" w:type="dxa"/>
          </w:tcPr>
          <w:p w14:paraId="27045DB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10108-64-2</w:t>
            </w:r>
          </w:p>
        </w:tc>
        <w:tc>
          <w:tcPr>
            <w:tcW w:w="1960" w:type="dxa"/>
            <w:vAlign w:val="center"/>
          </w:tcPr>
          <w:p w14:paraId="3BB8F10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0.0805</w:t>
            </w:r>
          </w:p>
        </w:tc>
        <w:tc>
          <w:tcPr>
            <w:tcW w:w="1403" w:type="dxa"/>
            <w:vAlign w:val="center"/>
          </w:tcPr>
          <w:p w14:paraId="5A2DFEBC">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0.25</w:t>
            </w:r>
          </w:p>
        </w:tc>
        <w:tc>
          <w:tcPr>
            <w:tcW w:w="1817" w:type="dxa"/>
            <w:vAlign w:val="center"/>
          </w:tcPr>
          <w:p w14:paraId="130AD4B8">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0.322</w:t>
            </w:r>
          </w:p>
        </w:tc>
      </w:tr>
      <w:tr w14:paraId="5666F47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4EAD0E1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w:t>
            </w:r>
          </w:p>
        </w:tc>
        <w:tc>
          <w:tcPr>
            <w:tcW w:w="1678" w:type="dxa"/>
            <w:vAlign w:val="center"/>
          </w:tcPr>
          <w:p w14:paraId="2C13541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钼及其化合物（以钼计）</w:t>
            </w:r>
          </w:p>
        </w:tc>
        <w:tc>
          <w:tcPr>
            <w:tcW w:w="1404" w:type="dxa"/>
            <w:vAlign w:val="center"/>
          </w:tcPr>
          <w:p w14:paraId="2C05F64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7439-98-7</w:t>
            </w:r>
          </w:p>
        </w:tc>
        <w:tc>
          <w:tcPr>
            <w:tcW w:w="1960" w:type="dxa"/>
            <w:vAlign w:val="center"/>
          </w:tcPr>
          <w:p w14:paraId="65CC25F3">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0.08</w:t>
            </w:r>
            <w:r>
              <w:rPr>
                <w:rFonts w:hint="eastAsia" w:ascii="Times New Roman" w:hAnsi="Times New Roman" w:eastAsia="宋体" w:cs="Times New Roman"/>
                <w:caps w:val="0"/>
                <w:smallCaps w:val="0"/>
                <w:color w:val="auto"/>
                <w:spacing w:val="0"/>
                <w:kern w:val="0"/>
                <w:sz w:val="21"/>
                <w:highlight w:val="none"/>
                <w:lang w:bidi="ar"/>
              </w:rPr>
              <w:t>0</w:t>
            </w:r>
          </w:p>
        </w:tc>
        <w:tc>
          <w:tcPr>
            <w:tcW w:w="1403" w:type="dxa"/>
            <w:vAlign w:val="center"/>
          </w:tcPr>
          <w:p w14:paraId="36023E08">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0.25</w:t>
            </w:r>
          </w:p>
        </w:tc>
        <w:tc>
          <w:tcPr>
            <w:tcW w:w="1817" w:type="dxa"/>
            <w:vAlign w:val="center"/>
          </w:tcPr>
          <w:p w14:paraId="3904164D">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0.32</w:t>
            </w:r>
          </w:p>
        </w:tc>
      </w:tr>
      <w:tr w14:paraId="31A3816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625C99F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w:t>
            </w:r>
          </w:p>
        </w:tc>
        <w:tc>
          <w:tcPr>
            <w:tcW w:w="1678" w:type="dxa"/>
            <w:vAlign w:val="center"/>
          </w:tcPr>
          <w:p w14:paraId="0621D5C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铬及其化合物（以铬计）</w:t>
            </w:r>
          </w:p>
        </w:tc>
        <w:tc>
          <w:tcPr>
            <w:tcW w:w="1404" w:type="dxa"/>
            <w:vAlign w:val="center"/>
          </w:tcPr>
          <w:p w14:paraId="39B45979">
            <w:pPr>
              <w:widowControl w:val="0"/>
              <w:jc w:val="center"/>
              <w:rPr>
                <w:rFonts w:ascii="Times New Roman" w:hAnsi="Times New Roman" w:eastAsia="宋体" w:cs="Times New Roman"/>
                <w:caps w:val="0"/>
                <w:smallCaps w:val="0"/>
                <w:color w:val="auto"/>
                <w:spacing w:val="0"/>
                <w:sz w:val="21"/>
                <w:highlight w:val="none"/>
              </w:rPr>
            </w:pPr>
            <w:r>
              <w:rPr>
                <w:caps w:val="0"/>
                <w:smallCaps w:val="0"/>
                <w:color w:val="auto"/>
                <w:spacing w:val="0"/>
                <w:highlight w:val="none"/>
              </w:rPr>
              <w:fldChar w:fldCharType="begin"/>
            </w:r>
            <w:r>
              <w:rPr>
                <w:caps w:val="0"/>
                <w:smallCaps w:val="0"/>
                <w:color w:val="auto"/>
                <w:spacing w:val="0"/>
                <w:highlight w:val="none"/>
              </w:rPr>
              <w:instrText xml:space="preserve"> HYPERLINK "https://cn.bing.com/search?q=%e9%93%ac&amp;FORM=SNAPST&amp;filters=sid:" \t "https://cn.bing.com/_blank" </w:instrText>
            </w:r>
            <w:r>
              <w:rPr>
                <w:caps w:val="0"/>
                <w:smallCaps w:val="0"/>
                <w:color w:val="auto"/>
                <w:spacing w:val="0"/>
                <w:highlight w:val="none"/>
              </w:rPr>
              <w:fldChar w:fldCharType="separate"/>
            </w:r>
            <w:r>
              <w:rPr>
                <w:rFonts w:ascii="Times New Roman" w:hAnsi="Times New Roman" w:eastAsia="宋体" w:cs="Times New Roman"/>
                <w:caps w:val="0"/>
                <w:smallCaps w:val="0"/>
                <w:color w:val="auto"/>
                <w:spacing w:val="0"/>
                <w:sz w:val="21"/>
                <w:highlight w:val="none"/>
              </w:rPr>
              <w:t>7440-47-3</w:t>
            </w:r>
            <w:r>
              <w:rPr>
                <w:rFonts w:ascii="Times New Roman" w:hAnsi="Times New Roman" w:eastAsia="宋体" w:cs="Times New Roman"/>
                <w:caps w:val="0"/>
                <w:smallCaps w:val="0"/>
                <w:color w:val="auto"/>
                <w:spacing w:val="0"/>
                <w:sz w:val="21"/>
                <w:highlight w:val="none"/>
              </w:rPr>
              <w:fldChar w:fldCharType="end"/>
            </w:r>
          </w:p>
        </w:tc>
        <w:tc>
          <w:tcPr>
            <w:tcW w:w="1960" w:type="dxa"/>
            <w:vAlign w:val="center"/>
          </w:tcPr>
          <w:p w14:paraId="4E9D9E6E">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0.061</w:t>
            </w:r>
          </w:p>
        </w:tc>
        <w:tc>
          <w:tcPr>
            <w:tcW w:w="1403" w:type="dxa"/>
            <w:vAlign w:val="center"/>
          </w:tcPr>
          <w:p w14:paraId="69232A5D">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0.25</w:t>
            </w:r>
          </w:p>
        </w:tc>
        <w:tc>
          <w:tcPr>
            <w:tcW w:w="1817" w:type="dxa"/>
            <w:vAlign w:val="center"/>
          </w:tcPr>
          <w:p w14:paraId="4A0FCE1A">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0.244</w:t>
            </w:r>
          </w:p>
        </w:tc>
      </w:tr>
      <w:tr w14:paraId="78FD82B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43913FB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w:t>
            </w:r>
          </w:p>
        </w:tc>
        <w:tc>
          <w:tcPr>
            <w:tcW w:w="1678" w:type="dxa"/>
            <w:vAlign w:val="center"/>
          </w:tcPr>
          <w:p w14:paraId="7E0950F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硝酸</w:t>
            </w:r>
          </w:p>
        </w:tc>
        <w:tc>
          <w:tcPr>
            <w:tcW w:w="1404" w:type="dxa"/>
          </w:tcPr>
          <w:p w14:paraId="3C2D6C1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7697-37-2</w:t>
            </w:r>
          </w:p>
        </w:tc>
        <w:tc>
          <w:tcPr>
            <w:tcW w:w="1960" w:type="dxa"/>
            <w:vAlign w:val="center"/>
          </w:tcPr>
          <w:p w14:paraId="17AEB8AD">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0.142</w:t>
            </w:r>
          </w:p>
        </w:tc>
        <w:tc>
          <w:tcPr>
            <w:tcW w:w="1403" w:type="dxa"/>
            <w:vAlign w:val="center"/>
          </w:tcPr>
          <w:p w14:paraId="04387760">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7.5</w:t>
            </w:r>
          </w:p>
        </w:tc>
        <w:tc>
          <w:tcPr>
            <w:tcW w:w="1817" w:type="dxa"/>
            <w:vAlign w:val="center"/>
          </w:tcPr>
          <w:p w14:paraId="29DCE510">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0.0189</w:t>
            </w:r>
          </w:p>
        </w:tc>
      </w:tr>
      <w:tr w14:paraId="57B14EF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6BF81EE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w:t>
            </w:r>
          </w:p>
        </w:tc>
        <w:tc>
          <w:tcPr>
            <w:tcW w:w="1678" w:type="dxa"/>
            <w:vAlign w:val="center"/>
          </w:tcPr>
          <w:p w14:paraId="7095B30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氨水</w:t>
            </w:r>
          </w:p>
        </w:tc>
        <w:tc>
          <w:tcPr>
            <w:tcW w:w="1404" w:type="dxa"/>
          </w:tcPr>
          <w:p w14:paraId="222E81B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1336-21-6</w:t>
            </w:r>
          </w:p>
        </w:tc>
        <w:tc>
          <w:tcPr>
            <w:tcW w:w="1960" w:type="dxa"/>
            <w:vAlign w:val="center"/>
          </w:tcPr>
          <w:p w14:paraId="60717B9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0.0005</w:t>
            </w:r>
          </w:p>
        </w:tc>
        <w:tc>
          <w:tcPr>
            <w:tcW w:w="1403" w:type="dxa"/>
            <w:vAlign w:val="center"/>
          </w:tcPr>
          <w:p w14:paraId="5CAF7BA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w:t>
            </w:r>
          </w:p>
        </w:tc>
        <w:tc>
          <w:tcPr>
            <w:tcW w:w="1817" w:type="dxa"/>
            <w:vAlign w:val="center"/>
          </w:tcPr>
          <w:p w14:paraId="32F6D67B">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0.00005</w:t>
            </w:r>
          </w:p>
        </w:tc>
      </w:tr>
      <w:tr w14:paraId="2F2BE65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2D156A6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w:t>
            </w:r>
          </w:p>
        </w:tc>
        <w:tc>
          <w:tcPr>
            <w:tcW w:w="1678" w:type="dxa"/>
            <w:vAlign w:val="center"/>
          </w:tcPr>
          <w:p w14:paraId="79A43F7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二甲苯</w:t>
            </w:r>
          </w:p>
        </w:tc>
        <w:tc>
          <w:tcPr>
            <w:tcW w:w="1404" w:type="dxa"/>
          </w:tcPr>
          <w:p w14:paraId="4BA3E04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1330-20-7</w:t>
            </w:r>
          </w:p>
        </w:tc>
        <w:tc>
          <w:tcPr>
            <w:tcW w:w="1960" w:type="dxa"/>
            <w:vAlign w:val="center"/>
          </w:tcPr>
          <w:p w14:paraId="28199069">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0.0024</w:t>
            </w:r>
          </w:p>
        </w:tc>
        <w:tc>
          <w:tcPr>
            <w:tcW w:w="1403" w:type="dxa"/>
            <w:vAlign w:val="center"/>
          </w:tcPr>
          <w:p w14:paraId="55D06BFC">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w:t>
            </w:r>
          </w:p>
        </w:tc>
        <w:tc>
          <w:tcPr>
            <w:tcW w:w="1817" w:type="dxa"/>
            <w:vAlign w:val="center"/>
          </w:tcPr>
          <w:p w14:paraId="5BA74D17">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0.00024</w:t>
            </w:r>
          </w:p>
        </w:tc>
      </w:tr>
      <w:tr w14:paraId="4F1AAB0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3559379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w:t>
            </w:r>
          </w:p>
        </w:tc>
        <w:tc>
          <w:tcPr>
            <w:tcW w:w="1678" w:type="dxa"/>
            <w:vAlign w:val="center"/>
          </w:tcPr>
          <w:p w14:paraId="315A646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废机油</w:t>
            </w:r>
          </w:p>
        </w:tc>
        <w:tc>
          <w:tcPr>
            <w:tcW w:w="1404" w:type="dxa"/>
          </w:tcPr>
          <w:p w14:paraId="430CF09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960" w:type="dxa"/>
            <w:vAlign w:val="center"/>
          </w:tcPr>
          <w:p w14:paraId="0E9BDE89">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w:t>
            </w:r>
          </w:p>
        </w:tc>
        <w:tc>
          <w:tcPr>
            <w:tcW w:w="1403" w:type="dxa"/>
            <w:vAlign w:val="center"/>
          </w:tcPr>
          <w:p w14:paraId="72023E17">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50</w:t>
            </w:r>
          </w:p>
        </w:tc>
        <w:tc>
          <w:tcPr>
            <w:tcW w:w="1817" w:type="dxa"/>
            <w:vAlign w:val="center"/>
          </w:tcPr>
          <w:p w14:paraId="1799848C">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w:t>
            </w:r>
          </w:p>
        </w:tc>
      </w:tr>
      <w:tr w14:paraId="1700213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8" w:type="dxa"/>
          </w:tcPr>
          <w:p w14:paraId="25CA7DEF">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1678" w:type="dxa"/>
            <w:vAlign w:val="center"/>
          </w:tcPr>
          <w:p w14:paraId="7192E571">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盐酸</w:t>
            </w:r>
          </w:p>
        </w:tc>
        <w:tc>
          <w:tcPr>
            <w:tcW w:w="1404" w:type="dxa"/>
          </w:tcPr>
          <w:p w14:paraId="72A0B11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7647-01-0</w:t>
            </w:r>
          </w:p>
        </w:tc>
        <w:tc>
          <w:tcPr>
            <w:tcW w:w="1960" w:type="dxa"/>
            <w:vAlign w:val="center"/>
          </w:tcPr>
          <w:p w14:paraId="65287459">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0.093</w:t>
            </w:r>
          </w:p>
        </w:tc>
        <w:tc>
          <w:tcPr>
            <w:tcW w:w="1403" w:type="dxa"/>
            <w:vAlign w:val="center"/>
          </w:tcPr>
          <w:p w14:paraId="37FA6B7E">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7.5</w:t>
            </w:r>
          </w:p>
        </w:tc>
        <w:tc>
          <w:tcPr>
            <w:tcW w:w="1817" w:type="dxa"/>
            <w:vAlign w:val="center"/>
          </w:tcPr>
          <w:p w14:paraId="105AED7D">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0.0124</w:t>
            </w:r>
          </w:p>
        </w:tc>
      </w:tr>
      <w:tr w14:paraId="1C5D414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53" w:type="dxa"/>
            <w:gridSpan w:val="5"/>
          </w:tcPr>
          <w:p w14:paraId="528E1FB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项目Q值Σ</w:t>
            </w:r>
          </w:p>
        </w:tc>
        <w:tc>
          <w:tcPr>
            <w:tcW w:w="1817" w:type="dxa"/>
            <w:shd w:val="clear" w:color="auto" w:fill="auto"/>
            <w:vAlign w:val="center"/>
          </w:tcPr>
          <w:p w14:paraId="60041F7C">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0.95162</w:t>
            </w:r>
          </w:p>
        </w:tc>
      </w:tr>
    </w:tbl>
    <w:p w14:paraId="679858BF">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项目厂区危险物质数量与临界量的比值Q</w:t>
      </w:r>
      <w:r>
        <w:rPr>
          <w:rFonts w:hint="eastAsia" w:ascii="Times New Roman" w:hAnsi="Times New Roman" w:eastAsia="宋体" w:cs="Times New Roman"/>
          <w:caps w:val="0"/>
          <w:smallCaps w:val="0"/>
          <w:color w:val="auto"/>
          <w:spacing w:val="0"/>
          <w:szCs w:val="24"/>
          <w:highlight w:val="none"/>
        </w:rPr>
        <w:t>=0.95162</w:t>
      </w:r>
      <w:r>
        <w:rPr>
          <w:rFonts w:ascii="Times New Roman" w:hAnsi="Times New Roman" w:eastAsia="宋体" w:cs="Times New Roman"/>
          <w:caps w:val="0"/>
          <w:smallCaps w:val="0"/>
          <w:color w:val="auto"/>
          <w:spacing w:val="0"/>
          <w:szCs w:val="24"/>
          <w:highlight w:val="none"/>
        </w:rPr>
        <w:t>＜1。</w:t>
      </w:r>
    </w:p>
    <w:p w14:paraId="5FD89CBE">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w:t>
      </w:r>
      <w:r>
        <w:rPr>
          <w:rFonts w:hint="eastAsia" w:ascii="Times New Roman" w:hAnsi="Times New Roman" w:eastAsia="宋体" w:cs="Times New Roman"/>
          <w:caps w:val="0"/>
          <w:smallCaps w:val="0"/>
          <w:color w:val="auto"/>
          <w:spacing w:val="0"/>
          <w:highlight w:val="none"/>
        </w:rPr>
        <w:t>《建设项目环境风险评价技术导则》(HJ169-2018)</w:t>
      </w:r>
      <w:r>
        <w:rPr>
          <w:rFonts w:ascii="Times New Roman" w:hAnsi="Times New Roman" w:eastAsia="宋体" w:cs="Times New Roman"/>
          <w:caps w:val="0"/>
          <w:smallCaps w:val="0"/>
          <w:color w:val="auto"/>
          <w:spacing w:val="0"/>
          <w:szCs w:val="24"/>
          <w:highlight w:val="none"/>
        </w:rPr>
        <w:t>，环境风险评价工作等级划分</w:t>
      </w:r>
      <w:r>
        <w:rPr>
          <w:rFonts w:hint="eastAsia" w:ascii="Times New Roman" w:hAnsi="Times New Roman" w:eastAsia="宋体" w:cs="Times New Roman"/>
          <w:caps w:val="0"/>
          <w:smallCaps w:val="0"/>
          <w:color w:val="auto"/>
          <w:spacing w:val="0"/>
          <w:szCs w:val="24"/>
          <w:highlight w:val="none"/>
        </w:rPr>
        <w:t>依据</w:t>
      </w:r>
      <w:r>
        <w:rPr>
          <w:rFonts w:ascii="Times New Roman" w:hAnsi="Times New Roman" w:eastAsia="宋体" w:cs="Times New Roman"/>
          <w:caps w:val="0"/>
          <w:smallCaps w:val="0"/>
          <w:color w:val="auto"/>
          <w:spacing w:val="0"/>
          <w:szCs w:val="24"/>
          <w:highlight w:val="none"/>
        </w:rPr>
        <w:t>详见表</w:t>
      </w:r>
      <w:r>
        <w:rPr>
          <w:rFonts w:hint="eastAsia" w:ascii="Times New Roman" w:hAnsi="Times New Roman" w:eastAsia="宋体" w:cs="Times New Roman"/>
          <w:caps w:val="0"/>
          <w:smallCaps w:val="0"/>
          <w:color w:val="auto"/>
          <w:spacing w:val="0"/>
          <w:szCs w:val="24"/>
          <w:highlight w:val="none"/>
        </w:rPr>
        <w:t>2.5-13</w:t>
      </w:r>
      <w:r>
        <w:rPr>
          <w:rFonts w:ascii="Times New Roman" w:hAnsi="Times New Roman" w:eastAsia="宋体" w:cs="Times New Roman"/>
          <w:caps w:val="0"/>
          <w:smallCaps w:val="0"/>
          <w:color w:val="auto"/>
          <w:spacing w:val="0"/>
          <w:szCs w:val="24"/>
          <w:highlight w:val="none"/>
        </w:rPr>
        <w:t>。</w:t>
      </w:r>
    </w:p>
    <w:p w14:paraId="1E0E6450">
      <w:pPr>
        <w:widowControl w:val="0"/>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表2.5-1</w:t>
      </w:r>
      <w:r>
        <w:rPr>
          <w:rFonts w:hint="eastAsia" w:ascii="Times New Roman" w:hAnsi="Times New Roman" w:eastAsia="宋体" w:cs="Times New Roman"/>
          <w:b/>
          <w:caps w:val="0"/>
          <w:smallCaps w:val="0"/>
          <w:color w:val="auto"/>
          <w:spacing w:val="0"/>
          <w:szCs w:val="24"/>
          <w:highlight w:val="none"/>
          <w:lang w:val="en-US" w:eastAsia="zh-CN"/>
        </w:rPr>
        <w:t>4</w:t>
      </w:r>
      <w:r>
        <w:rPr>
          <w:rFonts w:ascii="Times New Roman" w:hAnsi="Times New Roman" w:eastAsia="宋体" w:cs="Times New Roman"/>
          <w:b/>
          <w:caps w:val="0"/>
          <w:smallCaps w:val="0"/>
          <w:color w:val="auto"/>
          <w:spacing w:val="0"/>
          <w:szCs w:val="24"/>
          <w:highlight w:val="none"/>
        </w:rPr>
        <w:t>评价工作等级划分</w:t>
      </w:r>
    </w:p>
    <w:tbl>
      <w:tblPr>
        <w:tblStyle w:val="176"/>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700"/>
        <w:gridCol w:w="1602"/>
        <w:gridCol w:w="1843"/>
        <w:gridCol w:w="1843"/>
        <w:gridCol w:w="2082"/>
      </w:tblGrid>
      <w:tr w14:paraId="3075D82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98" w:hRule="exact"/>
          <w:jc w:val="center"/>
        </w:trPr>
        <w:tc>
          <w:tcPr>
            <w:tcW w:w="1700" w:type="dxa"/>
            <w:tcBorders>
              <w:bottom w:val="single" w:color="auto" w:sz="8" w:space="0"/>
            </w:tcBorders>
            <w:vAlign w:val="center"/>
          </w:tcPr>
          <w:p w14:paraId="097BCAF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环境风险潜势</w:t>
            </w:r>
          </w:p>
        </w:tc>
        <w:tc>
          <w:tcPr>
            <w:tcW w:w="1602" w:type="dxa"/>
            <w:tcBorders>
              <w:bottom w:val="single" w:color="auto" w:sz="8" w:space="0"/>
            </w:tcBorders>
            <w:vAlign w:val="center"/>
          </w:tcPr>
          <w:p w14:paraId="143E7DC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Ⅳ、Ⅳ</w:t>
            </w:r>
            <w:r>
              <w:rPr>
                <w:rFonts w:ascii="Times New Roman" w:hAnsi="Times New Roman" w:cs="Times New Roman"/>
                <w:caps w:val="0"/>
                <w:smallCaps w:val="0"/>
                <w:color w:val="auto"/>
                <w:spacing w:val="0"/>
                <w:position w:val="8"/>
                <w:sz w:val="21"/>
                <w:szCs w:val="21"/>
                <w:highlight w:val="none"/>
                <w:lang w:eastAsia="en-US"/>
              </w:rPr>
              <w:t>+</w:t>
            </w:r>
          </w:p>
        </w:tc>
        <w:tc>
          <w:tcPr>
            <w:tcW w:w="1843" w:type="dxa"/>
            <w:tcBorders>
              <w:bottom w:val="single" w:color="auto" w:sz="8" w:space="0"/>
            </w:tcBorders>
            <w:vAlign w:val="center"/>
          </w:tcPr>
          <w:p w14:paraId="73AC720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Ⅲ</w:t>
            </w:r>
          </w:p>
        </w:tc>
        <w:tc>
          <w:tcPr>
            <w:tcW w:w="1843" w:type="dxa"/>
            <w:tcBorders>
              <w:bottom w:val="single" w:color="auto" w:sz="8" w:space="0"/>
            </w:tcBorders>
            <w:vAlign w:val="center"/>
          </w:tcPr>
          <w:p w14:paraId="2E9389E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Ⅱ</w:t>
            </w:r>
          </w:p>
        </w:tc>
        <w:tc>
          <w:tcPr>
            <w:tcW w:w="2082" w:type="dxa"/>
            <w:tcBorders>
              <w:bottom w:val="single" w:color="auto" w:sz="8" w:space="0"/>
            </w:tcBorders>
            <w:vAlign w:val="center"/>
          </w:tcPr>
          <w:p w14:paraId="7B02CDA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Ⅰ</w:t>
            </w:r>
          </w:p>
        </w:tc>
      </w:tr>
      <w:tr w14:paraId="3D8D6B5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92" w:hRule="exact"/>
          <w:jc w:val="center"/>
        </w:trPr>
        <w:tc>
          <w:tcPr>
            <w:tcW w:w="1700" w:type="dxa"/>
            <w:tcBorders>
              <w:top w:val="single" w:color="auto" w:sz="8" w:space="0"/>
            </w:tcBorders>
            <w:vAlign w:val="center"/>
          </w:tcPr>
          <w:p w14:paraId="345BF87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评价工作等级</w:t>
            </w:r>
          </w:p>
        </w:tc>
        <w:tc>
          <w:tcPr>
            <w:tcW w:w="1602" w:type="dxa"/>
            <w:tcBorders>
              <w:top w:val="single" w:color="auto" w:sz="8" w:space="0"/>
            </w:tcBorders>
            <w:vAlign w:val="center"/>
          </w:tcPr>
          <w:p w14:paraId="533B0D9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一</w:t>
            </w:r>
          </w:p>
        </w:tc>
        <w:tc>
          <w:tcPr>
            <w:tcW w:w="1843" w:type="dxa"/>
            <w:tcBorders>
              <w:top w:val="single" w:color="auto" w:sz="8" w:space="0"/>
            </w:tcBorders>
            <w:vAlign w:val="center"/>
          </w:tcPr>
          <w:p w14:paraId="0AB421B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二</w:t>
            </w:r>
          </w:p>
        </w:tc>
        <w:tc>
          <w:tcPr>
            <w:tcW w:w="1843" w:type="dxa"/>
            <w:tcBorders>
              <w:top w:val="single" w:color="auto" w:sz="8" w:space="0"/>
            </w:tcBorders>
            <w:vAlign w:val="center"/>
          </w:tcPr>
          <w:p w14:paraId="5CC718D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三</w:t>
            </w:r>
          </w:p>
        </w:tc>
        <w:tc>
          <w:tcPr>
            <w:tcW w:w="2082" w:type="dxa"/>
            <w:tcBorders>
              <w:top w:val="single" w:color="auto" w:sz="8" w:space="0"/>
            </w:tcBorders>
            <w:vAlign w:val="center"/>
          </w:tcPr>
          <w:p w14:paraId="485A6C1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简单分析</w:t>
            </w:r>
          </w:p>
        </w:tc>
      </w:tr>
    </w:tbl>
    <w:p w14:paraId="6056093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根据《建设项目环境风险评价技术导则》(HJ169-2018)，由于本项目危险物质Q=</w:t>
      </w:r>
      <w:r>
        <w:rPr>
          <w:rFonts w:ascii="Times New Roman" w:hAnsi="Times New Roman" w:eastAsia="宋体" w:cs="Times New Roman"/>
          <w:caps w:val="0"/>
          <w:smallCaps w:val="0"/>
          <w:color w:val="auto"/>
          <w:spacing w:val="0"/>
          <w:kern w:val="0"/>
          <w:sz w:val="24"/>
          <w:szCs w:val="24"/>
          <w:highlight w:val="none"/>
          <w:lang w:bidi="ar"/>
        </w:rPr>
        <w:t>0.95162</w:t>
      </w:r>
      <w:r>
        <w:rPr>
          <w:rFonts w:hint="eastAsia" w:ascii="Times New Roman" w:hAnsi="Times New Roman" w:eastAsia="宋体" w:cs="Times New Roman"/>
          <w:caps w:val="0"/>
          <w:smallCaps w:val="0"/>
          <w:color w:val="auto"/>
          <w:spacing w:val="0"/>
          <w:highlight w:val="none"/>
        </w:rPr>
        <w:t>&lt;1时，本项目环境风险潜势为I级，仅开展简单分析。</w:t>
      </w:r>
    </w:p>
    <w:p w14:paraId="6E0268CC">
      <w:pPr>
        <w:spacing w:line="360" w:lineRule="auto"/>
        <w:ind w:firstLine="480" w:firstLineChars="200"/>
        <w:rPr>
          <w:caps w:val="0"/>
          <w:smallCaps w:val="0"/>
          <w:color w:val="auto"/>
          <w:spacing w:val="0"/>
          <w:highlight w:val="none"/>
        </w:rPr>
      </w:pPr>
      <w:r>
        <w:rPr>
          <w:rFonts w:hint="eastAsia"/>
          <w:caps w:val="0"/>
          <w:smallCaps w:val="0"/>
          <w:color w:val="auto"/>
          <w:spacing w:val="0"/>
          <w:highlight w:val="none"/>
        </w:rPr>
        <w:t>本项目环境风险评价等级为简单分析，环境风险评价仅在描述危险物质、环境影响途径、环境危害后果、风险防范措施等方面给出定性说明，不再确定评价范围。</w:t>
      </w:r>
    </w:p>
    <w:p w14:paraId="5696A337">
      <w:pPr>
        <w:pStyle w:val="4"/>
        <w:widowControl w:val="0"/>
        <w:rPr>
          <w:rFonts w:eastAsia="宋体"/>
          <w:caps w:val="0"/>
          <w:smallCaps w:val="0"/>
          <w:color w:val="auto"/>
          <w:spacing w:val="0"/>
          <w:highlight w:val="none"/>
        </w:rPr>
      </w:pPr>
      <w:bookmarkStart w:id="57" w:name="_Toc9432"/>
      <w:r>
        <w:rPr>
          <w:rFonts w:eastAsia="宋体"/>
          <w:caps w:val="0"/>
          <w:smallCaps w:val="0"/>
          <w:color w:val="auto"/>
          <w:spacing w:val="0"/>
          <w:highlight w:val="none"/>
        </w:rPr>
        <w:t>2.6主要环境保护目标</w:t>
      </w:r>
      <w:bookmarkEnd w:id="54"/>
      <w:bookmarkEnd w:id="57"/>
    </w:p>
    <w:p w14:paraId="493CCB3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本项目位于佳木斯市高新技术开发区轻工园区内，厂区周围为工业园区内部，结合项目所在地的环境功能区划、评价等级和影响范围，地表水环境和声环境敏感目标见表2.6-</w:t>
      </w:r>
      <w:r>
        <w:rPr>
          <w:rFonts w:hint="eastAsia" w:eastAsia="宋体"/>
          <w:caps w:val="0"/>
          <w:smallCaps w:val="0"/>
          <w:color w:val="auto"/>
          <w:spacing w:val="0"/>
          <w:highlight w:val="none"/>
          <w:lang w:val="en-US" w:eastAsia="zh-CN"/>
        </w:rPr>
        <w:t>1</w:t>
      </w:r>
      <w:r>
        <w:rPr>
          <w:rFonts w:eastAsia="宋体"/>
          <w:caps w:val="0"/>
          <w:smallCaps w:val="0"/>
          <w:color w:val="auto"/>
          <w:spacing w:val="0"/>
          <w:highlight w:val="none"/>
        </w:rPr>
        <w:t>。</w:t>
      </w:r>
    </w:p>
    <w:p w14:paraId="0CBD6ACD">
      <w:pPr>
        <w:pStyle w:val="11"/>
        <w:spacing w:before="120"/>
        <w:rPr>
          <w:caps w:val="0"/>
          <w:smallCaps w:val="0"/>
          <w:color w:val="auto"/>
          <w:spacing w:val="0"/>
          <w:highlight w:val="none"/>
        </w:rPr>
      </w:pPr>
      <w:r>
        <w:rPr>
          <w:caps w:val="0"/>
          <w:smallCaps w:val="0"/>
          <w:color w:val="auto"/>
          <w:spacing w:val="0"/>
          <w:highlight w:val="none"/>
        </w:rPr>
        <w:t>表2.6-</w:t>
      </w:r>
      <w:r>
        <w:rPr>
          <w:rFonts w:hint="eastAsia"/>
          <w:caps w:val="0"/>
          <w:smallCaps w:val="0"/>
          <w:color w:val="auto"/>
          <w:spacing w:val="0"/>
          <w:highlight w:val="none"/>
          <w:lang w:val="en-US" w:eastAsia="zh-CN"/>
        </w:rPr>
        <w:t>1</w:t>
      </w:r>
      <w:r>
        <w:rPr>
          <w:caps w:val="0"/>
          <w:smallCaps w:val="0"/>
          <w:color w:val="auto"/>
          <w:spacing w:val="0"/>
          <w:highlight w:val="none"/>
        </w:rPr>
        <w:t>地表水和地下水环境保护目标一览表</w:t>
      </w:r>
    </w:p>
    <w:tbl>
      <w:tblPr>
        <w:tblStyle w:val="37"/>
        <w:tblW w:w="5000" w:type="pct"/>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76"/>
        <w:gridCol w:w="796"/>
        <w:gridCol w:w="1982"/>
        <w:gridCol w:w="728"/>
        <w:gridCol w:w="875"/>
        <w:gridCol w:w="3020"/>
        <w:gridCol w:w="1309"/>
      </w:tblGrid>
      <w:tr w14:paraId="66EC0C9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6" w:type="dxa"/>
            <w:tcBorders>
              <w:top w:val="single" w:color="auto" w:sz="8" w:space="0"/>
              <w:bottom w:val="single" w:color="auto" w:sz="8" w:space="0"/>
              <w:tl2br w:val="nil"/>
              <w:tr2bl w:val="nil"/>
            </w:tcBorders>
            <w:vAlign w:val="center"/>
          </w:tcPr>
          <w:p w14:paraId="5C09638C">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序号</w:t>
            </w:r>
          </w:p>
        </w:tc>
        <w:tc>
          <w:tcPr>
            <w:tcW w:w="796" w:type="dxa"/>
            <w:tcBorders>
              <w:top w:val="single" w:color="auto" w:sz="8" w:space="0"/>
              <w:bottom w:val="single" w:color="auto" w:sz="8" w:space="0"/>
              <w:tl2br w:val="nil"/>
              <w:tr2bl w:val="nil"/>
            </w:tcBorders>
            <w:vAlign w:val="center"/>
          </w:tcPr>
          <w:p w14:paraId="268B84E1">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环境要素</w:t>
            </w:r>
          </w:p>
        </w:tc>
        <w:tc>
          <w:tcPr>
            <w:tcW w:w="1982" w:type="dxa"/>
            <w:tcBorders>
              <w:top w:val="single" w:color="auto" w:sz="8" w:space="0"/>
              <w:bottom w:val="single" w:color="auto" w:sz="8" w:space="0"/>
              <w:tl2br w:val="nil"/>
              <w:tr2bl w:val="nil"/>
            </w:tcBorders>
            <w:vAlign w:val="center"/>
          </w:tcPr>
          <w:p w14:paraId="7B340DD6">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保护目标名称</w:t>
            </w:r>
          </w:p>
        </w:tc>
        <w:tc>
          <w:tcPr>
            <w:tcW w:w="728" w:type="dxa"/>
            <w:tcBorders>
              <w:top w:val="single" w:color="auto" w:sz="8" w:space="0"/>
              <w:bottom w:val="single" w:color="auto" w:sz="8" w:space="0"/>
              <w:tl2br w:val="nil"/>
              <w:tr2bl w:val="nil"/>
            </w:tcBorders>
            <w:vAlign w:val="center"/>
          </w:tcPr>
          <w:p w14:paraId="2FD96BEB">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与项目方位</w:t>
            </w:r>
          </w:p>
        </w:tc>
        <w:tc>
          <w:tcPr>
            <w:tcW w:w="875" w:type="dxa"/>
            <w:tcBorders>
              <w:top w:val="single" w:color="auto" w:sz="8" w:space="0"/>
              <w:bottom w:val="single" w:color="auto" w:sz="8" w:space="0"/>
              <w:tl2br w:val="nil"/>
              <w:tr2bl w:val="nil"/>
            </w:tcBorders>
            <w:vAlign w:val="center"/>
          </w:tcPr>
          <w:p w14:paraId="3C987087">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厂界距离m</w:t>
            </w:r>
          </w:p>
        </w:tc>
        <w:tc>
          <w:tcPr>
            <w:tcW w:w="3020" w:type="dxa"/>
            <w:tcBorders>
              <w:top w:val="single" w:color="auto" w:sz="8" w:space="0"/>
              <w:bottom w:val="single" w:color="auto" w:sz="8" w:space="0"/>
              <w:tl2br w:val="nil"/>
              <w:tr2bl w:val="nil"/>
            </w:tcBorders>
            <w:vAlign w:val="center"/>
          </w:tcPr>
          <w:p w14:paraId="2F9838BE">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性质及规模</w:t>
            </w:r>
          </w:p>
        </w:tc>
        <w:tc>
          <w:tcPr>
            <w:tcW w:w="1309" w:type="dxa"/>
            <w:tcBorders>
              <w:top w:val="single" w:color="auto" w:sz="8" w:space="0"/>
              <w:bottom w:val="single" w:color="auto" w:sz="8" w:space="0"/>
              <w:tl2br w:val="nil"/>
              <w:tr2bl w:val="nil"/>
            </w:tcBorders>
            <w:vAlign w:val="center"/>
          </w:tcPr>
          <w:p w14:paraId="67FB55D9">
            <w:pPr>
              <w:pStyle w:val="66"/>
              <w:widowControl w:val="0"/>
              <w:snapToGrid w:val="0"/>
              <w:ind w:left="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内容</w:t>
            </w:r>
          </w:p>
        </w:tc>
      </w:tr>
      <w:tr w14:paraId="6F2FC2A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6" w:type="dxa"/>
            <w:tcBorders>
              <w:top w:val="single" w:color="auto" w:sz="8" w:space="0"/>
              <w:tl2br w:val="nil"/>
              <w:tr2bl w:val="nil"/>
            </w:tcBorders>
            <w:vAlign w:val="center"/>
          </w:tcPr>
          <w:p w14:paraId="074A7855">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w:t>
            </w:r>
          </w:p>
        </w:tc>
        <w:tc>
          <w:tcPr>
            <w:tcW w:w="796" w:type="dxa"/>
            <w:vMerge w:val="restart"/>
            <w:tcBorders>
              <w:top w:val="single" w:color="auto" w:sz="8" w:space="0"/>
              <w:tl2br w:val="nil"/>
              <w:tr2bl w:val="nil"/>
            </w:tcBorders>
            <w:vAlign w:val="center"/>
          </w:tcPr>
          <w:p w14:paraId="3E9F6475">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地表水环境</w:t>
            </w:r>
          </w:p>
        </w:tc>
        <w:tc>
          <w:tcPr>
            <w:tcW w:w="1982" w:type="dxa"/>
            <w:tcBorders>
              <w:top w:val="single" w:color="auto" w:sz="8" w:space="0"/>
              <w:tl2br w:val="nil"/>
              <w:tr2bl w:val="nil"/>
            </w:tcBorders>
            <w:vAlign w:val="center"/>
          </w:tcPr>
          <w:p w14:paraId="6DA597A2">
            <w:pPr>
              <w:pStyle w:val="66"/>
              <w:widowControl w:val="0"/>
              <w:snapToGrid w:val="0"/>
              <w:ind w:left="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lang w:eastAsia="zh-CN"/>
              </w:rPr>
              <w:t>铃铛</w:t>
            </w:r>
            <w:r>
              <w:rPr>
                <w:rFonts w:hint="eastAsia" w:ascii="Times New Roman" w:hAnsi="Times New Roman" w:eastAsia="宋体" w:cs="Times New Roman"/>
                <w:caps w:val="0"/>
                <w:smallCaps w:val="0"/>
                <w:color w:val="auto"/>
                <w:spacing w:val="0"/>
                <w:highlight w:val="none"/>
              </w:rPr>
              <w:t>麦河</w:t>
            </w:r>
          </w:p>
        </w:tc>
        <w:tc>
          <w:tcPr>
            <w:tcW w:w="728" w:type="dxa"/>
            <w:tcBorders>
              <w:top w:val="single" w:color="auto" w:sz="8" w:space="0"/>
              <w:tl2br w:val="nil"/>
              <w:tr2bl w:val="nil"/>
            </w:tcBorders>
            <w:vAlign w:val="center"/>
          </w:tcPr>
          <w:p w14:paraId="55267A6E">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西</w:t>
            </w:r>
          </w:p>
        </w:tc>
        <w:tc>
          <w:tcPr>
            <w:tcW w:w="875" w:type="dxa"/>
            <w:tcBorders>
              <w:top w:val="single" w:color="auto" w:sz="8" w:space="0"/>
              <w:tl2br w:val="nil"/>
              <w:tr2bl w:val="nil"/>
            </w:tcBorders>
            <w:vAlign w:val="center"/>
          </w:tcPr>
          <w:p w14:paraId="16CCFC1E">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560</w:t>
            </w:r>
          </w:p>
        </w:tc>
        <w:tc>
          <w:tcPr>
            <w:tcW w:w="3020" w:type="dxa"/>
            <w:tcBorders>
              <w:top w:val="single" w:color="auto" w:sz="8" w:space="0"/>
              <w:tl2br w:val="nil"/>
              <w:tr2bl w:val="nil"/>
            </w:tcBorders>
            <w:vAlign w:val="center"/>
          </w:tcPr>
          <w:p w14:paraId="23FF0153">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佳木斯市内河，无水体功能区划和水质类别</w:t>
            </w:r>
          </w:p>
        </w:tc>
        <w:tc>
          <w:tcPr>
            <w:tcW w:w="1309" w:type="dxa"/>
            <w:vMerge w:val="restart"/>
            <w:tcBorders>
              <w:top w:val="single" w:color="auto" w:sz="8" w:space="0"/>
              <w:tl2br w:val="nil"/>
              <w:tr2bl w:val="nil"/>
            </w:tcBorders>
            <w:vAlign w:val="center"/>
          </w:tcPr>
          <w:p w14:paraId="4ACE0DF8">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《地表水环境质量标准》（GB3838-2002）</w:t>
            </w:r>
            <w:r>
              <w:rPr>
                <w:rFonts w:ascii="Times New Roman" w:hAnsi="Times New Roman" w:eastAsia="宋体" w:cs="Times New Roman"/>
                <w:caps w:val="0"/>
                <w:smallCaps w:val="0"/>
                <w:color w:val="auto"/>
                <w:spacing w:val="0"/>
                <w:highlight w:val="none"/>
              </w:rPr>
              <w:t>Ⅲ</w:t>
            </w:r>
            <w:r>
              <w:rPr>
                <w:rFonts w:ascii="Times New Roman" w:hAnsi="Times New Roman" w:eastAsia="宋体" w:cs="Times New Roman"/>
                <w:caps w:val="0"/>
                <w:smallCaps w:val="0"/>
                <w:color w:val="auto"/>
                <w:spacing w:val="0"/>
                <w:highlight w:val="none"/>
              </w:rPr>
              <w:t>类</w:t>
            </w:r>
          </w:p>
        </w:tc>
      </w:tr>
      <w:tr w14:paraId="0530C4C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6" w:type="dxa"/>
            <w:tcBorders>
              <w:top w:val="single" w:color="auto" w:sz="8" w:space="0"/>
              <w:tl2br w:val="nil"/>
              <w:tr2bl w:val="nil"/>
            </w:tcBorders>
            <w:vAlign w:val="center"/>
          </w:tcPr>
          <w:p w14:paraId="7F503C9F">
            <w:pPr>
              <w:pStyle w:val="66"/>
              <w:widowControl w:val="0"/>
              <w:snapToGrid w:val="0"/>
              <w:ind w:left="0"/>
              <w:rPr>
                <w:rFonts w:ascii="Times New Roman" w:hAnsi="Times New Roman" w:eastAsia="宋体" w:cs="Times New Roman"/>
                <w:caps w:val="0"/>
                <w:smallCaps w:val="0"/>
                <w:color w:val="auto"/>
                <w:spacing w:val="0"/>
                <w:highlight w:val="none"/>
              </w:rPr>
            </w:pPr>
          </w:p>
        </w:tc>
        <w:tc>
          <w:tcPr>
            <w:tcW w:w="796" w:type="dxa"/>
            <w:vMerge w:val="continue"/>
            <w:tcBorders>
              <w:tl2br w:val="nil"/>
              <w:tr2bl w:val="nil"/>
            </w:tcBorders>
            <w:vAlign w:val="center"/>
          </w:tcPr>
          <w:p w14:paraId="75E0FBAE">
            <w:pPr>
              <w:pStyle w:val="66"/>
              <w:widowControl w:val="0"/>
              <w:snapToGrid w:val="0"/>
              <w:ind w:left="0"/>
              <w:rPr>
                <w:rFonts w:ascii="Times New Roman" w:hAnsi="Times New Roman" w:eastAsia="宋体" w:cs="Times New Roman"/>
                <w:caps w:val="0"/>
                <w:smallCaps w:val="0"/>
                <w:color w:val="auto"/>
                <w:spacing w:val="0"/>
                <w:highlight w:val="none"/>
              </w:rPr>
            </w:pPr>
          </w:p>
        </w:tc>
        <w:tc>
          <w:tcPr>
            <w:tcW w:w="1982" w:type="dxa"/>
            <w:tcBorders>
              <w:top w:val="single" w:color="auto" w:sz="8" w:space="0"/>
              <w:tl2br w:val="nil"/>
              <w:tr2bl w:val="nil"/>
            </w:tcBorders>
            <w:vAlign w:val="center"/>
          </w:tcPr>
          <w:p w14:paraId="21848502">
            <w:pPr>
              <w:pStyle w:val="66"/>
              <w:widowControl w:val="0"/>
              <w:snapToGrid w:val="0"/>
              <w:ind w:left="0"/>
              <w:rPr>
                <w:rFonts w:hint="eastAsia"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highlight w:val="none"/>
                <w:lang w:val="en-US" w:eastAsia="zh-CN"/>
              </w:rPr>
              <w:t>音达木河</w:t>
            </w:r>
          </w:p>
        </w:tc>
        <w:tc>
          <w:tcPr>
            <w:tcW w:w="728" w:type="dxa"/>
            <w:tcBorders>
              <w:top w:val="single" w:color="auto" w:sz="8" w:space="0"/>
              <w:tl2br w:val="nil"/>
              <w:tr2bl w:val="nil"/>
            </w:tcBorders>
            <w:vAlign w:val="center"/>
          </w:tcPr>
          <w:p w14:paraId="17EC6145">
            <w:pPr>
              <w:pStyle w:val="66"/>
              <w:widowControl w:val="0"/>
              <w:snapToGrid w:val="0"/>
              <w:ind w:left="0"/>
              <w:rPr>
                <w:rFonts w:hint="eastAsia"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highlight w:val="none"/>
                <w:lang w:val="en-US" w:eastAsia="zh-CN"/>
              </w:rPr>
              <w:t>N</w:t>
            </w:r>
          </w:p>
        </w:tc>
        <w:tc>
          <w:tcPr>
            <w:tcW w:w="875" w:type="dxa"/>
            <w:tcBorders>
              <w:top w:val="single" w:color="auto" w:sz="8" w:space="0"/>
              <w:tl2br w:val="nil"/>
              <w:tr2bl w:val="nil"/>
            </w:tcBorders>
            <w:vAlign w:val="center"/>
          </w:tcPr>
          <w:p w14:paraId="48F016DD">
            <w:pPr>
              <w:pStyle w:val="66"/>
              <w:widowControl w:val="0"/>
              <w:snapToGrid w:val="0"/>
              <w:ind w:left="0"/>
              <w:rPr>
                <w:rFonts w:hint="default"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highlight w:val="none"/>
                <w:lang w:val="en-US" w:eastAsia="zh-CN"/>
              </w:rPr>
              <w:t>760</w:t>
            </w:r>
          </w:p>
        </w:tc>
        <w:tc>
          <w:tcPr>
            <w:tcW w:w="3020" w:type="dxa"/>
            <w:tcBorders>
              <w:top w:val="single" w:color="auto" w:sz="8" w:space="0"/>
              <w:tl2br w:val="nil"/>
              <w:tr2bl w:val="nil"/>
            </w:tcBorders>
            <w:vAlign w:val="center"/>
          </w:tcPr>
          <w:p w14:paraId="6B8362F1">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佳木斯市内河，无水体功能区划和水质类别</w:t>
            </w:r>
          </w:p>
        </w:tc>
        <w:tc>
          <w:tcPr>
            <w:tcW w:w="1309" w:type="dxa"/>
            <w:vMerge w:val="continue"/>
            <w:tcBorders>
              <w:tl2br w:val="nil"/>
              <w:tr2bl w:val="nil"/>
            </w:tcBorders>
            <w:vAlign w:val="center"/>
          </w:tcPr>
          <w:p w14:paraId="795712B2">
            <w:pPr>
              <w:pStyle w:val="66"/>
              <w:widowControl w:val="0"/>
              <w:snapToGrid w:val="0"/>
              <w:ind w:left="0"/>
              <w:rPr>
                <w:rFonts w:ascii="Times New Roman" w:hAnsi="Times New Roman" w:eastAsia="宋体" w:cs="Times New Roman"/>
                <w:caps w:val="0"/>
                <w:smallCaps w:val="0"/>
                <w:color w:val="auto"/>
                <w:spacing w:val="0"/>
                <w:highlight w:val="none"/>
              </w:rPr>
            </w:pPr>
          </w:p>
        </w:tc>
      </w:tr>
      <w:tr w14:paraId="675FBA1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6" w:type="dxa"/>
            <w:tcBorders>
              <w:tl2br w:val="nil"/>
              <w:tr2bl w:val="nil"/>
            </w:tcBorders>
            <w:vAlign w:val="center"/>
          </w:tcPr>
          <w:p w14:paraId="0C161830">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796" w:type="dxa"/>
            <w:vMerge w:val="continue"/>
            <w:tcBorders>
              <w:tl2br w:val="nil"/>
              <w:tr2bl w:val="nil"/>
            </w:tcBorders>
            <w:vAlign w:val="center"/>
          </w:tcPr>
          <w:p w14:paraId="545AE26F">
            <w:pPr>
              <w:pStyle w:val="66"/>
              <w:widowControl w:val="0"/>
              <w:snapToGrid w:val="0"/>
              <w:ind w:left="0"/>
              <w:rPr>
                <w:rFonts w:ascii="Times New Roman" w:hAnsi="Times New Roman" w:eastAsia="宋体" w:cs="Times New Roman"/>
                <w:caps w:val="0"/>
                <w:smallCaps w:val="0"/>
                <w:color w:val="auto"/>
                <w:spacing w:val="0"/>
                <w:highlight w:val="none"/>
              </w:rPr>
            </w:pPr>
          </w:p>
        </w:tc>
        <w:tc>
          <w:tcPr>
            <w:tcW w:w="1982" w:type="dxa"/>
            <w:tcBorders>
              <w:tl2br w:val="nil"/>
              <w:tr2bl w:val="nil"/>
            </w:tcBorders>
            <w:vAlign w:val="center"/>
          </w:tcPr>
          <w:p w14:paraId="0DEB730F">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松花江</w:t>
            </w:r>
          </w:p>
        </w:tc>
        <w:tc>
          <w:tcPr>
            <w:tcW w:w="728" w:type="dxa"/>
            <w:tcBorders>
              <w:tl2br w:val="nil"/>
              <w:tr2bl w:val="nil"/>
            </w:tcBorders>
            <w:vAlign w:val="center"/>
          </w:tcPr>
          <w:p w14:paraId="64706842">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北</w:t>
            </w:r>
          </w:p>
        </w:tc>
        <w:tc>
          <w:tcPr>
            <w:tcW w:w="875" w:type="dxa"/>
            <w:tcBorders>
              <w:tl2br w:val="nil"/>
              <w:tr2bl w:val="nil"/>
            </w:tcBorders>
            <w:vAlign w:val="center"/>
          </w:tcPr>
          <w:p w14:paraId="5FB9F9BD">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4300</w:t>
            </w:r>
          </w:p>
        </w:tc>
        <w:tc>
          <w:tcPr>
            <w:tcW w:w="3020" w:type="dxa"/>
            <w:tcBorders>
              <w:tl2br w:val="nil"/>
              <w:tr2bl w:val="nil"/>
            </w:tcBorders>
            <w:vAlign w:val="center"/>
          </w:tcPr>
          <w:p w14:paraId="05804BDF">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特大型河流</w:t>
            </w:r>
          </w:p>
        </w:tc>
        <w:tc>
          <w:tcPr>
            <w:tcW w:w="1309" w:type="dxa"/>
            <w:vMerge w:val="continue"/>
            <w:tcBorders>
              <w:tl2br w:val="nil"/>
              <w:tr2bl w:val="nil"/>
            </w:tcBorders>
            <w:vAlign w:val="center"/>
          </w:tcPr>
          <w:p w14:paraId="6E788A52">
            <w:pPr>
              <w:pStyle w:val="66"/>
              <w:widowControl w:val="0"/>
              <w:snapToGrid w:val="0"/>
              <w:ind w:left="0"/>
              <w:rPr>
                <w:rFonts w:ascii="Times New Roman" w:hAnsi="Times New Roman" w:eastAsia="宋体" w:cs="Times New Roman"/>
                <w:caps w:val="0"/>
                <w:smallCaps w:val="0"/>
                <w:color w:val="auto"/>
                <w:spacing w:val="0"/>
                <w:highlight w:val="none"/>
              </w:rPr>
            </w:pPr>
          </w:p>
        </w:tc>
      </w:tr>
      <w:tr w14:paraId="1FF1241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6" w:type="dxa"/>
            <w:tcBorders>
              <w:tl2br w:val="nil"/>
              <w:tr2bl w:val="nil"/>
            </w:tcBorders>
            <w:vAlign w:val="center"/>
          </w:tcPr>
          <w:p w14:paraId="77D529F3">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w:t>
            </w:r>
          </w:p>
        </w:tc>
        <w:tc>
          <w:tcPr>
            <w:tcW w:w="796" w:type="dxa"/>
            <w:vMerge w:val="restart"/>
            <w:tcBorders>
              <w:tl2br w:val="nil"/>
              <w:tr2bl w:val="nil"/>
            </w:tcBorders>
            <w:vAlign w:val="center"/>
          </w:tcPr>
          <w:p w14:paraId="73797270">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地下水环境</w:t>
            </w:r>
          </w:p>
        </w:tc>
        <w:tc>
          <w:tcPr>
            <w:tcW w:w="1982" w:type="dxa"/>
            <w:tcBorders>
              <w:tl2br w:val="nil"/>
              <w:tr2bl w:val="nil"/>
            </w:tcBorders>
            <w:vAlign w:val="center"/>
          </w:tcPr>
          <w:p w14:paraId="3D7C949B">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宏伟村水源井</w:t>
            </w:r>
          </w:p>
        </w:tc>
        <w:tc>
          <w:tcPr>
            <w:tcW w:w="728" w:type="dxa"/>
            <w:tcBorders>
              <w:tl2br w:val="nil"/>
              <w:tr2bl w:val="nil"/>
            </w:tcBorders>
            <w:vAlign w:val="center"/>
          </w:tcPr>
          <w:p w14:paraId="243DF5C2">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北</w:t>
            </w:r>
          </w:p>
        </w:tc>
        <w:tc>
          <w:tcPr>
            <w:tcW w:w="875" w:type="dxa"/>
            <w:tcBorders>
              <w:tl2br w:val="nil"/>
              <w:tr2bl w:val="nil"/>
            </w:tcBorders>
            <w:vAlign w:val="center"/>
          </w:tcPr>
          <w:p w14:paraId="323CE8E3">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18</w:t>
            </w:r>
            <w:r>
              <w:rPr>
                <w:rFonts w:hint="eastAsia" w:ascii="Times New Roman" w:hAnsi="Times New Roman" w:eastAsia="宋体" w:cs="Times New Roman"/>
                <w:caps w:val="0"/>
                <w:smallCaps w:val="0"/>
                <w:color w:val="auto"/>
                <w:spacing w:val="0"/>
                <w:highlight w:val="none"/>
              </w:rPr>
              <w:t>0</w:t>
            </w:r>
            <w:r>
              <w:rPr>
                <w:rFonts w:ascii="Times New Roman" w:hAnsi="Times New Roman" w:eastAsia="宋体" w:cs="Times New Roman"/>
                <w:caps w:val="0"/>
                <w:smallCaps w:val="0"/>
                <w:color w:val="auto"/>
                <w:spacing w:val="0"/>
                <w:highlight w:val="none"/>
              </w:rPr>
              <w:t>0</w:t>
            </w:r>
          </w:p>
        </w:tc>
        <w:tc>
          <w:tcPr>
            <w:tcW w:w="3020" w:type="dxa"/>
            <w:tcBorders>
              <w:tl2br w:val="nil"/>
              <w:tr2bl w:val="nil"/>
            </w:tcBorders>
            <w:vAlign w:val="center"/>
          </w:tcPr>
          <w:p w14:paraId="32638F4B">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村屯分散式水源</w:t>
            </w:r>
          </w:p>
        </w:tc>
        <w:tc>
          <w:tcPr>
            <w:tcW w:w="1309" w:type="dxa"/>
            <w:vMerge w:val="restart"/>
            <w:tcBorders>
              <w:bottom w:val="single" w:color="auto" w:sz="8" w:space="0"/>
              <w:tl2br w:val="nil"/>
              <w:tr2bl w:val="nil"/>
            </w:tcBorders>
            <w:vAlign w:val="center"/>
          </w:tcPr>
          <w:p w14:paraId="25331088">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《地下水质量标准》（GB14848-2017）Ⅲ类</w:t>
            </w:r>
          </w:p>
        </w:tc>
      </w:tr>
      <w:tr w14:paraId="6ECE590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76" w:type="dxa"/>
            <w:tcBorders>
              <w:bottom w:val="single" w:color="auto" w:sz="8" w:space="0"/>
              <w:tl2br w:val="nil"/>
              <w:tr2bl w:val="nil"/>
            </w:tcBorders>
            <w:vAlign w:val="center"/>
          </w:tcPr>
          <w:p w14:paraId="3F7E86D9">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w:t>
            </w:r>
          </w:p>
        </w:tc>
        <w:tc>
          <w:tcPr>
            <w:tcW w:w="796" w:type="dxa"/>
            <w:vMerge w:val="continue"/>
            <w:tcBorders>
              <w:bottom w:val="single" w:color="auto" w:sz="8" w:space="0"/>
              <w:tl2br w:val="nil"/>
              <w:tr2bl w:val="nil"/>
            </w:tcBorders>
            <w:vAlign w:val="center"/>
          </w:tcPr>
          <w:p w14:paraId="721AF607">
            <w:pPr>
              <w:pStyle w:val="66"/>
              <w:widowControl w:val="0"/>
              <w:snapToGrid w:val="0"/>
              <w:ind w:left="0"/>
              <w:rPr>
                <w:rFonts w:ascii="Times New Roman" w:hAnsi="Times New Roman" w:eastAsia="宋体" w:cs="Times New Roman"/>
                <w:caps w:val="0"/>
                <w:smallCaps w:val="0"/>
                <w:color w:val="auto"/>
                <w:spacing w:val="0"/>
                <w:highlight w:val="none"/>
              </w:rPr>
            </w:pPr>
          </w:p>
        </w:tc>
        <w:tc>
          <w:tcPr>
            <w:tcW w:w="1982" w:type="dxa"/>
            <w:tcBorders>
              <w:bottom w:val="single" w:color="auto" w:sz="8" w:space="0"/>
              <w:tl2br w:val="nil"/>
              <w:tr2bl w:val="nil"/>
            </w:tcBorders>
            <w:vAlign w:val="center"/>
          </w:tcPr>
          <w:p w14:paraId="4D9C6509">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红力村水源井</w:t>
            </w:r>
          </w:p>
        </w:tc>
        <w:tc>
          <w:tcPr>
            <w:tcW w:w="728" w:type="dxa"/>
            <w:tcBorders>
              <w:bottom w:val="single" w:color="auto" w:sz="8" w:space="0"/>
              <w:tl2br w:val="nil"/>
              <w:tr2bl w:val="nil"/>
            </w:tcBorders>
            <w:vAlign w:val="center"/>
          </w:tcPr>
          <w:p w14:paraId="24A18D76">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西北</w:t>
            </w:r>
          </w:p>
        </w:tc>
        <w:tc>
          <w:tcPr>
            <w:tcW w:w="875" w:type="dxa"/>
            <w:tcBorders>
              <w:bottom w:val="single" w:color="auto" w:sz="8" w:space="0"/>
              <w:tl2br w:val="nil"/>
              <w:tr2bl w:val="nil"/>
            </w:tcBorders>
            <w:vAlign w:val="center"/>
          </w:tcPr>
          <w:p w14:paraId="78C65D47">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29</w:t>
            </w:r>
            <w:r>
              <w:rPr>
                <w:rFonts w:hint="eastAsia" w:ascii="Times New Roman" w:hAnsi="Times New Roman" w:eastAsia="宋体" w:cs="Times New Roman"/>
                <w:caps w:val="0"/>
                <w:smallCaps w:val="0"/>
                <w:color w:val="auto"/>
                <w:spacing w:val="0"/>
                <w:highlight w:val="none"/>
              </w:rPr>
              <w:t>0</w:t>
            </w:r>
            <w:r>
              <w:rPr>
                <w:rFonts w:ascii="Times New Roman" w:hAnsi="Times New Roman" w:eastAsia="宋体" w:cs="Times New Roman"/>
                <w:caps w:val="0"/>
                <w:smallCaps w:val="0"/>
                <w:color w:val="auto"/>
                <w:spacing w:val="0"/>
                <w:highlight w:val="none"/>
              </w:rPr>
              <w:t>0</w:t>
            </w:r>
          </w:p>
        </w:tc>
        <w:tc>
          <w:tcPr>
            <w:tcW w:w="3020" w:type="dxa"/>
            <w:tcBorders>
              <w:bottom w:val="single" w:color="auto" w:sz="8" w:space="0"/>
              <w:tl2br w:val="nil"/>
              <w:tr2bl w:val="nil"/>
            </w:tcBorders>
            <w:vAlign w:val="center"/>
          </w:tcPr>
          <w:p w14:paraId="59B4FEC1">
            <w:pPr>
              <w:pStyle w:val="66"/>
              <w:widowControl w:val="0"/>
              <w:snapToGrid w:val="0"/>
              <w:ind w:left="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集中式水源</w:t>
            </w:r>
          </w:p>
        </w:tc>
        <w:tc>
          <w:tcPr>
            <w:tcW w:w="1309" w:type="dxa"/>
            <w:vMerge w:val="continue"/>
            <w:tcBorders>
              <w:top w:val="single" w:color="auto" w:sz="8" w:space="0"/>
              <w:bottom w:val="single" w:color="auto" w:sz="8" w:space="0"/>
              <w:tl2br w:val="nil"/>
              <w:tr2bl w:val="nil"/>
            </w:tcBorders>
            <w:vAlign w:val="center"/>
          </w:tcPr>
          <w:p w14:paraId="7C35AE56">
            <w:pPr>
              <w:pStyle w:val="66"/>
              <w:widowControl w:val="0"/>
              <w:snapToGrid w:val="0"/>
              <w:ind w:left="0"/>
              <w:rPr>
                <w:rFonts w:ascii="Times New Roman" w:hAnsi="Times New Roman" w:eastAsia="宋体" w:cs="Times New Roman"/>
                <w:caps w:val="0"/>
                <w:smallCaps w:val="0"/>
                <w:color w:val="auto"/>
                <w:spacing w:val="0"/>
                <w:highlight w:val="none"/>
              </w:rPr>
            </w:pPr>
          </w:p>
        </w:tc>
      </w:tr>
    </w:tbl>
    <w:p w14:paraId="21AF0154">
      <w:pPr>
        <w:widowControl w:val="0"/>
        <w:spacing w:line="360" w:lineRule="auto"/>
        <w:ind w:firstLine="442"/>
        <w:rPr>
          <w:rFonts w:ascii="Times New Roman" w:hAnsi="Times New Roman" w:eastAsia="宋体" w:cs="Times New Roman"/>
          <w:caps w:val="0"/>
          <w:smallCaps w:val="0"/>
          <w:color w:val="auto"/>
          <w:spacing w:val="0"/>
          <w:highlight w:val="none"/>
        </w:rPr>
        <w:sectPr>
          <w:headerReference r:id="rId9" w:type="default"/>
          <w:pgSz w:w="11906" w:h="16838"/>
          <w:pgMar w:top="1418" w:right="1418" w:bottom="1418" w:left="1418" w:header="1134" w:footer="1134" w:gutter="0"/>
          <w:pgBorders>
            <w:top w:val="none" w:sz="0" w:space="0"/>
            <w:left w:val="none" w:sz="0" w:space="0"/>
            <w:bottom w:val="none" w:sz="0" w:space="0"/>
            <w:right w:val="none" w:sz="0" w:space="0"/>
          </w:pgBorders>
          <w:cols w:space="425" w:num="1"/>
          <w:docGrid w:linePitch="333" w:charSpace="-3847"/>
        </w:sectPr>
      </w:pPr>
    </w:p>
    <w:p w14:paraId="2A85C079">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58" w:name="_Toc477951941"/>
      <w:bookmarkStart w:id="59" w:name="_Toc14115"/>
      <w:r>
        <w:rPr>
          <w:rFonts w:ascii="Times New Roman" w:hAnsi="Times New Roman" w:eastAsia="宋体" w:cs="Times New Roman"/>
          <w:caps w:val="0"/>
          <w:smallCaps w:val="0"/>
          <w:color w:val="auto"/>
          <w:spacing w:val="0"/>
          <w:highlight w:val="none"/>
        </w:rPr>
        <w:t>3建设项目概况和工程分析</w:t>
      </w:r>
      <w:bookmarkEnd w:id="58"/>
      <w:bookmarkEnd w:id="59"/>
    </w:p>
    <w:p w14:paraId="12C556DC">
      <w:pPr>
        <w:pStyle w:val="4"/>
        <w:widowControl w:val="0"/>
        <w:rPr>
          <w:rFonts w:eastAsia="宋体"/>
          <w:caps w:val="0"/>
          <w:smallCaps w:val="0"/>
          <w:color w:val="auto"/>
          <w:spacing w:val="0"/>
          <w:highlight w:val="none"/>
        </w:rPr>
      </w:pPr>
      <w:bookmarkStart w:id="60" w:name="_Toc8363"/>
      <w:bookmarkStart w:id="61" w:name="_Toc477951942"/>
      <w:bookmarkStart w:id="62" w:name="_Toc342462476"/>
      <w:bookmarkStart w:id="63" w:name="_Toc285188886"/>
      <w:r>
        <w:rPr>
          <w:rFonts w:eastAsia="宋体"/>
          <w:caps w:val="0"/>
          <w:smallCaps w:val="0"/>
          <w:color w:val="auto"/>
          <w:spacing w:val="0"/>
          <w:highlight w:val="none"/>
        </w:rPr>
        <w:t>3.1现有建设项目</w:t>
      </w:r>
      <w:bookmarkEnd w:id="60"/>
    </w:p>
    <w:p w14:paraId="34F8FB44">
      <w:pPr>
        <w:pStyle w:val="5"/>
        <w:widowControl w:val="0"/>
        <w:rPr>
          <w:rFonts w:eastAsia="宋体"/>
          <w:caps w:val="0"/>
          <w:smallCaps w:val="0"/>
          <w:color w:val="auto"/>
          <w:spacing w:val="0"/>
          <w:sz w:val="30"/>
          <w:szCs w:val="30"/>
          <w:highlight w:val="none"/>
        </w:rPr>
      </w:pPr>
      <w:bookmarkStart w:id="64" w:name="_Toc19654"/>
      <w:r>
        <w:rPr>
          <w:rFonts w:eastAsia="宋体"/>
          <w:caps w:val="0"/>
          <w:smallCaps w:val="0"/>
          <w:color w:val="auto"/>
          <w:spacing w:val="0"/>
          <w:sz w:val="30"/>
          <w:szCs w:val="30"/>
          <w:highlight w:val="none"/>
        </w:rPr>
        <w:t>3.1.1现有工程概况</w:t>
      </w:r>
      <w:bookmarkEnd w:id="64"/>
    </w:p>
    <w:p w14:paraId="74C67C6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2019年10月委托黑龙江省清泽环境科技有限公司承担了《佳木斯中建材光电材料有限公司黑龙江省佳木斯市高新区年产100MW碲化镉弱光发电玻璃项目环境影响报告书》的环境影响评价工作；</w:t>
      </w:r>
    </w:p>
    <w:p w14:paraId="4CFC74D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2019年12月16日，佳木斯市生态环境局以佳环建审</w:t>
      </w:r>
      <w:r>
        <w:rPr>
          <w:rFonts w:hint="eastAsia" w:ascii="Times New Roman" w:hAnsi="Times New Roman" w:eastAsia="宋体" w:cs="Times New Roman"/>
          <w:caps w:val="0"/>
          <w:smallCaps w:val="0"/>
          <w:color w:val="auto"/>
          <w:spacing w:val="0"/>
          <w:highlight w:val="none"/>
        </w:rPr>
        <w:t>〔2019〕72号</w:t>
      </w:r>
      <w:r>
        <w:rPr>
          <w:rFonts w:ascii="Times New Roman" w:hAnsi="Times New Roman" w:eastAsia="宋体" w:cs="Times New Roman"/>
          <w:caps w:val="0"/>
          <w:smallCaps w:val="0"/>
          <w:color w:val="auto"/>
          <w:spacing w:val="0"/>
          <w:highlight w:val="none"/>
        </w:rPr>
        <w:t>文对环境影响报告书进行了批复</w:t>
      </w:r>
      <w:r>
        <w:rPr>
          <w:rFonts w:hint="eastAsia" w:ascii="Times New Roman" w:hAnsi="Times New Roman" w:eastAsia="宋体" w:cs="Times New Roman"/>
          <w:caps w:val="0"/>
          <w:smallCaps w:val="0"/>
          <w:color w:val="auto"/>
          <w:spacing w:val="0"/>
          <w:highlight w:val="none"/>
        </w:rPr>
        <w:t>；</w:t>
      </w:r>
    </w:p>
    <w:p w14:paraId="543D105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本项目于2020年3月开工建设，于2023年12月建成</w:t>
      </w:r>
      <w:r>
        <w:rPr>
          <w:rFonts w:hint="eastAsia" w:ascii="Times New Roman" w:hAnsi="Times New Roman" w:eastAsia="宋体" w:cs="Times New Roman"/>
          <w:caps w:val="0"/>
          <w:smallCaps w:val="0"/>
          <w:color w:val="auto"/>
          <w:spacing w:val="0"/>
          <w:highlight w:val="none"/>
        </w:rPr>
        <w:t>，2023年7月按要求完成排污许可证登记，见附件2，2023年9月进行了环境风险预案应急备案，应急预案备案表见附件4；</w:t>
      </w:r>
    </w:p>
    <w:p w14:paraId="483BD8A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2024年1月进行竣工环保验收，</w:t>
      </w:r>
      <w:r>
        <w:rPr>
          <w:rFonts w:hint="default" w:ascii="Times New Roman" w:hAnsi="Times New Roman" w:eastAsia="宋体" w:cs="Times New Roman"/>
          <w:caps w:val="0"/>
          <w:smallCaps w:val="0"/>
          <w:color w:val="auto"/>
          <w:spacing w:val="0"/>
          <w:highlight w:val="none"/>
          <w:lang w:val="en-US" w:eastAsia="zh-CN"/>
        </w:rPr>
        <w:t>竣工环境保护验收监测报告和验收意见已在全国建设项目竣工环境保护验收信息平台填报</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验收意见见附件3。</w:t>
      </w:r>
      <w:r>
        <w:rPr>
          <w:rFonts w:ascii="Times New Roman" w:hAnsi="Times New Roman" w:eastAsia="宋体" w:cs="Times New Roman"/>
          <w:caps w:val="0"/>
          <w:smallCaps w:val="0"/>
          <w:color w:val="auto"/>
          <w:spacing w:val="0"/>
          <w:highlight w:val="none"/>
        </w:rPr>
        <w:t>验收内容仅验收后端组装工段，前段镀膜均采用半成品原材料，生产规模不变</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建设办公楼、联合车间、外辅房及生活辅助设施等建筑面积约55126平方米，建设采用改进的近空间升华核心技术生产碲化镉弱光发电玻璃100MW/a（可实现126MW/a）生产线一条，项目总占地107202.00平方米，总投资90460万元。</w:t>
      </w:r>
    </w:p>
    <w:p w14:paraId="2FDDD91A">
      <w:pPr>
        <w:pStyle w:val="5"/>
        <w:widowControl w:val="0"/>
        <w:rPr>
          <w:rFonts w:eastAsia="宋体"/>
          <w:caps w:val="0"/>
          <w:smallCaps w:val="0"/>
          <w:color w:val="auto"/>
          <w:spacing w:val="0"/>
          <w:sz w:val="30"/>
          <w:szCs w:val="30"/>
          <w:highlight w:val="none"/>
        </w:rPr>
      </w:pPr>
      <w:bookmarkStart w:id="65" w:name="_Toc28814"/>
      <w:r>
        <w:rPr>
          <w:rFonts w:eastAsia="宋体"/>
          <w:caps w:val="0"/>
          <w:smallCaps w:val="0"/>
          <w:color w:val="auto"/>
          <w:spacing w:val="0"/>
          <w:sz w:val="30"/>
          <w:szCs w:val="30"/>
          <w:highlight w:val="none"/>
        </w:rPr>
        <w:t>3.1.2现有工程组成</w:t>
      </w:r>
      <w:bookmarkEnd w:id="65"/>
    </w:p>
    <w:p w14:paraId="17A14F22">
      <w:pPr>
        <w:pStyle w:val="96"/>
        <w:tabs>
          <w:tab w:val="left" w:pos="6033"/>
          <w:tab w:val="left" w:pos="6271"/>
        </w:tabs>
        <w:autoSpaceDE w:val="0"/>
        <w:autoSpaceDN w:val="0"/>
        <w:spacing w:line="240" w:lineRule="auto"/>
        <w:ind w:right="-65" w:rightChars="-27" w:firstLine="482"/>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表3.1-1现有工程项目组成表</w:t>
      </w:r>
    </w:p>
    <w:tbl>
      <w:tblPr>
        <w:tblStyle w:val="3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74"/>
        <w:gridCol w:w="1817"/>
        <w:gridCol w:w="6688"/>
      </w:tblGrid>
      <w:tr w14:paraId="32EE4B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1396" w:type="pct"/>
            <w:gridSpan w:val="2"/>
            <w:tcBorders>
              <w:top w:val="single" w:color="auto" w:sz="8" w:space="0"/>
              <w:bottom w:val="single" w:color="auto" w:sz="8" w:space="0"/>
              <w:tl2br w:val="nil"/>
              <w:tr2bl w:val="nil"/>
            </w:tcBorders>
            <w:shd w:val="clear" w:color="auto" w:fill="auto"/>
            <w:vAlign w:val="center"/>
          </w:tcPr>
          <w:p w14:paraId="1EE6A7F4">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项目组成</w:t>
            </w:r>
          </w:p>
        </w:tc>
        <w:tc>
          <w:tcPr>
            <w:tcW w:w="3603" w:type="pct"/>
            <w:tcBorders>
              <w:top w:val="single" w:color="auto" w:sz="8" w:space="0"/>
              <w:bottom w:val="single" w:color="auto" w:sz="8" w:space="0"/>
              <w:tl2br w:val="nil"/>
              <w:tr2bl w:val="nil"/>
            </w:tcBorders>
            <w:shd w:val="clear" w:color="auto" w:fill="auto"/>
            <w:vAlign w:val="center"/>
          </w:tcPr>
          <w:p w14:paraId="64097DD3">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建设内容</w:t>
            </w:r>
          </w:p>
        </w:tc>
      </w:tr>
      <w:tr w14:paraId="6C6C7E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tcBorders>
              <w:top w:val="single" w:color="auto" w:sz="8" w:space="0"/>
              <w:tl2br w:val="nil"/>
              <w:tr2bl w:val="nil"/>
            </w:tcBorders>
            <w:shd w:val="clear" w:color="auto" w:fill="auto"/>
            <w:vAlign w:val="center"/>
          </w:tcPr>
          <w:p w14:paraId="61AB478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生产线</w:t>
            </w:r>
          </w:p>
        </w:tc>
        <w:tc>
          <w:tcPr>
            <w:tcW w:w="979" w:type="pct"/>
            <w:tcBorders>
              <w:top w:val="single" w:color="auto" w:sz="8" w:space="0"/>
              <w:tl2br w:val="nil"/>
              <w:tr2bl w:val="nil"/>
            </w:tcBorders>
            <w:shd w:val="clear" w:color="auto" w:fill="auto"/>
            <w:vAlign w:val="center"/>
          </w:tcPr>
          <w:p w14:paraId="426994C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生产线</w:t>
            </w:r>
          </w:p>
        </w:tc>
        <w:tc>
          <w:tcPr>
            <w:tcW w:w="3603" w:type="pct"/>
            <w:tcBorders>
              <w:top w:val="single" w:color="auto" w:sz="8" w:space="0"/>
              <w:tl2br w:val="nil"/>
              <w:tr2bl w:val="nil"/>
            </w:tcBorders>
            <w:shd w:val="clear" w:color="auto" w:fill="auto"/>
            <w:vAlign w:val="center"/>
          </w:tcPr>
          <w:p w14:paraId="77207FC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一条年产</w:t>
            </w:r>
            <w:r>
              <w:rPr>
                <w:rStyle w:val="198"/>
                <w:rFonts w:eastAsia="宋体"/>
                <w:caps w:val="0"/>
                <w:smallCaps w:val="0"/>
                <w:color w:val="auto"/>
                <w:spacing w:val="0"/>
                <w:sz w:val="21"/>
                <w:szCs w:val="21"/>
                <w:highlight w:val="none"/>
                <w:lang w:bidi="ar"/>
              </w:rPr>
              <w:t>100MW</w:t>
            </w:r>
            <w:r>
              <w:rPr>
                <w:rStyle w:val="137"/>
                <w:rFonts w:hint="default" w:ascii="Times New Roman" w:hAnsi="Times New Roman" w:cs="Times New Roman"/>
                <w:caps w:val="0"/>
                <w:smallCaps w:val="0"/>
                <w:color w:val="auto"/>
                <w:spacing w:val="0"/>
                <w:sz w:val="21"/>
                <w:szCs w:val="21"/>
                <w:highlight w:val="none"/>
                <w:lang w:bidi="ar"/>
              </w:rPr>
              <w:t>（可达</w:t>
            </w:r>
            <w:r>
              <w:rPr>
                <w:rStyle w:val="198"/>
                <w:rFonts w:eastAsia="宋体"/>
                <w:caps w:val="0"/>
                <w:smallCaps w:val="0"/>
                <w:color w:val="auto"/>
                <w:spacing w:val="0"/>
                <w:sz w:val="21"/>
                <w:szCs w:val="21"/>
                <w:highlight w:val="none"/>
                <w:lang w:bidi="ar"/>
              </w:rPr>
              <w:t>126MW</w:t>
            </w:r>
            <w:r>
              <w:rPr>
                <w:rStyle w:val="137"/>
                <w:rFonts w:hint="default" w:ascii="Times New Roman" w:hAnsi="Times New Roman" w:cs="Times New Roman"/>
                <w:caps w:val="0"/>
                <w:smallCaps w:val="0"/>
                <w:color w:val="auto"/>
                <w:spacing w:val="0"/>
                <w:sz w:val="21"/>
                <w:szCs w:val="21"/>
                <w:highlight w:val="none"/>
                <w:lang w:bidi="ar"/>
              </w:rPr>
              <w:t>）碲化镉弱光发电玻璃生产线</w:t>
            </w:r>
          </w:p>
        </w:tc>
      </w:tr>
      <w:tr w14:paraId="282E83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restart"/>
            <w:tcBorders>
              <w:tl2br w:val="nil"/>
              <w:tr2bl w:val="nil"/>
            </w:tcBorders>
            <w:shd w:val="clear" w:color="auto" w:fill="auto"/>
            <w:vAlign w:val="center"/>
          </w:tcPr>
          <w:p w14:paraId="52229E5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配套工程</w:t>
            </w:r>
          </w:p>
        </w:tc>
        <w:tc>
          <w:tcPr>
            <w:tcW w:w="979" w:type="pct"/>
            <w:tcBorders>
              <w:tl2br w:val="nil"/>
              <w:tr2bl w:val="nil"/>
            </w:tcBorders>
            <w:shd w:val="clear" w:color="auto" w:fill="auto"/>
            <w:vAlign w:val="center"/>
          </w:tcPr>
          <w:p w14:paraId="6AAA466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联合车间</w:t>
            </w:r>
          </w:p>
        </w:tc>
        <w:tc>
          <w:tcPr>
            <w:tcW w:w="3603" w:type="pct"/>
            <w:tcBorders>
              <w:tl2br w:val="nil"/>
              <w:tr2bl w:val="nil"/>
            </w:tcBorders>
            <w:shd w:val="clear" w:color="auto" w:fill="auto"/>
            <w:vAlign w:val="center"/>
          </w:tcPr>
          <w:p w14:paraId="5ED0D41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采用钢结构，建筑面积</w:t>
            </w:r>
            <w:r>
              <w:rPr>
                <w:rStyle w:val="198"/>
                <w:rFonts w:eastAsia="宋体"/>
                <w:caps w:val="0"/>
                <w:smallCaps w:val="0"/>
                <w:color w:val="auto"/>
                <w:spacing w:val="0"/>
                <w:sz w:val="21"/>
                <w:szCs w:val="21"/>
                <w:highlight w:val="none"/>
                <w:lang w:bidi="ar"/>
              </w:rPr>
              <w:t>44974m</w:t>
            </w:r>
            <w:r>
              <w:rPr>
                <w:rStyle w:val="198"/>
                <w:rFonts w:eastAsia="宋体"/>
                <w:caps w:val="0"/>
                <w:smallCaps w:val="0"/>
                <w:color w:val="auto"/>
                <w:spacing w:val="0"/>
                <w:sz w:val="21"/>
                <w:szCs w:val="21"/>
                <w:highlight w:val="none"/>
                <w:vertAlign w:val="superscript"/>
                <w:lang w:bidi="ar"/>
              </w:rPr>
              <w:t>2</w:t>
            </w:r>
            <w:r>
              <w:rPr>
                <w:rStyle w:val="137"/>
                <w:rFonts w:hint="default" w:ascii="Times New Roman" w:hAnsi="Times New Roman" w:cs="Times New Roman"/>
                <w:caps w:val="0"/>
                <w:smallCaps w:val="0"/>
                <w:color w:val="auto"/>
                <w:spacing w:val="0"/>
                <w:sz w:val="21"/>
                <w:szCs w:val="21"/>
                <w:highlight w:val="none"/>
                <w:lang w:bidi="ar"/>
              </w:rPr>
              <w:t>，其中清洁车间</w:t>
            </w:r>
            <w:r>
              <w:rPr>
                <w:rStyle w:val="198"/>
                <w:rFonts w:eastAsia="宋体"/>
                <w:caps w:val="0"/>
                <w:smallCaps w:val="0"/>
                <w:color w:val="auto"/>
                <w:spacing w:val="0"/>
                <w:sz w:val="21"/>
                <w:szCs w:val="21"/>
                <w:highlight w:val="none"/>
                <w:lang w:bidi="ar"/>
              </w:rPr>
              <w:t>20000m</w:t>
            </w:r>
            <w:r>
              <w:rPr>
                <w:rStyle w:val="198"/>
                <w:rFonts w:eastAsia="宋体"/>
                <w:caps w:val="0"/>
                <w:smallCaps w:val="0"/>
                <w:color w:val="auto"/>
                <w:spacing w:val="0"/>
                <w:sz w:val="21"/>
                <w:szCs w:val="21"/>
                <w:highlight w:val="none"/>
                <w:vertAlign w:val="superscript"/>
                <w:lang w:bidi="ar"/>
              </w:rPr>
              <w:t>2</w:t>
            </w:r>
            <w:r>
              <w:rPr>
                <w:rStyle w:val="137"/>
                <w:rFonts w:hint="default" w:ascii="Times New Roman" w:hAnsi="Times New Roman" w:cs="Times New Roman"/>
                <w:caps w:val="0"/>
                <w:smallCaps w:val="0"/>
                <w:color w:val="auto"/>
                <w:spacing w:val="0"/>
                <w:sz w:val="21"/>
                <w:szCs w:val="21"/>
                <w:highlight w:val="none"/>
                <w:lang w:bidi="ar"/>
              </w:rPr>
              <w:t>，位于厂区中部靠北侧</w:t>
            </w:r>
          </w:p>
        </w:tc>
      </w:tr>
      <w:tr w14:paraId="05ECAC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3C35AD9C">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76CE37F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办公楼</w:t>
            </w:r>
          </w:p>
        </w:tc>
        <w:tc>
          <w:tcPr>
            <w:tcW w:w="3603" w:type="pct"/>
            <w:tcBorders>
              <w:tl2br w:val="nil"/>
              <w:tr2bl w:val="nil"/>
            </w:tcBorders>
            <w:shd w:val="clear" w:color="auto" w:fill="auto"/>
            <w:vAlign w:val="center"/>
          </w:tcPr>
          <w:p w14:paraId="2ABDD8F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采用框架结构，建筑面积</w:t>
            </w:r>
            <w:r>
              <w:rPr>
                <w:rStyle w:val="198"/>
                <w:rFonts w:eastAsia="宋体"/>
                <w:caps w:val="0"/>
                <w:smallCaps w:val="0"/>
                <w:color w:val="auto"/>
                <w:spacing w:val="0"/>
                <w:sz w:val="21"/>
                <w:szCs w:val="21"/>
                <w:highlight w:val="none"/>
                <w:lang w:bidi="ar"/>
              </w:rPr>
              <w:t>2107.08m</w:t>
            </w:r>
            <w:r>
              <w:rPr>
                <w:rStyle w:val="198"/>
                <w:rFonts w:eastAsia="宋体"/>
                <w:caps w:val="0"/>
                <w:smallCaps w:val="0"/>
                <w:color w:val="auto"/>
                <w:spacing w:val="0"/>
                <w:sz w:val="21"/>
                <w:szCs w:val="21"/>
                <w:highlight w:val="none"/>
                <w:vertAlign w:val="superscript"/>
                <w:lang w:bidi="ar"/>
              </w:rPr>
              <w:t>2</w:t>
            </w:r>
            <w:r>
              <w:rPr>
                <w:rStyle w:val="137"/>
                <w:rFonts w:hint="default" w:ascii="Times New Roman" w:hAnsi="Times New Roman" w:cs="Times New Roman"/>
                <w:caps w:val="0"/>
                <w:smallCaps w:val="0"/>
                <w:color w:val="auto"/>
                <w:spacing w:val="0"/>
                <w:sz w:val="21"/>
                <w:szCs w:val="21"/>
                <w:highlight w:val="none"/>
                <w:lang w:bidi="ar"/>
              </w:rPr>
              <w:t>，共</w:t>
            </w:r>
            <w:r>
              <w:rPr>
                <w:rStyle w:val="198"/>
                <w:rFonts w:eastAsia="宋体"/>
                <w:caps w:val="0"/>
                <w:smallCaps w:val="0"/>
                <w:color w:val="auto"/>
                <w:spacing w:val="0"/>
                <w:sz w:val="21"/>
                <w:szCs w:val="21"/>
                <w:highlight w:val="none"/>
                <w:lang w:bidi="ar"/>
              </w:rPr>
              <w:t>3</w:t>
            </w:r>
            <w:r>
              <w:rPr>
                <w:rStyle w:val="137"/>
                <w:rFonts w:hint="default" w:ascii="Times New Roman" w:hAnsi="Times New Roman" w:cs="Times New Roman"/>
                <w:caps w:val="0"/>
                <w:smallCaps w:val="0"/>
                <w:color w:val="auto"/>
                <w:spacing w:val="0"/>
                <w:sz w:val="21"/>
                <w:szCs w:val="21"/>
                <w:highlight w:val="none"/>
                <w:lang w:bidi="ar"/>
              </w:rPr>
              <w:t>层。位于厂区中部南侧</w:t>
            </w:r>
          </w:p>
        </w:tc>
      </w:tr>
      <w:tr w14:paraId="6CC03D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7747AD99">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609882A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员工宿舍</w:t>
            </w:r>
          </w:p>
        </w:tc>
        <w:tc>
          <w:tcPr>
            <w:tcW w:w="3603" w:type="pct"/>
            <w:tcBorders>
              <w:tl2br w:val="nil"/>
              <w:tr2bl w:val="nil"/>
            </w:tcBorders>
            <w:shd w:val="clear" w:color="auto" w:fill="auto"/>
            <w:vAlign w:val="center"/>
          </w:tcPr>
          <w:p w14:paraId="6DEA6A0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采用框架结构，建筑面积</w:t>
            </w:r>
            <w:r>
              <w:rPr>
                <w:rStyle w:val="198"/>
                <w:rFonts w:eastAsia="宋体"/>
                <w:caps w:val="0"/>
                <w:smallCaps w:val="0"/>
                <w:color w:val="auto"/>
                <w:spacing w:val="0"/>
                <w:sz w:val="21"/>
                <w:szCs w:val="21"/>
                <w:highlight w:val="none"/>
                <w:lang w:bidi="ar"/>
              </w:rPr>
              <w:t>5034.72m</w:t>
            </w:r>
            <w:r>
              <w:rPr>
                <w:rStyle w:val="198"/>
                <w:rFonts w:eastAsia="宋体"/>
                <w:caps w:val="0"/>
                <w:smallCaps w:val="0"/>
                <w:color w:val="auto"/>
                <w:spacing w:val="0"/>
                <w:sz w:val="21"/>
                <w:szCs w:val="21"/>
                <w:highlight w:val="none"/>
                <w:vertAlign w:val="superscript"/>
                <w:lang w:bidi="ar"/>
              </w:rPr>
              <w:t>2</w:t>
            </w:r>
            <w:r>
              <w:rPr>
                <w:rStyle w:val="137"/>
                <w:rFonts w:hint="default" w:ascii="Times New Roman" w:hAnsi="Times New Roman" w:cs="Times New Roman"/>
                <w:caps w:val="0"/>
                <w:smallCaps w:val="0"/>
                <w:color w:val="auto"/>
                <w:spacing w:val="0"/>
                <w:sz w:val="21"/>
                <w:szCs w:val="21"/>
                <w:highlight w:val="none"/>
                <w:lang w:bidi="ar"/>
              </w:rPr>
              <w:t>，共</w:t>
            </w:r>
            <w:r>
              <w:rPr>
                <w:rStyle w:val="198"/>
                <w:rFonts w:eastAsia="宋体"/>
                <w:caps w:val="0"/>
                <w:smallCaps w:val="0"/>
                <w:color w:val="auto"/>
                <w:spacing w:val="0"/>
                <w:sz w:val="21"/>
                <w:szCs w:val="21"/>
                <w:highlight w:val="none"/>
                <w:lang w:bidi="ar"/>
              </w:rPr>
              <w:t>5</w:t>
            </w:r>
            <w:r>
              <w:rPr>
                <w:rStyle w:val="137"/>
                <w:rFonts w:hint="default" w:ascii="Times New Roman" w:hAnsi="Times New Roman" w:cs="Times New Roman"/>
                <w:caps w:val="0"/>
                <w:smallCaps w:val="0"/>
                <w:color w:val="auto"/>
                <w:spacing w:val="0"/>
                <w:sz w:val="21"/>
                <w:szCs w:val="21"/>
                <w:highlight w:val="none"/>
                <w:lang w:bidi="ar"/>
              </w:rPr>
              <w:t>层。位于厂区西南侧</w:t>
            </w:r>
          </w:p>
        </w:tc>
      </w:tr>
      <w:tr w14:paraId="71E60D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338A28CF">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671DFBD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食堂</w:t>
            </w:r>
          </w:p>
        </w:tc>
        <w:tc>
          <w:tcPr>
            <w:tcW w:w="3603" w:type="pct"/>
            <w:tcBorders>
              <w:tl2br w:val="nil"/>
              <w:tr2bl w:val="nil"/>
            </w:tcBorders>
            <w:shd w:val="clear" w:color="auto" w:fill="auto"/>
            <w:vAlign w:val="center"/>
          </w:tcPr>
          <w:p w14:paraId="79B6C27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采用框架结构，建筑面积</w:t>
            </w:r>
            <w:r>
              <w:rPr>
                <w:rStyle w:val="198"/>
                <w:rFonts w:eastAsia="宋体"/>
                <w:caps w:val="0"/>
                <w:smallCaps w:val="0"/>
                <w:color w:val="auto"/>
                <w:spacing w:val="0"/>
                <w:sz w:val="21"/>
                <w:szCs w:val="21"/>
                <w:highlight w:val="none"/>
                <w:lang w:bidi="ar"/>
              </w:rPr>
              <w:t>817.58m</w:t>
            </w:r>
            <w:r>
              <w:rPr>
                <w:rStyle w:val="198"/>
                <w:rFonts w:eastAsia="宋体"/>
                <w:caps w:val="0"/>
                <w:smallCaps w:val="0"/>
                <w:color w:val="auto"/>
                <w:spacing w:val="0"/>
                <w:sz w:val="21"/>
                <w:szCs w:val="21"/>
                <w:highlight w:val="none"/>
                <w:vertAlign w:val="superscript"/>
                <w:lang w:bidi="ar"/>
              </w:rPr>
              <w:t>2</w:t>
            </w:r>
            <w:r>
              <w:rPr>
                <w:rStyle w:val="137"/>
                <w:rFonts w:hint="default" w:ascii="Times New Roman" w:hAnsi="Times New Roman" w:cs="Times New Roman"/>
                <w:caps w:val="0"/>
                <w:smallCaps w:val="0"/>
                <w:color w:val="auto"/>
                <w:spacing w:val="0"/>
                <w:sz w:val="21"/>
                <w:szCs w:val="21"/>
                <w:highlight w:val="none"/>
                <w:lang w:bidi="ar"/>
              </w:rPr>
              <w:t>，共</w:t>
            </w:r>
            <w:r>
              <w:rPr>
                <w:rStyle w:val="198"/>
                <w:rFonts w:eastAsia="宋体"/>
                <w:caps w:val="0"/>
                <w:smallCaps w:val="0"/>
                <w:color w:val="auto"/>
                <w:spacing w:val="0"/>
                <w:sz w:val="21"/>
                <w:szCs w:val="21"/>
                <w:highlight w:val="none"/>
                <w:lang w:bidi="ar"/>
              </w:rPr>
              <w:t>1</w:t>
            </w:r>
            <w:r>
              <w:rPr>
                <w:rStyle w:val="137"/>
                <w:rFonts w:hint="default" w:ascii="Times New Roman" w:hAnsi="Times New Roman" w:cs="Times New Roman"/>
                <w:caps w:val="0"/>
                <w:smallCaps w:val="0"/>
                <w:color w:val="auto"/>
                <w:spacing w:val="0"/>
                <w:sz w:val="21"/>
                <w:szCs w:val="21"/>
                <w:highlight w:val="none"/>
                <w:lang w:bidi="ar"/>
              </w:rPr>
              <w:t>层。位于厂区东南侧</w:t>
            </w:r>
          </w:p>
        </w:tc>
      </w:tr>
      <w:tr w14:paraId="033F8F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4692CE70">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415059A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门卫房</w:t>
            </w:r>
          </w:p>
        </w:tc>
        <w:tc>
          <w:tcPr>
            <w:tcW w:w="3603" w:type="pct"/>
            <w:tcBorders>
              <w:tl2br w:val="nil"/>
              <w:tr2bl w:val="nil"/>
            </w:tcBorders>
            <w:shd w:val="clear" w:color="auto" w:fill="auto"/>
            <w:vAlign w:val="center"/>
          </w:tcPr>
          <w:p w14:paraId="6D8DD37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采用框架结构，建筑面积</w:t>
            </w:r>
            <w:r>
              <w:rPr>
                <w:rStyle w:val="198"/>
                <w:rFonts w:eastAsia="宋体"/>
                <w:caps w:val="0"/>
                <w:smallCaps w:val="0"/>
                <w:color w:val="auto"/>
                <w:spacing w:val="0"/>
                <w:sz w:val="21"/>
                <w:szCs w:val="21"/>
                <w:highlight w:val="none"/>
                <w:lang w:bidi="ar"/>
              </w:rPr>
              <w:t>191.84m</w:t>
            </w:r>
            <w:r>
              <w:rPr>
                <w:rStyle w:val="198"/>
                <w:rFonts w:eastAsia="宋体"/>
                <w:caps w:val="0"/>
                <w:smallCaps w:val="0"/>
                <w:color w:val="auto"/>
                <w:spacing w:val="0"/>
                <w:sz w:val="21"/>
                <w:szCs w:val="21"/>
                <w:highlight w:val="none"/>
                <w:vertAlign w:val="superscript"/>
                <w:lang w:bidi="ar"/>
              </w:rPr>
              <w:t>2</w:t>
            </w:r>
            <w:r>
              <w:rPr>
                <w:rStyle w:val="137"/>
                <w:rFonts w:hint="default" w:ascii="Times New Roman" w:hAnsi="Times New Roman" w:cs="Times New Roman"/>
                <w:caps w:val="0"/>
                <w:smallCaps w:val="0"/>
                <w:color w:val="auto"/>
                <w:spacing w:val="0"/>
                <w:sz w:val="21"/>
                <w:szCs w:val="21"/>
                <w:highlight w:val="none"/>
                <w:lang w:bidi="ar"/>
              </w:rPr>
              <w:t>，共</w:t>
            </w:r>
            <w:r>
              <w:rPr>
                <w:rStyle w:val="198"/>
                <w:rFonts w:eastAsia="宋体"/>
                <w:caps w:val="0"/>
                <w:smallCaps w:val="0"/>
                <w:color w:val="auto"/>
                <w:spacing w:val="0"/>
                <w:sz w:val="21"/>
                <w:szCs w:val="21"/>
                <w:highlight w:val="none"/>
                <w:lang w:bidi="ar"/>
              </w:rPr>
              <w:t>1</w:t>
            </w:r>
            <w:r>
              <w:rPr>
                <w:rStyle w:val="137"/>
                <w:rFonts w:hint="default" w:ascii="Times New Roman" w:hAnsi="Times New Roman" w:cs="Times New Roman"/>
                <w:caps w:val="0"/>
                <w:smallCaps w:val="0"/>
                <w:color w:val="auto"/>
                <w:spacing w:val="0"/>
                <w:sz w:val="21"/>
                <w:szCs w:val="21"/>
                <w:highlight w:val="none"/>
                <w:lang w:bidi="ar"/>
              </w:rPr>
              <w:t>层。位于厂区南大门东侧</w:t>
            </w:r>
          </w:p>
        </w:tc>
      </w:tr>
      <w:tr w14:paraId="42989C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restart"/>
            <w:tcBorders>
              <w:tl2br w:val="nil"/>
              <w:tr2bl w:val="nil"/>
            </w:tcBorders>
            <w:shd w:val="clear" w:color="auto" w:fill="auto"/>
            <w:vAlign w:val="center"/>
          </w:tcPr>
          <w:p w14:paraId="3A86070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公用工程</w:t>
            </w:r>
          </w:p>
        </w:tc>
        <w:tc>
          <w:tcPr>
            <w:tcW w:w="979" w:type="pct"/>
            <w:tcBorders>
              <w:tl2br w:val="nil"/>
              <w:tr2bl w:val="nil"/>
            </w:tcBorders>
            <w:shd w:val="clear" w:color="auto" w:fill="auto"/>
            <w:vAlign w:val="center"/>
          </w:tcPr>
          <w:p w14:paraId="011AAAA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给水</w:t>
            </w:r>
          </w:p>
        </w:tc>
        <w:tc>
          <w:tcPr>
            <w:tcW w:w="3603" w:type="pct"/>
            <w:tcBorders>
              <w:tl2br w:val="nil"/>
              <w:tr2bl w:val="nil"/>
            </w:tcBorders>
            <w:shd w:val="clear" w:color="auto" w:fill="auto"/>
            <w:vAlign w:val="center"/>
          </w:tcPr>
          <w:p w14:paraId="658C192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用水来自市政管网供给</w:t>
            </w:r>
          </w:p>
        </w:tc>
      </w:tr>
      <w:tr w14:paraId="4E88BD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332B18AC">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256D6EF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排水</w:t>
            </w:r>
          </w:p>
        </w:tc>
        <w:tc>
          <w:tcPr>
            <w:tcW w:w="3603" w:type="pct"/>
            <w:tcBorders>
              <w:tl2br w:val="nil"/>
              <w:tr2bl w:val="nil"/>
            </w:tcBorders>
            <w:shd w:val="clear" w:color="auto" w:fill="auto"/>
            <w:vAlign w:val="center"/>
          </w:tcPr>
          <w:p w14:paraId="028A5BE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食堂废水经隔油池处理后与生活污水排入化粪池处理后一同与背板玻璃清洗废水、锅炉排污水、纯水制备浓水全部排入高新区污水处理厂；</w:t>
            </w:r>
          </w:p>
        </w:tc>
      </w:tr>
      <w:tr w14:paraId="1702DD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41EA8FDA">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23F85E4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供电</w:t>
            </w:r>
          </w:p>
        </w:tc>
        <w:tc>
          <w:tcPr>
            <w:tcW w:w="3603" w:type="pct"/>
            <w:tcBorders>
              <w:tl2br w:val="nil"/>
              <w:tr2bl w:val="nil"/>
            </w:tcBorders>
            <w:shd w:val="clear" w:color="auto" w:fill="auto"/>
            <w:vAlign w:val="center"/>
          </w:tcPr>
          <w:p w14:paraId="33D360C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本项目总装机容量为9800KW，正常生产负荷约7000KW，由110Kv工业变电所提供一路10Kv线路以满足本项目供电需求。</w:t>
            </w:r>
          </w:p>
        </w:tc>
      </w:tr>
      <w:tr w14:paraId="706BFA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restart"/>
            <w:tcBorders>
              <w:tl2br w:val="nil"/>
              <w:tr2bl w:val="nil"/>
            </w:tcBorders>
            <w:shd w:val="clear" w:color="auto" w:fill="auto"/>
            <w:vAlign w:val="center"/>
          </w:tcPr>
          <w:p w14:paraId="00DC956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辅助工程</w:t>
            </w:r>
          </w:p>
        </w:tc>
        <w:tc>
          <w:tcPr>
            <w:tcW w:w="979" w:type="pct"/>
            <w:tcBorders>
              <w:tl2br w:val="nil"/>
              <w:tr2bl w:val="nil"/>
            </w:tcBorders>
            <w:shd w:val="clear" w:color="auto" w:fill="auto"/>
            <w:vAlign w:val="center"/>
          </w:tcPr>
          <w:p w14:paraId="4F2C97C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生产供汽及采暖供热</w:t>
            </w:r>
          </w:p>
        </w:tc>
        <w:tc>
          <w:tcPr>
            <w:tcW w:w="3603" w:type="pct"/>
            <w:tcBorders>
              <w:tl2br w:val="nil"/>
              <w:tr2bl w:val="nil"/>
            </w:tcBorders>
            <w:shd w:val="clear" w:color="auto" w:fill="auto"/>
            <w:vAlign w:val="center"/>
          </w:tcPr>
          <w:p w14:paraId="3C86047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项目生产区和生活区采暖统一外购蒸汽，</w:t>
            </w:r>
            <w:r>
              <w:rPr>
                <w:rFonts w:ascii="Times New Roman" w:hAnsi="Times New Roman" w:eastAsia="宋体" w:cs="Times New Roman"/>
                <w:bCs/>
                <w:caps w:val="0"/>
                <w:smallCaps w:val="0"/>
                <w:color w:val="auto"/>
                <w:spacing w:val="0"/>
                <w:sz w:val="21"/>
                <w:highlight w:val="none"/>
              </w:rPr>
              <w:t>厂区现有2台3.3t/h燃气锅炉，2台6.6t/h燃气锅炉，</w:t>
            </w:r>
            <w:r>
              <w:rPr>
                <w:rFonts w:hint="eastAsia" w:ascii="Times New Roman" w:hAnsi="Times New Roman" w:eastAsia="宋体" w:cs="Times New Roman"/>
                <w:bCs/>
                <w:caps w:val="0"/>
                <w:smallCaps w:val="0"/>
                <w:color w:val="auto"/>
                <w:spacing w:val="0"/>
                <w:sz w:val="21"/>
                <w:highlight w:val="none"/>
              </w:rPr>
              <w:t>均已完成验收</w:t>
            </w:r>
            <w:r>
              <w:rPr>
                <w:rFonts w:hint="eastAsia" w:ascii="Times New Roman" w:hAnsi="Times New Roman" w:eastAsia="宋体" w:cs="Times New Roman"/>
                <w:bCs/>
                <w:caps w:val="0"/>
                <w:smallCaps w:val="0"/>
                <w:color w:val="auto"/>
                <w:spacing w:val="0"/>
                <w:sz w:val="21"/>
                <w:highlight w:val="none"/>
              </w:rPr>
              <w:t>，</w:t>
            </w:r>
            <w:r>
              <w:rPr>
                <w:rFonts w:ascii="Times New Roman" w:hAnsi="Times New Roman" w:eastAsia="宋体" w:cs="Times New Roman"/>
                <w:bCs/>
                <w:caps w:val="0"/>
                <w:smallCaps w:val="0"/>
                <w:color w:val="auto"/>
                <w:spacing w:val="0"/>
                <w:sz w:val="21"/>
                <w:highlight w:val="none"/>
              </w:rPr>
              <w:t>其中1台3.3t/h燃气锅炉以及1台6.6t/h燃气锅炉报停，另外1台3.3t/h燃气锅炉以及1台6.6t/h燃气锅炉作为备用锅炉</w:t>
            </w:r>
          </w:p>
        </w:tc>
      </w:tr>
      <w:tr w14:paraId="73BCE0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3DC440B2">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569CB9D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空压站</w:t>
            </w:r>
          </w:p>
        </w:tc>
        <w:tc>
          <w:tcPr>
            <w:tcW w:w="3603" w:type="pct"/>
            <w:tcBorders>
              <w:tl2br w:val="nil"/>
              <w:tr2bl w:val="nil"/>
            </w:tcBorders>
            <w:shd w:val="clear" w:color="auto" w:fill="auto"/>
            <w:vAlign w:val="center"/>
          </w:tcPr>
          <w:p w14:paraId="4F72FA1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设置在联合车间外辅房内，项目需压缩空气最大量为50m</w:t>
            </w:r>
            <w:r>
              <w:rPr>
                <w:rStyle w:val="200"/>
                <w:rFonts w:hint="default" w:ascii="Times New Roman" w:hAnsi="Times New Roman" w:cs="Times New Roman"/>
                <w:caps w:val="0"/>
                <w:smallCaps w:val="0"/>
                <w:color w:val="auto"/>
                <w:spacing w:val="0"/>
                <w:sz w:val="21"/>
                <w:szCs w:val="21"/>
                <w:highlight w:val="none"/>
                <w:lang w:bidi="ar"/>
              </w:rPr>
              <w:t>3</w:t>
            </w:r>
            <w:r>
              <w:rPr>
                <w:rStyle w:val="201"/>
                <w:rFonts w:hint="default" w:ascii="Times New Roman" w:hAnsi="Times New Roman" w:cs="Times New Roman"/>
                <w:caps w:val="0"/>
                <w:smallCaps w:val="0"/>
                <w:color w:val="auto"/>
                <w:spacing w:val="0"/>
                <w:sz w:val="21"/>
                <w:szCs w:val="21"/>
                <w:highlight w:val="none"/>
                <w:lang w:bidi="ar"/>
              </w:rPr>
              <w:t>/min（标态），设置两台无油型螺杆空气压缩机（21m</w:t>
            </w:r>
            <w:r>
              <w:rPr>
                <w:rStyle w:val="200"/>
                <w:rFonts w:hint="default" w:ascii="Times New Roman" w:hAnsi="Times New Roman" w:cs="Times New Roman"/>
                <w:caps w:val="0"/>
                <w:smallCaps w:val="0"/>
                <w:color w:val="auto"/>
                <w:spacing w:val="0"/>
                <w:sz w:val="21"/>
                <w:szCs w:val="21"/>
                <w:highlight w:val="none"/>
                <w:lang w:bidi="ar"/>
              </w:rPr>
              <w:t>3</w:t>
            </w:r>
            <w:r>
              <w:rPr>
                <w:rStyle w:val="201"/>
                <w:rFonts w:hint="default" w:ascii="Times New Roman" w:hAnsi="Times New Roman" w:cs="Times New Roman"/>
                <w:caps w:val="0"/>
                <w:smallCaps w:val="0"/>
                <w:color w:val="auto"/>
                <w:spacing w:val="0"/>
                <w:sz w:val="21"/>
                <w:szCs w:val="21"/>
                <w:highlight w:val="none"/>
                <w:lang w:bidi="ar"/>
              </w:rPr>
              <w:t>/min、0.86Mpa，一备一用）及一台变频无油型螺杆空气压缩机（26m</w:t>
            </w:r>
            <w:r>
              <w:rPr>
                <w:rStyle w:val="200"/>
                <w:rFonts w:hint="default" w:ascii="Times New Roman" w:hAnsi="Times New Roman" w:cs="Times New Roman"/>
                <w:caps w:val="0"/>
                <w:smallCaps w:val="0"/>
                <w:color w:val="auto"/>
                <w:spacing w:val="0"/>
                <w:sz w:val="21"/>
                <w:szCs w:val="21"/>
                <w:highlight w:val="none"/>
                <w:lang w:bidi="ar"/>
              </w:rPr>
              <w:t>3</w:t>
            </w:r>
            <w:r>
              <w:rPr>
                <w:rStyle w:val="201"/>
                <w:rFonts w:hint="default" w:ascii="Times New Roman" w:hAnsi="Times New Roman" w:cs="Times New Roman"/>
                <w:caps w:val="0"/>
                <w:smallCaps w:val="0"/>
                <w:color w:val="auto"/>
                <w:spacing w:val="0"/>
                <w:sz w:val="21"/>
                <w:szCs w:val="21"/>
                <w:highlight w:val="none"/>
                <w:lang w:bidi="ar"/>
              </w:rPr>
              <w:t>/min、0.86Mpa）。</w:t>
            </w:r>
          </w:p>
        </w:tc>
      </w:tr>
      <w:tr w14:paraId="1D9A1A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bottom w:val="single" w:color="auto" w:sz="8" w:space="0"/>
              <w:tl2br w:val="nil"/>
              <w:tr2bl w:val="nil"/>
            </w:tcBorders>
            <w:shd w:val="clear" w:color="auto" w:fill="auto"/>
            <w:vAlign w:val="center"/>
          </w:tcPr>
          <w:p w14:paraId="0227DB7D">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bottom w:val="single" w:color="auto" w:sz="8" w:space="0"/>
              <w:tl2br w:val="nil"/>
              <w:tr2bl w:val="nil"/>
            </w:tcBorders>
            <w:shd w:val="clear" w:color="auto" w:fill="auto"/>
            <w:vAlign w:val="center"/>
          </w:tcPr>
          <w:p w14:paraId="0273760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真空系统</w:t>
            </w:r>
          </w:p>
        </w:tc>
        <w:tc>
          <w:tcPr>
            <w:tcW w:w="3603" w:type="pct"/>
            <w:tcBorders>
              <w:bottom w:val="single" w:color="auto" w:sz="8" w:space="0"/>
              <w:tl2br w:val="nil"/>
              <w:tr2bl w:val="nil"/>
            </w:tcBorders>
            <w:shd w:val="clear" w:color="auto" w:fill="auto"/>
            <w:vAlign w:val="center"/>
          </w:tcPr>
          <w:p w14:paraId="16E2397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设置在各动力站，主要由真空泵、真空缓冲</w:t>
            </w:r>
            <w:r>
              <w:rPr>
                <w:rStyle w:val="137"/>
                <w:rFonts w:hint="default" w:ascii="Times New Roman" w:hAnsi="Times New Roman" w:cs="Times New Roman"/>
                <w:caps w:val="0"/>
                <w:smallCaps w:val="0"/>
                <w:color w:val="auto"/>
                <w:spacing w:val="0"/>
                <w:sz w:val="21"/>
                <w:szCs w:val="21"/>
                <w:highlight w:val="none"/>
                <w:lang w:bidi="ar"/>
              </w:rPr>
              <w:t>罐、管道及阀门附件等组成</w:t>
            </w:r>
          </w:p>
        </w:tc>
      </w:tr>
      <w:tr w14:paraId="147F0E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op w:val="single" w:color="auto" w:sz="8" w:space="0"/>
              <w:tl2br w:val="nil"/>
              <w:tr2bl w:val="nil"/>
            </w:tcBorders>
            <w:shd w:val="clear" w:color="auto" w:fill="auto"/>
            <w:vAlign w:val="center"/>
          </w:tcPr>
          <w:p w14:paraId="4C50980F">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op w:val="single" w:color="auto" w:sz="8" w:space="0"/>
              <w:tl2br w:val="nil"/>
              <w:tr2bl w:val="nil"/>
            </w:tcBorders>
            <w:shd w:val="clear" w:color="auto" w:fill="auto"/>
            <w:vAlign w:val="center"/>
          </w:tcPr>
          <w:p w14:paraId="3E51E1B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氮气供给系统</w:t>
            </w:r>
          </w:p>
        </w:tc>
        <w:tc>
          <w:tcPr>
            <w:tcW w:w="3603" w:type="pct"/>
            <w:tcBorders>
              <w:top w:val="single" w:color="auto" w:sz="8" w:space="0"/>
              <w:tl2br w:val="nil"/>
              <w:tr2bl w:val="nil"/>
            </w:tcBorders>
            <w:shd w:val="clear" w:color="auto" w:fill="auto"/>
            <w:vAlign w:val="center"/>
          </w:tcPr>
          <w:p w14:paraId="4E2C27A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项目用氮气量为</w:t>
            </w:r>
            <w:r>
              <w:rPr>
                <w:rStyle w:val="198"/>
                <w:rFonts w:eastAsia="宋体"/>
                <w:caps w:val="0"/>
                <w:smallCaps w:val="0"/>
                <w:color w:val="auto"/>
                <w:spacing w:val="0"/>
                <w:sz w:val="21"/>
                <w:szCs w:val="21"/>
                <w:highlight w:val="none"/>
                <w:lang w:bidi="ar"/>
              </w:rPr>
              <w:t>120m</w:t>
            </w:r>
            <w:r>
              <w:rPr>
                <w:rStyle w:val="200"/>
                <w:rFonts w:hint="default" w:ascii="Times New Roman" w:hAnsi="Times New Roman" w:cs="Times New Roman"/>
                <w:caps w:val="0"/>
                <w:smallCaps w:val="0"/>
                <w:color w:val="auto"/>
                <w:spacing w:val="0"/>
                <w:sz w:val="21"/>
                <w:szCs w:val="21"/>
                <w:highlight w:val="none"/>
                <w:lang w:bidi="ar"/>
              </w:rPr>
              <w:t>3</w:t>
            </w:r>
            <w:r>
              <w:rPr>
                <w:rStyle w:val="198"/>
                <w:rFonts w:eastAsia="宋体"/>
                <w:caps w:val="0"/>
                <w:smallCaps w:val="0"/>
                <w:color w:val="auto"/>
                <w:spacing w:val="0"/>
                <w:sz w:val="21"/>
                <w:szCs w:val="21"/>
                <w:highlight w:val="none"/>
                <w:lang w:bidi="ar"/>
              </w:rPr>
              <w:t>/min</w:t>
            </w:r>
            <w:r>
              <w:rPr>
                <w:rStyle w:val="137"/>
                <w:rFonts w:hint="default" w:ascii="Times New Roman" w:hAnsi="Times New Roman" w:cs="Times New Roman"/>
                <w:caps w:val="0"/>
                <w:smallCaps w:val="0"/>
                <w:color w:val="auto"/>
                <w:spacing w:val="0"/>
                <w:sz w:val="21"/>
                <w:szCs w:val="21"/>
                <w:highlight w:val="none"/>
                <w:lang w:bidi="ar"/>
              </w:rPr>
              <w:t>（标态），设两个容积为</w:t>
            </w:r>
            <w:r>
              <w:rPr>
                <w:rStyle w:val="198"/>
                <w:rFonts w:eastAsia="宋体"/>
                <w:caps w:val="0"/>
                <w:smallCaps w:val="0"/>
                <w:color w:val="auto"/>
                <w:spacing w:val="0"/>
                <w:sz w:val="21"/>
                <w:szCs w:val="21"/>
                <w:highlight w:val="none"/>
                <w:lang w:bidi="ar"/>
              </w:rPr>
              <w:t>30m</w:t>
            </w:r>
            <w:r>
              <w:rPr>
                <w:rStyle w:val="200"/>
                <w:rFonts w:hint="default" w:ascii="Times New Roman" w:hAnsi="Times New Roman" w:cs="Times New Roman"/>
                <w:caps w:val="0"/>
                <w:smallCaps w:val="0"/>
                <w:color w:val="auto"/>
                <w:spacing w:val="0"/>
                <w:sz w:val="21"/>
                <w:szCs w:val="21"/>
                <w:highlight w:val="none"/>
                <w:lang w:bidi="ar"/>
              </w:rPr>
              <w:t>3</w:t>
            </w:r>
            <w:r>
              <w:rPr>
                <w:rStyle w:val="137"/>
                <w:rFonts w:hint="default" w:ascii="Times New Roman" w:hAnsi="Times New Roman" w:cs="Times New Roman"/>
                <w:caps w:val="0"/>
                <w:smallCaps w:val="0"/>
                <w:color w:val="auto"/>
                <w:spacing w:val="0"/>
                <w:sz w:val="21"/>
                <w:szCs w:val="21"/>
                <w:highlight w:val="none"/>
                <w:lang w:bidi="ar"/>
              </w:rPr>
              <w:t>（</w:t>
            </w:r>
            <w:r>
              <w:rPr>
                <w:rStyle w:val="198"/>
                <w:rFonts w:eastAsia="宋体"/>
                <w:caps w:val="0"/>
                <w:smallCaps w:val="0"/>
                <w:color w:val="auto"/>
                <w:spacing w:val="0"/>
                <w:sz w:val="21"/>
                <w:szCs w:val="21"/>
                <w:highlight w:val="none"/>
                <w:lang w:bidi="ar"/>
              </w:rPr>
              <w:t>0.6~0.8Mpa</w:t>
            </w:r>
            <w:r>
              <w:rPr>
                <w:rStyle w:val="137"/>
                <w:rFonts w:hint="default" w:ascii="Times New Roman" w:hAnsi="Times New Roman" w:cs="Times New Roman"/>
                <w:caps w:val="0"/>
                <w:smallCaps w:val="0"/>
                <w:color w:val="auto"/>
                <w:spacing w:val="0"/>
                <w:sz w:val="21"/>
                <w:szCs w:val="21"/>
                <w:highlight w:val="none"/>
                <w:lang w:bidi="ar"/>
              </w:rPr>
              <w:t>）的液氮储罐和两台</w:t>
            </w:r>
            <w:r>
              <w:rPr>
                <w:rStyle w:val="198"/>
                <w:rFonts w:eastAsia="宋体"/>
                <w:caps w:val="0"/>
                <w:smallCaps w:val="0"/>
                <w:color w:val="auto"/>
                <w:spacing w:val="0"/>
                <w:sz w:val="21"/>
                <w:szCs w:val="21"/>
                <w:highlight w:val="none"/>
                <w:lang w:bidi="ar"/>
              </w:rPr>
              <w:t>300m</w:t>
            </w:r>
            <w:r>
              <w:rPr>
                <w:rStyle w:val="200"/>
                <w:rFonts w:hint="default" w:ascii="Times New Roman" w:hAnsi="Times New Roman" w:cs="Times New Roman"/>
                <w:caps w:val="0"/>
                <w:smallCaps w:val="0"/>
                <w:color w:val="auto"/>
                <w:spacing w:val="0"/>
                <w:sz w:val="21"/>
                <w:szCs w:val="21"/>
                <w:highlight w:val="none"/>
                <w:lang w:bidi="ar"/>
              </w:rPr>
              <w:t>3</w:t>
            </w:r>
            <w:r>
              <w:rPr>
                <w:rStyle w:val="198"/>
                <w:rFonts w:eastAsia="宋体"/>
                <w:caps w:val="0"/>
                <w:smallCaps w:val="0"/>
                <w:color w:val="auto"/>
                <w:spacing w:val="0"/>
                <w:sz w:val="21"/>
                <w:szCs w:val="21"/>
                <w:highlight w:val="none"/>
                <w:lang w:bidi="ar"/>
              </w:rPr>
              <w:t>/h</w:t>
            </w:r>
            <w:r>
              <w:rPr>
                <w:rStyle w:val="137"/>
                <w:rFonts w:hint="default" w:ascii="Times New Roman" w:hAnsi="Times New Roman" w:cs="Times New Roman"/>
                <w:caps w:val="0"/>
                <w:smallCaps w:val="0"/>
                <w:color w:val="auto"/>
                <w:spacing w:val="0"/>
                <w:sz w:val="21"/>
                <w:szCs w:val="21"/>
                <w:highlight w:val="none"/>
                <w:lang w:bidi="ar"/>
              </w:rPr>
              <w:t>气浴式气化器，外购液氮。</w:t>
            </w:r>
          </w:p>
        </w:tc>
      </w:tr>
      <w:tr w14:paraId="297CAC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7009694A">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54E78EA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氩气供给系统</w:t>
            </w:r>
          </w:p>
        </w:tc>
        <w:tc>
          <w:tcPr>
            <w:tcW w:w="3603" w:type="pct"/>
            <w:tcBorders>
              <w:tl2br w:val="nil"/>
              <w:tr2bl w:val="nil"/>
            </w:tcBorders>
            <w:shd w:val="clear" w:color="auto" w:fill="auto"/>
            <w:vAlign w:val="center"/>
          </w:tcPr>
          <w:p w14:paraId="7EB700C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项目需氩气量为</w:t>
            </w:r>
            <w:r>
              <w:rPr>
                <w:rStyle w:val="198"/>
                <w:rFonts w:eastAsia="宋体"/>
                <w:caps w:val="0"/>
                <w:smallCaps w:val="0"/>
                <w:color w:val="auto"/>
                <w:spacing w:val="0"/>
                <w:sz w:val="21"/>
                <w:szCs w:val="21"/>
                <w:highlight w:val="none"/>
                <w:lang w:bidi="ar"/>
              </w:rPr>
              <w:t>0.2m</w:t>
            </w:r>
            <w:r>
              <w:rPr>
                <w:rStyle w:val="200"/>
                <w:rFonts w:hint="default" w:ascii="Times New Roman" w:hAnsi="Times New Roman" w:cs="Times New Roman"/>
                <w:caps w:val="0"/>
                <w:smallCaps w:val="0"/>
                <w:color w:val="auto"/>
                <w:spacing w:val="0"/>
                <w:sz w:val="21"/>
                <w:szCs w:val="21"/>
                <w:highlight w:val="none"/>
                <w:lang w:bidi="ar"/>
              </w:rPr>
              <w:t>3</w:t>
            </w:r>
            <w:r>
              <w:rPr>
                <w:rStyle w:val="198"/>
                <w:rFonts w:eastAsia="宋体"/>
                <w:caps w:val="0"/>
                <w:smallCaps w:val="0"/>
                <w:color w:val="auto"/>
                <w:spacing w:val="0"/>
                <w:sz w:val="21"/>
                <w:szCs w:val="21"/>
                <w:highlight w:val="none"/>
                <w:lang w:bidi="ar"/>
              </w:rPr>
              <w:t>/h</w:t>
            </w:r>
            <w:r>
              <w:rPr>
                <w:rStyle w:val="137"/>
                <w:rFonts w:hint="default" w:ascii="Times New Roman" w:hAnsi="Times New Roman" w:cs="Times New Roman"/>
                <w:caps w:val="0"/>
                <w:smallCaps w:val="0"/>
                <w:color w:val="auto"/>
                <w:spacing w:val="0"/>
                <w:sz w:val="21"/>
                <w:szCs w:val="21"/>
                <w:highlight w:val="none"/>
                <w:lang w:bidi="ar"/>
              </w:rPr>
              <w:t>（标态），采用外购</w:t>
            </w:r>
            <w:r>
              <w:rPr>
                <w:rStyle w:val="198"/>
                <w:rFonts w:eastAsia="宋体"/>
                <w:caps w:val="0"/>
                <w:smallCaps w:val="0"/>
                <w:color w:val="auto"/>
                <w:spacing w:val="0"/>
                <w:sz w:val="21"/>
                <w:szCs w:val="21"/>
                <w:highlight w:val="none"/>
                <w:lang w:bidi="ar"/>
              </w:rPr>
              <w:t>40L</w:t>
            </w:r>
            <w:r>
              <w:rPr>
                <w:rStyle w:val="137"/>
                <w:rFonts w:hint="default" w:ascii="Times New Roman" w:hAnsi="Times New Roman" w:cs="Times New Roman"/>
                <w:caps w:val="0"/>
                <w:smallCaps w:val="0"/>
                <w:color w:val="auto"/>
                <w:spacing w:val="0"/>
                <w:sz w:val="21"/>
                <w:szCs w:val="21"/>
                <w:highlight w:val="none"/>
                <w:lang w:bidi="ar"/>
              </w:rPr>
              <w:t>、</w:t>
            </w:r>
            <w:r>
              <w:rPr>
                <w:rStyle w:val="198"/>
                <w:rFonts w:eastAsia="宋体"/>
                <w:caps w:val="0"/>
                <w:smallCaps w:val="0"/>
                <w:color w:val="auto"/>
                <w:spacing w:val="0"/>
                <w:sz w:val="21"/>
                <w:szCs w:val="21"/>
                <w:highlight w:val="none"/>
                <w:lang w:bidi="ar"/>
              </w:rPr>
              <w:t>15Mpa</w:t>
            </w:r>
            <w:r>
              <w:rPr>
                <w:rStyle w:val="137"/>
                <w:rFonts w:hint="default" w:ascii="Times New Roman" w:hAnsi="Times New Roman" w:cs="Times New Roman"/>
                <w:caps w:val="0"/>
                <w:smallCaps w:val="0"/>
                <w:color w:val="auto"/>
                <w:spacing w:val="0"/>
                <w:sz w:val="21"/>
                <w:szCs w:val="21"/>
                <w:highlight w:val="none"/>
                <w:lang w:bidi="ar"/>
              </w:rPr>
              <w:t>的氩气瓶放置于用气设备附近，用不锈钢管道送入设备。</w:t>
            </w:r>
          </w:p>
        </w:tc>
      </w:tr>
      <w:tr w14:paraId="3FD4B3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2AF85F1C">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432EFA5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制冷系统</w:t>
            </w:r>
          </w:p>
        </w:tc>
        <w:tc>
          <w:tcPr>
            <w:tcW w:w="3603" w:type="pct"/>
            <w:tcBorders>
              <w:tl2br w:val="nil"/>
              <w:tr2bl w:val="nil"/>
            </w:tcBorders>
            <w:shd w:val="clear" w:color="auto" w:fill="auto"/>
            <w:vAlign w:val="center"/>
          </w:tcPr>
          <w:p w14:paraId="619A546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设计一个制冷站为全厂提供7℃的冷媒水，用于组合式净化恒温恒湿机组、组合式新风空调处理机组、风机盘管加新风空调以及为工艺用循环冷却水系统设置的二次热交换系统提供冷水。包括冷冻水系统和冷却水系统。制冷剂采用HFC型R134A为制冷剂</w:t>
            </w:r>
          </w:p>
        </w:tc>
      </w:tr>
      <w:tr w14:paraId="3317D3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00E76ED7">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5F22357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纯水制备系统</w:t>
            </w:r>
          </w:p>
        </w:tc>
        <w:tc>
          <w:tcPr>
            <w:tcW w:w="3603" w:type="pct"/>
            <w:tcBorders>
              <w:tl2br w:val="nil"/>
              <w:tr2bl w:val="nil"/>
            </w:tcBorders>
            <w:shd w:val="clear" w:color="auto" w:fill="auto"/>
            <w:vAlign w:val="center"/>
          </w:tcPr>
          <w:p w14:paraId="09E2AD8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①项目使用电阻率为10MΩ·Cm的纯水13m</w:t>
            </w:r>
            <w:r>
              <w:rPr>
                <w:rStyle w:val="200"/>
                <w:rFonts w:hint="default" w:ascii="Times New Roman" w:hAnsi="Times New Roman" w:cs="Times New Roman"/>
                <w:caps w:val="0"/>
                <w:smallCaps w:val="0"/>
                <w:color w:val="auto"/>
                <w:spacing w:val="0"/>
                <w:sz w:val="21"/>
                <w:szCs w:val="21"/>
                <w:highlight w:val="none"/>
                <w:lang w:bidi="ar"/>
              </w:rPr>
              <w:t>3</w:t>
            </w:r>
            <w:r>
              <w:rPr>
                <w:rFonts w:ascii="Times New Roman" w:hAnsi="Times New Roman" w:eastAsia="宋体" w:cs="Times New Roman"/>
                <w:caps w:val="0"/>
                <w:smallCaps w:val="0"/>
                <w:color w:val="auto"/>
                <w:spacing w:val="0"/>
                <w:kern w:val="0"/>
                <w:sz w:val="21"/>
                <w:highlight w:val="none"/>
                <w:lang w:bidi="ar"/>
              </w:rPr>
              <w:t>/h，在车间辅助用房内设纯水设备一套，采用前处理+两级RO+EDI的工艺，将自来水电阻处理至10MΩ·Cm，供至车间各用水点使用。</w:t>
            </w:r>
            <w:r>
              <w:rPr>
                <w:rFonts w:ascii="Times New Roman" w:hAnsi="Times New Roman" w:eastAsia="宋体" w:cs="Times New Roman"/>
                <w:caps w:val="0"/>
                <w:smallCaps w:val="0"/>
                <w:color w:val="auto"/>
                <w:spacing w:val="0"/>
                <w:kern w:val="0"/>
                <w:sz w:val="21"/>
                <w:highlight w:val="none"/>
                <w:lang w:bidi="ar"/>
              </w:rPr>
              <w:br w:type="textWrapping"/>
            </w:r>
            <w:r>
              <w:rPr>
                <w:rFonts w:ascii="Times New Roman" w:hAnsi="Times New Roman" w:eastAsia="宋体" w:cs="Times New Roman"/>
                <w:caps w:val="0"/>
                <w:smallCaps w:val="0"/>
                <w:color w:val="auto"/>
                <w:spacing w:val="0"/>
                <w:kern w:val="0"/>
                <w:sz w:val="21"/>
                <w:highlight w:val="none"/>
                <w:lang w:bidi="ar"/>
              </w:rPr>
              <w:t>②含镉污水处理间设纯水设备两套，采用两级RO+三效蒸发+冷凝回用、两级RO+EDI的工艺，将处理后的含镉污水电阻处理至10MΩ·Cm，供至车间含镉的各用水点使用。</w:t>
            </w:r>
          </w:p>
        </w:tc>
      </w:tr>
      <w:tr w14:paraId="434963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restart"/>
            <w:tcBorders>
              <w:tl2br w:val="nil"/>
              <w:tr2bl w:val="nil"/>
            </w:tcBorders>
            <w:shd w:val="clear" w:color="auto" w:fill="auto"/>
            <w:vAlign w:val="center"/>
          </w:tcPr>
          <w:p w14:paraId="22880E4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储运工程</w:t>
            </w:r>
          </w:p>
        </w:tc>
        <w:tc>
          <w:tcPr>
            <w:tcW w:w="979" w:type="pct"/>
            <w:tcBorders>
              <w:tl2br w:val="nil"/>
              <w:tr2bl w:val="nil"/>
            </w:tcBorders>
            <w:shd w:val="clear" w:color="auto" w:fill="auto"/>
            <w:vAlign w:val="center"/>
          </w:tcPr>
          <w:p w14:paraId="54FDAD4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原料库房</w:t>
            </w:r>
          </w:p>
        </w:tc>
        <w:tc>
          <w:tcPr>
            <w:tcW w:w="3603" w:type="pct"/>
            <w:tcBorders>
              <w:tl2br w:val="nil"/>
              <w:tr2bl w:val="nil"/>
            </w:tcBorders>
            <w:shd w:val="clear" w:color="auto" w:fill="auto"/>
            <w:vAlign w:val="center"/>
          </w:tcPr>
          <w:p w14:paraId="74D5A2F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项目原料主要分为TCO玻璃库房、背板库房以及高纯材料间，面积分别为1260m</w:t>
            </w:r>
            <w:r>
              <w:rPr>
                <w:rFonts w:ascii="Times New Roman" w:hAnsi="Times New Roman" w:eastAsia="宋体" w:cs="Times New Roman"/>
                <w:caps w:val="0"/>
                <w:smallCaps w:val="0"/>
                <w:color w:val="auto"/>
                <w:spacing w:val="0"/>
                <w:kern w:val="0"/>
                <w:sz w:val="21"/>
                <w:highlight w:val="none"/>
                <w:vertAlign w:val="superscript"/>
                <w:lang w:bidi="ar"/>
              </w:rPr>
              <w:t>2</w:t>
            </w:r>
            <w:r>
              <w:rPr>
                <w:rFonts w:ascii="Times New Roman" w:hAnsi="Times New Roman" w:eastAsia="宋体" w:cs="Times New Roman"/>
                <w:caps w:val="0"/>
                <w:smallCaps w:val="0"/>
                <w:color w:val="auto"/>
                <w:spacing w:val="0"/>
                <w:kern w:val="0"/>
                <w:sz w:val="21"/>
                <w:highlight w:val="none"/>
                <w:lang w:bidi="ar"/>
              </w:rPr>
              <w:t>、855m</w:t>
            </w:r>
            <w:r>
              <w:rPr>
                <w:rFonts w:ascii="Times New Roman" w:hAnsi="Times New Roman" w:eastAsia="宋体" w:cs="Times New Roman"/>
                <w:caps w:val="0"/>
                <w:smallCaps w:val="0"/>
                <w:color w:val="auto"/>
                <w:spacing w:val="0"/>
                <w:kern w:val="0"/>
                <w:sz w:val="21"/>
                <w:highlight w:val="none"/>
                <w:vertAlign w:val="superscript"/>
                <w:lang w:bidi="ar"/>
              </w:rPr>
              <w:t>2</w:t>
            </w:r>
            <w:r>
              <w:rPr>
                <w:rFonts w:ascii="Times New Roman" w:hAnsi="Times New Roman" w:eastAsia="宋体" w:cs="Times New Roman"/>
                <w:caps w:val="0"/>
                <w:smallCaps w:val="0"/>
                <w:color w:val="auto"/>
                <w:spacing w:val="0"/>
                <w:kern w:val="0"/>
                <w:sz w:val="21"/>
                <w:highlight w:val="none"/>
                <w:lang w:bidi="ar"/>
              </w:rPr>
              <w:t>、108m</w:t>
            </w:r>
            <w:r>
              <w:rPr>
                <w:rFonts w:ascii="Times New Roman" w:hAnsi="Times New Roman" w:eastAsia="宋体" w:cs="Times New Roman"/>
                <w:caps w:val="0"/>
                <w:smallCaps w:val="0"/>
                <w:color w:val="auto"/>
                <w:spacing w:val="0"/>
                <w:kern w:val="0"/>
                <w:sz w:val="21"/>
                <w:highlight w:val="none"/>
                <w:vertAlign w:val="superscript"/>
                <w:lang w:bidi="ar"/>
              </w:rPr>
              <w:t>2</w:t>
            </w:r>
            <w:r>
              <w:rPr>
                <w:rFonts w:ascii="Times New Roman" w:hAnsi="Times New Roman" w:eastAsia="宋体" w:cs="Times New Roman"/>
                <w:caps w:val="0"/>
                <w:smallCaps w:val="0"/>
                <w:color w:val="auto"/>
                <w:spacing w:val="0"/>
                <w:kern w:val="0"/>
                <w:sz w:val="21"/>
                <w:highlight w:val="none"/>
                <w:lang w:bidi="ar"/>
              </w:rPr>
              <w:t>。</w:t>
            </w:r>
            <w:r>
              <w:rPr>
                <w:rFonts w:hint="eastAsia" w:ascii="Times New Roman" w:hAnsi="Times New Roman" w:eastAsia="宋体" w:cs="Times New Roman"/>
                <w:caps w:val="0"/>
                <w:smallCaps w:val="0"/>
                <w:color w:val="auto"/>
                <w:spacing w:val="0"/>
                <w:kern w:val="0"/>
                <w:sz w:val="21"/>
                <w:highlight w:val="none"/>
                <w:lang w:bidi="ar"/>
              </w:rPr>
              <w:t>现</w:t>
            </w:r>
            <w:r>
              <w:rPr>
                <w:rFonts w:ascii="Times New Roman" w:hAnsi="Times New Roman" w:eastAsia="宋体" w:cs="Times New Roman"/>
                <w:caps w:val="0"/>
                <w:smallCaps w:val="0"/>
                <w:color w:val="auto"/>
                <w:spacing w:val="0"/>
                <w:kern w:val="0"/>
                <w:sz w:val="21"/>
                <w:highlight w:val="none"/>
                <w:lang w:bidi="ar"/>
              </w:rPr>
              <w:t>高纯材料间</w:t>
            </w:r>
            <w:r>
              <w:rPr>
                <w:rFonts w:hint="eastAsia" w:ascii="Times New Roman" w:hAnsi="Times New Roman" w:eastAsia="宋体" w:cs="Times New Roman"/>
                <w:caps w:val="0"/>
                <w:smallCaps w:val="0"/>
                <w:color w:val="auto"/>
                <w:spacing w:val="0"/>
                <w:kern w:val="0"/>
                <w:sz w:val="21"/>
                <w:highlight w:val="none"/>
                <w:lang w:bidi="ar"/>
              </w:rPr>
              <w:t>闲置，后续存储前段镀膜生产线原料</w:t>
            </w:r>
            <w:r>
              <w:rPr>
                <w:rFonts w:ascii="Times New Roman" w:hAnsi="Times New Roman" w:eastAsia="宋体" w:cs="Times New Roman"/>
                <w:caps w:val="0"/>
                <w:smallCaps w:val="0"/>
                <w:color w:val="auto"/>
                <w:spacing w:val="0"/>
                <w:kern w:val="0"/>
                <w:sz w:val="21"/>
                <w:highlight w:val="none"/>
                <w:lang w:bidi="ar"/>
              </w:rPr>
              <w:t>。</w:t>
            </w:r>
          </w:p>
        </w:tc>
      </w:tr>
      <w:tr w14:paraId="799976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023E798C">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262661D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产品库房</w:t>
            </w:r>
          </w:p>
        </w:tc>
        <w:tc>
          <w:tcPr>
            <w:tcW w:w="3603" w:type="pct"/>
            <w:tcBorders>
              <w:tl2br w:val="nil"/>
              <w:tr2bl w:val="nil"/>
            </w:tcBorders>
            <w:shd w:val="clear" w:color="auto" w:fill="auto"/>
            <w:vAlign w:val="center"/>
          </w:tcPr>
          <w:p w14:paraId="41C3CD2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项目产品库房面积约为2630m</w:t>
            </w:r>
            <w:r>
              <w:rPr>
                <w:rFonts w:ascii="Times New Roman" w:hAnsi="Times New Roman" w:eastAsia="宋体" w:cs="Times New Roman"/>
                <w:caps w:val="0"/>
                <w:smallCaps w:val="0"/>
                <w:color w:val="auto"/>
                <w:spacing w:val="0"/>
                <w:kern w:val="0"/>
                <w:sz w:val="21"/>
                <w:highlight w:val="none"/>
                <w:vertAlign w:val="superscript"/>
                <w:lang w:bidi="ar"/>
              </w:rPr>
              <w:t>2</w:t>
            </w:r>
            <w:r>
              <w:rPr>
                <w:rFonts w:ascii="Times New Roman" w:hAnsi="Times New Roman" w:eastAsia="宋体" w:cs="Times New Roman"/>
                <w:caps w:val="0"/>
                <w:smallCaps w:val="0"/>
                <w:color w:val="auto"/>
                <w:spacing w:val="0"/>
                <w:kern w:val="0"/>
                <w:sz w:val="21"/>
                <w:highlight w:val="none"/>
                <w:lang w:bidi="ar"/>
              </w:rPr>
              <w:t>，用于存放产品。</w:t>
            </w:r>
          </w:p>
        </w:tc>
      </w:tr>
      <w:tr w14:paraId="464452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restart"/>
            <w:tcBorders>
              <w:tl2br w:val="nil"/>
              <w:tr2bl w:val="nil"/>
            </w:tcBorders>
            <w:shd w:val="clear" w:color="auto" w:fill="auto"/>
            <w:vAlign w:val="center"/>
          </w:tcPr>
          <w:p w14:paraId="6906608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环保工程</w:t>
            </w:r>
          </w:p>
        </w:tc>
        <w:tc>
          <w:tcPr>
            <w:tcW w:w="979" w:type="pct"/>
            <w:tcBorders>
              <w:tl2br w:val="nil"/>
              <w:tr2bl w:val="nil"/>
            </w:tcBorders>
            <w:shd w:val="clear" w:color="auto" w:fill="auto"/>
            <w:vAlign w:val="center"/>
          </w:tcPr>
          <w:p w14:paraId="764A923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污水处理</w:t>
            </w:r>
          </w:p>
        </w:tc>
        <w:tc>
          <w:tcPr>
            <w:tcW w:w="3603" w:type="pct"/>
            <w:tcBorders>
              <w:tl2br w:val="nil"/>
              <w:tr2bl w:val="nil"/>
            </w:tcBorders>
            <w:shd w:val="clear" w:color="auto" w:fill="auto"/>
            <w:vAlign w:val="center"/>
          </w:tcPr>
          <w:p w14:paraId="113A325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食堂废水经隔油池处理后与生活污水、排入化粪池处理后一同与背板玻璃清洗废水、锅炉排污水、纯水制备浓水全部排入高新区污水处理厂；</w:t>
            </w:r>
          </w:p>
        </w:tc>
      </w:tr>
      <w:tr w14:paraId="41A707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5EFA1536">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29D9BF2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工艺废气</w:t>
            </w:r>
          </w:p>
        </w:tc>
        <w:tc>
          <w:tcPr>
            <w:tcW w:w="3603" w:type="pct"/>
            <w:tcBorders>
              <w:tl2br w:val="nil"/>
              <w:tr2bl w:val="nil"/>
            </w:tcBorders>
            <w:shd w:val="clear" w:color="auto" w:fill="auto"/>
            <w:vAlign w:val="center"/>
          </w:tcPr>
          <w:p w14:paraId="1D7AC57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组装工段产生的无组织VOC废气</w:t>
            </w:r>
            <w:r>
              <w:rPr>
                <w:rFonts w:hint="eastAsia" w:ascii="Times New Roman" w:hAnsi="Times New Roman" w:eastAsia="宋体" w:cs="Times New Roman"/>
                <w:caps w:val="0"/>
                <w:smallCaps w:val="0"/>
                <w:color w:val="auto"/>
                <w:spacing w:val="0"/>
                <w:kern w:val="0"/>
                <w:sz w:val="21"/>
                <w:highlight w:val="none"/>
                <w:lang w:bidi="ar"/>
              </w:rPr>
              <w:t>，车间加强通风后</w:t>
            </w:r>
            <w:r>
              <w:rPr>
                <w:rFonts w:ascii="Times New Roman" w:hAnsi="Times New Roman" w:eastAsia="宋体" w:cs="Times New Roman"/>
                <w:caps w:val="0"/>
                <w:smallCaps w:val="0"/>
                <w:color w:val="auto"/>
                <w:spacing w:val="0"/>
                <w:kern w:val="0"/>
                <w:sz w:val="21"/>
                <w:highlight w:val="none"/>
                <w:lang w:bidi="ar"/>
              </w:rPr>
              <w:t>达标排放。</w:t>
            </w:r>
          </w:p>
        </w:tc>
      </w:tr>
      <w:tr w14:paraId="6368C2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3FC9D740">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4A71872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锅炉</w:t>
            </w:r>
          </w:p>
        </w:tc>
        <w:tc>
          <w:tcPr>
            <w:tcW w:w="3603" w:type="pct"/>
            <w:tcBorders>
              <w:tl2br w:val="nil"/>
              <w:tr2bl w:val="nil"/>
            </w:tcBorders>
            <w:shd w:val="clear" w:color="auto" w:fill="auto"/>
            <w:vAlign w:val="center"/>
          </w:tcPr>
          <w:p w14:paraId="014A644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项目在联合车间的辅助用房内拟建设锅炉房，内设置2台6.6t/h燃气锅炉，配套建设2根21m烟囱，用于冬季供暖及生产用热。2台3.3t/h燃气锅炉，共用1个21m烟囱。4台燃气锅炉均安装低氮燃烧器，污染物排放可满足《锅炉大气污染物排放标准》（GB13271-2014）中新建燃气锅炉标准限值。</w:t>
            </w:r>
          </w:p>
        </w:tc>
      </w:tr>
      <w:tr w14:paraId="147426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59703A7A">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2ACF852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食堂油烟</w:t>
            </w:r>
          </w:p>
        </w:tc>
        <w:tc>
          <w:tcPr>
            <w:tcW w:w="3603" w:type="pct"/>
            <w:tcBorders>
              <w:tl2br w:val="nil"/>
              <w:tr2bl w:val="nil"/>
            </w:tcBorders>
            <w:shd w:val="clear" w:color="auto" w:fill="auto"/>
            <w:vAlign w:val="center"/>
          </w:tcPr>
          <w:p w14:paraId="71545DB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食堂油烟经油烟净化装置处理后引至屋顶上方外排；</w:t>
            </w:r>
          </w:p>
        </w:tc>
      </w:tr>
      <w:tr w14:paraId="40FDE3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74211F32">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1596C57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噪声治理措施</w:t>
            </w:r>
          </w:p>
        </w:tc>
        <w:tc>
          <w:tcPr>
            <w:tcW w:w="3603" w:type="pct"/>
            <w:tcBorders>
              <w:tl2br w:val="nil"/>
              <w:tr2bl w:val="nil"/>
            </w:tcBorders>
            <w:shd w:val="clear" w:color="auto" w:fill="auto"/>
            <w:vAlign w:val="center"/>
          </w:tcPr>
          <w:p w14:paraId="04471F3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采取必要的减振、降噪、隔声等噪声污染控制措施</w:t>
            </w:r>
          </w:p>
        </w:tc>
      </w:tr>
      <w:tr w14:paraId="0BF185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vMerge w:val="continue"/>
            <w:tcBorders>
              <w:tl2br w:val="nil"/>
              <w:tr2bl w:val="nil"/>
            </w:tcBorders>
            <w:shd w:val="clear" w:color="auto" w:fill="auto"/>
            <w:vAlign w:val="center"/>
          </w:tcPr>
          <w:p w14:paraId="4CFFABCD">
            <w:pPr>
              <w:widowControl w:val="0"/>
              <w:jc w:val="center"/>
              <w:rPr>
                <w:rFonts w:ascii="Times New Roman" w:hAnsi="Times New Roman" w:eastAsia="宋体" w:cs="Times New Roman"/>
                <w:caps w:val="0"/>
                <w:smallCaps w:val="0"/>
                <w:color w:val="auto"/>
                <w:spacing w:val="0"/>
                <w:sz w:val="21"/>
                <w:highlight w:val="none"/>
              </w:rPr>
            </w:pPr>
          </w:p>
        </w:tc>
        <w:tc>
          <w:tcPr>
            <w:tcW w:w="979" w:type="pct"/>
            <w:tcBorders>
              <w:tl2br w:val="nil"/>
              <w:tr2bl w:val="nil"/>
            </w:tcBorders>
            <w:shd w:val="clear" w:color="auto" w:fill="auto"/>
            <w:vAlign w:val="center"/>
          </w:tcPr>
          <w:p w14:paraId="5B496BC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固体废物处理措施</w:t>
            </w:r>
          </w:p>
        </w:tc>
        <w:tc>
          <w:tcPr>
            <w:tcW w:w="3603" w:type="pct"/>
            <w:tcBorders>
              <w:tl2br w:val="nil"/>
              <w:tr2bl w:val="nil"/>
            </w:tcBorders>
            <w:shd w:val="clear" w:color="auto" w:fill="auto"/>
            <w:vAlign w:val="center"/>
          </w:tcPr>
          <w:p w14:paraId="117E864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①餐厨垃圾和食堂废水油脂属于一般固废，交由专业单位进行处置；</w:t>
            </w:r>
            <w:r>
              <w:rPr>
                <w:rFonts w:ascii="Times New Roman" w:hAnsi="Times New Roman" w:eastAsia="宋体" w:cs="Times New Roman"/>
                <w:caps w:val="0"/>
                <w:smallCaps w:val="0"/>
                <w:color w:val="auto"/>
                <w:spacing w:val="0"/>
                <w:kern w:val="0"/>
                <w:sz w:val="21"/>
                <w:highlight w:val="none"/>
                <w:lang w:bidi="ar"/>
              </w:rPr>
              <w:br w:type="textWrapping"/>
            </w:r>
            <w:r>
              <w:rPr>
                <w:rFonts w:ascii="Times New Roman" w:hAnsi="Times New Roman" w:eastAsia="宋体" w:cs="Times New Roman"/>
                <w:caps w:val="0"/>
                <w:smallCaps w:val="0"/>
                <w:color w:val="auto"/>
                <w:spacing w:val="0"/>
                <w:kern w:val="0"/>
                <w:sz w:val="21"/>
                <w:highlight w:val="none"/>
                <w:lang w:bidi="ar"/>
              </w:rPr>
              <w:t>②生活垃圾</w:t>
            </w:r>
            <w:r>
              <w:rPr>
                <w:rFonts w:hint="eastAsia" w:ascii="Times New Roman" w:hAnsi="Times New Roman" w:eastAsia="宋体" w:cs="Times New Roman"/>
                <w:caps w:val="0"/>
                <w:smallCaps w:val="0"/>
                <w:color w:val="auto"/>
                <w:spacing w:val="0"/>
                <w:kern w:val="0"/>
                <w:sz w:val="21"/>
                <w:highlight w:val="none"/>
                <w:lang w:bidi="ar"/>
              </w:rPr>
              <w:t>统一交给市政环卫部门处理，</w:t>
            </w:r>
            <w:r>
              <w:rPr>
                <w:rFonts w:ascii="Times New Roman" w:hAnsi="Times New Roman" w:eastAsia="宋体" w:cs="Times New Roman"/>
                <w:caps w:val="0"/>
                <w:smallCaps w:val="0"/>
                <w:color w:val="auto"/>
                <w:spacing w:val="0"/>
                <w:kern w:val="0"/>
                <w:sz w:val="21"/>
                <w:highlight w:val="none"/>
                <w:lang w:bidi="ar"/>
              </w:rPr>
              <w:t>新鲜水纯水制备废膜交</w:t>
            </w:r>
            <w:r>
              <w:rPr>
                <w:rFonts w:ascii="Times New Roman" w:hAnsi="Times New Roman" w:eastAsia="宋体" w:cs="Times New Roman"/>
                <w:caps w:val="0"/>
                <w:smallCaps w:val="0"/>
                <w:color w:val="auto"/>
                <w:spacing w:val="0"/>
                <w:kern w:val="0"/>
                <w:sz w:val="21"/>
                <w:highlight w:val="none"/>
                <w:lang w:bidi="ar"/>
              </w:rPr>
              <w:t>由</w:t>
            </w:r>
            <w:r>
              <w:rPr>
                <w:rFonts w:hint="eastAsia" w:ascii="Times New Roman" w:hAnsi="Times New Roman" w:eastAsia="宋体" w:cs="Times New Roman"/>
                <w:caps w:val="0"/>
                <w:smallCaps w:val="0"/>
                <w:color w:val="auto"/>
                <w:spacing w:val="0"/>
                <w:kern w:val="0"/>
                <w:sz w:val="21"/>
                <w:highlight w:val="none"/>
                <w:lang w:bidi="ar"/>
              </w:rPr>
              <w:t>厂家回收</w:t>
            </w:r>
            <w:r>
              <w:rPr>
                <w:rFonts w:ascii="Times New Roman" w:hAnsi="Times New Roman" w:eastAsia="宋体" w:cs="Times New Roman"/>
                <w:caps w:val="0"/>
                <w:smallCaps w:val="0"/>
                <w:color w:val="auto"/>
                <w:spacing w:val="0"/>
                <w:kern w:val="0"/>
                <w:sz w:val="21"/>
                <w:highlight w:val="none"/>
                <w:lang w:bidi="ar"/>
              </w:rPr>
              <w:t>；</w:t>
            </w:r>
            <w:r>
              <w:rPr>
                <w:rFonts w:ascii="Times New Roman" w:hAnsi="Times New Roman" w:eastAsia="宋体" w:cs="Times New Roman"/>
                <w:caps w:val="0"/>
                <w:smallCaps w:val="0"/>
                <w:color w:val="auto"/>
                <w:spacing w:val="0"/>
                <w:kern w:val="0"/>
                <w:sz w:val="21"/>
                <w:highlight w:val="none"/>
                <w:lang w:bidi="ar"/>
              </w:rPr>
              <w:br w:type="textWrapping"/>
            </w:r>
            <w:r>
              <w:rPr>
                <w:rFonts w:ascii="Times New Roman" w:hAnsi="Times New Roman" w:eastAsia="宋体" w:cs="Times New Roman"/>
                <w:caps w:val="0"/>
                <w:smallCaps w:val="0"/>
                <w:color w:val="auto"/>
                <w:spacing w:val="0"/>
                <w:kern w:val="0"/>
                <w:sz w:val="21"/>
                <w:highlight w:val="none"/>
                <w:lang w:bidi="ar"/>
              </w:rPr>
              <w:t>③废TCO玻璃和背板玻璃、废靶材、废手套、废防溅板、高效过滤器收集的粉尘、更换的废滤芯、CdSe/CdTe沉积物、与化学品接触的废弃包装物、含镉废水处理系统产生的污泥、废膜和蒸发结晶均</w:t>
            </w:r>
            <w:r>
              <w:rPr>
                <w:rFonts w:hint="eastAsia" w:ascii="Times New Roman" w:hAnsi="Times New Roman" w:eastAsia="宋体" w:cs="Times New Roman"/>
                <w:caps w:val="0"/>
                <w:smallCaps w:val="0"/>
                <w:color w:val="auto"/>
                <w:spacing w:val="0"/>
                <w:kern w:val="0"/>
                <w:sz w:val="21"/>
                <w:highlight w:val="none"/>
                <w:lang w:bidi="ar"/>
              </w:rPr>
              <w:t>不再</w:t>
            </w:r>
            <w:r>
              <w:rPr>
                <w:rFonts w:ascii="Times New Roman" w:hAnsi="Times New Roman" w:eastAsia="宋体" w:cs="Times New Roman"/>
                <w:caps w:val="0"/>
                <w:smallCaps w:val="0"/>
                <w:color w:val="auto"/>
                <w:spacing w:val="0"/>
                <w:kern w:val="0"/>
                <w:sz w:val="21"/>
                <w:highlight w:val="none"/>
                <w:lang w:bidi="ar"/>
              </w:rPr>
              <w:t>产生。</w:t>
            </w:r>
            <w:r>
              <w:rPr>
                <w:rFonts w:ascii="Times New Roman" w:hAnsi="Times New Roman" w:eastAsia="宋体" w:cs="Times New Roman"/>
                <w:caps w:val="0"/>
                <w:smallCaps w:val="0"/>
                <w:color w:val="auto"/>
                <w:spacing w:val="0"/>
                <w:kern w:val="0"/>
                <w:sz w:val="21"/>
                <w:highlight w:val="none"/>
                <w:lang w:bidi="ar"/>
              </w:rPr>
              <w:br w:type="textWrapping"/>
            </w:r>
            <w:r>
              <w:rPr>
                <w:rFonts w:ascii="Times New Roman" w:hAnsi="Times New Roman" w:eastAsia="宋体" w:cs="Times New Roman"/>
                <w:caps w:val="0"/>
                <w:smallCaps w:val="0"/>
                <w:color w:val="auto"/>
                <w:spacing w:val="0"/>
                <w:kern w:val="0"/>
                <w:sz w:val="21"/>
                <w:highlight w:val="none"/>
                <w:lang w:bidi="ar"/>
              </w:rPr>
              <w:t>④废绝缘胶带、废EVA胶片、破损废弃包装物外售给废品收购商；不合格产品属于危险废物，分类暂存于</w:t>
            </w:r>
            <w:r>
              <w:rPr>
                <w:rFonts w:hint="eastAsia" w:ascii="Times New Roman" w:hAnsi="Times New Roman" w:eastAsia="宋体" w:cs="Times New Roman"/>
                <w:caps w:val="0"/>
                <w:smallCaps w:val="0"/>
                <w:color w:val="auto"/>
                <w:spacing w:val="0"/>
                <w:kern w:val="0"/>
                <w:sz w:val="21"/>
                <w:highlight w:val="none"/>
                <w:lang w:val="en-US" w:eastAsia="zh-CN" w:bidi="ar"/>
              </w:rPr>
              <w:t>危险废物贮存库内</w:t>
            </w:r>
            <w:r>
              <w:rPr>
                <w:rFonts w:ascii="Times New Roman" w:hAnsi="Times New Roman" w:eastAsia="宋体" w:cs="Times New Roman"/>
                <w:caps w:val="0"/>
                <w:smallCaps w:val="0"/>
                <w:color w:val="auto"/>
                <w:spacing w:val="0"/>
                <w:kern w:val="0"/>
                <w:sz w:val="21"/>
                <w:highlight w:val="none"/>
                <w:lang w:bidi="ar"/>
              </w:rPr>
              <w:t>，定期送至有资质的危险废物处置单位进行处置。</w:t>
            </w:r>
          </w:p>
        </w:tc>
      </w:tr>
      <w:tr w14:paraId="246ACC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17" w:type="pct"/>
            <w:tcBorders>
              <w:bottom w:val="single" w:color="auto" w:sz="8" w:space="0"/>
              <w:tl2br w:val="nil"/>
              <w:tr2bl w:val="nil"/>
            </w:tcBorders>
            <w:shd w:val="clear" w:color="auto" w:fill="auto"/>
            <w:vAlign w:val="center"/>
          </w:tcPr>
          <w:p w14:paraId="690F4CF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依托工程</w:t>
            </w:r>
          </w:p>
        </w:tc>
        <w:tc>
          <w:tcPr>
            <w:tcW w:w="979" w:type="pct"/>
            <w:tcBorders>
              <w:bottom w:val="single" w:color="auto" w:sz="8" w:space="0"/>
              <w:tl2br w:val="nil"/>
              <w:tr2bl w:val="nil"/>
            </w:tcBorders>
            <w:shd w:val="clear" w:color="auto" w:fill="auto"/>
            <w:vAlign w:val="center"/>
          </w:tcPr>
          <w:p w14:paraId="5F74279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依托工程</w:t>
            </w:r>
          </w:p>
        </w:tc>
        <w:tc>
          <w:tcPr>
            <w:tcW w:w="3603" w:type="pct"/>
            <w:tcBorders>
              <w:bottom w:val="single" w:color="auto" w:sz="8" w:space="0"/>
              <w:tl2br w:val="nil"/>
              <w:tr2bl w:val="nil"/>
            </w:tcBorders>
            <w:shd w:val="clear" w:color="auto" w:fill="auto"/>
            <w:vAlign w:val="center"/>
          </w:tcPr>
          <w:p w14:paraId="31D628A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佳木斯高新区污水处理厂，近期建设规模为3.5×10</w:t>
            </w:r>
            <w:r>
              <w:rPr>
                <w:rFonts w:ascii="Times New Roman" w:hAnsi="Times New Roman" w:eastAsia="宋体" w:cs="Times New Roman"/>
                <w:caps w:val="0"/>
                <w:smallCaps w:val="0"/>
                <w:color w:val="auto"/>
                <w:spacing w:val="0"/>
                <w:kern w:val="0"/>
                <w:sz w:val="21"/>
                <w:highlight w:val="none"/>
                <w:vertAlign w:val="superscript"/>
                <w:lang w:bidi="ar"/>
              </w:rPr>
              <w:t>4</w:t>
            </w:r>
            <w:r>
              <w:rPr>
                <w:rFonts w:ascii="Times New Roman" w:hAnsi="Times New Roman" w:eastAsia="宋体" w:cs="Times New Roman"/>
                <w:caps w:val="0"/>
                <w:smallCaps w:val="0"/>
                <w:color w:val="auto"/>
                <w:spacing w:val="0"/>
                <w:kern w:val="0"/>
                <w:sz w:val="21"/>
                <w:highlight w:val="none"/>
                <w:lang w:bidi="ar"/>
              </w:rPr>
              <w:t>m</w:t>
            </w:r>
            <w:r>
              <w:rPr>
                <w:rFonts w:ascii="Times New Roman" w:hAnsi="Times New Roman" w:eastAsia="宋体" w:cs="Times New Roman"/>
                <w:caps w:val="0"/>
                <w:smallCaps w:val="0"/>
                <w:color w:val="auto"/>
                <w:spacing w:val="0"/>
                <w:kern w:val="0"/>
                <w:sz w:val="21"/>
                <w:highlight w:val="none"/>
                <w:vertAlign w:val="superscript"/>
                <w:lang w:bidi="ar"/>
              </w:rPr>
              <w:t>3</w:t>
            </w:r>
            <w:r>
              <w:rPr>
                <w:rFonts w:ascii="Times New Roman" w:hAnsi="Times New Roman" w:eastAsia="宋体" w:cs="Times New Roman"/>
                <w:caps w:val="0"/>
                <w:smallCaps w:val="0"/>
                <w:color w:val="auto"/>
                <w:spacing w:val="0"/>
                <w:kern w:val="0"/>
                <w:sz w:val="21"/>
                <w:highlight w:val="none"/>
                <w:lang w:bidi="ar"/>
              </w:rPr>
              <w:t>/d，远期总处理规模为7.5万m</w:t>
            </w:r>
            <w:r>
              <w:rPr>
                <w:rFonts w:ascii="Times New Roman" w:hAnsi="Times New Roman" w:eastAsia="宋体" w:cs="Times New Roman"/>
                <w:caps w:val="0"/>
                <w:smallCaps w:val="0"/>
                <w:color w:val="auto"/>
                <w:spacing w:val="0"/>
                <w:kern w:val="0"/>
                <w:sz w:val="21"/>
                <w:highlight w:val="none"/>
                <w:vertAlign w:val="superscript"/>
                <w:lang w:bidi="ar"/>
              </w:rPr>
              <w:t>3</w:t>
            </w:r>
            <w:r>
              <w:rPr>
                <w:rFonts w:ascii="Times New Roman" w:hAnsi="Times New Roman" w:eastAsia="宋体" w:cs="Times New Roman"/>
                <w:caps w:val="0"/>
                <w:smallCaps w:val="0"/>
                <w:color w:val="auto"/>
                <w:spacing w:val="0"/>
                <w:kern w:val="0"/>
                <w:sz w:val="21"/>
                <w:highlight w:val="none"/>
                <w:lang w:bidi="ar"/>
              </w:rPr>
              <w:t>/d，配套新建污水管道8500m。主体采用“强化预处理工艺+主体生化处理工艺（生物脱氮除磷）+深度处理工艺”，消毒采用紫外线消毒，处理后水质达到《城镇污水处理厂污染物排放标准（GB18918-2002）一级A标准后排入</w:t>
            </w:r>
            <w:r>
              <w:rPr>
                <w:rFonts w:hint="eastAsia" w:ascii="Times New Roman" w:hAnsi="Times New Roman" w:eastAsia="宋体" w:cs="Times New Roman"/>
                <w:caps w:val="0"/>
                <w:smallCaps w:val="0"/>
                <w:color w:val="auto"/>
                <w:spacing w:val="0"/>
                <w:kern w:val="0"/>
                <w:sz w:val="21"/>
                <w:highlight w:val="none"/>
                <w:lang w:val="en-US" w:eastAsia="zh-CN" w:bidi="ar"/>
              </w:rPr>
              <w:t>铃铛麦河途经音达木河</w:t>
            </w:r>
            <w:r>
              <w:rPr>
                <w:rFonts w:ascii="Times New Roman" w:hAnsi="Times New Roman" w:eastAsia="宋体" w:cs="Times New Roman"/>
                <w:caps w:val="0"/>
                <w:smallCaps w:val="0"/>
                <w:color w:val="auto"/>
                <w:spacing w:val="0"/>
                <w:kern w:val="0"/>
                <w:sz w:val="21"/>
                <w:highlight w:val="none"/>
                <w:lang w:bidi="ar"/>
              </w:rPr>
              <w:t>最终进入松花江。主要收集佳木斯高新区的污水，本项目在其收水范围内，且有排水管网。</w:t>
            </w:r>
          </w:p>
        </w:tc>
      </w:tr>
    </w:tbl>
    <w:p w14:paraId="67C14482">
      <w:pPr>
        <w:widowControl w:val="0"/>
        <w:rPr>
          <w:rFonts w:ascii="Times New Roman" w:hAnsi="Times New Roman" w:eastAsia="宋体" w:cs="Times New Roman"/>
          <w:caps w:val="0"/>
          <w:smallCaps w:val="0"/>
          <w:color w:val="auto"/>
          <w:spacing w:val="0"/>
          <w:highlight w:val="none"/>
        </w:rPr>
      </w:pPr>
    </w:p>
    <w:p w14:paraId="0565C0DD">
      <w:pPr>
        <w:pStyle w:val="5"/>
        <w:widowControl w:val="0"/>
        <w:rPr>
          <w:rFonts w:eastAsia="宋体"/>
          <w:caps w:val="0"/>
          <w:smallCaps w:val="0"/>
          <w:color w:val="auto"/>
          <w:spacing w:val="0"/>
          <w:sz w:val="30"/>
          <w:szCs w:val="30"/>
          <w:highlight w:val="none"/>
        </w:rPr>
      </w:pPr>
      <w:bookmarkStart w:id="66" w:name="_Toc9823"/>
      <w:r>
        <w:rPr>
          <w:rFonts w:eastAsia="宋体"/>
          <w:caps w:val="0"/>
          <w:smallCaps w:val="0"/>
          <w:color w:val="auto"/>
          <w:spacing w:val="0"/>
          <w:sz w:val="30"/>
          <w:szCs w:val="30"/>
          <w:highlight w:val="none"/>
        </w:rPr>
        <w:t>3.1.3现有工程原辅材料及能源消耗</w:t>
      </w:r>
      <w:bookmarkEnd w:id="66"/>
    </w:p>
    <w:p w14:paraId="115954D3">
      <w:pPr>
        <w:pStyle w:val="96"/>
        <w:tabs>
          <w:tab w:val="left" w:pos="6033"/>
          <w:tab w:val="left" w:pos="6271"/>
        </w:tabs>
        <w:autoSpaceDE w:val="0"/>
        <w:autoSpaceDN w:val="0"/>
        <w:spacing w:line="240" w:lineRule="auto"/>
        <w:ind w:right="-65" w:rightChars="-27" w:firstLine="482"/>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表3.1-2现有工程原辅材料用量表</w:t>
      </w:r>
    </w:p>
    <w:tbl>
      <w:tblPr>
        <w:tblStyle w:val="3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159"/>
        <w:gridCol w:w="2189"/>
        <w:gridCol w:w="2171"/>
        <w:gridCol w:w="2763"/>
      </w:tblGrid>
      <w:tr w14:paraId="2E6C14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top w:val="single" w:color="auto" w:sz="8" w:space="0"/>
              <w:bottom w:val="single" w:color="auto" w:sz="8" w:space="0"/>
              <w:tl2br w:val="nil"/>
              <w:tr2bl w:val="nil"/>
            </w:tcBorders>
            <w:shd w:val="clear" w:color="auto" w:fill="auto"/>
          </w:tcPr>
          <w:p w14:paraId="09B25267">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序号</w:t>
            </w:r>
          </w:p>
        </w:tc>
        <w:tc>
          <w:tcPr>
            <w:tcW w:w="1179" w:type="pct"/>
            <w:tcBorders>
              <w:top w:val="single" w:color="auto" w:sz="8" w:space="0"/>
              <w:bottom w:val="single" w:color="auto" w:sz="8" w:space="0"/>
              <w:tl2br w:val="nil"/>
              <w:tr2bl w:val="nil"/>
            </w:tcBorders>
            <w:shd w:val="clear" w:color="auto" w:fill="auto"/>
          </w:tcPr>
          <w:p w14:paraId="4E20419B">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原料名称</w:t>
            </w:r>
          </w:p>
        </w:tc>
        <w:tc>
          <w:tcPr>
            <w:tcW w:w="1169" w:type="pct"/>
            <w:tcBorders>
              <w:top w:val="single" w:color="auto" w:sz="8" w:space="0"/>
              <w:bottom w:val="single" w:color="auto" w:sz="8" w:space="0"/>
              <w:tl2br w:val="nil"/>
              <w:tr2bl w:val="nil"/>
            </w:tcBorders>
            <w:shd w:val="clear" w:color="auto" w:fill="auto"/>
          </w:tcPr>
          <w:p w14:paraId="1FE9B340">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单位</w:t>
            </w:r>
          </w:p>
        </w:tc>
        <w:tc>
          <w:tcPr>
            <w:tcW w:w="1488" w:type="pct"/>
            <w:tcBorders>
              <w:top w:val="single" w:color="auto" w:sz="8" w:space="0"/>
              <w:bottom w:val="single" w:color="auto" w:sz="8" w:space="0"/>
              <w:tl2br w:val="nil"/>
              <w:tr2bl w:val="nil"/>
            </w:tcBorders>
            <w:shd w:val="clear" w:color="auto" w:fill="auto"/>
          </w:tcPr>
          <w:p w14:paraId="5D596713">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用量</w:t>
            </w:r>
          </w:p>
        </w:tc>
      </w:tr>
      <w:tr w14:paraId="1A7C53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top w:val="single" w:color="auto" w:sz="8" w:space="0"/>
              <w:tl2br w:val="nil"/>
              <w:tr2bl w:val="nil"/>
            </w:tcBorders>
            <w:shd w:val="clear" w:color="auto" w:fill="auto"/>
          </w:tcPr>
          <w:p w14:paraId="290B4D60">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w:t>
            </w:r>
          </w:p>
        </w:tc>
        <w:tc>
          <w:tcPr>
            <w:tcW w:w="1179" w:type="pct"/>
            <w:tcBorders>
              <w:top w:val="single" w:color="auto" w:sz="8" w:space="0"/>
              <w:tl2br w:val="nil"/>
              <w:tr2bl w:val="nil"/>
            </w:tcBorders>
            <w:shd w:val="clear" w:color="auto" w:fill="auto"/>
          </w:tcPr>
          <w:p w14:paraId="7C784440">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背板玻璃</w:t>
            </w:r>
          </w:p>
        </w:tc>
        <w:tc>
          <w:tcPr>
            <w:tcW w:w="1169" w:type="pct"/>
            <w:tcBorders>
              <w:top w:val="single" w:color="auto" w:sz="8" w:space="0"/>
              <w:tl2br w:val="nil"/>
              <w:tr2bl w:val="nil"/>
            </w:tcBorders>
            <w:shd w:val="clear" w:color="auto" w:fill="auto"/>
          </w:tcPr>
          <w:p w14:paraId="1E1D00E5">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片</w:t>
            </w:r>
          </w:p>
        </w:tc>
        <w:tc>
          <w:tcPr>
            <w:tcW w:w="1488" w:type="pct"/>
            <w:tcBorders>
              <w:top w:val="single" w:color="auto" w:sz="8" w:space="0"/>
              <w:tl2br w:val="nil"/>
              <w:tr2bl w:val="nil"/>
            </w:tcBorders>
            <w:shd w:val="clear" w:color="auto" w:fill="auto"/>
          </w:tcPr>
          <w:p w14:paraId="12EB5409">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412000</w:t>
            </w:r>
          </w:p>
        </w:tc>
      </w:tr>
      <w:tr w14:paraId="6D5792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tl2br w:val="nil"/>
              <w:tr2bl w:val="nil"/>
            </w:tcBorders>
            <w:shd w:val="clear" w:color="auto" w:fill="auto"/>
          </w:tcPr>
          <w:p w14:paraId="491DC22D">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w:t>
            </w:r>
          </w:p>
        </w:tc>
        <w:tc>
          <w:tcPr>
            <w:tcW w:w="1179" w:type="pct"/>
            <w:tcBorders>
              <w:tl2br w:val="nil"/>
              <w:tr2bl w:val="nil"/>
            </w:tcBorders>
            <w:shd w:val="clear" w:color="auto" w:fill="auto"/>
            <w:vAlign w:val="center"/>
          </w:tcPr>
          <w:p w14:paraId="409056BF">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接线盒</w:t>
            </w:r>
          </w:p>
        </w:tc>
        <w:tc>
          <w:tcPr>
            <w:tcW w:w="1169" w:type="pct"/>
            <w:tcBorders>
              <w:tl2br w:val="nil"/>
              <w:tr2bl w:val="nil"/>
            </w:tcBorders>
            <w:shd w:val="clear" w:color="auto" w:fill="auto"/>
            <w:vAlign w:val="center"/>
          </w:tcPr>
          <w:p w14:paraId="5B8F1E11">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个</w:t>
            </w:r>
          </w:p>
        </w:tc>
        <w:tc>
          <w:tcPr>
            <w:tcW w:w="1488" w:type="pct"/>
            <w:tcBorders>
              <w:tl2br w:val="nil"/>
              <w:tr2bl w:val="nil"/>
            </w:tcBorders>
            <w:shd w:val="clear" w:color="auto" w:fill="auto"/>
            <w:vAlign w:val="center"/>
          </w:tcPr>
          <w:p w14:paraId="1E2D35EF">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400000</w:t>
            </w:r>
          </w:p>
        </w:tc>
      </w:tr>
      <w:tr w14:paraId="3C0324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63" w:type="pct"/>
            <w:tcBorders>
              <w:tl2br w:val="nil"/>
              <w:tr2bl w:val="nil"/>
            </w:tcBorders>
            <w:shd w:val="clear" w:color="auto" w:fill="auto"/>
          </w:tcPr>
          <w:p w14:paraId="693F7942">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w:t>
            </w:r>
          </w:p>
        </w:tc>
        <w:tc>
          <w:tcPr>
            <w:tcW w:w="1179" w:type="pct"/>
            <w:tcBorders>
              <w:tl2br w:val="nil"/>
              <w:tr2bl w:val="nil"/>
            </w:tcBorders>
            <w:shd w:val="clear" w:color="auto" w:fill="auto"/>
          </w:tcPr>
          <w:p w14:paraId="2830316F">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EVA胶片</w:t>
            </w:r>
          </w:p>
        </w:tc>
        <w:tc>
          <w:tcPr>
            <w:tcW w:w="1169" w:type="pct"/>
            <w:tcBorders>
              <w:tl2br w:val="nil"/>
              <w:tr2bl w:val="nil"/>
            </w:tcBorders>
            <w:shd w:val="clear" w:color="auto" w:fill="auto"/>
          </w:tcPr>
          <w:p w14:paraId="310D13E1">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m²</w:t>
            </w:r>
          </w:p>
        </w:tc>
        <w:tc>
          <w:tcPr>
            <w:tcW w:w="1488" w:type="pct"/>
            <w:tcBorders>
              <w:tl2br w:val="nil"/>
              <w:tr2bl w:val="nil"/>
            </w:tcBorders>
            <w:shd w:val="clear" w:color="auto" w:fill="auto"/>
          </w:tcPr>
          <w:p w14:paraId="6996A146">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813600</w:t>
            </w:r>
          </w:p>
        </w:tc>
      </w:tr>
      <w:tr w14:paraId="44C36D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163" w:type="pct"/>
            <w:tcBorders>
              <w:tl2br w:val="nil"/>
              <w:tr2bl w:val="nil"/>
            </w:tcBorders>
            <w:shd w:val="clear" w:color="auto" w:fill="auto"/>
            <w:vAlign w:val="center"/>
          </w:tcPr>
          <w:p w14:paraId="5F541140">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w:t>
            </w:r>
          </w:p>
        </w:tc>
        <w:tc>
          <w:tcPr>
            <w:tcW w:w="1179" w:type="pct"/>
            <w:tcBorders>
              <w:tl2br w:val="nil"/>
              <w:tr2bl w:val="nil"/>
            </w:tcBorders>
            <w:shd w:val="clear" w:color="auto" w:fill="auto"/>
            <w:vAlign w:val="center"/>
          </w:tcPr>
          <w:p w14:paraId="3B6D4F29">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基板密封胶</w:t>
            </w:r>
          </w:p>
        </w:tc>
        <w:tc>
          <w:tcPr>
            <w:tcW w:w="1169" w:type="pct"/>
            <w:tcBorders>
              <w:tl2br w:val="nil"/>
              <w:tr2bl w:val="nil"/>
            </w:tcBorders>
            <w:shd w:val="clear" w:color="auto" w:fill="auto"/>
            <w:vAlign w:val="center"/>
          </w:tcPr>
          <w:p w14:paraId="4F850B3A">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桶</w:t>
            </w:r>
          </w:p>
        </w:tc>
        <w:tc>
          <w:tcPr>
            <w:tcW w:w="1488" w:type="pct"/>
            <w:tcBorders>
              <w:tl2br w:val="nil"/>
              <w:tr2bl w:val="nil"/>
            </w:tcBorders>
            <w:shd w:val="clear" w:color="auto" w:fill="auto"/>
            <w:vAlign w:val="center"/>
          </w:tcPr>
          <w:p w14:paraId="488DBE14">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75.6(55加仑/桶)</w:t>
            </w:r>
          </w:p>
        </w:tc>
      </w:tr>
      <w:tr w14:paraId="279A31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tl2br w:val="nil"/>
              <w:tr2bl w:val="nil"/>
            </w:tcBorders>
            <w:shd w:val="clear" w:color="auto" w:fill="auto"/>
            <w:vAlign w:val="center"/>
          </w:tcPr>
          <w:p w14:paraId="66B27ADF">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w:t>
            </w:r>
          </w:p>
        </w:tc>
        <w:tc>
          <w:tcPr>
            <w:tcW w:w="1179" w:type="pct"/>
            <w:tcBorders>
              <w:tl2br w:val="nil"/>
              <w:tr2bl w:val="nil"/>
            </w:tcBorders>
            <w:shd w:val="clear" w:color="auto" w:fill="auto"/>
          </w:tcPr>
          <w:p w14:paraId="0D17C3A2">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绝缘带</w:t>
            </w:r>
          </w:p>
        </w:tc>
        <w:tc>
          <w:tcPr>
            <w:tcW w:w="1169" w:type="pct"/>
            <w:tcBorders>
              <w:tl2br w:val="nil"/>
              <w:tr2bl w:val="nil"/>
            </w:tcBorders>
            <w:shd w:val="clear" w:color="auto" w:fill="auto"/>
            <w:vAlign w:val="center"/>
          </w:tcPr>
          <w:p w14:paraId="6926ACC4">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m²</w:t>
            </w:r>
          </w:p>
        </w:tc>
        <w:tc>
          <w:tcPr>
            <w:tcW w:w="1488" w:type="pct"/>
            <w:tcBorders>
              <w:tl2br w:val="nil"/>
              <w:tr2bl w:val="nil"/>
            </w:tcBorders>
            <w:shd w:val="clear" w:color="auto" w:fill="auto"/>
            <w:vAlign w:val="center"/>
          </w:tcPr>
          <w:p w14:paraId="4D4EB3B8">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3140卷(200m/卷)</w:t>
            </w:r>
          </w:p>
        </w:tc>
      </w:tr>
      <w:tr w14:paraId="630B6E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tl2br w:val="nil"/>
              <w:tr2bl w:val="nil"/>
            </w:tcBorders>
            <w:shd w:val="clear" w:color="auto" w:fill="auto"/>
          </w:tcPr>
          <w:p w14:paraId="04BA2FB5">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w:t>
            </w:r>
          </w:p>
        </w:tc>
        <w:tc>
          <w:tcPr>
            <w:tcW w:w="1179" w:type="pct"/>
            <w:tcBorders>
              <w:tl2br w:val="nil"/>
              <w:tr2bl w:val="nil"/>
            </w:tcBorders>
            <w:shd w:val="clear" w:color="auto" w:fill="auto"/>
          </w:tcPr>
          <w:p w14:paraId="5689176E">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铜丝</w:t>
            </w:r>
          </w:p>
        </w:tc>
        <w:tc>
          <w:tcPr>
            <w:tcW w:w="1169" w:type="pct"/>
            <w:tcBorders>
              <w:tl2br w:val="nil"/>
              <w:tr2bl w:val="nil"/>
            </w:tcBorders>
            <w:shd w:val="clear" w:color="auto" w:fill="auto"/>
            <w:vAlign w:val="center"/>
          </w:tcPr>
          <w:p w14:paraId="266430E6">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kg</w:t>
            </w:r>
          </w:p>
        </w:tc>
        <w:tc>
          <w:tcPr>
            <w:tcW w:w="1488" w:type="pct"/>
            <w:tcBorders>
              <w:tl2br w:val="nil"/>
              <w:tr2bl w:val="nil"/>
            </w:tcBorders>
            <w:shd w:val="clear" w:color="auto" w:fill="auto"/>
            <w:vAlign w:val="center"/>
          </w:tcPr>
          <w:p w14:paraId="1D5F9358">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3360</w:t>
            </w:r>
          </w:p>
        </w:tc>
      </w:tr>
      <w:tr w14:paraId="29BD97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tl2br w:val="nil"/>
              <w:tr2bl w:val="nil"/>
            </w:tcBorders>
            <w:shd w:val="clear" w:color="auto" w:fill="auto"/>
          </w:tcPr>
          <w:p w14:paraId="76D773FC">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w:t>
            </w:r>
          </w:p>
        </w:tc>
        <w:tc>
          <w:tcPr>
            <w:tcW w:w="1179" w:type="pct"/>
            <w:tcBorders>
              <w:tl2br w:val="nil"/>
              <w:tr2bl w:val="nil"/>
            </w:tcBorders>
            <w:shd w:val="clear" w:color="auto" w:fill="auto"/>
            <w:vAlign w:val="center"/>
          </w:tcPr>
          <w:p w14:paraId="6565DF3D">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接线盒密封胶</w:t>
            </w:r>
          </w:p>
        </w:tc>
        <w:tc>
          <w:tcPr>
            <w:tcW w:w="1169" w:type="pct"/>
            <w:tcBorders>
              <w:tl2br w:val="nil"/>
              <w:tr2bl w:val="nil"/>
            </w:tcBorders>
            <w:shd w:val="clear" w:color="auto" w:fill="auto"/>
            <w:vAlign w:val="center"/>
          </w:tcPr>
          <w:p w14:paraId="3F382865">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桶</w:t>
            </w:r>
          </w:p>
        </w:tc>
        <w:tc>
          <w:tcPr>
            <w:tcW w:w="1488" w:type="pct"/>
            <w:tcBorders>
              <w:tl2br w:val="nil"/>
              <w:tr2bl w:val="nil"/>
            </w:tcBorders>
            <w:shd w:val="clear" w:color="auto" w:fill="auto"/>
            <w:vAlign w:val="center"/>
          </w:tcPr>
          <w:p w14:paraId="3E13E2D6">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211.4(5加仑/桶)</w:t>
            </w:r>
          </w:p>
        </w:tc>
      </w:tr>
      <w:tr w14:paraId="11A2F4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163" w:type="pct"/>
            <w:tcBorders>
              <w:bottom w:val="single" w:color="auto" w:sz="8" w:space="0"/>
              <w:tl2br w:val="nil"/>
              <w:tr2bl w:val="nil"/>
            </w:tcBorders>
            <w:shd w:val="clear" w:color="auto" w:fill="auto"/>
          </w:tcPr>
          <w:p w14:paraId="79F213EE">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8</w:t>
            </w:r>
          </w:p>
        </w:tc>
        <w:tc>
          <w:tcPr>
            <w:tcW w:w="1179" w:type="pct"/>
            <w:tcBorders>
              <w:bottom w:val="single" w:color="auto" w:sz="8" w:space="0"/>
              <w:tl2br w:val="nil"/>
              <w:tr2bl w:val="nil"/>
            </w:tcBorders>
            <w:shd w:val="clear" w:color="auto" w:fill="auto"/>
            <w:vAlign w:val="center"/>
          </w:tcPr>
          <w:p w14:paraId="6AFBAB56">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胶条</w:t>
            </w:r>
          </w:p>
        </w:tc>
        <w:tc>
          <w:tcPr>
            <w:tcW w:w="1169" w:type="pct"/>
            <w:tcBorders>
              <w:bottom w:val="single" w:color="auto" w:sz="8" w:space="0"/>
              <w:tl2br w:val="nil"/>
              <w:tr2bl w:val="nil"/>
            </w:tcBorders>
            <w:shd w:val="clear" w:color="auto" w:fill="auto"/>
          </w:tcPr>
          <w:p w14:paraId="79958B57">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m</w:t>
            </w:r>
          </w:p>
        </w:tc>
        <w:tc>
          <w:tcPr>
            <w:tcW w:w="1488" w:type="pct"/>
            <w:tcBorders>
              <w:bottom w:val="single" w:color="auto" w:sz="8" w:space="0"/>
              <w:tl2br w:val="nil"/>
              <w:tr2bl w:val="nil"/>
            </w:tcBorders>
            <w:shd w:val="clear" w:color="auto" w:fill="auto"/>
          </w:tcPr>
          <w:p w14:paraId="5CCAFF9B">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628000</w:t>
            </w:r>
          </w:p>
        </w:tc>
      </w:tr>
    </w:tbl>
    <w:p w14:paraId="1AC55918">
      <w:pPr>
        <w:pStyle w:val="5"/>
        <w:widowControl w:val="0"/>
        <w:rPr>
          <w:rFonts w:eastAsia="宋体"/>
          <w:caps w:val="0"/>
          <w:smallCaps w:val="0"/>
          <w:color w:val="auto"/>
          <w:spacing w:val="0"/>
          <w:sz w:val="30"/>
          <w:szCs w:val="30"/>
          <w:highlight w:val="none"/>
        </w:rPr>
      </w:pPr>
      <w:bookmarkStart w:id="67" w:name="_Toc5408"/>
      <w:r>
        <w:rPr>
          <w:rFonts w:eastAsia="宋体"/>
          <w:caps w:val="0"/>
          <w:smallCaps w:val="0"/>
          <w:color w:val="auto"/>
          <w:spacing w:val="0"/>
          <w:sz w:val="30"/>
          <w:szCs w:val="30"/>
          <w:highlight w:val="none"/>
        </w:rPr>
        <w:t>3.1.4现有工程公用工程</w:t>
      </w:r>
      <w:bookmarkEnd w:id="67"/>
    </w:p>
    <w:p w14:paraId="603D1A00">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1、给水</w:t>
      </w:r>
    </w:p>
    <w:p w14:paraId="0472D7B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用水由城市供水管网供水。</w:t>
      </w:r>
    </w:p>
    <w:p w14:paraId="58101CD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①生活及食堂用水：本项目生活用水量为1</w:t>
      </w:r>
      <w:r>
        <w:rPr>
          <w:rFonts w:hint="eastAsia" w:ascii="Times New Roman" w:hAnsi="Times New Roman" w:eastAsia="宋体" w:cs="Times New Roman"/>
          <w:caps w:val="0"/>
          <w:smallCaps w:val="0"/>
          <w:color w:val="auto"/>
          <w:spacing w:val="0"/>
          <w:highlight w:val="none"/>
          <w:lang w:val="en-US" w:eastAsia="zh-CN"/>
        </w:rPr>
        <w:t>2</w:t>
      </w:r>
      <w:r>
        <w:rPr>
          <w:rFonts w:ascii="Times New Roman" w:hAnsi="Times New Roman" w:eastAsia="宋体" w:cs="Times New Roman"/>
          <w:caps w:val="0"/>
          <w:smallCaps w:val="0"/>
          <w:color w:val="auto"/>
          <w:spacing w:val="0"/>
          <w:highlight w:val="none"/>
        </w:rPr>
        <w:t>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/a。食堂用水量为3000m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0C823E3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②生产用水：根据企业提供资料可知，背板玻璃清洗水年用纯水量为</w:t>
      </w:r>
      <w:r>
        <w:rPr>
          <w:rFonts w:hint="eastAsia" w:ascii="Times New Roman" w:hAnsi="Times New Roman" w:eastAsia="宋体" w:cs="Times New Roman"/>
          <w:caps w:val="0"/>
          <w:smallCaps w:val="0"/>
          <w:color w:val="auto"/>
          <w:spacing w:val="0"/>
          <w:highlight w:val="none"/>
          <w:lang w:val="en-US" w:eastAsia="zh-CN"/>
        </w:rPr>
        <w:t>1000</w:t>
      </w:r>
      <w:r>
        <w:rPr>
          <w:rFonts w:ascii="Times New Roman" w:hAnsi="Times New Roman" w:eastAsia="宋体" w:cs="Times New Roman"/>
          <w:caps w:val="0"/>
          <w:smallCaps w:val="0"/>
          <w:color w:val="auto"/>
          <w:spacing w:val="0"/>
          <w:highlight w:val="none"/>
        </w:rPr>
        <w:t>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/a，新鲜水用量1</w:t>
      </w:r>
      <w:r>
        <w:rPr>
          <w:rFonts w:hint="eastAsia" w:ascii="Times New Roman" w:hAnsi="Times New Roman" w:eastAsia="宋体" w:cs="Times New Roman"/>
          <w:caps w:val="0"/>
          <w:smallCaps w:val="0"/>
          <w:color w:val="auto"/>
          <w:spacing w:val="0"/>
          <w:highlight w:val="none"/>
          <w:lang w:val="en-US" w:eastAsia="zh-CN"/>
        </w:rPr>
        <w:t>3490</w:t>
      </w:r>
      <w:r>
        <w:rPr>
          <w:rFonts w:ascii="Times New Roman" w:hAnsi="Times New Roman" w:eastAsia="宋体" w:cs="Times New Roman"/>
          <w:caps w:val="0"/>
          <w:smallCaps w:val="0"/>
          <w:color w:val="auto"/>
          <w:spacing w:val="0"/>
          <w:highlight w:val="none"/>
        </w:rPr>
        <w:t>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33756BD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③锅炉用水及冷却水：锅炉用水4500m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/a，制冷站用水3000m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/a，空压站循环冷却水1825m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5BD7020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总用水量为4</w:t>
      </w:r>
      <w:r>
        <w:rPr>
          <w:rFonts w:hint="eastAsia" w:ascii="Times New Roman" w:hAnsi="Times New Roman" w:eastAsia="宋体" w:cs="Times New Roman"/>
          <w:caps w:val="0"/>
          <w:smallCaps w:val="0"/>
          <w:color w:val="auto"/>
          <w:spacing w:val="0"/>
          <w:highlight w:val="none"/>
          <w:lang w:val="en-US" w:eastAsia="zh-CN"/>
        </w:rPr>
        <w:t>031</w:t>
      </w:r>
      <w:r>
        <w:rPr>
          <w:rFonts w:ascii="Times New Roman" w:hAnsi="Times New Roman" w:eastAsia="宋体" w:cs="Times New Roman"/>
          <w:caps w:val="0"/>
          <w:smallCaps w:val="0"/>
          <w:color w:val="auto"/>
          <w:spacing w:val="0"/>
          <w:highlight w:val="none"/>
        </w:rPr>
        <w:t>5m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32678232">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2、排水</w:t>
      </w:r>
    </w:p>
    <w:p w14:paraId="21CCFCD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①生活及食堂废水：本项目生活污水量、食堂废水量为1</w:t>
      </w:r>
      <w:r>
        <w:rPr>
          <w:rFonts w:hint="eastAsia" w:ascii="Times New Roman" w:hAnsi="Times New Roman" w:eastAsia="宋体" w:cs="Times New Roman"/>
          <w:caps w:val="0"/>
          <w:smallCaps w:val="0"/>
          <w:color w:val="auto"/>
          <w:spacing w:val="0"/>
          <w:highlight w:val="none"/>
          <w:lang w:val="en-US" w:eastAsia="zh-CN"/>
        </w:rPr>
        <w:t>20</w:t>
      </w:r>
      <w:r>
        <w:rPr>
          <w:rFonts w:ascii="Times New Roman" w:hAnsi="Times New Roman" w:eastAsia="宋体" w:cs="Times New Roman"/>
          <w:caps w:val="0"/>
          <w:smallCaps w:val="0"/>
          <w:color w:val="auto"/>
          <w:spacing w:val="0"/>
          <w:highlight w:val="none"/>
        </w:rPr>
        <w:t>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286904A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②生产用水：根据企业提供资料可知，背板玻璃清洗废水为</w:t>
      </w:r>
      <w:r>
        <w:rPr>
          <w:rFonts w:hint="eastAsia" w:ascii="Times New Roman" w:hAnsi="Times New Roman" w:eastAsia="宋体" w:cs="Times New Roman"/>
          <w:caps w:val="0"/>
          <w:smallCaps w:val="0"/>
          <w:color w:val="auto"/>
          <w:spacing w:val="0"/>
          <w:highlight w:val="none"/>
          <w:lang w:val="en-US" w:eastAsia="zh-CN"/>
        </w:rPr>
        <w:t>9000</w:t>
      </w:r>
      <w:r>
        <w:rPr>
          <w:rFonts w:ascii="Times New Roman" w:hAnsi="Times New Roman" w:eastAsia="宋体" w:cs="Times New Roman"/>
          <w:caps w:val="0"/>
          <w:smallCaps w:val="0"/>
          <w:color w:val="auto"/>
          <w:spacing w:val="0"/>
          <w:highlight w:val="none"/>
        </w:rPr>
        <w:t>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/a，纯水制备产生的浓水量3290m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27BB1847">
      <w:pPr>
        <w:spacing w:line="360" w:lineRule="auto"/>
        <w:ind w:firstLine="480" w:firstLineChars="200"/>
        <w:rPr>
          <w:rFonts w:hint="eastAsia" w:ascii="Times New Roman" w:hAnsi="Times New Roman" w:eastAsia="宋体" w:cs="Times New Roman"/>
          <w:caps w:val="0"/>
          <w:smallCaps w:val="0"/>
          <w:color w:val="auto"/>
          <w:spacing w:val="0"/>
          <w:highlight w:val="none"/>
          <w:lang w:eastAsia="zh-CN"/>
        </w:rPr>
      </w:pPr>
      <w:r>
        <w:rPr>
          <w:rFonts w:ascii="Times New Roman" w:hAnsi="Times New Roman" w:eastAsia="宋体" w:cs="Times New Roman"/>
          <w:caps w:val="0"/>
          <w:smallCaps w:val="0"/>
          <w:color w:val="auto"/>
          <w:spacing w:val="0"/>
          <w:kern w:val="0"/>
          <w:szCs w:val="24"/>
          <w:highlight w:val="none"/>
          <w:lang w:bidi="ar"/>
        </w:rPr>
        <w:t>③锅炉排污水：4500</w:t>
      </w:r>
      <w:r>
        <w:rPr>
          <w:rFonts w:ascii="Times New Roman" w:hAnsi="Times New Roman" w:eastAsia="宋体" w:cs="Times New Roman"/>
          <w:caps w:val="0"/>
          <w:smallCaps w:val="0"/>
          <w:color w:val="auto"/>
          <w:spacing w:val="0"/>
          <w:highlight w:val="none"/>
        </w:rPr>
        <w:t>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r>
        <w:rPr>
          <w:rFonts w:hint="eastAsia" w:ascii="Times New Roman" w:hAnsi="Times New Roman" w:eastAsia="宋体" w:cs="Times New Roman"/>
          <w:caps w:val="0"/>
          <w:smallCaps w:val="0"/>
          <w:color w:val="auto"/>
          <w:spacing w:val="0"/>
          <w:kern w:val="0"/>
          <w:szCs w:val="24"/>
          <w:highlight w:val="none"/>
          <w:lang w:eastAsia="zh-CN" w:bidi="ar"/>
        </w:rPr>
        <w:t>。</w:t>
      </w:r>
    </w:p>
    <w:p w14:paraId="72BE0B3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④制冷站水、空压站循环冷却水不外排。</w:t>
      </w:r>
    </w:p>
    <w:p w14:paraId="7D44B4F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总废水量为</w:t>
      </w:r>
      <w:r>
        <w:rPr>
          <w:rFonts w:hint="eastAsia" w:ascii="Times New Roman" w:hAnsi="Times New Roman" w:eastAsia="宋体" w:cs="Times New Roman"/>
          <w:caps w:val="0"/>
          <w:smallCaps w:val="0"/>
          <w:color w:val="auto"/>
          <w:spacing w:val="0"/>
          <w:highlight w:val="none"/>
          <w:lang w:val="en-US" w:eastAsia="zh-CN"/>
        </w:rPr>
        <w:t>28790</w:t>
      </w:r>
      <w:r>
        <w:rPr>
          <w:rFonts w:ascii="Times New Roman" w:hAnsi="Times New Roman" w:eastAsia="宋体" w:cs="Times New Roman"/>
          <w:caps w:val="0"/>
          <w:smallCaps w:val="0"/>
          <w:color w:val="auto"/>
          <w:spacing w:val="0"/>
          <w:highlight w:val="none"/>
        </w:rPr>
        <w:t>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w:t>
      </w:r>
    </w:p>
    <w:p w14:paraId="2E162AD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食堂废水经隔油池处理后与生活污水、排入化粪池处理后一同与背板玻璃清洗</w:t>
      </w:r>
      <w:r>
        <w:rPr>
          <w:rFonts w:hint="eastAsia" w:ascii="Times New Roman" w:hAnsi="Times New Roman" w:eastAsia="宋体" w:cs="Times New Roman"/>
          <w:caps w:val="0"/>
          <w:smallCaps w:val="0"/>
          <w:color w:val="auto"/>
          <w:spacing w:val="0"/>
          <w:highlight w:val="none"/>
        </w:rPr>
        <w:t>废水</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锅炉排污水、</w:t>
      </w:r>
      <w:r>
        <w:rPr>
          <w:rFonts w:ascii="Times New Roman" w:hAnsi="Times New Roman" w:eastAsia="宋体" w:cs="Times New Roman"/>
          <w:caps w:val="0"/>
          <w:smallCaps w:val="0"/>
          <w:color w:val="auto"/>
          <w:spacing w:val="0"/>
          <w:highlight w:val="none"/>
        </w:rPr>
        <w:t>纯水制备浓水全部排入高新区污水处理厂。</w:t>
      </w:r>
    </w:p>
    <w:p w14:paraId="4ED998FC">
      <w:pPr>
        <w:widowControl w:val="0"/>
        <w:rPr>
          <w:rFonts w:ascii="Times New Roman" w:hAnsi="Times New Roman" w:eastAsia="宋体" w:cs="Times New Roman"/>
          <w:caps w:val="0"/>
          <w:smallCaps w:val="0"/>
          <w:color w:val="auto"/>
          <w:spacing w:val="0"/>
          <w:highlight w:val="none"/>
        </w:rPr>
      </w:pPr>
      <w:r>
        <w:rPr>
          <w:color w:val="auto"/>
          <w:highlight w:val="none"/>
        </w:rPr>
        <w:drawing>
          <wp:inline distT="0" distB="0" distL="114300" distR="114300">
            <wp:extent cx="5749290" cy="4023360"/>
            <wp:effectExtent l="0" t="0" r="3810" b="15240"/>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29"/>
                    <a:stretch>
                      <a:fillRect/>
                    </a:stretch>
                  </pic:blipFill>
                  <pic:spPr>
                    <a:xfrm>
                      <a:off x="0" y="0"/>
                      <a:ext cx="5749290" cy="4023360"/>
                    </a:xfrm>
                    <a:prstGeom prst="rect">
                      <a:avLst/>
                    </a:prstGeom>
                    <a:noFill/>
                    <a:ln>
                      <a:noFill/>
                    </a:ln>
                  </pic:spPr>
                </pic:pic>
              </a:graphicData>
            </a:graphic>
          </wp:inline>
        </w:drawing>
      </w:r>
    </w:p>
    <w:p w14:paraId="65FE3AD5">
      <w:pPr>
        <w:pStyle w:val="96"/>
        <w:tabs>
          <w:tab w:val="left" w:pos="6033"/>
          <w:tab w:val="left" w:pos="6271"/>
        </w:tabs>
        <w:autoSpaceDE w:val="0"/>
        <w:autoSpaceDN w:val="0"/>
        <w:spacing w:line="240" w:lineRule="auto"/>
        <w:ind w:right="-65" w:rightChars="-27" w:firstLine="482"/>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图3.1-1现有工程水平衡图</w:t>
      </w:r>
    </w:p>
    <w:p w14:paraId="2C649780">
      <w:pPr>
        <w:pStyle w:val="5"/>
        <w:widowControl w:val="0"/>
        <w:rPr>
          <w:rFonts w:eastAsia="宋体"/>
          <w:caps w:val="0"/>
          <w:smallCaps w:val="0"/>
          <w:color w:val="auto"/>
          <w:spacing w:val="0"/>
          <w:sz w:val="30"/>
          <w:szCs w:val="30"/>
          <w:highlight w:val="none"/>
        </w:rPr>
      </w:pPr>
      <w:bookmarkStart w:id="68" w:name="_Toc32048"/>
      <w:r>
        <w:rPr>
          <w:rFonts w:eastAsia="宋体"/>
          <w:caps w:val="0"/>
          <w:smallCaps w:val="0"/>
          <w:color w:val="auto"/>
          <w:spacing w:val="0"/>
          <w:sz w:val="30"/>
          <w:szCs w:val="30"/>
          <w:highlight w:val="none"/>
        </w:rPr>
        <w:t>3.1.5现有工程工艺流程</w:t>
      </w:r>
      <w:bookmarkEnd w:id="68"/>
    </w:p>
    <w:p w14:paraId="3B39EF1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后段组装线工艺流程</w:t>
      </w:r>
    </w:p>
    <w:p w14:paraId="4F437F5A">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上接镀膜线、汇流线纵铺、横铺、边缘封装和背板玻璃清洗：在短边最顶端方向，铺设两条汇流条，然后在长边方向铺设与背金属层绝缘的汇流条，保证长边汇流条与短边汇流条相连；在电池板的扫边区铺设边部密封胶。</w:t>
      </w:r>
    </w:p>
    <w:p w14:paraId="5A6D137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背板玻璃清洗过程产生的清洗废水，主要污染物为SS等；</w:t>
      </w:r>
    </w:p>
    <w:p w14:paraId="268CB40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（2）基片/封装材料/背板结合：将衬底、EVA胶片、密封硅胶以及背板玻璃预先压接在一起；在此过</w:t>
      </w:r>
      <w:r>
        <w:rPr>
          <w:rFonts w:hint="eastAsia" w:ascii="Times New Roman" w:hAnsi="Times New Roman" w:eastAsia="宋体" w:cs="Times New Roman"/>
          <w:caps w:val="0"/>
          <w:smallCaps w:val="0"/>
          <w:color w:val="auto"/>
          <w:spacing w:val="0"/>
          <w:highlight w:val="none"/>
        </w:rPr>
        <w:t>程中</w:t>
      </w:r>
      <w:r>
        <w:rPr>
          <w:rFonts w:ascii="Times New Roman" w:hAnsi="Times New Roman" w:eastAsia="宋体" w:cs="Times New Roman"/>
          <w:caps w:val="0"/>
          <w:smallCaps w:val="0"/>
          <w:color w:val="auto"/>
          <w:spacing w:val="0"/>
          <w:highlight w:val="none"/>
        </w:rPr>
        <w:t>产生的污染主要是EVA胶片使用过程中产生的边角料；</w:t>
      </w:r>
    </w:p>
    <w:p w14:paraId="47646146">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（3）叠层层压、冷却：将合片的衬底、背板以及封装材料在层压机内加热。加压并抽真空，叠层层压并冷却发电玻璃板；</w:t>
      </w:r>
    </w:p>
    <w:p w14:paraId="7BFCAFD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根据项目基板密封胶的MSDS，密封胶中不含有机物，不会产生挥发性有机污染物；</w:t>
      </w:r>
    </w:p>
    <w:p w14:paraId="011B45D7">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（4）</w:t>
      </w:r>
      <w:r>
        <w:rPr>
          <w:rFonts w:ascii="Times New Roman" w:hAnsi="Times New Roman" w:eastAsia="宋体" w:cs="Times New Roman"/>
          <w:caps w:val="0"/>
          <w:smallCaps w:val="0"/>
          <w:color w:val="auto"/>
          <w:spacing w:val="0"/>
          <w:highlight w:val="none"/>
        </w:rPr>
        <w:t>接线盒配置：首先人工清理安装孔洞区域，并且连接好汇流条和接线盒，使用粘合剂将接线盒固定在相应的位置，然后冲压固定。项目接线盒密封工艺过</w:t>
      </w:r>
      <w:r>
        <w:rPr>
          <w:rFonts w:hint="eastAsia" w:ascii="Times New Roman" w:hAnsi="Times New Roman" w:eastAsia="宋体" w:cs="Times New Roman"/>
          <w:caps w:val="0"/>
          <w:smallCaps w:val="0"/>
          <w:color w:val="auto"/>
          <w:spacing w:val="0"/>
          <w:highlight w:val="none"/>
        </w:rPr>
        <w:t>程中</w:t>
      </w:r>
      <w:r>
        <w:rPr>
          <w:rFonts w:ascii="Times New Roman" w:hAnsi="Times New Roman" w:eastAsia="宋体" w:cs="Times New Roman"/>
          <w:caps w:val="0"/>
          <w:smallCaps w:val="0"/>
          <w:color w:val="auto"/>
          <w:spacing w:val="0"/>
          <w:highlight w:val="none"/>
        </w:rPr>
        <w:t>使用的密封胶含有一定量的有机污染物，根据MSDS，在使用</w:t>
      </w:r>
      <w:r>
        <w:rPr>
          <w:rFonts w:hint="eastAsia" w:ascii="Times New Roman" w:hAnsi="Times New Roman" w:eastAsia="宋体" w:cs="Times New Roman"/>
          <w:caps w:val="0"/>
          <w:smallCaps w:val="0"/>
          <w:color w:val="auto"/>
          <w:spacing w:val="0"/>
          <w:highlight w:val="none"/>
        </w:rPr>
        <w:t>过程</w:t>
      </w:r>
      <w:r>
        <w:rPr>
          <w:rFonts w:ascii="Times New Roman" w:hAnsi="Times New Roman" w:eastAsia="宋体" w:cs="Times New Roman"/>
          <w:caps w:val="0"/>
          <w:smallCaps w:val="0"/>
          <w:color w:val="auto"/>
          <w:spacing w:val="0"/>
          <w:highlight w:val="none"/>
        </w:rPr>
        <w:t>中会有</w:t>
      </w:r>
      <w:r>
        <w:rPr>
          <w:rFonts w:hint="eastAsia" w:ascii="Times New Roman" w:hAnsi="Times New Roman" w:eastAsia="宋体" w:cs="Times New Roman"/>
          <w:caps w:val="0"/>
          <w:smallCaps w:val="0"/>
          <w:color w:val="auto"/>
          <w:spacing w:val="0"/>
          <w:highlight w:val="none"/>
        </w:rPr>
        <w:t>1%～5%</w:t>
      </w:r>
      <w:r>
        <w:rPr>
          <w:rFonts w:ascii="Times New Roman" w:hAnsi="Times New Roman" w:eastAsia="宋体" w:cs="Times New Roman"/>
          <w:caps w:val="0"/>
          <w:smallCaps w:val="0"/>
          <w:color w:val="auto"/>
          <w:spacing w:val="0"/>
          <w:highlight w:val="none"/>
        </w:rPr>
        <w:t>挥发量，此部分废气，主要污染物为VOC，以面源形式排放；</w:t>
      </w:r>
    </w:p>
    <w:p w14:paraId="3D385F4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（5）成品检测，包装外售：对成品的性能进行检测，需要对光伏组件的各项性能进行测试（包括高压绝缘测试、</w:t>
      </w:r>
      <w:r>
        <w:rPr>
          <w:rFonts w:hint="eastAsia" w:ascii="Times New Roman" w:hAnsi="Times New Roman" w:eastAsia="宋体" w:cs="Times New Roman"/>
          <w:caps w:val="0"/>
          <w:smallCaps w:val="0"/>
          <w:color w:val="auto"/>
          <w:spacing w:val="0"/>
          <w:highlight w:val="none"/>
        </w:rPr>
        <w:t>Ⅳ</w:t>
      </w:r>
      <w:r>
        <w:rPr>
          <w:rFonts w:ascii="Times New Roman" w:hAnsi="Times New Roman" w:eastAsia="宋体" w:cs="Times New Roman"/>
          <w:caps w:val="0"/>
          <w:smallCaps w:val="0"/>
          <w:color w:val="auto"/>
          <w:spacing w:val="0"/>
          <w:highlight w:val="none"/>
        </w:rPr>
        <w:t>测试等），通过在规定的光源、标准光强以及一定的标准电池温度（25℃）下，对光伏组件的开路电压、短路电流、最大输出功率、伏安特性曲线等进行测试。合格的光伏组件应满足以下要求：表面颜色均匀一致、无机械损伤；组件的框架应整洁，无腐蚀斑点等。在此过程会产生不合格产品。根据测试结果将电池分档，然后将分档的电池贴标签和包装，形成成品，合格品包装外售。在此过程会产生破损废弃包装物。</w:t>
      </w:r>
    </w:p>
    <w:p w14:paraId="6F66F37E">
      <w:pPr>
        <w:pStyle w:val="96"/>
        <w:tabs>
          <w:tab w:val="left" w:pos="6033"/>
          <w:tab w:val="left" w:pos="6271"/>
        </w:tabs>
        <w:autoSpaceDE w:val="0"/>
        <w:autoSpaceDN w:val="0"/>
        <w:spacing w:after="120" w:line="240" w:lineRule="auto"/>
        <w:jc w:val="center"/>
        <w:textAlignment w:val="bottom"/>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5754370" cy="2379980"/>
            <wp:effectExtent l="0" t="0" r="0" b="0"/>
            <wp:docPr id="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pic:cNvPicPr>
                      <a:picLocks noChangeAspect="1"/>
                    </pic:cNvPicPr>
                  </pic:nvPicPr>
                  <pic:blipFill>
                    <a:blip r:embed="rId30"/>
                    <a:stretch>
                      <a:fillRect/>
                    </a:stretch>
                  </pic:blipFill>
                  <pic:spPr>
                    <a:xfrm>
                      <a:off x="0" y="0"/>
                      <a:ext cx="5754370" cy="2379980"/>
                    </a:xfrm>
                    <a:prstGeom prst="rect">
                      <a:avLst/>
                    </a:prstGeom>
                    <a:noFill/>
                    <a:ln>
                      <a:noFill/>
                    </a:ln>
                  </pic:spPr>
                </pic:pic>
              </a:graphicData>
            </a:graphic>
          </wp:inline>
        </w:drawing>
      </w:r>
      <w:r>
        <w:rPr>
          <w:rFonts w:ascii="Times New Roman" w:hAnsi="Times New Roman" w:eastAsia="宋体" w:cs="Times New Roman"/>
          <w:b/>
          <w:caps w:val="0"/>
          <w:smallCaps w:val="0"/>
          <w:color w:val="auto"/>
          <w:spacing w:val="0"/>
          <w:szCs w:val="24"/>
          <w:highlight w:val="none"/>
        </w:rPr>
        <w:t>图3.1-2现有工程水平衡图</w:t>
      </w:r>
    </w:p>
    <w:p w14:paraId="349AA66B">
      <w:pPr>
        <w:pStyle w:val="5"/>
        <w:widowControl w:val="0"/>
        <w:rPr>
          <w:rFonts w:eastAsia="宋体"/>
          <w:caps w:val="0"/>
          <w:smallCaps w:val="0"/>
          <w:color w:val="auto"/>
          <w:spacing w:val="0"/>
          <w:sz w:val="30"/>
          <w:szCs w:val="30"/>
          <w:highlight w:val="none"/>
        </w:rPr>
      </w:pPr>
      <w:bookmarkStart w:id="69" w:name="_Toc14649"/>
      <w:r>
        <w:rPr>
          <w:rFonts w:eastAsia="宋体"/>
          <w:caps w:val="0"/>
          <w:smallCaps w:val="0"/>
          <w:color w:val="auto"/>
          <w:spacing w:val="0"/>
          <w:sz w:val="30"/>
          <w:szCs w:val="30"/>
          <w:highlight w:val="none"/>
        </w:rPr>
        <w:t>3.1.6现有工程污染物排放情况及采取的措施</w:t>
      </w:r>
      <w:bookmarkEnd w:id="69"/>
    </w:p>
    <w:p w14:paraId="788111C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现有工程各污染源排放情况</w:t>
      </w:r>
      <w:r>
        <w:rPr>
          <w:rFonts w:hint="eastAsia" w:ascii="Times New Roman" w:hAnsi="Times New Roman" w:eastAsia="宋体" w:cs="Times New Roman"/>
          <w:caps w:val="0"/>
          <w:smallCaps w:val="0"/>
          <w:color w:val="auto"/>
          <w:spacing w:val="0"/>
          <w:highlight w:val="none"/>
        </w:rPr>
        <w:t>引用2024年1月《佳木斯中建材光电材料有限公司黑龙江省佳木斯市高新区年产100MW碲化镉弱光发电玻璃项目竣工环境保护验收监测报告》中</w:t>
      </w:r>
      <w:r>
        <w:rPr>
          <w:rFonts w:ascii="Times New Roman" w:hAnsi="Times New Roman" w:eastAsia="宋体" w:cs="Times New Roman"/>
          <w:caps w:val="0"/>
          <w:smallCaps w:val="0"/>
          <w:color w:val="auto"/>
          <w:spacing w:val="0"/>
          <w:highlight w:val="none"/>
        </w:rPr>
        <w:t>哈尔滨信康环境污染检测有限公司2024年出具的验收监测报告</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根据验收检测报告</w:t>
      </w:r>
      <w:r>
        <w:rPr>
          <w:rFonts w:ascii="Times New Roman" w:hAnsi="Times New Roman" w:eastAsia="宋体" w:cs="Times New Roman"/>
          <w:caps w:val="0"/>
          <w:smallCaps w:val="0"/>
          <w:color w:val="auto"/>
          <w:spacing w:val="0"/>
          <w:highlight w:val="none"/>
        </w:rPr>
        <w:t>现有工程各污染源排放情况如下。</w:t>
      </w:r>
    </w:p>
    <w:p w14:paraId="6B7A02DE">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（1）废气</w:t>
      </w:r>
    </w:p>
    <w:p w14:paraId="11A9022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验收监测期间，无组织监测结果表明：验收监测期间，厂界上风向无组织非甲烷总烃浓度在0.23~0.32mg/m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之间，下风向无组织污染物非甲烷总烃浓度在0.34~0.47mg/m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w:t>
      </w:r>
      <w:r>
        <w:rPr>
          <w:rFonts w:ascii="Times New Roman" w:hAnsi="Times New Roman" w:eastAsia="宋体" w:cs="Times New Roman"/>
          <w:caps w:val="0"/>
          <w:smallCaps w:val="0"/>
          <w:color w:val="auto"/>
          <w:spacing w:val="0"/>
          <w:highlight w:val="none"/>
        </w:rPr>
        <w:t>均满足《电池工业污染物标准》（GB30484-2013）</w:t>
      </w:r>
      <w:r>
        <w:rPr>
          <w:rFonts w:hint="eastAsia" w:ascii="Times New Roman" w:hAnsi="Times New Roman" w:eastAsia="宋体" w:cs="Times New Roman"/>
          <w:caps w:val="0"/>
          <w:smallCaps w:val="0"/>
          <w:color w:val="auto"/>
          <w:spacing w:val="0"/>
          <w:highlight w:val="none"/>
          <w:lang w:val="en-US" w:eastAsia="zh-CN"/>
        </w:rPr>
        <w:t>中</w:t>
      </w:r>
      <w:r>
        <w:rPr>
          <w:rFonts w:ascii="Times New Roman" w:hAnsi="Times New Roman" w:eastAsia="宋体" w:cs="Times New Roman"/>
          <w:caps w:val="0"/>
          <w:smallCaps w:val="0"/>
          <w:color w:val="auto"/>
          <w:spacing w:val="0"/>
          <w:highlight w:val="none"/>
        </w:rPr>
        <w:t>表6新建企业边界大</w:t>
      </w:r>
      <w:r>
        <w:rPr>
          <w:rFonts w:eastAsia="宋体"/>
          <w:caps w:val="0"/>
          <w:smallCaps w:val="0"/>
          <w:color w:val="auto"/>
          <w:spacing w:val="0"/>
          <w:highlight w:val="none"/>
        </w:rPr>
        <w:t>气污染物浓度限值</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厂界内最高浓度在0.46~0.50mg/m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之间，满足《挥发性有机物无组织排放控制标准》（GB37822-2019）相关标准浓度限值。厂界上风向无组织颗粒物浓</w:t>
      </w:r>
      <w:r>
        <w:rPr>
          <w:rFonts w:hint="eastAsia" w:ascii="Times New Roman" w:hAnsi="Times New Roman" w:eastAsia="宋体" w:cs="Times New Roman"/>
          <w:caps w:val="0"/>
          <w:smallCaps w:val="0"/>
          <w:color w:val="auto"/>
          <w:spacing w:val="0"/>
          <w:highlight w:val="none"/>
          <w:lang w:eastAsia="zh-CN"/>
        </w:rPr>
        <w:t>度在</w:t>
      </w:r>
      <w:r>
        <w:rPr>
          <w:rFonts w:ascii="Times New Roman" w:hAnsi="Times New Roman" w:eastAsia="宋体" w:cs="Times New Roman"/>
          <w:caps w:val="0"/>
          <w:smallCaps w:val="0"/>
          <w:color w:val="auto"/>
          <w:spacing w:val="0"/>
          <w:highlight w:val="none"/>
        </w:rPr>
        <w:t>0.221~0.260mg/m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之间，下风向无组织污染物非甲烷总烃浓度在0.228~0.43mg/m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之间，均满足《大气污染物综合排放标准》（GB16297-1996）中表2标准浓度限值。</w:t>
      </w:r>
    </w:p>
    <w:p w14:paraId="44C3D54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有组织监测结果表明：验收监测期间，6.6t/h燃气锅炉1#废气污染物中颗粒物排放浓度在6.1~7.2mg/m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之间，二氧化硫排放浓度为3L，氮氧化物排放浓度在35~62mg/m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之间，烟气黑度小于1；6.6t/h燃气锅炉2#废气污染物中颗粒物排放浓</w:t>
      </w:r>
      <w:r>
        <w:rPr>
          <w:rFonts w:hint="eastAsia" w:ascii="Times New Roman" w:hAnsi="Times New Roman" w:eastAsia="宋体" w:cs="Times New Roman"/>
          <w:caps w:val="0"/>
          <w:smallCaps w:val="0"/>
          <w:color w:val="auto"/>
          <w:spacing w:val="0"/>
          <w:highlight w:val="none"/>
        </w:rPr>
        <w:t>度在</w:t>
      </w:r>
      <w:r>
        <w:rPr>
          <w:rFonts w:ascii="Times New Roman" w:hAnsi="Times New Roman" w:eastAsia="宋体" w:cs="Times New Roman"/>
          <w:caps w:val="0"/>
          <w:smallCaps w:val="0"/>
          <w:color w:val="auto"/>
          <w:spacing w:val="0"/>
          <w:highlight w:val="none"/>
        </w:rPr>
        <w:t>5.1~6.3mg/m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之间，二氧化硫排放浓度为3L，氮氧化物排放浓度在50~57mg/m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之间，烟气黑度小于1；2台3.3t/h燃气锅炉废气污染物中颗粒物排放浓度在5.7~6.2mg/m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之间，二氧化硫排放浓度为3L，氮氧化物排放浓度在46~59mg/m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之间，烟气黑度小于1；以上四台锅炉废气均满足《锅炉大气污染物排放标准》（GB13271-2014）中新建燃气锅炉标准限值。</w:t>
      </w:r>
      <w:r>
        <w:rPr>
          <w:rFonts w:ascii="Times New Roman" w:hAnsi="Times New Roman" w:eastAsia="宋体" w:cs="Times New Roman"/>
          <w:caps w:val="0"/>
          <w:smallCaps w:val="0"/>
          <w:color w:val="auto"/>
          <w:spacing w:val="0"/>
          <w:highlight w:val="none"/>
        </w:rPr>
        <w:t>其中1台3.3t/h燃气锅炉以及1台6.6t/h燃气锅炉</w:t>
      </w:r>
      <w:r>
        <w:rPr>
          <w:rFonts w:hint="eastAsia" w:ascii="Times New Roman" w:hAnsi="Times New Roman" w:eastAsia="宋体" w:cs="Times New Roman"/>
          <w:caps w:val="0"/>
          <w:smallCaps w:val="0"/>
          <w:color w:val="auto"/>
          <w:spacing w:val="0"/>
          <w:highlight w:val="none"/>
        </w:rPr>
        <w:t>已于2024年11月29日</w:t>
      </w:r>
      <w:r>
        <w:rPr>
          <w:rFonts w:ascii="Times New Roman" w:hAnsi="Times New Roman" w:eastAsia="宋体" w:cs="Times New Roman"/>
          <w:caps w:val="0"/>
          <w:smallCaps w:val="0"/>
          <w:color w:val="auto"/>
          <w:spacing w:val="0"/>
          <w:highlight w:val="none"/>
        </w:rPr>
        <w:t>报停，另外1台3.3t/h燃气锅炉以及1台6.6t/h燃气锅炉作为备用锅炉</w:t>
      </w:r>
      <w:r>
        <w:rPr>
          <w:rFonts w:hint="eastAsia" w:ascii="Times New Roman" w:hAnsi="Times New Roman" w:eastAsia="宋体" w:cs="Times New Roman"/>
          <w:caps w:val="0"/>
          <w:smallCaps w:val="0"/>
          <w:color w:val="auto"/>
          <w:spacing w:val="0"/>
          <w:highlight w:val="none"/>
        </w:rPr>
        <w:t>，在外购供蒸汽突然中断等特殊原因情况下启用。</w:t>
      </w:r>
    </w:p>
    <w:p w14:paraId="1A29138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验收监测期间，油烟处理效率未达到75%以上，整改后再次验收。</w:t>
      </w:r>
    </w:p>
    <w:p w14:paraId="77CB48A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（2）废水</w:t>
      </w:r>
    </w:p>
    <w:p w14:paraId="086798E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食堂废水经隔油池处理后与生活污水、排入化粪池处理后一同与背板玻璃清洗废水、锅炉排污水、纯水制备浓水全部排入高新区污水处理厂。</w:t>
      </w:r>
    </w:p>
    <w:p w14:paraId="19A06E31">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（3）噪声</w:t>
      </w:r>
    </w:p>
    <w:p w14:paraId="68685A4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验收监测期间，厂界昼间噪声值在48.3~52.0dB(A)之间，夜间噪声值38.3~41.7dB(A)之间，均满足《工业企业厂界环境噪声排放标准》(GB12348-2008)中的3类区域标准要求。</w:t>
      </w:r>
    </w:p>
    <w:p w14:paraId="3BD3C82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（4）固体废物</w:t>
      </w:r>
    </w:p>
    <w:p w14:paraId="3E90FC8D">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①餐厨垃圾和食堂废水油脂属于一般固废，交由专业单位进行处置；</w:t>
      </w:r>
    </w:p>
    <w:p w14:paraId="678DFCA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②生活垃圾统一交给市政环卫部门处理，新鲜水纯水制备废膜交</w:t>
      </w:r>
      <w:r>
        <w:rPr>
          <w:rFonts w:ascii="Times New Roman" w:hAnsi="Times New Roman" w:eastAsia="宋体" w:cs="Times New Roman"/>
          <w:caps w:val="0"/>
          <w:smallCaps w:val="0"/>
          <w:color w:val="auto"/>
          <w:spacing w:val="0"/>
          <w:highlight w:val="none"/>
        </w:rPr>
        <w:t>由厂家回收</w:t>
      </w:r>
      <w:r>
        <w:rPr>
          <w:rFonts w:ascii="Times New Roman" w:hAnsi="Times New Roman" w:eastAsia="宋体" w:cs="Times New Roman"/>
          <w:caps w:val="0"/>
          <w:smallCaps w:val="0"/>
          <w:color w:val="auto"/>
          <w:spacing w:val="0"/>
          <w:highlight w:val="none"/>
        </w:rPr>
        <w:t>；</w:t>
      </w:r>
    </w:p>
    <w:p w14:paraId="16D4423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③</w:t>
      </w:r>
      <w:r>
        <w:rPr>
          <w:rFonts w:hint="eastAsia" w:ascii="Times New Roman" w:hAnsi="Times New Roman" w:eastAsia="宋体" w:cs="Times New Roman"/>
          <w:caps w:val="0"/>
          <w:smallCaps w:val="0"/>
          <w:color w:val="auto"/>
          <w:spacing w:val="0"/>
          <w:highlight w:val="none"/>
          <w:lang w:val="en-US" w:eastAsia="zh-CN"/>
        </w:rPr>
        <w:t>由于前段镀膜生产线未投产，</w:t>
      </w:r>
      <w:r>
        <w:rPr>
          <w:rFonts w:hint="eastAsia" w:ascii="Times New Roman" w:hAnsi="Times New Roman" w:eastAsia="宋体" w:cs="Times New Roman"/>
          <w:caps w:val="0"/>
          <w:smallCaps w:val="0"/>
          <w:color w:val="auto"/>
          <w:spacing w:val="0"/>
          <w:highlight w:val="none"/>
          <w:lang w:val="en-US" w:eastAsia="zh-CN"/>
        </w:rPr>
        <w:t>因此</w:t>
      </w:r>
      <w:r>
        <w:rPr>
          <w:rFonts w:ascii="Times New Roman" w:hAnsi="Times New Roman" w:eastAsia="宋体" w:cs="Times New Roman"/>
          <w:caps w:val="0"/>
          <w:smallCaps w:val="0"/>
          <w:color w:val="auto"/>
          <w:spacing w:val="0"/>
          <w:highlight w:val="none"/>
        </w:rPr>
        <w:t>废TCO玻璃和背板玻璃、废靶材、废防溅板、废手套、高效过滤器收集的粉尘、更换的废滤芯、CdSe/CdTe沉积物、与化学品接触的废弃包装物、含镉废水处理系统产生的污泥、废膜和蒸发结晶均</w:t>
      </w:r>
      <w:r>
        <w:rPr>
          <w:rFonts w:hint="eastAsia" w:ascii="Times New Roman" w:hAnsi="Times New Roman" w:eastAsia="宋体" w:cs="Times New Roman"/>
          <w:caps w:val="0"/>
          <w:smallCaps w:val="0"/>
          <w:color w:val="auto"/>
          <w:spacing w:val="0"/>
          <w:highlight w:val="none"/>
        </w:rPr>
        <w:t>不</w:t>
      </w:r>
      <w:r>
        <w:rPr>
          <w:rFonts w:ascii="Times New Roman" w:hAnsi="Times New Roman" w:eastAsia="宋体" w:cs="Times New Roman"/>
          <w:caps w:val="0"/>
          <w:smallCaps w:val="0"/>
          <w:color w:val="auto"/>
          <w:spacing w:val="0"/>
          <w:highlight w:val="none"/>
        </w:rPr>
        <w:t>产生。</w:t>
      </w:r>
    </w:p>
    <w:p w14:paraId="751F576E">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④废铜条、废绝缘胶带、废EVA胶片、破损废弃包装物外售给废品收购商；不合格产品属于危险废物，分类暂存于危险废物暂存间，定期送至有资质的危险废物处置单位进行处置。</w:t>
      </w:r>
    </w:p>
    <w:p w14:paraId="62056DF6">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综上，项目固体废物均得到了妥善处理处置。</w:t>
      </w:r>
    </w:p>
    <w:p w14:paraId="1CAB9048">
      <w:pPr>
        <w:widowControl w:val="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（5）污染物排放总量核算</w:t>
      </w:r>
    </w:p>
    <w:p w14:paraId="2FA9C4AD">
      <w:pPr>
        <w:widowControl w:val="0"/>
        <w:spacing w:before="120"/>
        <w:jc w:val="center"/>
        <w:rPr>
          <w:rFonts w:ascii="Times New Roman" w:hAnsi="Times New Roman" w:eastAsia="宋体" w:cs="Times New Roman"/>
          <w:b/>
          <w:caps w:val="0"/>
          <w:smallCaps w:val="0"/>
          <w:color w:val="auto"/>
          <w:spacing w:val="0"/>
          <w:kern w:val="0"/>
          <w:szCs w:val="24"/>
          <w:highlight w:val="none"/>
        </w:rPr>
      </w:pPr>
      <w:r>
        <w:rPr>
          <w:rFonts w:ascii="Times New Roman" w:hAnsi="Times New Roman" w:eastAsia="宋体" w:cs="Times New Roman"/>
          <w:b/>
          <w:caps w:val="0"/>
          <w:smallCaps w:val="0"/>
          <w:color w:val="auto"/>
          <w:spacing w:val="0"/>
          <w:kern w:val="0"/>
          <w:szCs w:val="24"/>
          <w:highlight w:val="none"/>
        </w:rPr>
        <w:t>表3.1-3现有工程污染物总量核算</w:t>
      </w:r>
    </w:p>
    <w:tbl>
      <w:tblPr>
        <w:tblStyle w:val="3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775"/>
        <w:gridCol w:w="3063"/>
        <w:gridCol w:w="3442"/>
      </w:tblGrid>
      <w:tr w14:paraId="1FE218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495" w:type="pct"/>
            <w:tcBorders>
              <w:top w:val="single" w:color="auto" w:sz="8" w:space="0"/>
              <w:bottom w:val="single" w:color="auto" w:sz="8" w:space="0"/>
              <w:tl2br w:val="nil"/>
              <w:tr2bl w:val="nil"/>
            </w:tcBorders>
            <w:shd w:val="clear" w:color="auto" w:fill="auto"/>
            <w:vAlign w:val="center"/>
          </w:tcPr>
          <w:p w14:paraId="763A1C7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污染物名称</w:t>
            </w:r>
          </w:p>
        </w:tc>
        <w:tc>
          <w:tcPr>
            <w:tcW w:w="1650" w:type="pct"/>
            <w:tcBorders>
              <w:top w:val="single" w:color="auto" w:sz="8" w:space="0"/>
              <w:bottom w:val="single" w:color="auto" w:sz="8" w:space="0"/>
              <w:tl2br w:val="nil"/>
              <w:tr2bl w:val="nil"/>
            </w:tcBorders>
            <w:shd w:val="clear" w:color="auto" w:fill="auto"/>
            <w:vAlign w:val="center"/>
          </w:tcPr>
          <w:p w14:paraId="0D5578C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实际排放量t/a</w:t>
            </w:r>
          </w:p>
        </w:tc>
        <w:tc>
          <w:tcPr>
            <w:tcW w:w="1854" w:type="pct"/>
            <w:tcBorders>
              <w:top w:val="single" w:color="auto" w:sz="8" w:space="0"/>
              <w:bottom w:val="single" w:color="auto" w:sz="8" w:space="0"/>
              <w:tl2br w:val="nil"/>
              <w:tr2bl w:val="nil"/>
            </w:tcBorders>
            <w:shd w:val="clear" w:color="auto" w:fill="auto"/>
            <w:vAlign w:val="center"/>
          </w:tcPr>
          <w:p w14:paraId="03A4EDA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批复总量控制指标ta</w:t>
            </w:r>
          </w:p>
        </w:tc>
      </w:tr>
      <w:tr w14:paraId="627856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1495" w:type="pct"/>
            <w:tcBorders>
              <w:top w:val="single" w:color="auto" w:sz="8" w:space="0"/>
              <w:tl2br w:val="nil"/>
              <w:tr2bl w:val="nil"/>
            </w:tcBorders>
            <w:shd w:val="clear" w:color="auto" w:fill="auto"/>
            <w:vAlign w:val="center"/>
          </w:tcPr>
          <w:p w14:paraId="2547E2D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1650" w:type="pct"/>
            <w:tcBorders>
              <w:top w:val="single" w:color="auto" w:sz="8" w:space="0"/>
              <w:tl2br w:val="nil"/>
              <w:tr2bl w:val="nil"/>
            </w:tcBorders>
            <w:shd w:val="clear" w:color="auto" w:fill="auto"/>
            <w:vAlign w:val="center"/>
          </w:tcPr>
          <w:p w14:paraId="17D5E38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0.432</w:t>
            </w:r>
          </w:p>
        </w:tc>
        <w:tc>
          <w:tcPr>
            <w:tcW w:w="1854" w:type="pct"/>
            <w:tcBorders>
              <w:top w:val="single" w:color="auto" w:sz="8" w:space="0"/>
              <w:tl2br w:val="nil"/>
              <w:tr2bl w:val="nil"/>
            </w:tcBorders>
            <w:shd w:val="clear" w:color="auto" w:fill="auto"/>
            <w:vAlign w:val="center"/>
          </w:tcPr>
          <w:p w14:paraId="35F9293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2.22</w:t>
            </w:r>
          </w:p>
        </w:tc>
      </w:tr>
      <w:tr w14:paraId="5DCDEB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495" w:type="pct"/>
            <w:tcBorders>
              <w:tl2br w:val="nil"/>
              <w:tr2bl w:val="nil"/>
            </w:tcBorders>
            <w:shd w:val="clear" w:color="auto" w:fill="auto"/>
            <w:vAlign w:val="center"/>
          </w:tcPr>
          <w:p w14:paraId="4C8CB2F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二氧化硫</w:t>
            </w:r>
          </w:p>
        </w:tc>
        <w:tc>
          <w:tcPr>
            <w:tcW w:w="1650" w:type="pct"/>
            <w:tcBorders>
              <w:tl2br w:val="nil"/>
              <w:tr2bl w:val="nil"/>
            </w:tcBorders>
            <w:shd w:val="clear" w:color="auto" w:fill="auto"/>
            <w:vAlign w:val="center"/>
          </w:tcPr>
          <w:p w14:paraId="7A666710">
            <w:pPr>
              <w:widowControl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w:t>
            </w:r>
          </w:p>
        </w:tc>
        <w:tc>
          <w:tcPr>
            <w:tcW w:w="1854" w:type="pct"/>
            <w:tcBorders>
              <w:tl2br w:val="nil"/>
              <w:tr2bl w:val="nil"/>
            </w:tcBorders>
            <w:shd w:val="clear" w:color="auto" w:fill="auto"/>
            <w:vAlign w:val="center"/>
          </w:tcPr>
          <w:p w14:paraId="3D218EC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0.32</w:t>
            </w:r>
          </w:p>
        </w:tc>
      </w:tr>
      <w:tr w14:paraId="41C30D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495" w:type="pct"/>
            <w:tcBorders>
              <w:bottom w:val="single" w:color="auto" w:sz="8" w:space="0"/>
              <w:tl2br w:val="nil"/>
              <w:tr2bl w:val="nil"/>
            </w:tcBorders>
            <w:shd w:val="clear" w:color="auto" w:fill="auto"/>
            <w:vAlign w:val="center"/>
          </w:tcPr>
          <w:p w14:paraId="05155FD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氮氧化物</w:t>
            </w:r>
          </w:p>
        </w:tc>
        <w:tc>
          <w:tcPr>
            <w:tcW w:w="1650" w:type="pct"/>
            <w:tcBorders>
              <w:bottom w:val="single" w:color="auto" w:sz="8" w:space="0"/>
              <w:tl2br w:val="nil"/>
              <w:tr2bl w:val="nil"/>
            </w:tcBorders>
            <w:shd w:val="clear" w:color="auto" w:fill="auto"/>
            <w:vAlign w:val="center"/>
          </w:tcPr>
          <w:p w14:paraId="5E7393B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12.096</w:t>
            </w:r>
          </w:p>
        </w:tc>
        <w:tc>
          <w:tcPr>
            <w:tcW w:w="1854" w:type="pct"/>
            <w:tcBorders>
              <w:bottom w:val="single" w:color="auto" w:sz="8" w:space="0"/>
              <w:tl2br w:val="nil"/>
              <w:tr2bl w:val="nil"/>
            </w:tcBorders>
            <w:shd w:val="clear" w:color="auto" w:fill="auto"/>
            <w:vAlign w:val="center"/>
          </w:tcPr>
          <w:p w14:paraId="3881297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18.52</w:t>
            </w:r>
          </w:p>
        </w:tc>
      </w:tr>
    </w:tbl>
    <w:p w14:paraId="42891F81">
      <w:pPr>
        <w:pStyle w:val="5"/>
        <w:widowControl w:val="0"/>
        <w:rPr>
          <w:rFonts w:eastAsia="宋体"/>
          <w:caps w:val="0"/>
          <w:smallCaps w:val="0"/>
          <w:color w:val="auto"/>
          <w:spacing w:val="0"/>
          <w:sz w:val="30"/>
          <w:szCs w:val="30"/>
          <w:highlight w:val="none"/>
        </w:rPr>
      </w:pPr>
      <w:bookmarkStart w:id="70" w:name="_Toc13539"/>
      <w:r>
        <w:rPr>
          <w:rFonts w:eastAsia="宋体"/>
          <w:caps w:val="0"/>
          <w:smallCaps w:val="0"/>
          <w:color w:val="auto"/>
          <w:spacing w:val="0"/>
          <w:sz w:val="30"/>
          <w:szCs w:val="30"/>
          <w:highlight w:val="none"/>
        </w:rPr>
        <w:t>3.1.7现有工程存在的环保问题</w:t>
      </w:r>
      <w:bookmarkEnd w:id="70"/>
    </w:p>
    <w:p w14:paraId="538DC704">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验收监测期间，企业实际灶头数为4个，根据《饮食业油烟排放标准（试行）(GB18483-2001)》表1饮食业单位的规模划分为中型，因此执行表2中中型要求，去除效率需达到75%以上。根据2024年1月《佳木斯中建材光电材料有限公司黑龙江省佳木斯市高新区年产100MW碲化镉弱光发电玻璃项目竣工环境保护验收监测报告》中</w:t>
      </w:r>
      <w:r>
        <w:rPr>
          <w:rFonts w:ascii="Times New Roman" w:hAnsi="Times New Roman" w:eastAsia="宋体" w:cs="Times New Roman"/>
          <w:caps w:val="0"/>
          <w:smallCaps w:val="0"/>
          <w:color w:val="auto"/>
          <w:spacing w:val="0"/>
          <w:highlight w:val="none"/>
        </w:rPr>
        <w:t>哈尔滨信康环境污染检测有限公司2024年出具的验收监测报告</w:t>
      </w:r>
      <w:r>
        <w:rPr>
          <w:rFonts w:hint="eastAsia" w:ascii="Times New Roman" w:hAnsi="Times New Roman" w:eastAsia="宋体" w:cs="Times New Roman"/>
          <w:caps w:val="0"/>
          <w:smallCaps w:val="0"/>
          <w:color w:val="auto"/>
          <w:spacing w:val="0"/>
          <w:highlight w:val="none"/>
        </w:rPr>
        <w:t>，油烟处理效率71.7%-76.7%之间，部分数据未达到75%以上，因此要求企业整改，改进油烟处理设施，提高油烟处理效率，整改合格后与本次一同验收。</w:t>
      </w:r>
    </w:p>
    <w:p w14:paraId="4CF603DF">
      <w:pPr>
        <w:pStyle w:val="4"/>
        <w:widowControl w:val="0"/>
        <w:rPr>
          <w:rFonts w:eastAsia="宋体"/>
          <w:caps w:val="0"/>
          <w:smallCaps w:val="0"/>
          <w:color w:val="auto"/>
          <w:spacing w:val="0"/>
          <w:highlight w:val="none"/>
        </w:rPr>
      </w:pPr>
      <w:bookmarkStart w:id="71" w:name="_Toc19776"/>
      <w:r>
        <w:rPr>
          <w:rFonts w:eastAsia="宋体"/>
          <w:caps w:val="0"/>
          <w:smallCaps w:val="0"/>
          <w:color w:val="auto"/>
          <w:spacing w:val="0"/>
          <w:highlight w:val="none"/>
        </w:rPr>
        <w:t>3.2</w:t>
      </w:r>
      <w:r>
        <w:rPr>
          <w:rFonts w:hint="eastAsia" w:eastAsia="宋体"/>
          <w:caps w:val="0"/>
          <w:smallCaps w:val="0"/>
          <w:color w:val="auto"/>
          <w:spacing w:val="0"/>
          <w:highlight w:val="none"/>
        </w:rPr>
        <w:t>本次</w:t>
      </w:r>
      <w:r>
        <w:rPr>
          <w:rFonts w:eastAsia="宋体"/>
          <w:caps w:val="0"/>
          <w:smallCaps w:val="0"/>
          <w:color w:val="auto"/>
          <w:spacing w:val="0"/>
          <w:highlight w:val="none"/>
        </w:rPr>
        <w:t>项目概况</w:t>
      </w:r>
      <w:bookmarkEnd w:id="61"/>
      <w:bookmarkEnd w:id="62"/>
      <w:bookmarkEnd w:id="63"/>
      <w:bookmarkEnd w:id="71"/>
    </w:p>
    <w:p w14:paraId="3BDC0B3C">
      <w:pPr>
        <w:pStyle w:val="5"/>
        <w:widowControl w:val="0"/>
        <w:rPr>
          <w:rFonts w:eastAsia="宋体"/>
          <w:caps w:val="0"/>
          <w:smallCaps w:val="0"/>
          <w:color w:val="auto"/>
          <w:spacing w:val="0"/>
          <w:sz w:val="30"/>
          <w:szCs w:val="30"/>
          <w:highlight w:val="none"/>
        </w:rPr>
      </w:pPr>
      <w:bookmarkStart w:id="72" w:name="_Toc477951943"/>
      <w:bookmarkStart w:id="73" w:name="_Toc21001"/>
      <w:r>
        <w:rPr>
          <w:rFonts w:eastAsia="宋体"/>
          <w:caps w:val="0"/>
          <w:smallCaps w:val="0"/>
          <w:color w:val="auto"/>
          <w:spacing w:val="0"/>
          <w:sz w:val="30"/>
          <w:szCs w:val="30"/>
          <w:highlight w:val="none"/>
        </w:rPr>
        <w:t>3.2.1项目名称和基本组成</w:t>
      </w:r>
      <w:bookmarkEnd w:id="72"/>
      <w:bookmarkEnd w:id="73"/>
    </w:p>
    <w:p w14:paraId="63BFB96D">
      <w:pPr>
        <w:widowControl w:val="0"/>
        <w:spacing w:line="360" w:lineRule="auto"/>
        <w:ind w:left="1680" w:leftChars="200" w:hanging="1200" w:hangingChars="5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项目名称：佳木斯中建材光电材料有限公司黑龙江省佳木斯市高新区年产100MW碲化镉弱光发电玻璃项目</w:t>
      </w:r>
      <w:r>
        <w:rPr>
          <w:rFonts w:hint="eastAsia" w:ascii="Times New Roman" w:hAnsi="Times New Roman" w:eastAsia="宋体" w:cs="Times New Roman"/>
          <w:caps w:val="0"/>
          <w:smallCaps w:val="0"/>
          <w:color w:val="auto"/>
          <w:spacing w:val="0"/>
          <w:highlight w:val="none"/>
        </w:rPr>
        <w:t>（重新报批）</w:t>
      </w:r>
    </w:p>
    <w:p w14:paraId="386DA721">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建设单位：佳木斯中建材光电材料有限公司</w:t>
      </w:r>
    </w:p>
    <w:p w14:paraId="166297D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工程性质：</w:t>
      </w:r>
      <w:r>
        <w:rPr>
          <w:rFonts w:hint="eastAsia" w:ascii="Times New Roman" w:hAnsi="Times New Roman" w:eastAsia="宋体" w:cs="Times New Roman"/>
          <w:caps w:val="0"/>
          <w:smallCaps w:val="0"/>
          <w:color w:val="auto"/>
          <w:spacing w:val="0"/>
          <w:highlight w:val="none"/>
        </w:rPr>
        <w:t>新建</w:t>
      </w:r>
    </w:p>
    <w:p w14:paraId="74F7354D">
      <w:pPr>
        <w:widowControl w:val="0"/>
        <w:shd w:val="clear" w:color="auto" w:fill="FFFFFF"/>
        <w:spacing w:line="360" w:lineRule="auto"/>
        <w:ind w:firstLine="480"/>
        <w:rPr>
          <w:rFonts w:ascii="Times New Roman" w:hAnsi="Times New Roman" w:cs="Times New Roman" w:eastAsiaTheme="minorEastAsia"/>
          <w:color w:val="auto"/>
          <w:highlight w:val="none"/>
        </w:rPr>
      </w:pPr>
      <w:r>
        <w:rPr>
          <w:rFonts w:ascii="Times New Roman" w:hAnsi="Times New Roman" w:eastAsia="宋体" w:cs="Times New Roman"/>
          <w:caps w:val="0"/>
          <w:smallCaps w:val="0"/>
          <w:color w:val="auto"/>
          <w:spacing w:val="0"/>
          <w:highlight w:val="none"/>
        </w:rPr>
        <w:t>建设内容：</w:t>
      </w:r>
      <w:r>
        <w:rPr>
          <w:rFonts w:ascii="Times New Roman" w:hAnsi="Times New Roman" w:cs="Times New Roman" w:eastAsiaTheme="minorEastAsia"/>
          <w:color w:val="auto"/>
          <w:highlight w:val="none"/>
        </w:rPr>
        <w:t>建设采用改进的近空间升华核心技术生产碲化镉弱光发电玻璃100MW/a（</w:t>
      </w:r>
      <w:r>
        <w:rPr>
          <w:rFonts w:hint="eastAsia" w:ascii="Times New Roman" w:hAnsi="Times New Roman" w:cs="Times New Roman" w:eastAsiaTheme="minorEastAsia"/>
          <w:color w:val="auto"/>
          <w:highlight w:val="none"/>
          <w:lang w:val="en-US" w:eastAsia="zh-CN"/>
        </w:rPr>
        <w:t>峰值</w:t>
      </w:r>
      <w:r>
        <w:rPr>
          <w:rFonts w:ascii="Times New Roman" w:hAnsi="Times New Roman" w:cs="Times New Roman" w:eastAsiaTheme="minorEastAsia"/>
          <w:color w:val="auto"/>
          <w:highlight w:val="none"/>
        </w:rPr>
        <w:t>可实现126MW/a）</w:t>
      </w:r>
      <w:r>
        <w:rPr>
          <w:rFonts w:hint="eastAsia" w:ascii="Times New Roman" w:hAnsi="Times New Roman" w:cs="Times New Roman" w:eastAsiaTheme="minorEastAsia"/>
          <w:color w:val="auto"/>
          <w:highlight w:val="none"/>
          <w:lang w:val="en-US" w:eastAsia="zh-CN"/>
        </w:rPr>
        <w:t>前段镀膜生产线</w:t>
      </w:r>
      <w:r>
        <w:rPr>
          <w:rFonts w:ascii="Times New Roman" w:hAnsi="Times New Roman" w:cs="Times New Roman" w:eastAsiaTheme="minorEastAsia"/>
          <w:color w:val="auto"/>
          <w:highlight w:val="none"/>
        </w:rPr>
        <w:t>一条</w:t>
      </w:r>
      <w:r>
        <w:rPr>
          <w:rFonts w:hint="eastAsia" w:ascii="Times New Roman" w:hAnsi="Times New Roman" w:cs="Times New Roman" w:eastAsiaTheme="minorEastAsia"/>
          <w:color w:val="auto"/>
          <w:highlight w:val="none"/>
          <w:lang w:eastAsia="zh-CN"/>
        </w:rPr>
        <w:t>，</w:t>
      </w:r>
      <w:r>
        <w:rPr>
          <w:rFonts w:hint="eastAsia" w:ascii="Times New Roman" w:hAnsi="Times New Roman" w:cs="Times New Roman" w:eastAsiaTheme="minorEastAsia"/>
          <w:color w:val="auto"/>
          <w:highlight w:val="none"/>
          <w:lang w:val="en-US" w:eastAsia="zh-CN"/>
        </w:rPr>
        <w:t>建设一座180m</w:t>
      </w:r>
      <w:r>
        <w:rPr>
          <w:rFonts w:hint="eastAsia" w:ascii="Times New Roman" w:hAnsi="Times New Roman" w:cs="Times New Roman" w:eastAsiaTheme="minorEastAsia"/>
          <w:color w:val="auto"/>
          <w:highlight w:val="none"/>
          <w:vertAlign w:val="superscript"/>
          <w:lang w:val="en-US" w:eastAsia="zh-CN"/>
        </w:rPr>
        <w:t>3</w:t>
      </w:r>
      <w:r>
        <w:rPr>
          <w:rFonts w:hint="eastAsia" w:ascii="Times New Roman" w:hAnsi="Times New Roman" w:cs="Times New Roman" w:eastAsiaTheme="minorEastAsia"/>
          <w:color w:val="auto"/>
          <w:highlight w:val="none"/>
          <w:lang w:val="en-US" w:eastAsia="zh-CN"/>
        </w:rPr>
        <w:t>/d的污水处理站，内设有碱性废水处理系统、显影废水、低浓度含镉废水及高浓度含镉废水处理系统（处理工艺：调节+沉淀+TMF膜+催化系统（电催化+光催化）+气浮+好氧生化处理+厌氧生化处理+MBR系统+RO反渗透+三效蒸发</w:t>
      </w:r>
      <w:r>
        <w:rPr>
          <w:rFonts w:hint="eastAsia" w:ascii="Times New Roman" w:hAnsi="Times New Roman" w:cs="Times New Roman" w:eastAsiaTheme="minorEastAsia"/>
          <w:color w:val="auto"/>
          <w:highlight w:val="none"/>
          <w:lang w:val="en-US" w:eastAsia="zh-CN"/>
        </w:rPr>
        <w:t>）</w:t>
      </w:r>
      <w:r>
        <w:rPr>
          <w:rFonts w:ascii="Times New Roman" w:hAnsi="Times New Roman" w:cs="Times New Roman" w:eastAsiaTheme="minorEastAsia"/>
          <w:color w:val="auto"/>
          <w:highlight w:val="none"/>
        </w:rPr>
        <w:t>。</w:t>
      </w:r>
    </w:p>
    <w:p w14:paraId="3EA48834">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生产规模：生产碲化镉弱光发电玻璃100MW/a</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cs="Times New Roman" w:eastAsiaTheme="minorEastAsia"/>
          <w:color w:val="auto"/>
          <w:highlight w:val="none"/>
          <w:lang w:val="en-US" w:eastAsia="zh-CN"/>
        </w:rPr>
        <w:t>峰值</w:t>
      </w:r>
      <w:r>
        <w:rPr>
          <w:rFonts w:ascii="Times New Roman" w:hAnsi="Times New Roman" w:cs="Times New Roman" w:eastAsiaTheme="minorEastAsia"/>
          <w:color w:val="auto"/>
          <w:highlight w:val="none"/>
        </w:rPr>
        <w:t>可实现126MW/a</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w:t>
      </w:r>
    </w:p>
    <w:p w14:paraId="70CF4D9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项目投资：90460万元，其中环保投资3156万元</w:t>
      </w:r>
    </w:p>
    <w:p w14:paraId="53B1ECB1">
      <w:pPr>
        <w:pStyle w:val="5"/>
        <w:widowControl w:val="0"/>
        <w:rPr>
          <w:rFonts w:eastAsia="宋体"/>
          <w:caps w:val="0"/>
          <w:smallCaps w:val="0"/>
          <w:color w:val="auto"/>
          <w:spacing w:val="0"/>
          <w:sz w:val="30"/>
          <w:szCs w:val="30"/>
          <w:highlight w:val="none"/>
        </w:rPr>
      </w:pPr>
      <w:bookmarkStart w:id="74" w:name="_Toc477951945"/>
      <w:bookmarkStart w:id="75" w:name="_Toc19011"/>
      <w:r>
        <w:rPr>
          <w:rFonts w:eastAsia="宋体"/>
          <w:caps w:val="0"/>
          <w:smallCaps w:val="0"/>
          <w:color w:val="auto"/>
          <w:spacing w:val="0"/>
          <w:sz w:val="30"/>
          <w:szCs w:val="30"/>
          <w:highlight w:val="none"/>
        </w:rPr>
        <w:t>3.2.2工程概况</w:t>
      </w:r>
      <w:bookmarkEnd w:id="74"/>
      <w:bookmarkEnd w:id="75"/>
    </w:p>
    <w:p w14:paraId="159833FD">
      <w:pPr>
        <w:adjustRightInd w:val="0"/>
        <w:snapToGrid w:val="0"/>
        <w:spacing w:line="360" w:lineRule="auto"/>
        <w:ind w:firstLine="480" w:firstLineChars="20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caps w:val="0"/>
          <w:smallCaps w:val="0"/>
          <w:color w:val="auto"/>
          <w:spacing w:val="0"/>
          <w:kern w:val="0"/>
          <w:highlight w:val="none"/>
        </w:rPr>
        <w:t>本项目变化情况对比表见下表3.2-1。</w:t>
      </w:r>
    </w:p>
    <w:p w14:paraId="3CF11070">
      <w:pPr>
        <w:rPr>
          <w:caps w:val="0"/>
          <w:smallCaps w:val="0"/>
          <w:color w:val="auto"/>
          <w:spacing w:val="0"/>
          <w:kern w:val="0"/>
          <w:highlight w:val="none"/>
        </w:rPr>
        <w:sectPr>
          <w:headerReference r:id="rId10" w:type="default"/>
          <w:footerReference r:id="rId11" w:type="default"/>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r>
        <w:rPr>
          <w:caps w:val="0"/>
          <w:smallCaps w:val="0"/>
          <w:color w:val="auto"/>
          <w:spacing w:val="0"/>
          <w:kern w:val="0"/>
          <w:highlight w:val="none"/>
        </w:rPr>
        <w:br w:type="page"/>
      </w:r>
    </w:p>
    <w:p w14:paraId="6C3E8C65">
      <w:pPr>
        <w:pStyle w:val="36"/>
        <w:ind w:firstLine="235"/>
        <w:jc w:val="center"/>
        <w:rPr>
          <w:rFonts w:ascii="宋体" w:hAnsi="宋体" w:eastAsia="宋体" w:cs="宋体"/>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表3.2-1环评阶段建设内容与实</w:t>
      </w:r>
      <w:r>
        <w:rPr>
          <w:rFonts w:ascii="宋体" w:hAnsi="宋体" w:eastAsia="宋体" w:cs="宋体"/>
          <w:b/>
          <w:bCs/>
          <w:caps w:val="0"/>
          <w:smallCaps w:val="0"/>
          <w:color w:val="auto"/>
          <w:spacing w:val="0"/>
          <w:szCs w:val="24"/>
          <w:highlight w:val="none"/>
        </w:rPr>
        <w:t>际建设内容一览表</w:t>
      </w:r>
    </w:p>
    <w:tbl>
      <w:tblPr>
        <w:tblStyle w:val="176"/>
        <w:tblpPr w:leftFromText="180" w:rightFromText="180" w:vertAnchor="text" w:horzAnchor="page" w:tblpX="1027" w:tblpY="135"/>
        <w:tblOverlap w:val="never"/>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5"/>
        <w:gridCol w:w="563"/>
        <w:gridCol w:w="6430"/>
        <w:gridCol w:w="5034"/>
        <w:gridCol w:w="1650"/>
      </w:tblGrid>
      <w:tr w14:paraId="250C2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889" w:type="dxa"/>
            <w:gridSpan w:val="2"/>
            <w:tcBorders>
              <w:top w:val="single" w:color="000000" w:sz="10" w:space="0"/>
              <w:left w:val="nil"/>
            </w:tcBorders>
            <w:vAlign w:val="center"/>
          </w:tcPr>
          <w:p w14:paraId="60E911AC">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项目</w:t>
            </w:r>
          </w:p>
          <w:p w14:paraId="6ADA7BA1">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组成</w:t>
            </w:r>
          </w:p>
        </w:tc>
        <w:tc>
          <w:tcPr>
            <w:tcW w:w="6429" w:type="dxa"/>
            <w:tcBorders>
              <w:top w:val="single" w:color="000000" w:sz="10" w:space="0"/>
            </w:tcBorders>
            <w:vAlign w:val="center"/>
          </w:tcPr>
          <w:p w14:paraId="5B2048C9">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佳环建审〔2</w:t>
            </w:r>
            <w:r>
              <w:rPr>
                <w:rFonts w:ascii="Times New Roman" w:hAnsi="Times New Roman" w:cs="Times New Roman"/>
                <w:bCs/>
                <w:caps w:val="0"/>
                <w:smallCaps w:val="0"/>
                <w:color w:val="auto"/>
                <w:spacing w:val="0"/>
                <w:sz w:val="18"/>
                <w:szCs w:val="18"/>
                <w:highlight w:val="none"/>
                <w:lang w:eastAsia="zh-CN"/>
              </w:rPr>
              <w:t>019〕72</w:t>
            </w:r>
            <w:r>
              <w:rPr>
                <w:rFonts w:ascii="Times New Roman" w:hAnsi="Times New Roman" w:cs="Times New Roman"/>
                <w:caps w:val="0"/>
                <w:smallCaps w:val="0"/>
                <w:color w:val="auto"/>
                <w:spacing w:val="0"/>
                <w:sz w:val="18"/>
                <w:szCs w:val="18"/>
                <w:highlight w:val="none"/>
                <w:lang w:eastAsia="zh-CN"/>
              </w:rPr>
              <w:t>号批复内容</w:t>
            </w:r>
            <w:r>
              <w:rPr>
                <w:rFonts w:hint="eastAsia" w:ascii="Times New Roman" w:hAnsi="Times New Roman" w:cs="Times New Roman"/>
                <w:caps w:val="0"/>
                <w:smallCaps w:val="0"/>
                <w:color w:val="auto"/>
                <w:spacing w:val="0"/>
                <w:sz w:val="18"/>
                <w:szCs w:val="18"/>
                <w:highlight w:val="none"/>
                <w:lang w:eastAsia="zh-CN"/>
              </w:rPr>
              <w:t>及验收</w:t>
            </w:r>
            <w:r>
              <w:rPr>
                <w:rFonts w:ascii="Times New Roman" w:hAnsi="Times New Roman" w:cs="Times New Roman"/>
                <w:caps w:val="0"/>
                <w:smallCaps w:val="0"/>
                <w:color w:val="auto"/>
                <w:spacing w:val="0"/>
                <w:sz w:val="18"/>
                <w:szCs w:val="18"/>
                <w:highlight w:val="none"/>
                <w:lang w:eastAsia="zh-CN"/>
              </w:rPr>
              <w:t>建设内容</w:t>
            </w:r>
          </w:p>
        </w:tc>
        <w:tc>
          <w:tcPr>
            <w:tcW w:w="5033" w:type="dxa"/>
            <w:tcBorders>
              <w:top w:val="single" w:color="000000" w:sz="10" w:space="0"/>
            </w:tcBorders>
            <w:vAlign w:val="center"/>
          </w:tcPr>
          <w:p w14:paraId="40E5FDD5">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本项目建设</w:t>
            </w:r>
            <w:r>
              <w:rPr>
                <w:rFonts w:ascii="Times New Roman" w:hAnsi="Times New Roman" w:cs="Times New Roman"/>
                <w:caps w:val="0"/>
                <w:smallCaps w:val="0"/>
                <w:color w:val="auto"/>
                <w:spacing w:val="0"/>
                <w:sz w:val="18"/>
                <w:szCs w:val="18"/>
                <w:highlight w:val="none"/>
              </w:rPr>
              <w:t>内容</w:t>
            </w:r>
          </w:p>
        </w:tc>
        <w:tc>
          <w:tcPr>
            <w:tcW w:w="1651" w:type="dxa"/>
            <w:tcBorders>
              <w:top w:val="single" w:color="000000" w:sz="10" w:space="0"/>
              <w:right w:val="nil"/>
            </w:tcBorders>
            <w:vAlign w:val="center"/>
          </w:tcPr>
          <w:p w14:paraId="7E087508">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变化情况</w:t>
            </w:r>
          </w:p>
        </w:tc>
      </w:tr>
      <w:tr w14:paraId="4D52C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tcBorders>
              <w:left w:val="nil"/>
            </w:tcBorders>
            <w:vAlign w:val="center"/>
          </w:tcPr>
          <w:p w14:paraId="15F1BE8B">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生产线</w:t>
            </w:r>
          </w:p>
        </w:tc>
        <w:tc>
          <w:tcPr>
            <w:tcW w:w="563" w:type="dxa"/>
            <w:vAlign w:val="center"/>
          </w:tcPr>
          <w:p w14:paraId="174948A0">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产线生</w:t>
            </w:r>
          </w:p>
        </w:tc>
        <w:tc>
          <w:tcPr>
            <w:tcW w:w="6429" w:type="dxa"/>
            <w:vAlign w:val="center"/>
          </w:tcPr>
          <w:p w14:paraId="0A3C9292">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一条年产</w:t>
            </w:r>
            <w:r>
              <w:rPr>
                <w:rFonts w:ascii="Times New Roman" w:hAnsi="Times New Roman" w:eastAsia="Times New Roman" w:cs="Times New Roman"/>
                <w:caps w:val="0"/>
                <w:smallCaps w:val="0"/>
                <w:color w:val="auto"/>
                <w:spacing w:val="0"/>
                <w:sz w:val="18"/>
                <w:szCs w:val="18"/>
                <w:highlight w:val="none"/>
                <w:lang w:eastAsia="zh-CN"/>
              </w:rPr>
              <w:t>100MW</w:t>
            </w:r>
            <w:r>
              <w:rPr>
                <w:rFonts w:ascii="Times New Roman" w:hAnsi="Times New Roman" w:cs="Times New Roman"/>
                <w:caps w:val="0"/>
                <w:smallCaps w:val="0"/>
                <w:color w:val="auto"/>
                <w:spacing w:val="0"/>
                <w:sz w:val="18"/>
                <w:szCs w:val="18"/>
                <w:highlight w:val="none"/>
                <w:lang w:eastAsia="zh-CN"/>
              </w:rPr>
              <w:t>（可达</w:t>
            </w:r>
            <w:r>
              <w:rPr>
                <w:rFonts w:ascii="Times New Roman" w:hAnsi="Times New Roman" w:eastAsia="Times New Roman" w:cs="Times New Roman"/>
                <w:caps w:val="0"/>
                <w:smallCaps w:val="0"/>
                <w:color w:val="auto"/>
                <w:spacing w:val="0"/>
                <w:sz w:val="18"/>
                <w:szCs w:val="18"/>
                <w:highlight w:val="none"/>
                <w:lang w:eastAsia="zh-CN"/>
              </w:rPr>
              <w:t>126MW</w:t>
            </w:r>
            <w:r>
              <w:rPr>
                <w:rFonts w:ascii="Times New Roman" w:hAnsi="Times New Roman" w:cs="Times New Roman"/>
                <w:caps w:val="0"/>
                <w:smallCaps w:val="0"/>
                <w:color w:val="auto"/>
                <w:spacing w:val="0"/>
                <w:sz w:val="18"/>
                <w:szCs w:val="18"/>
                <w:highlight w:val="none"/>
                <w:lang w:eastAsia="zh-CN"/>
              </w:rPr>
              <w:t>）碲化镉弱光发电玻璃生产线，目前生产均采用半成品原材料，进场后直接组装成产品，生产规模不</w:t>
            </w:r>
            <w:r>
              <w:rPr>
                <w:rFonts w:hint="eastAsia" w:ascii="Times New Roman" w:hAnsi="Times New Roman" w:cs="Times New Roman"/>
                <w:caps w:val="0"/>
                <w:smallCaps w:val="0"/>
                <w:color w:val="auto"/>
                <w:spacing w:val="0"/>
                <w:sz w:val="18"/>
                <w:szCs w:val="18"/>
                <w:highlight w:val="none"/>
                <w:lang w:eastAsia="zh-CN"/>
              </w:rPr>
              <w:t>变</w:t>
            </w:r>
            <w:r>
              <w:rPr>
                <w:rFonts w:ascii="Times New Roman" w:hAnsi="Times New Roman" w:cs="Times New Roman"/>
                <w:bCs/>
                <w:caps w:val="0"/>
                <w:smallCaps w:val="0"/>
                <w:color w:val="auto"/>
                <w:spacing w:val="0"/>
                <w:sz w:val="18"/>
                <w:szCs w:val="18"/>
                <w:highlight w:val="none"/>
                <w:lang w:eastAsia="zh-CN"/>
              </w:rPr>
              <w:t>。</w:t>
            </w:r>
            <w:r>
              <w:rPr>
                <w:rFonts w:hint="eastAsia" w:ascii="Times New Roman" w:hAnsi="Times New Roman" w:cs="Times New Roman"/>
                <w:bCs/>
                <w:caps w:val="0"/>
                <w:smallCaps w:val="0"/>
                <w:color w:val="auto"/>
                <w:spacing w:val="0"/>
                <w:sz w:val="18"/>
                <w:szCs w:val="18"/>
                <w:highlight w:val="none"/>
                <w:lang w:val="en-US" w:eastAsia="zh-CN"/>
              </w:rPr>
              <w:t>前段</w:t>
            </w:r>
            <w:r>
              <w:rPr>
                <w:rFonts w:hint="eastAsia" w:ascii="Times New Roman" w:hAnsi="Times New Roman" w:cs="Times New Roman"/>
                <w:bCs/>
                <w:caps w:val="0"/>
                <w:smallCaps w:val="0"/>
                <w:color w:val="auto"/>
                <w:spacing w:val="0"/>
                <w:sz w:val="18"/>
                <w:szCs w:val="18"/>
                <w:highlight w:val="none"/>
                <w:lang w:eastAsia="zh-CN"/>
              </w:rPr>
              <w:t>工艺</w:t>
            </w:r>
            <w:r>
              <w:rPr>
                <w:rFonts w:ascii="Times New Roman" w:hAnsi="Times New Roman" w:cs="Times New Roman"/>
                <w:caps w:val="0"/>
                <w:smallCaps w:val="0"/>
                <w:color w:val="auto"/>
                <w:spacing w:val="0"/>
                <w:sz w:val="18"/>
                <w:szCs w:val="18"/>
                <w:highlight w:val="none"/>
                <w:lang w:eastAsia="zh-CN"/>
              </w:rPr>
              <w:t>包括基片喂入、基片清洗、基片编码、基片检测、</w:t>
            </w:r>
            <w:r>
              <w:rPr>
                <w:rFonts w:ascii="Times New Roman" w:hAnsi="Times New Roman" w:cs="Times New Roman"/>
                <w:bCs/>
                <w:caps w:val="0"/>
                <w:smallCaps w:val="0"/>
                <w:color w:val="auto"/>
                <w:spacing w:val="0"/>
                <w:sz w:val="18"/>
                <w:szCs w:val="18"/>
                <w:highlight w:val="none"/>
                <w:lang w:eastAsia="zh-CN"/>
              </w:rPr>
              <w:t>CSS沉积镀膜、CdCl</w:t>
            </w:r>
            <w:r>
              <w:rPr>
                <w:rFonts w:ascii="Times New Roman" w:hAnsi="Times New Roman" w:cs="Times New Roman"/>
                <w:bCs/>
                <w:caps w:val="0"/>
                <w:smallCaps w:val="0"/>
                <w:color w:val="auto"/>
                <w:spacing w:val="0"/>
                <w:sz w:val="18"/>
                <w:szCs w:val="18"/>
                <w:highlight w:val="none"/>
                <w:vertAlign w:val="subscript"/>
                <w:lang w:eastAsia="zh-CN"/>
              </w:rPr>
              <w:t>2</w:t>
            </w:r>
            <w:r>
              <w:rPr>
                <w:rFonts w:ascii="Times New Roman" w:hAnsi="Times New Roman" w:cs="Times New Roman"/>
                <w:bCs/>
                <w:caps w:val="0"/>
                <w:smallCaps w:val="0"/>
                <w:color w:val="auto"/>
                <w:spacing w:val="0"/>
                <w:sz w:val="18"/>
                <w:szCs w:val="18"/>
                <w:highlight w:val="none"/>
                <w:lang w:eastAsia="zh-CN"/>
              </w:rPr>
              <w:t>涂覆高温活化、退火、活化层清洗、P1-P3激光刻划、光刻胶干燥、显影清洗、铜盐浸泡、背电极镀膜、激光清边</w:t>
            </w:r>
            <w:r>
              <w:rPr>
                <w:rFonts w:hint="eastAsia" w:ascii="Times New Roman" w:hAnsi="Times New Roman" w:cs="Times New Roman"/>
                <w:bCs/>
                <w:caps w:val="0"/>
                <w:smallCaps w:val="0"/>
                <w:color w:val="auto"/>
                <w:spacing w:val="0"/>
                <w:sz w:val="18"/>
                <w:szCs w:val="18"/>
                <w:highlight w:val="none"/>
                <w:lang w:eastAsia="zh-CN"/>
              </w:rPr>
              <w:t>；</w:t>
            </w:r>
            <w:r>
              <w:rPr>
                <w:rFonts w:hint="eastAsia" w:ascii="Times New Roman" w:hAnsi="Times New Roman" w:cs="Times New Roman"/>
                <w:bCs/>
                <w:caps w:val="0"/>
                <w:smallCaps w:val="0"/>
                <w:color w:val="auto"/>
                <w:spacing w:val="0"/>
                <w:sz w:val="18"/>
                <w:szCs w:val="18"/>
                <w:highlight w:val="none"/>
                <w:lang w:val="en-US" w:eastAsia="zh-CN"/>
              </w:rPr>
              <w:t>后端工艺为</w:t>
            </w:r>
            <w:r>
              <w:rPr>
                <w:rFonts w:ascii="Times New Roman" w:hAnsi="Times New Roman" w:cs="Times New Roman"/>
                <w:bCs/>
                <w:caps w:val="0"/>
                <w:smallCaps w:val="0"/>
                <w:color w:val="auto"/>
                <w:spacing w:val="0"/>
                <w:sz w:val="18"/>
                <w:szCs w:val="18"/>
                <w:highlight w:val="none"/>
                <w:lang w:eastAsia="zh-CN"/>
              </w:rPr>
              <w:t>光伏测试、接组装等</w:t>
            </w:r>
          </w:p>
        </w:tc>
        <w:tc>
          <w:tcPr>
            <w:tcW w:w="5033" w:type="dxa"/>
            <w:vAlign w:val="center"/>
          </w:tcPr>
          <w:p w14:paraId="49544B7E">
            <w:pPr>
              <w:pStyle w:val="195"/>
              <w:widowControl/>
              <w:autoSpaceDE w:val="0"/>
              <w:autoSpaceDN w:val="0"/>
              <w:adjustRightInd w:val="0"/>
              <w:snapToGrid w:val="0"/>
              <w:jc w:val="both"/>
              <w:textAlignment w:val="baseline"/>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一条年产100MW（可达126MW）碲化镉弱光发电玻璃生产线前端工艺，其中包括基片喂入、基片清洗、基片编码、基片检测、CSS沉积镀膜、CdCl2涂覆高温活化、退火、活化层清洗蚀刻、ZnTe膜层溅射、P1-P5激光刻划、光刻胶干燥、显影清洗、背电极沉积镀膜以及激光清边等</w:t>
            </w:r>
            <w:r>
              <w:rPr>
                <w:rFonts w:hint="eastAsia" w:ascii="Times New Roman" w:hAnsi="Times New Roman" w:cs="Times New Roman"/>
                <w:bCs/>
                <w:caps w:val="0"/>
                <w:smallCaps w:val="0"/>
                <w:color w:val="auto"/>
                <w:spacing w:val="0"/>
                <w:sz w:val="18"/>
                <w:szCs w:val="18"/>
                <w:highlight w:val="none"/>
                <w:lang w:eastAsia="zh-CN"/>
              </w:rPr>
              <w:t>；</w:t>
            </w:r>
          </w:p>
          <w:p w14:paraId="6001EF1E">
            <w:pPr>
              <w:pStyle w:val="195"/>
              <w:widowControl/>
              <w:autoSpaceDE w:val="0"/>
              <w:autoSpaceDN w:val="0"/>
              <w:adjustRightInd w:val="0"/>
              <w:snapToGrid w:val="0"/>
              <w:jc w:val="both"/>
              <w:textAlignment w:val="baseline"/>
              <w:rPr>
                <w:rFonts w:ascii="Times New Roman" w:hAnsi="Times New Roman" w:cs="Times New Roman"/>
                <w:bCs/>
                <w:caps w:val="0"/>
                <w:smallCaps w:val="0"/>
                <w:color w:val="auto"/>
                <w:spacing w:val="0"/>
                <w:sz w:val="18"/>
                <w:szCs w:val="18"/>
                <w:highlight w:val="none"/>
                <w:lang w:eastAsia="zh-CN"/>
              </w:rPr>
            </w:pPr>
            <w:r>
              <w:rPr>
                <w:rFonts w:hint="eastAsia" w:ascii="Times New Roman" w:hAnsi="Times New Roman" w:cs="Times New Roman"/>
                <w:bCs/>
                <w:caps w:val="0"/>
                <w:smallCaps w:val="0"/>
                <w:color w:val="auto"/>
                <w:spacing w:val="0"/>
                <w:sz w:val="18"/>
                <w:szCs w:val="18"/>
                <w:highlight w:val="none"/>
                <w:lang w:eastAsia="zh-CN"/>
              </w:rPr>
              <w:t>后端组装工段接线盒配置由原来的</w:t>
            </w:r>
            <w:r>
              <w:rPr>
                <w:rFonts w:ascii="Times New Roman" w:hAnsi="Times New Roman" w:cs="Times New Roman"/>
                <w:bCs/>
                <w:caps w:val="0"/>
                <w:smallCaps w:val="0"/>
                <w:color w:val="auto"/>
                <w:spacing w:val="0"/>
                <w:sz w:val="18"/>
                <w:szCs w:val="18"/>
                <w:highlight w:val="none"/>
                <w:lang w:eastAsia="zh-CN"/>
              </w:rPr>
              <w:t>粘合剂</w:t>
            </w:r>
            <w:r>
              <w:rPr>
                <w:rFonts w:hint="eastAsia" w:ascii="Times New Roman" w:hAnsi="Times New Roman" w:cs="Times New Roman"/>
                <w:bCs/>
                <w:caps w:val="0"/>
                <w:smallCaps w:val="0"/>
                <w:color w:val="auto"/>
                <w:spacing w:val="0"/>
                <w:sz w:val="18"/>
                <w:szCs w:val="18"/>
                <w:highlight w:val="none"/>
                <w:lang w:eastAsia="zh-CN"/>
              </w:rPr>
              <w:t>变为焊接工艺，新增组框机。</w:t>
            </w:r>
          </w:p>
        </w:tc>
        <w:tc>
          <w:tcPr>
            <w:tcW w:w="1651" w:type="dxa"/>
            <w:tcBorders>
              <w:right w:val="nil"/>
            </w:tcBorders>
            <w:vAlign w:val="center"/>
          </w:tcPr>
          <w:p w14:paraId="160A9036">
            <w:pPr>
              <w:pStyle w:val="195"/>
              <w:widowControl/>
              <w:autoSpaceDE w:val="0"/>
              <w:autoSpaceDN w:val="0"/>
              <w:adjustRightInd w:val="0"/>
              <w:snapToGrid w:val="0"/>
              <w:jc w:val="both"/>
              <w:textAlignment w:val="baseline"/>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后端组装已验收，本次新增ZnTe膜层溅射、活化层清洗蚀刻、P4-P5激光刻划</w:t>
            </w:r>
            <w:r>
              <w:rPr>
                <w:rFonts w:hint="eastAsia" w:ascii="Times New Roman" w:hAnsi="Times New Roman" w:cs="Times New Roman"/>
                <w:bCs/>
                <w:caps w:val="0"/>
                <w:smallCaps w:val="0"/>
                <w:color w:val="auto"/>
                <w:spacing w:val="0"/>
                <w:sz w:val="18"/>
                <w:szCs w:val="18"/>
                <w:highlight w:val="none"/>
                <w:lang w:eastAsia="zh-CN"/>
              </w:rPr>
              <w:t>、组框机，接线盒配置由原来的粘合剂变为焊接工艺</w:t>
            </w:r>
          </w:p>
        </w:tc>
      </w:tr>
      <w:tr w14:paraId="7EC8D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restart"/>
            <w:tcBorders>
              <w:left w:val="nil"/>
              <w:bottom w:val="nil"/>
            </w:tcBorders>
            <w:vAlign w:val="center"/>
          </w:tcPr>
          <w:p w14:paraId="4E0B7644">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配套工程</w:t>
            </w:r>
          </w:p>
        </w:tc>
        <w:tc>
          <w:tcPr>
            <w:tcW w:w="563" w:type="dxa"/>
            <w:vAlign w:val="center"/>
          </w:tcPr>
          <w:p w14:paraId="5184F371">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联合车间</w:t>
            </w:r>
          </w:p>
        </w:tc>
        <w:tc>
          <w:tcPr>
            <w:tcW w:w="6429" w:type="dxa"/>
            <w:vAlign w:val="center"/>
          </w:tcPr>
          <w:p w14:paraId="4EC08DA3">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采用钢结构，建筑面积</w:t>
            </w:r>
            <w:r>
              <w:rPr>
                <w:rFonts w:ascii="Times New Roman" w:hAnsi="Times New Roman" w:eastAsia="Times New Roman" w:cs="Times New Roman"/>
                <w:caps w:val="0"/>
                <w:smallCaps w:val="0"/>
                <w:color w:val="auto"/>
                <w:spacing w:val="0"/>
                <w:sz w:val="18"/>
                <w:szCs w:val="18"/>
                <w:highlight w:val="none"/>
                <w:lang w:eastAsia="zh-CN"/>
              </w:rPr>
              <w:t>44974m</w:t>
            </w:r>
            <w:r>
              <w:rPr>
                <w:rFonts w:hint="eastAsia" w:ascii="Times New Roman" w:hAnsi="Times New Roman" w:cs="Times New Roman"/>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，其中清洁车间</w:t>
            </w:r>
            <w:r>
              <w:rPr>
                <w:rFonts w:ascii="Times New Roman" w:hAnsi="Times New Roman" w:eastAsia="Times New Roman" w:cs="Times New Roman"/>
                <w:caps w:val="0"/>
                <w:smallCaps w:val="0"/>
                <w:color w:val="auto"/>
                <w:spacing w:val="0"/>
                <w:sz w:val="18"/>
                <w:szCs w:val="18"/>
                <w:highlight w:val="none"/>
                <w:lang w:eastAsia="zh-CN"/>
              </w:rPr>
              <w:t>20000m</w:t>
            </w:r>
            <w:r>
              <w:rPr>
                <w:rFonts w:hint="eastAsia" w:ascii="Times New Roman" w:hAnsi="Times New Roman" w:cs="Times New Roman"/>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，位于厂区中部靠北侧</w:t>
            </w:r>
          </w:p>
        </w:tc>
        <w:tc>
          <w:tcPr>
            <w:tcW w:w="5033" w:type="dxa"/>
            <w:vAlign w:val="center"/>
          </w:tcPr>
          <w:p w14:paraId="7A6192DC">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1EA309FA">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62325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top w:val="nil"/>
              <w:left w:val="nil"/>
              <w:bottom w:val="nil"/>
            </w:tcBorders>
            <w:vAlign w:val="center"/>
          </w:tcPr>
          <w:p w14:paraId="00851E8C">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578095AF">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办公楼</w:t>
            </w:r>
          </w:p>
        </w:tc>
        <w:tc>
          <w:tcPr>
            <w:tcW w:w="6429" w:type="dxa"/>
            <w:vAlign w:val="center"/>
          </w:tcPr>
          <w:p w14:paraId="2980E7AA">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采用框架结构，建筑面积</w:t>
            </w:r>
            <w:r>
              <w:rPr>
                <w:rFonts w:ascii="Times New Roman" w:hAnsi="Times New Roman" w:eastAsia="Times New Roman" w:cs="Times New Roman"/>
                <w:caps w:val="0"/>
                <w:smallCaps w:val="0"/>
                <w:color w:val="auto"/>
                <w:spacing w:val="0"/>
                <w:sz w:val="18"/>
                <w:szCs w:val="18"/>
                <w:highlight w:val="none"/>
                <w:lang w:eastAsia="zh-CN"/>
              </w:rPr>
              <w:t>2107.08m</w:t>
            </w:r>
            <w:r>
              <w:rPr>
                <w:rFonts w:hint="eastAsia" w:ascii="Times New Roman" w:hAnsi="Times New Roman" w:cs="Times New Roman"/>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，共</w:t>
            </w:r>
            <w:r>
              <w:rPr>
                <w:rFonts w:ascii="Times New Roman" w:hAnsi="Times New Roman" w:eastAsia="Times New Roman" w:cs="Times New Roman"/>
                <w:caps w:val="0"/>
                <w:smallCaps w:val="0"/>
                <w:color w:val="auto"/>
                <w:spacing w:val="0"/>
                <w:sz w:val="18"/>
                <w:szCs w:val="18"/>
                <w:highlight w:val="none"/>
                <w:lang w:eastAsia="zh-CN"/>
              </w:rPr>
              <w:t>3</w:t>
            </w:r>
            <w:r>
              <w:rPr>
                <w:rFonts w:ascii="Times New Roman" w:hAnsi="Times New Roman" w:cs="Times New Roman"/>
                <w:caps w:val="0"/>
                <w:smallCaps w:val="0"/>
                <w:color w:val="auto"/>
                <w:spacing w:val="0"/>
                <w:sz w:val="18"/>
                <w:szCs w:val="18"/>
                <w:highlight w:val="none"/>
                <w:lang w:eastAsia="zh-CN"/>
              </w:rPr>
              <w:t>层。</w:t>
            </w:r>
            <w:r>
              <w:rPr>
                <w:rFonts w:ascii="Times New Roman" w:hAnsi="Times New Roman" w:cs="Times New Roman"/>
                <w:caps w:val="0"/>
                <w:smallCaps w:val="0"/>
                <w:color w:val="auto"/>
                <w:spacing w:val="0"/>
                <w:sz w:val="18"/>
                <w:szCs w:val="18"/>
                <w:highlight w:val="none"/>
              </w:rPr>
              <w:t>位于厂区中部南侧</w:t>
            </w:r>
          </w:p>
        </w:tc>
        <w:tc>
          <w:tcPr>
            <w:tcW w:w="5033" w:type="dxa"/>
            <w:vAlign w:val="center"/>
          </w:tcPr>
          <w:p w14:paraId="48F3A82F">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603148AB">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78C3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top w:val="nil"/>
              <w:left w:val="nil"/>
              <w:bottom w:val="nil"/>
            </w:tcBorders>
            <w:vAlign w:val="center"/>
          </w:tcPr>
          <w:p w14:paraId="2CF1CE99">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1F82AD48">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hint="eastAsia" w:ascii="Times New Roman" w:hAnsi="Times New Roman" w:cs="Times New Roman"/>
                <w:caps w:val="0"/>
                <w:smallCaps w:val="0"/>
                <w:color w:val="auto"/>
                <w:spacing w:val="0"/>
                <w:sz w:val="18"/>
                <w:szCs w:val="18"/>
                <w:highlight w:val="none"/>
                <w:lang w:eastAsia="zh-CN"/>
              </w:rPr>
              <w:t>员工</w:t>
            </w:r>
            <w:r>
              <w:rPr>
                <w:rFonts w:ascii="Times New Roman" w:hAnsi="Times New Roman" w:cs="Times New Roman"/>
                <w:caps w:val="0"/>
                <w:smallCaps w:val="0"/>
                <w:color w:val="auto"/>
                <w:spacing w:val="0"/>
                <w:sz w:val="18"/>
                <w:szCs w:val="18"/>
                <w:highlight w:val="none"/>
              </w:rPr>
              <w:t>宿舍</w:t>
            </w:r>
          </w:p>
        </w:tc>
        <w:tc>
          <w:tcPr>
            <w:tcW w:w="6429" w:type="dxa"/>
            <w:vAlign w:val="center"/>
          </w:tcPr>
          <w:p w14:paraId="2873235E">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采用框架结构，建筑面积</w:t>
            </w:r>
            <w:r>
              <w:rPr>
                <w:rFonts w:ascii="Times New Roman" w:hAnsi="Times New Roman" w:eastAsia="Times New Roman" w:cs="Times New Roman"/>
                <w:caps w:val="0"/>
                <w:smallCaps w:val="0"/>
                <w:color w:val="auto"/>
                <w:spacing w:val="0"/>
                <w:sz w:val="18"/>
                <w:szCs w:val="18"/>
                <w:highlight w:val="none"/>
                <w:lang w:eastAsia="zh-CN"/>
              </w:rPr>
              <w:t>5034.72m</w:t>
            </w:r>
            <w:r>
              <w:rPr>
                <w:rFonts w:hint="eastAsia" w:ascii="Times New Roman" w:hAnsi="Times New Roman" w:cs="Times New Roman"/>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，共</w:t>
            </w:r>
            <w:r>
              <w:rPr>
                <w:rFonts w:ascii="Times New Roman" w:hAnsi="Times New Roman" w:eastAsia="Times New Roman" w:cs="Times New Roman"/>
                <w:caps w:val="0"/>
                <w:smallCaps w:val="0"/>
                <w:color w:val="auto"/>
                <w:spacing w:val="0"/>
                <w:sz w:val="18"/>
                <w:szCs w:val="18"/>
                <w:highlight w:val="none"/>
                <w:lang w:eastAsia="zh-CN"/>
              </w:rPr>
              <w:t>5</w:t>
            </w:r>
            <w:r>
              <w:rPr>
                <w:rFonts w:ascii="Times New Roman" w:hAnsi="Times New Roman" w:cs="Times New Roman"/>
                <w:caps w:val="0"/>
                <w:smallCaps w:val="0"/>
                <w:color w:val="auto"/>
                <w:spacing w:val="0"/>
                <w:sz w:val="18"/>
                <w:szCs w:val="18"/>
                <w:highlight w:val="none"/>
                <w:lang w:eastAsia="zh-CN"/>
              </w:rPr>
              <w:t>层。</w:t>
            </w:r>
            <w:r>
              <w:rPr>
                <w:rFonts w:ascii="Times New Roman" w:hAnsi="Times New Roman" w:cs="Times New Roman"/>
                <w:caps w:val="0"/>
                <w:smallCaps w:val="0"/>
                <w:color w:val="auto"/>
                <w:spacing w:val="0"/>
                <w:sz w:val="18"/>
                <w:szCs w:val="18"/>
                <w:highlight w:val="none"/>
              </w:rPr>
              <w:t>位于厂区西南侧</w:t>
            </w:r>
          </w:p>
        </w:tc>
        <w:tc>
          <w:tcPr>
            <w:tcW w:w="5033" w:type="dxa"/>
            <w:vAlign w:val="center"/>
          </w:tcPr>
          <w:p w14:paraId="68197371">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1C69CE98">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21FFC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top w:val="nil"/>
              <w:left w:val="nil"/>
              <w:bottom w:val="nil"/>
            </w:tcBorders>
            <w:vAlign w:val="center"/>
          </w:tcPr>
          <w:p w14:paraId="4614064C">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2AD4C000">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食堂</w:t>
            </w:r>
          </w:p>
        </w:tc>
        <w:tc>
          <w:tcPr>
            <w:tcW w:w="6429" w:type="dxa"/>
            <w:vAlign w:val="center"/>
          </w:tcPr>
          <w:p w14:paraId="5DE940D7">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采用框架结构，建筑面积</w:t>
            </w:r>
            <w:r>
              <w:rPr>
                <w:rFonts w:ascii="Times New Roman" w:hAnsi="Times New Roman" w:eastAsia="Times New Roman" w:cs="Times New Roman"/>
                <w:caps w:val="0"/>
                <w:smallCaps w:val="0"/>
                <w:color w:val="auto"/>
                <w:spacing w:val="0"/>
                <w:sz w:val="18"/>
                <w:szCs w:val="18"/>
                <w:highlight w:val="none"/>
                <w:lang w:eastAsia="zh-CN"/>
              </w:rPr>
              <w:t>817.58m</w:t>
            </w:r>
            <w:r>
              <w:rPr>
                <w:rFonts w:hint="eastAsia" w:ascii="Times New Roman" w:hAnsi="Times New Roman" w:cs="Times New Roman"/>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，共</w:t>
            </w:r>
            <w:r>
              <w:rPr>
                <w:rFonts w:ascii="Times New Roman" w:hAnsi="Times New Roman" w:eastAsia="Times New Roman" w:cs="Times New Roman"/>
                <w:caps w:val="0"/>
                <w:smallCaps w:val="0"/>
                <w:color w:val="auto"/>
                <w:spacing w:val="0"/>
                <w:sz w:val="18"/>
                <w:szCs w:val="18"/>
                <w:highlight w:val="none"/>
                <w:lang w:eastAsia="zh-CN"/>
              </w:rPr>
              <w:t>1</w:t>
            </w:r>
            <w:r>
              <w:rPr>
                <w:rFonts w:ascii="Times New Roman" w:hAnsi="Times New Roman" w:cs="Times New Roman"/>
                <w:caps w:val="0"/>
                <w:smallCaps w:val="0"/>
                <w:color w:val="auto"/>
                <w:spacing w:val="0"/>
                <w:sz w:val="18"/>
                <w:szCs w:val="18"/>
                <w:highlight w:val="none"/>
                <w:lang w:eastAsia="zh-CN"/>
              </w:rPr>
              <w:t>层。</w:t>
            </w:r>
            <w:r>
              <w:rPr>
                <w:rFonts w:ascii="Times New Roman" w:hAnsi="Times New Roman" w:cs="Times New Roman"/>
                <w:caps w:val="0"/>
                <w:smallCaps w:val="0"/>
                <w:color w:val="auto"/>
                <w:spacing w:val="0"/>
                <w:sz w:val="18"/>
                <w:szCs w:val="18"/>
                <w:highlight w:val="none"/>
              </w:rPr>
              <w:t>位于厂区东南侧</w:t>
            </w:r>
          </w:p>
        </w:tc>
        <w:tc>
          <w:tcPr>
            <w:tcW w:w="5033" w:type="dxa"/>
            <w:vAlign w:val="center"/>
          </w:tcPr>
          <w:p w14:paraId="272FC169">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1E0AE409">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33C61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top w:val="nil"/>
              <w:left w:val="nil"/>
            </w:tcBorders>
            <w:vAlign w:val="center"/>
          </w:tcPr>
          <w:p w14:paraId="4B14D9EB">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49709A44">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门卫房</w:t>
            </w:r>
          </w:p>
        </w:tc>
        <w:tc>
          <w:tcPr>
            <w:tcW w:w="6429" w:type="dxa"/>
            <w:vAlign w:val="center"/>
          </w:tcPr>
          <w:p w14:paraId="70FBF20D">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采用框架结构，建筑面积</w:t>
            </w:r>
            <w:r>
              <w:rPr>
                <w:rFonts w:ascii="Times New Roman" w:hAnsi="Times New Roman" w:eastAsia="Times New Roman" w:cs="Times New Roman"/>
                <w:caps w:val="0"/>
                <w:smallCaps w:val="0"/>
                <w:color w:val="auto"/>
                <w:spacing w:val="0"/>
                <w:sz w:val="18"/>
                <w:szCs w:val="18"/>
                <w:highlight w:val="none"/>
                <w:lang w:eastAsia="zh-CN"/>
              </w:rPr>
              <w:t>191.84m</w:t>
            </w:r>
            <w:r>
              <w:rPr>
                <w:rFonts w:hint="eastAsia" w:ascii="Times New Roman" w:hAnsi="Times New Roman" w:cs="Times New Roman"/>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，共</w:t>
            </w:r>
            <w:r>
              <w:rPr>
                <w:rFonts w:ascii="Times New Roman" w:hAnsi="Times New Roman" w:eastAsia="Times New Roman" w:cs="Times New Roman"/>
                <w:caps w:val="0"/>
                <w:smallCaps w:val="0"/>
                <w:color w:val="auto"/>
                <w:spacing w:val="0"/>
                <w:sz w:val="18"/>
                <w:szCs w:val="18"/>
                <w:highlight w:val="none"/>
                <w:lang w:eastAsia="zh-CN"/>
              </w:rPr>
              <w:t>1</w:t>
            </w:r>
            <w:r>
              <w:rPr>
                <w:rFonts w:ascii="Times New Roman" w:hAnsi="Times New Roman" w:cs="Times New Roman"/>
                <w:caps w:val="0"/>
                <w:smallCaps w:val="0"/>
                <w:color w:val="auto"/>
                <w:spacing w:val="0"/>
                <w:sz w:val="18"/>
                <w:szCs w:val="18"/>
                <w:highlight w:val="none"/>
                <w:lang w:eastAsia="zh-CN"/>
              </w:rPr>
              <w:t>层。</w:t>
            </w:r>
            <w:r>
              <w:rPr>
                <w:rFonts w:ascii="Times New Roman" w:hAnsi="Times New Roman" w:cs="Times New Roman"/>
                <w:caps w:val="0"/>
                <w:smallCaps w:val="0"/>
                <w:color w:val="auto"/>
                <w:spacing w:val="0"/>
                <w:sz w:val="18"/>
                <w:szCs w:val="18"/>
                <w:highlight w:val="none"/>
              </w:rPr>
              <w:t>位于厂区南大门东侧</w:t>
            </w:r>
          </w:p>
        </w:tc>
        <w:tc>
          <w:tcPr>
            <w:tcW w:w="5033" w:type="dxa"/>
            <w:vAlign w:val="center"/>
          </w:tcPr>
          <w:p w14:paraId="034D6712">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50DA3F1C">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26442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restart"/>
            <w:tcBorders>
              <w:left w:val="nil"/>
              <w:bottom w:val="nil"/>
            </w:tcBorders>
            <w:vAlign w:val="center"/>
          </w:tcPr>
          <w:p w14:paraId="0BC766DE">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公用工程</w:t>
            </w:r>
          </w:p>
        </w:tc>
        <w:tc>
          <w:tcPr>
            <w:tcW w:w="563" w:type="dxa"/>
            <w:vAlign w:val="center"/>
          </w:tcPr>
          <w:p w14:paraId="05D1B428">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给水</w:t>
            </w:r>
          </w:p>
        </w:tc>
        <w:tc>
          <w:tcPr>
            <w:tcW w:w="6429" w:type="dxa"/>
            <w:vAlign w:val="center"/>
          </w:tcPr>
          <w:p w14:paraId="065B5144">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用水来自市政管网供给</w:t>
            </w:r>
          </w:p>
        </w:tc>
        <w:tc>
          <w:tcPr>
            <w:tcW w:w="5033" w:type="dxa"/>
            <w:vAlign w:val="center"/>
          </w:tcPr>
          <w:p w14:paraId="61D10FC7">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用水来自市政管网供给</w:t>
            </w:r>
          </w:p>
        </w:tc>
        <w:tc>
          <w:tcPr>
            <w:tcW w:w="1651" w:type="dxa"/>
            <w:tcBorders>
              <w:right w:val="nil"/>
            </w:tcBorders>
            <w:vAlign w:val="center"/>
          </w:tcPr>
          <w:p w14:paraId="1CECC165">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已验收，依托</w:t>
            </w:r>
          </w:p>
        </w:tc>
      </w:tr>
      <w:tr w14:paraId="794A9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top w:val="nil"/>
              <w:left w:val="nil"/>
              <w:bottom w:val="nil"/>
            </w:tcBorders>
            <w:vAlign w:val="center"/>
          </w:tcPr>
          <w:p w14:paraId="6C77E690">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6107A956">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排水</w:t>
            </w:r>
          </w:p>
        </w:tc>
        <w:tc>
          <w:tcPr>
            <w:tcW w:w="6429" w:type="dxa"/>
            <w:vAlign w:val="center"/>
          </w:tcPr>
          <w:p w14:paraId="7413864A">
            <w:pPr>
              <w:pStyle w:val="195"/>
              <w:widowControl w:val="0"/>
              <w:spacing w:before="65" w:line="245" w:lineRule="auto"/>
              <w:ind w:left="115" w:right="106"/>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食堂废水经隔油池处理后与生活污水、排入化粪池处理后一同与背板玻璃清洗废水、锅炉排污水、纯水制备浓水全部排入高新区污水处理厂；</w:t>
            </w:r>
          </w:p>
          <w:p w14:paraId="0C49F0CA">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前端镀膜线目前基本建成，但部分设备未到厂，因此无法进行生产，目前生产均采用半成品原材料，进场后直接组装成产品，生产规模不变，故本项目本次验收无其他生产废水产生</w:t>
            </w:r>
          </w:p>
        </w:tc>
        <w:tc>
          <w:tcPr>
            <w:tcW w:w="5033" w:type="dxa"/>
            <w:vAlign w:val="center"/>
          </w:tcPr>
          <w:p w14:paraId="359086CA">
            <w:pPr>
              <w:widowControl w:val="0"/>
              <w:snapToGrid w:val="0"/>
              <w:jc w:val="both"/>
              <w:rPr>
                <w:rFonts w:ascii="Times New Roman" w:hAnsi="Times New Roman" w:eastAsia="宋体" w:cs="Times New Roman"/>
                <w:bCs/>
                <w:caps w:val="0"/>
                <w:smallCaps w:val="0"/>
                <w:color w:val="auto"/>
                <w:spacing w:val="0"/>
                <w:sz w:val="18"/>
                <w:szCs w:val="18"/>
                <w:highlight w:val="none"/>
                <w:lang w:eastAsia="en-US"/>
              </w:rPr>
            </w:pPr>
            <w:r>
              <w:rPr>
                <w:rFonts w:ascii="Times New Roman" w:hAnsi="Times New Roman" w:eastAsia="宋体" w:cs="Times New Roman"/>
                <w:bCs/>
                <w:caps w:val="0"/>
                <w:smallCaps w:val="0"/>
                <w:color w:val="auto"/>
                <w:spacing w:val="0"/>
                <w:sz w:val="18"/>
                <w:szCs w:val="18"/>
                <w:highlight w:val="none"/>
                <w:lang w:eastAsia="en-US"/>
              </w:rPr>
              <w:t>基板清洗废水为碱性废水，经碱性废水处理系统收集，pH中和后经市政污水管网进入佳木斯高新区污水处理厂。</w:t>
            </w:r>
          </w:p>
          <w:p w14:paraId="64A7EEB1">
            <w:pPr>
              <w:pStyle w:val="195"/>
              <w:widowControl w:val="0"/>
              <w:snapToGrid w:val="0"/>
              <w:jc w:val="both"/>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显影及显影清洗废水进入显影废水处理系统；涂覆前清洗废水、ZnTe膜层溅射后清洗废水、背电极镀膜前清洗废水及碱性喷淋塔排放废水均为低浓度含镉废水，进入低浓度废水收集池；活化层喷涂废液及活化层清洗、蚀刻废水为高浓度含镉废水，高浓度含镉废水进入高</w:t>
            </w:r>
            <w:r>
              <w:rPr>
                <w:rFonts w:hint="eastAsia" w:ascii="Times New Roman" w:hAnsi="Times New Roman" w:cs="Times New Roman"/>
                <w:bCs/>
                <w:caps w:val="0"/>
                <w:smallCaps w:val="0"/>
                <w:color w:val="auto"/>
                <w:spacing w:val="0"/>
                <w:sz w:val="18"/>
                <w:szCs w:val="18"/>
                <w:highlight w:val="none"/>
                <w:lang w:eastAsia="zh-CN"/>
              </w:rPr>
              <w:t>浓度</w:t>
            </w:r>
            <w:r>
              <w:rPr>
                <w:rFonts w:ascii="Times New Roman" w:hAnsi="Times New Roman" w:cs="Times New Roman"/>
                <w:bCs/>
                <w:caps w:val="0"/>
                <w:smallCaps w:val="0"/>
                <w:color w:val="auto"/>
                <w:spacing w:val="0"/>
                <w:sz w:val="18"/>
                <w:szCs w:val="18"/>
                <w:highlight w:val="none"/>
                <w:lang w:eastAsia="zh-CN"/>
              </w:rPr>
              <w:t>废水收集池。显影废水、低浓度含镉废水以及高浓度含镉废水经废水处理设施处理后产生的纯水全部回用于生产工序，实现含镉废水零排放。</w:t>
            </w:r>
          </w:p>
        </w:tc>
        <w:tc>
          <w:tcPr>
            <w:tcW w:w="1651" w:type="dxa"/>
            <w:tcBorders>
              <w:right w:val="nil"/>
            </w:tcBorders>
            <w:vAlign w:val="center"/>
          </w:tcPr>
          <w:p w14:paraId="7DA450CE">
            <w:pPr>
              <w:pStyle w:val="195"/>
              <w:widowControl w:val="0"/>
              <w:snapToGrid w:val="0"/>
              <w:jc w:val="both"/>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显影及显影清洗废水不外排，进入显影废水处理系统处理后回用，不属于重大变动；</w:t>
            </w:r>
          </w:p>
          <w:p w14:paraId="23828AE1">
            <w:pPr>
              <w:pStyle w:val="195"/>
              <w:widowControl w:val="0"/>
              <w:snapToGrid w:val="0"/>
              <w:jc w:val="both"/>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新增活化层蚀刻废水进入厂区污水处理系统不外排，不属于重大变动。</w:t>
            </w:r>
          </w:p>
        </w:tc>
      </w:tr>
      <w:tr w14:paraId="7A6CA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top w:val="nil"/>
              <w:left w:val="nil"/>
              <w:bottom w:val="nil"/>
            </w:tcBorders>
            <w:vAlign w:val="center"/>
          </w:tcPr>
          <w:p w14:paraId="15301BBB">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6132CB35">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供电</w:t>
            </w:r>
          </w:p>
        </w:tc>
        <w:tc>
          <w:tcPr>
            <w:tcW w:w="6429" w:type="dxa"/>
            <w:vAlign w:val="center"/>
          </w:tcPr>
          <w:p w14:paraId="2D417A24">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本项目总装机容量为</w:t>
            </w:r>
            <w:r>
              <w:rPr>
                <w:rFonts w:ascii="Times New Roman" w:hAnsi="Times New Roman" w:eastAsia="Times New Roman" w:cs="Times New Roman"/>
                <w:caps w:val="0"/>
                <w:smallCaps w:val="0"/>
                <w:color w:val="auto"/>
                <w:spacing w:val="0"/>
                <w:sz w:val="18"/>
                <w:szCs w:val="18"/>
                <w:highlight w:val="none"/>
                <w:lang w:eastAsia="zh-CN"/>
              </w:rPr>
              <w:t>11500KW</w:t>
            </w:r>
            <w:r>
              <w:rPr>
                <w:rFonts w:ascii="Times New Roman" w:hAnsi="Times New Roman" w:cs="Times New Roman"/>
                <w:caps w:val="0"/>
                <w:smallCaps w:val="0"/>
                <w:color w:val="auto"/>
                <w:spacing w:val="0"/>
                <w:sz w:val="18"/>
                <w:szCs w:val="18"/>
                <w:highlight w:val="none"/>
                <w:lang w:eastAsia="zh-CN"/>
              </w:rPr>
              <w:t>，正常生产负荷约</w:t>
            </w:r>
            <w:r>
              <w:rPr>
                <w:rFonts w:ascii="Times New Roman" w:hAnsi="Times New Roman" w:eastAsia="Times New Roman" w:cs="Times New Roman"/>
                <w:caps w:val="0"/>
                <w:smallCaps w:val="0"/>
                <w:color w:val="auto"/>
                <w:spacing w:val="0"/>
                <w:sz w:val="18"/>
                <w:szCs w:val="18"/>
                <w:highlight w:val="none"/>
                <w:lang w:eastAsia="zh-CN"/>
              </w:rPr>
              <w:t>7000KW</w:t>
            </w:r>
            <w:r>
              <w:rPr>
                <w:rFonts w:ascii="Times New Roman" w:hAnsi="Times New Roman" w:cs="Times New Roman"/>
                <w:caps w:val="0"/>
                <w:smallCaps w:val="0"/>
                <w:color w:val="auto"/>
                <w:spacing w:val="0"/>
                <w:sz w:val="18"/>
                <w:szCs w:val="18"/>
                <w:highlight w:val="none"/>
                <w:lang w:eastAsia="zh-CN"/>
              </w:rPr>
              <w:t>，由</w:t>
            </w:r>
            <w:r>
              <w:rPr>
                <w:rFonts w:ascii="Times New Roman" w:hAnsi="Times New Roman" w:eastAsia="Times New Roman" w:cs="Times New Roman"/>
                <w:caps w:val="0"/>
                <w:smallCaps w:val="0"/>
                <w:color w:val="auto"/>
                <w:spacing w:val="0"/>
                <w:sz w:val="18"/>
                <w:szCs w:val="18"/>
                <w:highlight w:val="none"/>
                <w:lang w:eastAsia="zh-CN"/>
              </w:rPr>
              <w:t>110Kv</w:t>
            </w:r>
            <w:r>
              <w:rPr>
                <w:rFonts w:ascii="Times New Roman" w:hAnsi="Times New Roman" w:cs="Times New Roman"/>
                <w:caps w:val="0"/>
                <w:smallCaps w:val="0"/>
                <w:color w:val="auto"/>
                <w:spacing w:val="0"/>
                <w:sz w:val="18"/>
                <w:szCs w:val="18"/>
                <w:highlight w:val="none"/>
                <w:lang w:eastAsia="zh-CN"/>
              </w:rPr>
              <w:t>工业变电所提供两路</w:t>
            </w:r>
            <w:r>
              <w:rPr>
                <w:rFonts w:ascii="Times New Roman" w:hAnsi="Times New Roman" w:eastAsia="Times New Roman" w:cs="Times New Roman"/>
                <w:caps w:val="0"/>
                <w:smallCaps w:val="0"/>
                <w:color w:val="auto"/>
                <w:spacing w:val="0"/>
                <w:sz w:val="18"/>
                <w:szCs w:val="18"/>
                <w:highlight w:val="none"/>
                <w:lang w:eastAsia="zh-CN"/>
              </w:rPr>
              <w:t>10Kv</w:t>
            </w:r>
            <w:r>
              <w:rPr>
                <w:rFonts w:ascii="Times New Roman" w:hAnsi="Times New Roman" w:cs="Times New Roman"/>
                <w:caps w:val="0"/>
                <w:smallCaps w:val="0"/>
                <w:color w:val="auto"/>
                <w:spacing w:val="0"/>
                <w:sz w:val="18"/>
                <w:szCs w:val="18"/>
                <w:highlight w:val="none"/>
                <w:lang w:eastAsia="zh-CN"/>
              </w:rPr>
              <w:t>线路以满足本项目供电需求。</w:t>
            </w:r>
          </w:p>
        </w:tc>
        <w:tc>
          <w:tcPr>
            <w:tcW w:w="5033" w:type="dxa"/>
            <w:vAlign w:val="center"/>
          </w:tcPr>
          <w:p w14:paraId="3E55FB0D">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3C74309A">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0641E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restart"/>
            <w:tcBorders>
              <w:top w:val="nil"/>
              <w:left w:val="nil"/>
            </w:tcBorders>
            <w:vAlign w:val="center"/>
          </w:tcPr>
          <w:p w14:paraId="357085A3">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辅助工程</w:t>
            </w:r>
          </w:p>
        </w:tc>
        <w:tc>
          <w:tcPr>
            <w:tcW w:w="563" w:type="dxa"/>
            <w:vAlign w:val="center"/>
          </w:tcPr>
          <w:p w14:paraId="71446D50">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生产供汽及采暖供热</w:t>
            </w:r>
          </w:p>
        </w:tc>
        <w:tc>
          <w:tcPr>
            <w:tcW w:w="6429" w:type="dxa"/>
            <w:vAlign w:val="center"/>
          </w:tcPr>
          <w:p w14:paraId="5504F397">
            <w:pPr>
              <w:pStyle w:val="195"/>
              <w:widowControl w:val="0"/>
              <w:snapToGrid w:val="0"/>
              <w:jc w:val="both"/>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项目生产区和生活区采暖统一由联合车间内的锅炉房供给，</w:t>
            </w:r>
            <w:r>
              <w:rPr>
                <w:rFonts w:ascii="Times New Roman" w:hAnsi="Times New Roman" w:cs="Times New Roman"/>
                <w:caps w:val="0"/>
                <w:smallCaps w:val="0"/>
                <w:color w:val="auto"/>
                <w:spacing w:val="0"/>
                <w:kern w:val="0"/>
                <w:sz w:val="18"/>
                <w:szCs w:val="18"/>
                <w:highlight w:val="none"/>
                <w:lang w:eastAsia="zh-CN" w:bidi="ar"/>
              </w:rPr>
              <w:t>内设置2台6.6t/h燃气锅炉，配套建设2根21m烟囱，用于冬季供暖及生产用热。2台3.3t/h燃气锅炉，共用1个21m烟囱。</w:t>
            </w:r>
          </w:p>
        </w:tc>
        <w:tc>
          <w:tcPr>
            <w:tcW w:w="5033" w:type="dxa"/>
            <w:vAlign w:val="center"/>
          </w:tcPr>
          <w:p w14:paraId="5D0F1EF8">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项目生产区和生活区采暖蒸汽为外购。</w:t>
            </w:r>
          </w:p>
        </w:tc>
        <w:tc>
          <w:tcPr>
            <w:tcW w:w="1651" w:type="dxa"/>
            <w:tcBorders>
              <w:right w:val="nil"/>
            </w:tcBorders>
            <w:vAlign w:val="center"/>
          </w:tcPr>
          <w:p w14:paraId="59CA8910">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依托</w:t>
            </w:r>
          </w:p>
        </w:tc>
      </w:tr>
      <w:tr w14:paraId="4458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7" w:hRule="atLeast"/>
        </w:trPr>
        <w:tc>
          <w:tcPr>
            <w:tcW w:w="326" w:type="dxa"/>
            <w:vMerge w:val="continue"/>
            <w:tcBorders>
              <w:left w:val="nil"/>
            </w:tcBorders>
            <w:vAlign w:val="center"/>
          </w:tcPr>
          <w:p w14:paraId="7117B029">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1C1499E3">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空压站</w:t>
            </w:r>
          </w:p>
        </w:tc>
        <w:tc>
          <w:tcPr>
            <w:tcW w:w="6429" w:type="dxa"/>
            <w:vAlign w:val="center"/>
          </w:tcPr>
          <w:p w14:paraId="35479382">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设置在联合车间外辅房内，项目需压缩空气最大量为50m</w:t>
            </w:r>
            <w:r>
              <w:rPr>
                <w:rFonts w:ascii="Times New Roman" w:hAnsi="Times New Roman" w:cs="Times New Roman"/>
                <w:bCs/>
                <w:caps w:val="0"/>
                <w:smallCaps w:val="0"/>
                <w:color w:val="auto"/>
                <w:spacing w:val="0"/>
                <w:sz w:val="18"/>
                <w:szCs w:val="18"/>
                <w:highlight w:val="none"/>
                <w:vertAlign w:val="superscript"/>
                <w:lang w:eastAsia="zh-CN"/>
              </w:rPr>
              <w:t>3</w:t>
            </w:r>
            <w:r>
              <w:rPr>
                <w:rFonts w:ascii="Times New Roman" w:hAnsi="Times New Roman" w:cs="Times New Roman"/>
                <w:bCs/>
                <w:caps w:val="0"/>
                <w:smallCaps w:val="0"/>
                <w:color w:val="auto"/>
                <w:spacing w:val="0"/>
                <w:sz w:val="18"/>
                <w:szCs w:val="18"/>
                <w:highlight w:val="none"/>
                <w:lang w:eastAsia="zh-CN"/>
              </w:rPr>
              <w:t>/min（标态），设置两台无油螺杆空气压缩机（21m</w:t>
            </w:r>
            <w:r>
              <w:rPr>
                <w:rFonts w:ascii="Times New Roman" w:hAnsi="Times New Roman" w:cs="Times New Roman"/>
                <w:bCs/>
                <w:caps w:val="0"/>
                <w:smallCaps w:val="0"/>
                <w:color w:val="auto"/>
                <w:spacing w:val="0"/>
                <w:sz w:val="18"/>
                <w:szCs w:val="18"/>
                <w:highlight w:val="none"/>
                <w:vertAlign w:val="superscript"/>
                <w:lang w:eastAsia="zh-CN"/>
              </w:rPr>
              <w:t>3</w:t>
            </w:r>
            <w:r>
              <w:rPr>
                <w:rFonts w:ascii="Times New Roman" w:hAnsi="Times New Roman" w:cs="Times New Roman"/>
                <w:bCs/>
                <w:caps w:val="0"/>
                <w:smallCaps w:val="0"/>
                <w:color w:val="auto"/>
                <w:spacing w:val="0"/>
                <w:sz w:val="18"/>
                <w:szCs w:val="18"/>
                <w:highlight w:val="none"/>
                <w:lang w:eastAsia="zh-CN"/>
              </w:rPr>
              <w:t>/min、0.86Mpa，一备一用）及一台变频无油型螺杆空气压缩机（26m</w:t>
            </w:r>
            <w:r>
              <w:rPr>
                <w:rFonts w:ascii="Times New Roman" w:hAnsi="Times New Roman" w:cs="Times New Roman"/>
                <w:bCs/>
                <w:caps w:val="0"/>
                <w:smallCaps w:val="0"/>
                <w:color w:val="auto"/>
                <w:spacing w:val="0"/>
                <w:sz w:val="18"/>
                <w:szCs w:val="18"/>
                <w:highlight w:val="none"/>
                <w:vertAlign w:val="superscript"/>
                <w:lang w:eastAsia="zh-CN"/>
              </w:rPr>
              <w:t>3</w:t>
            </w:r>
            <w:r>
              <w:rPr>
                <w:rFonts w:ascii="Times New Roman" w:hAnsi="Times New Roman" w:cs="Times New Roman"/>
                <w:bCs/>
                <w:caps w:val="0"/>
                <w:smallCaps w:val="0"/>
                <w:color w:val="auto"/>
                <w:spacing w:val="0"/>
                <w:sz w:val="18"/>
                <w:szCs w:val="18"/>
                <w:highlight w:val="none"/>
                <w:lang w:eastAsia="zh-CN"/>
              </w:rPr>
              <w:t>/min、0.86Mpa，一备一用）。</w:t>
            </w:r>
          </w:p>
        </w:tc>
        <w:tc>
          <w:tcPr>
            <w:tcW w:w="5033" w:type="dxa"/>
            <w:vAlign w:val="center"/>
          </w:tcPr>
          <w:p w14:paraId="603E55DD">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w:t>
            </w:r>
          </w:p>
        </w:tc>
        <w:tc>
          <w:tcPr>
            <w:tcW w:w="1651" w:type="dxa"/>
            <w:tcBorders>
              <w:right w:val="nil"/>
            </w:tcBorders>
            <w:vAlign w:val="center"/>
          </w:tcPr>
          <w:p w14:paraId="5000DBA8">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185CE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31A80931">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66E98A8F">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真空系统</w:t>
            </w:r>
          </w:p>
        </w:tc>
        <w:tc>
          <w:tcPr>
            <w:tcW w:w="6429" w:type="dxa"/>
            <w:vAlign w:val="center"/>
          </w:tcPr>
          <w:p w14:paraId="30C55452">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设置在各动力站，主要由真空泵、真空缓冲罐、管道及阀门附件等组成。</w:t>
            </w:r>
          </w:p>
        </w:tc>
        <w:tc>
          <w:tcPr>
            <w:tcW w:w="5033" w:type="dxa"/>
            <w:vAlign w:val="center"/>
          </w:tcPr>
          <w:p w14:paraId="4B8AB012">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5EE0237C">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761B3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13A69149">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1D1BA0FC">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氮气供给系统</w:t>
            </w:r>
          </w:p>
        </w:tc>
        <w:tc>
          <w:tcPr>
            <w:tcW w:w="6429" w:type="dxa"/>
            <w:vAlign w:val="center"/>
          </w:tcPr>
          <w:p w14:paraId="5CFF1438">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项目用氮气量为</w:t>
            </w:r>
            <w:r>
              <w:rPr>
                <w:rFonts w:ascii="Times New Roman" w:hAnsi="Times New Roman" w:eastAsia="Times New Roman" w:cs="Times New Roman"/>
                <w:caps w:val="0"/>
                <w:smallCaps w:val="0"/>
                <w:color w:val="auto"/>
                <w:spacing w:val="0"/>
                <w:sz w:val="18"/>
                <w:szCs w:val="18"/>
                <w:highlight w:val="none"/>
                <w:lang w:eastAsia="zh-CN"/>
              </w:rPr>
              <w:t>120m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ascii="Times New Roman" w:hAnsi="Times New Roman" w:eastAsia="Times New Roman" w:cs="Times New Roman"/>
                <w:caps w:val="0"/>
                <w:smallCaps w:val="0"/>
                <w:color w:val="auto"/>
                <w:spacing w:val="0"/>
                <w:sz w:val="18"/>
                <w:szCs w:val="18"/>
                <w:highlight w:val="none"/>
                <w:lang w:eastAsia="zh-CN"/>
              </w:rPr>
              <w:t>/min</w:t>
            </w:r>
            <w:r>
              <w:rPr>
                <w:rFonts w:ascii="Times New Roman" w:hAnsi="Times New Roman" w:cs="Times New Roman"/>
                <w:caps w:val="0"/>
                <w:smallCaps w:val="0"/>
                <w:color w:val="auto"/>
                <w:spacing w:val="0"/>
                <w:sz w:val="18"/>
                <w:szCs w:val="18"/>
                <w:highlight w:val="none"/>
                <w:lang w:eastAsia="zh-CN"/>
              </w:rPr>
              <w:t>（标态），设两个容积为</w:t>
            </w:r>
            <w:r>
              <w:rPr>
                <w:rFonts w:ascii="Times New Roman" w:hAnsi="Times New Roman" w:eastAsia="Times New Roman" w:cs="Times New Roman"/>
                <w:caps w:val="0"/>
                <w:smallCaps w:val="0"/>
                <w:color w:val="auto"/>
                <w:spacing w:val="0"/>
                <w:sz w:val="18"/>
                <w:szCs w:val="18"/>
                <w:highlight w:val="none"/>
                <w:lang w:eastAsia="zh-CN"/>
              </w:rPr>
              <w:t>30m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ascii="Times New Roman" w:hAnsi="Times New Roman" w:cs="Times New Roman"/>
                <w:caps w:val="0"/>
                <w:smallCaps w:val="0"/>
                <w:color w:val="auto"/>
                <w:spacing w:val="0"/>
                <w:sz w:val="18"/>
                <w:szCs w:val="18"/>
                <w:highlight w:val="none"/>
                <w:lang w:eastAsia="zh-CN"/>
              </w:rPr>
              <w:t>（</w:t>
            </w:r>
            <w:r>
              <w:rPr>
                <w:rFonts w:ascii="Times New Roman" w:hAnsi="Times New Roman" w:eastAsia="Times New Roman" w:cs="Times New Roman"/>
                <w:caps w:val="0"/>
                <w:smallCaps w:val="0"/>
                <w:color w:val="auto"/>
                <w:spacing w:val="0"/>
                <w:sz w:val="18"/>
                <w:szCs w:val="18"/>
                <w:highlight w:val="none"/>
                <w:lang w:eastAsia="zh-CN"/>
              </w:rPr>
              <w:t>0.6~0.8Mpa</w:t>
            </w:r>
            <w:r>
              <w:rPr>
                <w:rFonts w:ascii="Times New Roman" w:hAnsi="Times New Roman" w:cs="Times New Roman"/>
                <w:caps w:val="0"/>
                <w:smallCaps w:val="0"/>
                <w:color w:val="auto"/>
                <w:spacing w:val="0"/>
                <w:sz w:val="18"/>
                <w:szCs w:val="18"/>
                <w:highlight w:val="none"/>
                <w:lang w:eastAsia="zh-CN"/>
              </w:rPr>
              <w:t>）的液氮储罐和两台</w:t>
            </w:r>
            <w:r>
              <w:rPr>
                <w:rFonts w:ascii="Times New Roman" w:hAnsi="Times New Roman" w:eastAsia="Times New Roman" w:cs="Times New Roman"/>
                <w:caps w:val="0"/>
                <w:smallCaps w:val="0"/>
                <w:color w:val="auto"/>
                <w:spacing w:val="0"/>
                <w:sz w:val="18"/>
                <w:szCs w:val="18"/>
                <w:highlight w:val="none"/>
                <w:lang w:eastAsia="zh-CN"/>
              </w:rPr>
              <w:t>300m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ascii="Times New Roman" w:hAnsi="Times New Roman" w:eastAsia="Times New Roman" w:cs="Times New Roman"/>
                <w:caps w:val="0"/>
                <w:smallCaps w:val="0"/>
                <w:color w:val="auto"/>
                <w:spacing w:val="0"/>
                <w:sz w:val="18"/>
                <w:szCs w:val="18"/>
                <w:highlight w:val="none"/>
                <w:lang w:eastAsia="zh-CN"/>
              </w:rPr>
              <w:t>/h</w:t>
            </w:r>
            <w:r>
              <w:rPr>
                <w:rFonts w:ascii="Times New Roman" w:hAnsi="Times New Roman" w:cs="Times New Roman"/>
                <w:caps w:val="0"/>
                <w:smallCaps w:val="0"/>
                <w:color w:val="auto"/>
                <w:spacing w:val="0"/>
                <w:sz w:val="18"/>
                <w:szCs w:val="18"/>
                <w:highlight w:val="none"/>
                <w:lang w:eastAsia="zh-CN"/>
              </w:rPr>
              <w:t>气浴式气化器，外购液氮。</w:t>
            </w:r>
          </w:p>
        </w:tc>
        <w:tc>
          <w:tcPr>
            <w:tcW w:w="5033" w:type="dxa"/>
            <w:vAlign w:val="center"/>
          </w:tcPr>
          <w:p w14:paraId="262610B0">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7EB07147">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1AE8D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0D7AC207">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5D2788C9">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氩气供给系统</w:t>
            </w:r>
          </w:p>
        </w:tc>
        <w:tc>
          <w:tcPr>
            <w:tcW w:w="6429" w:type="dxa"/>
            <w:vAlign w:val="center"/>
          </w:tcPr>
          <w:p w14:paraId="52DC9A25">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项目需氩气量为</w:t>
            </w:r>
            <w:r>
              <w:rPr>
                <w:rFonts w:ascii="Times New Roman" w:hAnsi="Times New Roman" w:eastAsia="Times New Roman" w:cs="Times New Roman"/>
                <w:caps w:val="0"/>
                <w:smallCaps w:val="0"/>
                <w:color w:val="auto"/>
                <w:spacing w:val="0"/>
                <w:sz w:val="18"/>
                <w:szCs w:val="18"/>
                <w:highlight w:val="none"/>
                <w:lang w:eastAsia="zh-CN"/>
              </w:rPr>
              <w:t>0.2m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ascii="Times New Roman" w:hAnsi="Times New Roman" w:eastAsia="Times New Roman" w:cs="Times New Roman"/>
                <w:caps w:val="0"/>
                <w:smallCaps w:val="0"/>
                <w:color w:val="auto"/>
                <w:spacing w:val="0"/>
                <w:sz w:val="18"/>
                <w:szCs w:val="18"/>
                <w:highlight w:val="none"/>
                <w:lang w:eastAsia="zh-CN"/>
              </w:rPr>
              <w:t>/h</w:t>
            </w:r>
            <w:r>
              <w:rPr>
                <w:rFonts w:ascii="Times New Roman" w:hAnsi="Times New Roman" w:cs="Times New Roman"/>
                <w:caps w:val="0"/>
                <w:smallCaps w:val="0"/>
                <w:color w:val="auto"/>
                <w:spacing w:val="0"/>
                <w:sz w:val="18"/>
                <w:szCs w:val="18"/>
                <w:highlight w:val="none"/>
                <w:lang w:eastAsia="zh-CN"/>
              </w:rPr>
              <w:t>（标态</w:t>
            </w:r>
            <w:r>
              <w:rPr>
                <w:rFonts w:ascii="Times New Roman" w:hAnsi="Times New Roman" w:cs="Times New Roman"/>
                <w:caps w:val="0"/>
                <w:smallCaps w:val="0"/>
                <w:color w:val="auto"/>
                <w:spacing w:val="0"/>
                <w:w w:val="8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采用外购</w:t>
            </w:r>
            <w:r>
              <w:rPr>
                <w:rFonts w:ascii="Times New Roman" w:hAnsi="Times New Roman" w:eastAsia="Times New Roman" w:cs="Times New Roman"/>
                <w:caps w:val="0"/>
                <w:smallCaps w:val="0"/>
                <w:color w:val="auto"/>
                <w:spacing w:val="0"/>
                <w:sz w:val="18"/>
                <w:szCs w:val="18"/>
                <w:highlight w:val="none"/>
                <w:lang w:eastAsia="zh-CN"/>
              </w:rPr>
              <w:t>40L</w:t>
            </w:r>
            <w:r>
              <w:rPr>
                <w:rFonts w:ascii="Times New Roman" w:hAnsi="Times New Roman" w:cs="Times New Roman"/>
                <w:caps w:val="0"/>
                <w:smallCaps w:val="0"/>
                <w:color w:val="auto"/>
                <w:spacing w:val="0"/>
                <w:sz w:val="18"/>
                <w:szCs w:val="18"/>
                <w:highlight w:val="none"/>
                <w:lang w:eastAsia="zh-CN"/>
              </w:rPr>
              <w:t>、</w:t>
            </w:r>
            <w:r>
              <w:rPr>
                <w:rFonts w:ascii="Times New Roman" w:hAnsi="Times New Roman" w:eastAsia="Times New Roman" w:cs="Times New Roman"/>
                <w:caps w:val="0"/>
                <w:smallCaps w:val="0"/>
                <w:color w:val="auto"/>
                <w:spacing w:val="0"/>
                <w:sz w:val="18"/>
                <w:szCs w:val="18"/>
                <w:highlight w:val="none"/>
                <w:lang w:eastAsia="zh-CN"/>
              </w:rPr>
              <w:t>15Mpa</w:t>
            </w:r>
            <w:r>
              <w:rPr>
                <w:rFonts w:ascii="Times New Roman" w:hAnsi="Times New Roman" w:cs="Times New Roman"/>
                <w:caps w:val="0"/>
                <w:smallCaps w:val="0"/>
                <w:color w:val="auto"/>
                <w:spacing w:val="0"/>
                <w:sz w:val="18"/>
                <w:szCs w:val="18"/>
                <w:highlight w:val="none"/>
                <w:lang w:eastAsia="zh-CN"/>
              </w:rPr>
              <w:t>的氩气瓶放置于用气设备附近，用不锈钢管道送入设备。</w:t>
            </w:r>
          </w:p>
        </w:tc>
        <w:tc>
          <w:tcPr>
            <w:tcW w:w="5033" w:type="dxa"/>
            <w:vAlign w:val="center"/>
          </w:tcPr>
          <w:p w14:paraId="3775DB5D">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p>
        </w:tc>
        <w:tc>
          <w:tcPr>
            <w:tcW w:w="1651" w:type="dxa"/>
            <w:tcBorders>
              <w:right w:val="nil"/>
            </w:tcBorders>
            <w:vAlign w:val="center"/>
          </w:tcPr>
          <w:p w14:paraId="48CE4AE8">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1DB75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474A0C6C">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2402A424">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制冷系统</w:t>
            </w:r>
          </w:p>
        </w:tc>
        <w:tc>
          <w:tcPr>
            <w:tcW w:w="6429" w:type="dxa"/>
            <w:vAlign w:val="center"/>
          </w:tcPr>
          <w:p w14:paraId="17D4FB5A">
            <w:pPr>
              <w:pStyle w:val="195"/>
              <w:widowControl w:val="0"/>
              <w:spacing w:before="97" w:line="247" w:lineRule="auto"/>
              <w:ind w:left="116" w:right="35" w:firstLine="2"/>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设计一个制冷站为全厂提供</w:t>
            </w:r>
            <w:r>
              <w:rPr>
                <w:rFonts w:ascii="Times New Roman" w:hAnsi="Times New Roman" w:eastAsia="Times New Roman" w:cs="Times New Roman"/>
                <w:caps w:val="0"/>
                <w:smallCaps w:val="0"/>
                <w:color w:val="auto"/>
                <w:spacing w:val="0"/>
                <w:sz w:val="18"/>
                <w:szCs w:val="18"/>
                <w:highlight w:val="none"/>
                <w:lang w:eastAsia="zh-CN"/>
              </w:rPr>
              <w:t>7℃</w:t>
            </w:r>
            <w:r>
              <w:rPr>
                <w:rFonts w:ascii="Times New Roman" w:hAnsi="Times New Roman" w:cs="Times New Roman"/>
                <w:caps w:val="0"/>
                <w:smallCaps w:val="0"/>
                <w:color w:val="auto"/>
                <w:spacing w:val="0"/>
                <w:sz w:val="18"/>
                <w:szCs w:val="18"/>
                <w:highlight w:val="none"/>
                <w:lang w:eastAsia="zh-CN"/>
              </w:rPr>
              <w:t>的冷媒水，用于组合式净化恒温恒湿机、组合式新风空调处理机组、风机盘管加新风空调以及为工艺用循环冷却水系统设置的二次热交换系统提供冷水。包括冷冻水系统和冷却水系统。制冷剂采用</w:t>
            </w:r>
            <w:r>
              <w:rPr>
                <w:rFonts w:ascii="Times New Roman" w:hAnsi="Times New Roman" w:eastAsia="Times New Roman" w:cs="Times New Roman"/>
                <w:caps w:val="0"/>
                <w:smallCaps w:val="0"/>
                <w:color w:val="auto"/>
                <w:spacing w:val="0"/>
                <w:sz w:val="18"/>
                <w:szCs w:val="18"/>
                <w:highlight w:val="none"/>
                <w:lang w:eastAsia="zh-CN"/>
              </w:rPr>
              <w:t>HFC</w:t>
            </w:r>
            <w:r>
              <w:rPr>
                <w:rFonts w:ascii="Times New Roman" w:hAnsi="Times New Roman" w:cs="Times New Roman"/>
                <w:caps w:val="0"/>
                <w:smallCaps w:val="0"/>
                <w:color w:val="auto"/>
                <w:spacing w:val="0"/>
                <w:sz w:val="18"/>
                <w:szCs w:val="18"/>
                <w:highlight w:val="none"/>
                <w:lang w:eastAsia="zh-CN"/>
              </w:rPr>
              <w:t>型</w:t>
            </w:r>
            <w:r>
              <w:rPr>
                <w:rFonts w:ascii="Times New Roman" w:hAnsi="Times New Roman" w:eastAsia="Times New Roman" w:cs="Times New Roman"/>
                <w:caps w:val="0"/>
                <w:smallCaps w:val="0"/>
                <w:color w:val="auto"/>
                <w:spacing w:val="0"/>
                <w:sz w:val="18"/>
                <w:szCs w:val="18"/>
                <w:highlight w:val="none"/>
                <w:lang w:eastAsia="zh-CN"/>
              </w:rPr>
              <w:t>R134A</w:t>
            </w:r>
            <w:r>
              <w:rPr>
                <w:rFonts w:ascii="Times New Roman" w:hAnsi="Times New Roman" w:cs="Times New Roman"/>
                <w:caps w:val="0"/>
                <w:smallCaps w:val="0"/>
                <w:color w:val="auto"/>
                <w:spacing w:val="0"/>
                <w:sz w:val="18"/>
                <w:szCs w:val="18"/>
                <w:highlight w:val="none"/>
                <w:lang w:eastAsia="zh-CN"/>
              </w:rPr>
              <w:t>为制冷剂。</w:t>
            </w:r>
          </w:p>
        </w:tc>
        <w:tc>
          <w:tcPr>
            <w:tcW w:w="5033" w:type="dxa"/>
            <w:vAlign w:val="center"/>
          </w:tcPr>
          <w:p w14:paraId="31E6003A">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4BED115A">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3D411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095B3718">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vAlign w:val="center"/>
          </w:tcPr>
          <w:p w14:paraId="49DE9AFA">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纯水制备系统</w:t>
            </w:r>
          </w:p>
        </w:tc>
        <w:tc>
          <w:tcPr>
            <w:tcW w:w="6429" w:type="dxa"/>
            <w:vAlign w:val="center"/>
          </w:tcPr>
          <w:p w14:paraId="03A1D11F">
            <w:pPr>
              <w:pStyle w:val="195"/>
              <w:widowControl w:val="0"/>
              <w:spacing w:before="94" w:line="247" w:lineRule="auto"/>
              <w:ind w:left="115" w:right="106" w:hanging="1"/>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①项目使用电阻率为10</w:t>
            </w:r>
            <w:r>
              <w:rPr>
                <w:rFonts w:ascii="Times New Roman" w:hAnsi="Times New Roman" w:eastAsia="Times New Roman" w:cs="Times New Roman"/>
                <w:caps w:val="0"/>
                <w:smallCaps w:val="0"/>
                <w:color w:val="auto"/>
                <w:spacing w:val="0"/>
                <w:sz w:val="18"/>
                <w:szCs w:val="18"/>
                <w:highlight w:val="none"/>
                <w:lang w:eastAsia="zh-CN"/>
              </w:rPr>
              <w:t>M</w:t>
            </w:r>
            <w:r>
              <w:rPr>
                <w:rFonts w:ascii="Times New Roman" w:hAnsi="Times New Roman" w:eastAsia="Times New Roman" w:cs="Times New Roman"/>
                <w:caps w:val="0"/>
                <w:smallCaps w:val="0"/>
                <w:color w:val="auto"/>
                <w:spacing w:val="0"/>
                <w:sz w:val="18"/>
                <w:szCs w:val="18"/>
                <w:highlight w:val="none"/>
              </w:rPr>
              <w:t>Ω</w:t>
            </w:r>
            <w:r>
              <w:rPr>
                <w:rFonts w:ascii="Times New Roman" w:hAnsi="Times New Roman" w:eastAsia="Times New Roman" w:cs="Times New Roman"/>
                <w:caps w:val="0"/>
                <w:smallCaps w:val="0"/>
                <w:color w:val="auto"/>
                <w:spacing w:val="0"/>
                <w:sz w:val="18"/>
                <w:szCs w:val="18"/>
                <w:highlight w:val="none"/>
                <w:lang w:eastAsia="zh-CN"/>
              </w:rPr>
              <w:t>·Cm</w:t>
            </w:r>
            <w:r>
              <w:rPr>
                <w:rFonts w:ascii="Times New Roman" w:hAnsi="Times New Roman" w:cs="Times New Roman"/>
                <w:caps w:val="0"/>
                <w:smallCaps w:val="0"/>
                <w:color w:val="auto"/>
                <w:spacing w:val="0"/>
                <w:sz w:val="18"/>
                <w:szCs w:val="18"/>
                <w:highlight w:val="none"/>
                <w:lang w:eastAsia="zh-CN"/>
              </w:rPr>
              <w:t>的纯水</w:t>
            </w:r>
            <w:r>
              <w:rPr>
                <w:rFonts w:ascii="Times New Roman" w:hAnsi="Times New Roman" w:eastAsia="Times New Roman" w:cs="Times New Roman"/>
                <w:caps w:val="0"/>
                <w:smallCaps w:val="0"/>
                <w:color w:val="auto"/>
                <w:spacing w:val="0"/>
                <w:sz w:val="18"/>
                <w:szCs w:val="18"/>
                <w:highlight w:val="none"/>
                <w:lang w:eastAsia="zh-CN"/>
              </w:rPr>
              <w:t>1</w:t>
            </w:r>
            <w:r>
              <w:rPr>
                <w:rFonts w:ascii="Times New Roman" w:hAnsi="Times New Roman" w:cs="Times New Roman"/>
                <w:caps w:val="0"/>
                <w:smallCaps w:val="0"/>
                <w:color w:val="auto"/>
                <w:spacing w:val="0"/>
                <w:sz w:val="18"/>
                <w:szCs w:val="18"/>
                <w:highlight w:val="none"/>
                <w:lang w:eastAsia="zh-CN"/>
              </w:rPr>
              <w:t>0</w:t>
            </w:r>
            <w:r>
              <w:rPr>
                <w:rFonts w:ascii="Times New Roman" w:hAnsi="Times New Roman" w:eastAsia="Times New Roman" w:cs="Times New Roman"/>
                <w:caps w:val="0"/>
                <w:smallCaps w:val="0"/>
                <w:color w:val="auto"/>
                <w:spacing w:val="0"/>
                <w:sz w:val="18"/>
                <w:szCs w:val="18"/>
                <w:highlight w:val="none"/>
                <w:lang w:eastAsia="zh-CN"/>
              </w:rPr>
              <w:t>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ascii="Times New Roman" w:hAnsi="Times New Roman" w:eastAsia="Times New Roman" w:cs="Times New Roman"/>
                <w:caps w:val="0"/>
                <w:smallCaps w:val="0"/>
                <w:color w:val="auto"/>
                <w:spacing w:val="0"/>
                <w:sz w:val="18"/>
                <w:szCs w:val="18"/>
                <w:highlight w:val="none"/>
                <w:lang w:eastAsia="zh-CN"/>
              </w:rPr>
              <w:t>/h</w:t>
            </w:r>
            <w:r>
              <w:rPr>
                <w:rFonts w:ascii="Times New Roman" w:hAnsi="Times New Roman" w:cs="Times New Roman"/>
                <w:caps w:val="0"/>
                <w:smallCaps w:val="0"/>
                <w:color w:val="auto"/>
                <w:spacing w:val="0"/>
                <w:sz w:val="18"/>
                <w:szCs w:val="18"/>
                <w:highlight w:val="none"/>
                <w:lang w:eastAsia="zh-CN"/>
              </w:rPr>
              <w:t>，在车间辅助用房内设纯水设备一套，采用前处理</w:t>
            </w:r>
            <w:r>
              <w:rPr>
                <w:rFonts w:ascii="Times New Roman" w:hAnsi="Times New Roman" w:eastAsia="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两级</w:t>
            </w:r>
            <w:r>
              <w:rPr>
                <w:rFonts w:ascii="Times New Roman" w:hAnsi="Times New Roman" w:eastAsia="Times New Roman" w:cs="Times New Roman"/>
                <w:caps w:val="0"/>
                <w:smallCaps w:val="0"/>
                <w:color w:val="auto"/>
                <w:spacing w:val="0"/>
                <w:sz w:val="18"/>
                <w:szCs w:val="18"/>
                <w:highlight w:val="none"/>
                <w:lang w:eastAsia="zh-CN"/>
              </w:rPr>
              <w:t>RO+EDI</w:t>
            </w:r>
            <w:r>
              <w:rPr>
                <w:rFonts w:ascii="Times New Roman" w:hAnsi="Times New Roman" w:cs="Times New Roman"/>
                <w:caps w:val="0"/>
                <w:smallCaps w:val="0"/>
                <w:color w:val="auto"/>
                <w:spacing w:val="0"/>
                <w:sz w:val="18"/>
                <w:szCs w:val="18"/>
                <w:highlight w:val="none"/>
                <w:lang w:eastAsia="zh-CN"/>
              </w:rPr>
              <w:t>的工艺，将自来水电阻处理至</w:t>
            </w:r>
            <w:r>
              <w:rPr>
                <w:rFonts w:ascii="Times New Roman" w:hAnsi="Times New Roman" w:eastAsia="Times New Roman" w:cs="Times New Roman"/>
                <w:caps w:val="0"/>
                <w:smallCaps w:val="0"/>
                <w:color w:val="auto"/>
                <w:spacing w:val="0"/>
                <w:sz w:val="18"/>
                <w:szCs w:val="18"/>
                <w:highlight w:val="none"/>
                <w:lang w:eastAsia="zh-CN"/>
              </w:rPr>
              <w:t>12M</w:t>
            </w:r>
            <w:r>
              <w:rPr>
                <w:rFonts w:ascii="Times New Roman" w:hAnsi="Times New Roman" w:eastAsia="Times New Roman" w:cs="Times New Roman"/>
                <w:caps w:val="0"/>
                <w:smallCaps w:val="0"/>
                <w:color w:val="auto"/>
                <w:spacing w:val="0"/>
                <w:sz w:val="18"/>
                <w:szCs w:val="18"/>
                <w:highlight w:val="none"/>
              </w:rPr>
              <w:t>Ω</w:t>
            </w:r>
            <w:r>
              <w:rPr>
                <w:rFonts w:ascii="Times New Roman" w:hAnsi="Times New Roman" w:eastAsia="Times New Roman" w:cs="Times New Roman"/>
                <w:caps w:val="0"/>
                <w:smallCaps w:val="0"/>
                <w:color w:val="auto"/>
                <w:spacing w:val="0"/>
                <w:sz w:val="18"/>
                <w:szCs w:val="18"/>
                <w:highlight w:val="none"/>
                <w:lang w:eastAsia="zh-CN"/>
              </w:rPr>
              <w:t>·Cm</w:t>
            </w:r>
            <w:r>
              <w:rPr>
                <w:rFonts w:ascii="Times New Roman" w:hAnsi="Times New Roman" w:cs="Times New Roman"/>
                <w:caps w:val="0"/>
                <w:smallCaps w:val="0"/>
                <w:color w:val="auto"/>
                <w:spacing w:val="0"/>
                <w:sz w:val="18"/>
                <w:szCs w:val="18"/>
                <w:highlight w:val="none"/>
                <w:lang w:eastAsia="zh-CN"/>
              </w:rPr>
              <w:t>，供至车间各用水点使用。</w:t>
            </w:r>
          </w:p>
          <w:p w14:paraId="494F3115">
            <w:pPr>
              <w:pStyle w:val="195"/>
              <w:widowControl w:val="0"/>
              <w:spacing w:before="84" w:line="245" w:lineRule="auto"/>
              <w:ind w:left="118" w:right="35" w:hanging="5"/>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②含镉污水处理间设纯水设备两套，采用两级</w:t>
            </w:r>
            <w:r>
              <w:rPr>
                <w:rFonts w:ascii="Times New Roman" w:hAnsi="Times New Roman" w:eastAsia="Times New Roman" w:cs="Times New Roman"/>
                <w:caps w:val="0"/>
                <w:smallCaps w:val="0"/>
                <w:color w:val="auto"/>
                <w:spacing w:val="0"/>
                <w:sz w:val="18"/>
                <w:szCs w:val="18"/>
                <w:highlight w:val="none"/>
                <w:lang w:eastAsia="zh-CN"/>
              </w:rPr>
              <w:t>RO+</w:t>
            </w:r>
            <w:r>
              <w:rPr>
                <w:rFonts w:ascii="Times New Roman" w:hAnsi="Times New Roman" w:cs="Times New Roman"/>
                <w:caps w:val="0"/>
                <w:smallCaps w:val="0"/>
                <w:color w:val="auto"/>
                <w:spacing w:val="0"/>
                <w:sz w:val="18"/>
                <w:szCs w:val="18"/>
                <w:highlight w:val="none"/>
                <w:lang w:eastAsia="zh-CN"/>
              </w:rPr>
              <w:t>三效蒸发</w:t>
            </w:r>
            <w:r>
              <w:rPr>
                <w:rFonts w:ascii="Times New Roman" w:hAnsi="Times New Roman" w:eastAsia="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冷凝回用、两级</w:t>
            </w:r>
            <w:r>
              <w:rPr>
                <w:rFonts w:ascii="Times New Roman" w:hAnsi="Times New Roman" w:eastAsia="Times New Roman" w:cs="Times New Roman"/>
                <w:caps w:val="0"/>
                <w:smallCaps w:val="0"/>
                <w:color w:val="auto"/>
                <w:spacing w:val="0"/>
                <w:sz w:val="18"/>
                <w:szCs w:val="18"/>
                <w:highlight w:val="none"/>
                <w:lang w:eastAsia="zh-CN"/>
              </w:rPr>
              <w:t>RO+EDI</w:t>
            </w:r>
            <w:r>
              <w:rPr>
                <w:rFonts w:ascii="Times New Roman" w:hAnsi="Times New Roman" w:cs="Times New Roman"/>
                <w:caps w:val="0"/>
                <w:smallCaps w:val="0"/>
                <w:color w:val="auto"/>
                <w:spacing w:val="0"/>
                <w:sz w:val="18"/>
                <w:szCs w:val="18"/>
                <w:highlight w:val="none"/>
                <w:lang w:eastAsia="zh-CN"/>
              </w:rPr>
              <w:t>的工艺，将处理后的含镉污水电阻处理至</w:t>
            </w:r>
            <w:r>
              <w:rPr>
                <w:rFonts w:ascii="Times New Roman" w:hAnsi="Times New Roman" w:eastAsia="Times New Roman" w:cs="Times New Roman"/>
                <w:caps w:val="0"/>
                <w:smallCaps w:val="0"/>
                <w:color w:val="auto"/>
                <w:spacing w:val="0"/>
                <w:sz w:val="18"/>
                <w:szCs w:val="18"/>
                <w:highlight w:val="none"/>
                <w:lang w:eastAsia="zh-CN"/>
              </w:rPr>
              <w:t>12M</w:t>
            </w:r>
            <w:r>
              <w:rPr>
                <w:rFonts w:ascii="Times New Roman" w:hAnsi="Times New Roman" w:eastAsia="Times New Roman" w:cs="Times New Roman"/>
                <w:caps w:val="0"/>
                <w:smallCaps w:val="0"/>
                <w:color w:val="auto"/>
                <w:spacing w:val="0"/>
                <w:sz w:val="18"/>
                <w:szCs w:val="18"/>
                <w:highlight w:val="none"/>
              </w:rPr>
              <w:t>Ω</w:t>
            </w:r>
            <w:r>
              <w:rPr>
                <w:rFonts w:ascii="Times New Roman" w:hAnsi="Times New Roman" w:eastAsia="Times New Roman" w:cs="Times New Roman"/>
                <w:caps w:val="0"/>
                <w:smallCaps w:val="0"/>
                <w:color w:val="auto"/>
                <w:spacing w:val="0"/>
                <w:sz w:val="18"/>
                <w:szCs w:val="18"/>
                <w:highlight w:val="none"/>
                <w:lang w:eastAsia="zh-CN"/>
              </w:rPr>
              <w:t>·Cm</w:t>
            </w:r>
            <w:r>
              <w:rPr>
                <w:rFonts w:ascii="Times New Roman" w:hAnsi="Times New Roman" w:cs="Times New Roman"/>
                <w:caps w:val="0"/>
                <w:smallCaps w:val="0"/>
                <w:color w:val="auto"/>
                <w:spacing w:val="0"/>
                <w:sz w:val="18"/>
                <w:szCs w:val="18"/>
                <w:highlight w:val="none"/>
                <w:lang w:eastAsia="zh-CN"/>
              </w:rPr>
              <w:t>，供至车间含镉的各用水点使用。</w:t>
            </w:r>
          </w:p>
        </w:tc>
        <w:tc>
          <w:tcPr>
            <w:tcW w:w="5033" w:type="dxa"/>
            <w:vAlign w:val="center"/>
          </w:tcPr>
          <w:p w14:paraId="5A1357B5">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68B90591">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6321D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restart"/>
            <w:tcBorders>
              <w:left w:val="nil"/>
            </w:tcBorders>
            <w:vAlign w:val="center"/>
          </w:tcPr>
          <w:p w14:paraId="21FAF9B4">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储运</w:t>
            </w:r>
          </w:p>
          <w:p w14:paraId="5DDD8D08">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系统</w:t>
            </w:r>
          </w:p>
        </w:tc>
        <w:tc>
          <w:tcPr>
            <w:tcW w:w="563" w:type="dxa"/>
            <w:vAlign w:val="center"/>
          </w:tcPr>
          <w:p w14:paraId="7B427BD7">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原料库房</w:t>
            </w:r>
          </w:p>
        </w:tc>
        <w:tc>
          <w:tcPr>
            <w:tcW w:w="6429" w:type="dxa"/>
            <w:vAlign w:val="center"/>
          </w:tcPr>
          <w:p w14:paraId="34231965">
            <w:pPr>
              <w:pStyle w:val="195"/>
              <w:widowControl w:val="0"/>
              <w:snapToGrid w:val="0"/>
              <w:jc w:val="both"/>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项目原料主要分为TCO玻璃库房、背板库房以及高纯材料间，面积分别为1260m</w:t>
            </w:r>
            <w:r>
              <w:rPr>
                <w:rFonts w:ascii="Times New Roman" w:hAnsi="Times New Roman" w:cs="Times New Roman"/>
                <w:bCs/>
                <w:caps w:val="0"/>
                <w:smallCaps w:val="0"/>
                <w:color w:val="auto"/>
                <w:spacing w:val="0"/>
                <w:sz w:val="18"/>
                <w:szCs w:val="18"/>
                <w:highlight w:val="none"/>
                <w:vertAlign w:val="superscript"/>
                <w:lang w:eastAsia="zh-CN"/>
              </w:rPr>
              <w:t>2</w:t>
            </w:r>
            <w:r>
              <w:rPr>
                <w:rFonts w:ascii="Times New Roman" w:hAnsi="Times New Roman" w:cs="Times New Roman"/>
                <w:bCs/>
                <w:caps w:val="0"/>
                <w:smallCaps w:val="0"/>
                <w:color w:val="auto"/>
                <w:spacing w:val="0"/>
                <w:sz w:val="18"/>
                <w:szCs w:val="18"/>
                <w:highlight w:val="none"/>
                <w:lang w:eastAsia="zh-CN"/>
              </w:rPr>
              <w:t>、855m</w:t>
            </w:r>
            <w:r>
              <w:rPr>
                <w:rFonts w:ascii="Times New Roman" w:hAnsi="Times New Roman" w:cs="Times New Roman"/>
                <w:bCs/>
                <w:caps w:val="0"/>
                <w:smallCaps w:val="0"/>
                <w:color w:val="auto"/>
                <w:spacing w:val="0"/>
                <w:sz w:val="18"/>
                <w:szCs w:val="18"/>
                <w:highlight w:val="none"/>
                <w:vertAlign w:val="superscript"/>
                <w:lang w:eastAsia="zh-CN"/>
              </w:rPr>
              <w:t>2</w:t>
            </w:r>
            <w:r>
              <w:rPr>
                <w:rFonts w:ascii="Times New Roman" w:hAnsi="Times New Roman" w:cs="Times New Roman"/>
                <w:bCs/>
                <w:caps w:val="0"/>
                <w:smallCaps w:val="0"/>
                <w:color w:val="auto"/>
                <w:spacing w:val="0"/>
                <w:sz w:val="18"/>
                <w:szCs w:val="18"/>
                <w:highlight w:val="none"/>
                <w:lang w:eastAsia="zh-CN"/>
              </w:rPr>
              <w:t>、108m</w:t>
            </w:r>
            <w:r>
              <w:rPr>
                <w:rFonts w:ascii="Times New Roman" w:hAnsi="Times New Roman" w:cs="Times New Roman"/>
                <w:bCs/>
                <w:caps w:val="0"/>
                <w:smallCaps w:val="0"/>
                <w:color w:val="auto"/>
                <w:spacing w:val="0"/>
                <w:sz w:val="18"/>
                <w:szCs w:val="18"/>
                <w:highlight w:val="none"/>
                <w:vertAlign w:val="superscript"/>
                <w:lang w:eastAsia="zh-CN"/>
              </w:rPr>
              <w:t>2</w:t>
            </w:r>
            <w:r>
              <w:rPr>
                <w:rFonts w:ascii="Times New Roman" w:hAnsi="Times New Roman" w:cs="Times New Roman"/>
                <w:bCs/>
                <w:caps w:val="0"/>
                <w:smallCaps w:val="0"/>
                <w:color w:val="auto"/>
                <w:spacing w:val="0"/>
                <w:sz w:val="18"/>
                <w:szCs w:val="18"/>
                <w:highlight w:val="none"/>
                <w:lang w:eastAsia="zh-CN"/>
              </w:rPr>
              <w:t>。</w:t>
            </w:r>
            <w:r>
              <w:rPr>
                <w:rFonts w:hint="eastAsia" w:ascii="Times New Roman" w:hAnsi="Times New Roman" w:cs="Times New Roman"/>
                <w:caps w:val="0"/>
                <w:smallCaps w:val="0"/>
                <w:color w:val="auto"/>
                <w:spacing w:val="0"/>
                <w:kern w:val="0"/>
                <w:sz w:val="18"/>
                <w:szCs w:val="18"/>
                <w:highlight w:val="none"/>
                <w:lang w:eastAsia="zh-CN" w:bidi="ar"/>
              </w:rPr>
              <w:t>现</w:t>
            </w:r>
            <w:r>
              <w:rPr>
                <w:rFonts w:ascii="Times New Roman" w:hAnsi="Times New Roman" w:cs="Times New Roman"/>
                <w:caps w:val="0"/>
                <w:smallCaps w:val="0"/>
                <w:color w:val="auto"/>
                <w:spacing w:val="0"/>
                <w:kern w:val="0"/>
                <w:sz w:val="18"/>
                <w:szCs w:val="18"/>
                <w:highlight w:val="none"/>
                <w:lang w:eastAsia="zh-CN" w:bidi="ar"/>
              </w:rPr>
              <w:t>高纯材料间</w:t>
            </w:r>
            <w:r>
              <w:rPr>
                <w:rFonts w:hint="eastAsia" w:ascii="Times New Roman" w:hAnsi="Times New Roman" w:cs="Times New Roman"/>
                <w:caps w:val="0"/>
                <w:smallCaps w:val="0"/>
                <w:color w:val="auto"/>
                <w:spacing w:val="0"/>
                <w:kern w:val="0"/>
                <w:sz w:val="18"/>
                <w:szCs w:val="18"/>
                <w:highlight w:val="none"/>
                <w:lang w:eastAsia="zh-CN" w:bidi="ar"/>
              </w:rPr>
              <w:t>闲置，后续存储前段镀膜生产线原料</w:t>
            </w:r>
            <w:r>
              <w:rPr>
                <w:rFonts w:ascii="Times New Roman" w:hAnsi="Times New Roman" w:cs="Times New Roman"/>
                <w:caps w:val="0"/>
                <w:smallCaps w:val="0"/>
                <w:color w:val="auto"/>
                <w:spacing w:val="0"/>
                <w:kern w:val="0"/>
                <w:sz w:val="18"/>
                <w:szCs w:val="18"/>
                <w:highlight w:val="none"/>
                <w:lang w:eastAsia="zh-CN" w:bidi="ar"/>
              </w:rPr>
              <w:t>。</w:t>
            </w:r>
          </w:p>
        </w:tc>
        <w:tc>
          <w:tcPr>
            <w:tcW w:w="5033" w:type="dxa"/>
            <w:vAlign w:val="center"/>
          </w:tcPr>
          <w:p w14:paraId="4FF2E8D0">
            <w:pPr>
              <w:widowControl w:val="0"/>
              <w:snapToGrid w:val="0"/>
              <w:jc w:val="center"/>
              <w:rPr>
                <w:rFonts w:ascii="Times New Roman" w:hAnsi="Times New Roman" w:eastAsia="宋体" w:cs="Times New Roman"/>
                <w:bCs/>
                <w:caps w:val="0"/>
                <w:smallCaps w:val="0"/>
                <w:color w:val="auto"/>
                <w:spacing w:val="0"/>
                <w:sz w:val="18"/>
                <w:szCs w:val="18"/>
                <w:highlight w:val="none"/>
                <w:lang w:eastAsia="en-US"/>
              </w:rPr>
            </w:pPr>
            <w:r>
              <w:rPr>
                <w:rFonts w:ascii="Times New Roman" w:hAnsi="Times New Roman" w:eastAsia="宋体" w:cs="Times New Roman"/>
                <w:bCs/>
                <w:caps w:val="0"/>
                <w:smallCaps w:val="0"/>
                <w:color w:val="auto"/>
                <w:spacing w:val="0"/>
                <w:sz w:val="18"/>
                <w:szCs w:val="18"/>
                <w:highlight w:val="none"/>
                <w:lang w:eastAsia="en-US"/>
              </w:rPr>
              <w:t>/</w:t>
            </w:r>
          </w:p>
        </w:tc>
        <w:tc>
          <w:tcPr>
            <w:tcW w:w="1651" w:type="dxa"/>
            <w:tcBorders>
              <w:right w:val="nil"/>
            </w:tcBorders>
            <w:vAlign w:val="center"/>
          </w:tcPr>
          <w:p w14:paraId="3928586A">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756F2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bottom w:val="single" w:color="000000" w:sz="10" w:space="0"/>
            </w:tcBorders>
            <w:vAlign w:val="center"/>
          </w:tcPr>
          <w:p w14:paraId="3B9FF697">
            <w:pPr>
              <w:widowControl w:val="0"/>
              <w:snapToGrid w:val="0"/>
              <w:jc w:val="both"/>
              <w:rPr>
                <w:rFonts w:ascii="Times New Roman" w:hAnsi="Times New Roman" w:cs="Times New Roman"/>
                <w:caps w:val="0"/>
                <w:smallCaps w:val="0"/>
                <w:color w:val="auto"/>
                <w:spacing w:val="0"/>
                <w:sz w:val="18"/>
                <w:szCs w:val="18"/>
                <w:highlight w:val="none"/>
                <w:lang w:eastAsia="en-US"/>
              </w:rPr>
            </w:pPr>
          </w:p>
        </w:tc>
        <w:tc>
          <w:tcPr>
            <w:tcW w:w="563" w:type="dxa"/>
            <w:tcBorders>
              <w:bottom w:val="single" w:color="000000" w:sz="10" w:space="0"/>
            </w:tcBorders>
            <w:vAlign w:val="center"/>
          </w:tcPr>
          <w:p w14:paraId="5FE61480">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产品库房</w:t>
            </w:r>
          </w:p>
        </w:tc>
        <w:tc>
          <w:tcPr>
            <w:tcW w:w="6429" w:type="dxa"/>
            <w:tcBorders>
              <w:bottom w:val="single" w:color="000000" w:sz="10" w:space="0"/>
            </w:tcBorders>
            <w:vAlign w:val="center"/>
          </w:tcPr>
          <w:p w14:paraId="101ED1F5">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项目产品库房面积约为</w:t>
            </w:r>
            <w:r>
              <w:rPr>
                <w:rFonts w:ascii="Times New Roman" w:hAnsi="Times New Roman" w:eastAsia="Times New Roman" w:cs="Times New Roman"/>
                <w:caps w:val="0"/>
                <w:smallCaps w:val="0"/>
                <w:color w:val="auto"/>
                <w:spacing w:val="0"/>
                <w:sz w:val="18"/>
                <w:szCs w:val="18"/>
                <w:highlight w:val="none"/>
                <w:lang w:eastAsia="zh-CN"/>
              </w:rPr>
              <w:t>2630</w:t>
            </w:r>
            <w:r>
              <w:rPr>
                <w:rFonts w:ascii="Times New Roman" w:hAnsi="Times New Roman" w:cs="Times New Roman"/>
                <w:bCs/>
                <w:caps w:val="0"/>
                <w:smallCaps w:val="0"/>
                <w:color w:val="auto"/>
                <w:spacing w:val="0"/>
                <w:sz w:val="18"/>
                <w:szCs w:val="18"/>
                <w:highlight w:val="none"/>
                <w:lang w:eastAsia="zh-CN"/>
              </w:rPr>
              <w:t>m</w:t>
            </w:r>
            <w:r>
              <w:rPr>
                <w:rFonts w:ascii="Times New Roman" w:hAnsi="Times New Roman" w:cs="Times New Roman"/>
                <w:bCs/>
                <w:caps w:val="0"/>
                <w:smallCaps w:val="0"/>
                <w:color w:val="auto"/>
                <w:spacing w:val="0"/>
                <w:sz w:val="18"/>
                <w:szCs w:val="18"/>
                <w:highlight w:val="none"/>
                <w:vertAlign w:val="superscript"/>
                <w:lang w:eastAsia="zh-CN"/>
              </w:rPr>
              <w:t>2</w:t>
            </w:r>
            <w:r>
              <w:rPr>
                <w:rFonts w:ascii="Times New Roman" w:hAnsi="Times New Roman" w:cs="Times New Roman"/>
                <w:caps w:val="0"/>
                <w:smallCaps w:val="0"/>
                <w:color w:val="auto"/>
                <w:spacing w:val="0"/>
                <w:sz w:val="18"/>
                <w:szCs w:val="18"/>
                <w:highlight w:val="none"/>
                <w:lang w:eastAsia="zh-CN"/>
              </w:rPr>
              <w:t>，用于存放产品。</w:t>
            </w:r>
          </w:p>
        </w:tc>
        <w:tc>
          <w:tcPr>
            <w:tcW w:w="5033" w:type="dxa"/>
            <w:tcBorders>
              <w:bottom w:val="single" w:color="000000" w:sz="10" w:space="0"/>
            </w:tcBorders>
            <w:vAlign w:val="center"/>
          </w:tcPr>
          <w:p w14:paraId="467A8E98">
            <w:pPr>
              <w:widowControl w:val="0"/>
              <w:snapToGrid w:val="0"/>
              <w:jc w:val="center"/>
              <w:rPr>
                <w:rFonts w:ascii="Times New Roman" w:hAnsi="Times New Roman" w:eastAsia="宋体" w:cs="Times New Roman"/>
                <w:bCs/>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w:t>
            </w:r>
          </w:p>
        </w:tc>
        <w:tc>
          <w:tcPr>
            <w:tcW w:w="1651" w:type="dxa"/>
            <w:tcBorders>
              <w:bottom w:val="single" w:color="000000" w:sz="10" w:space="0"/>
              <w:right w:val="nil"/>
            </w:tcBorders>
            <w:vAlign w:val="center"/>
          </w:tcPr>
          <w:p w14:paraId="479C307D">
            <w:pPr>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2C091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restart"/>
            <w:tcBorders>
              <w:left w:val="nil"/>
            </w:tcBorders>
            <w:vAlign w:val="center"/>
          </w:tcPr>
          <w:p w14:paraId="1D58DF1E">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环保</w:t>
            </w:r>
          </w:p>
          <w:p w14:paraId="77D89CAA">
            <w:pPr>
              <w:widowControl w:val="0"/>
              <w:snapToGrid w:val="0"/>
              <w:jc w:val="both"/>
              <w:rPr>
                <w:rFonts w:ascii="Times New Roman" w:hAnsi="Times New Roman"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工程</w:t>
            </w:r>
          </w:p>
        </w:tc>
        <w:tc>
          <w:tcPr>
            <w:tcW w:w="563" w:type="dxa"/>
            <w:vAlign w:val="center"/>
          </w:tcPr>
          <w:p w14:paraId="56FF0E5D">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污水处理</w:t>
            </w:r>
          </w:p>
        </w:tc>
        <w:tc>
          <w:tcPr>
            <w:tcW w:w="6429" w:type="dxa"/>
            <w:vAlign w:val="center"/>
          </w:tcPr>
          <w:p w14:paraId="5F121426">
            <w:pPr>
              <w:pStyle w:val="195"/>
              <w:widowControl w:val="0"/>
              <w:spacing w:before="52" w:line="245" w:lineRule="auto"/>
              <w:ind w:left="115" w:right="106"/>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食堂废水经隔油池处理后与生活污水、排入化粪池处理后一同与背板玻璃清洗废水、锅炉排污水、纯水制备浓水全部排入高新区污水处理厂；</w:t>
            </w:r>
          </w:p>
          <w:p w14:paraId="4D1835E3">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前端镀膜线目前基本建成，但部分设备未到厂，因此无法进行生产，目前生产均采用半成品原材料，进场后直接组装成产品，生产规模不变，验收</w:t>
            </w:r>
            <w:r>
              <w:rPr>
                <w:rFonts w:hint="eastAsia" w:ascii="Times New Roman" w:hAnsi="Times New Roman" w:cs="Times New Roman"/>
                <w:caps w:val="0"/>
                <w:smallCaps w:val="0"/>
                <w:color w:val="auto"/>
                <w:spacing w:val="0"/>
                <w:sz w:val="18"/>
                <w:szCs w:val="18"/>
                <w:highlight w:val="none"/>
                <w:lang w:eastAsia="zh-CN"/>
              </w:rPr>
              <w:t>阶段</w:t>
            </w:r>
            <w:r>
              <w:rPr>
                <w:rFonts w:ascii="Times New Roman" w:hAnsi="Times New Roman" w:cs="Times New Roman"/>
                <w:caps w:val="0"/>
                <w:smallCaps w:val="0"/>
                <w:color w:val="auto"/>
                <w:spacing w:val="0"/>
                <w:sz w:val="18"/>
                <w:szCs w:val="18"/>
                <w:highlight w:val="none"/>
                <w:lang w:eastAsia="zh-CN"/>
              </w:rPr>
              <w:t>无其他生产废水产生。</w:t>
            </w:r>
          </w:p>
          <w:p w14:paraId="5DD47451">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hint="eastAsia" w:ascii="Times New Roman" w:hAnsi="Times New Roman" w:cs="Times New Roman"/>
                <w:caps w:val="0"/>
                <w:smallCaps w:val="0"/>
                <w:color w:val="auto"/>
                <w:spacing w:val="0"/>
                <w:sz w:val="18"/>
                <w:szCs w:val="18"/>
                <w:highlight w:val="none"/>
                <w:lang w:eastAsia="zh-CN"/>
              </w:rPr>
              <w:t>未验收：</w:t>
            </w:r>
            <w:r>
              <w:rPr>
                <w:rFonts w:ascii="Times New Roman" w:hAnsi="Times New Roman" w:cs="Times New Roman"/>
                <w:caps w:val="0"/>
                <w:smallCaps w:val="0"/>
                <w:color w:val="auto"/>
                <w:spacing w:val="0"/>
                <w:sz w:val="18"/>
                <w:szCs w:val="18"/>
                <w:highlight w:val="none"/>
                <w:lang w:eastAsia="zh-CN"/>
              </w:rPr>
              <w:t>生产污水中不含镉的污水排放至开发区排水管网，排放污水满足《电池工业污染物排放标准》（</w:t>
            </w:r>
            <w:r>
              <w:rPr>
                <w:rFonts w:ascii="Times New Roman" w:hAnsi="Times New Roman" w:eastAsia="Times New Roman" w:cs="Times New Roman"/>
                <w:caps w:val="0"/>
                <w:smallCaps w:val="0"/>
                <w:color w:val="auto"/>
                <w:spacing w:val="0"/>
                <w:sz w:val="18"/>
                <w:szCs w:val="18"/>
                <w:highlight w:val="none"/>
                <w:lang w:eastAsia="zh-CN"/>
              </w:rPr>
              <w:t>GB30484-2013</w:t>
            </w:r>
            <w:r>
              <w:rPr>
                <w:rFonts w:ascii="Times New Roman" w:hAnsi="Times New Roman" w:cs="Times New Roman"/>
                <w:caps w:val="0"/>
                <w:smallCaps w:val="0"/>
                <w:color w:val="auto"/>
                <w:spacing w:val="0"/>
                <w:sz w:val="18"/>
                <w:szCs w:val="18"/>
                <w:highlight w:val="none"/>
                <w:lang w:eastAsia="zh-CN"/>
              </w:rPr>
              <w:t>）表</w:t>
            </w:r>
            <w:r>
              <w:rPr>
                <w:rFonts w:ascii="Times New Roman" w:hAnsi="Times New Roman" w:eastAsia="Times New Roman" w:cs="Times New Roman"/>
                <w:caps w:val="0"/>
                <w:smallCaps w:val="0"/>
                <w:color w:val="auto"/>
                <w:spacing w:val="0"/>
                <w:sz w:val="18"/>
                <w:szCs w:val="18"/>
                <w:highlight w:val="none"/>
                <w:lang w:eastAsia="zh-CN"/>
              </w:rPr>
              <w:t>2</w:t>
            </w:r>
            <w:r>
              <w:rPr>
                <w:rFonts w:ascii="Times New Roman" w:hAnsi="Times New Roman" w:cs="Times New Roman"/>
                <w:caps w:val="0"/>
                <w:smallCaps w:val="0"/>
                <w:color w:val="auto"/>
                <w:spacing w:val="0"/>
                <w:sz w:val="18"/>
                <w:szCs w:val="18"/>
                <w:highlight w:val="none"/>
                <w:lang w:eastAsia="zh-CN"/>
              </w:rPr>
              <w:t>中太阳能电池标准限值，同时满足开发区污水处理厂进水水质指标要求，排入开发区污水管网，最终进入开发区处理厂处理。含镉污水经污水处理站处理后全部回用于生产工艺，不外排。新建含镉污水处理站一座，处理能力为</w:t>
            </w:r>
            <w:r>
              <w:rPr>
                <w:rFonts w:ascii="Times New Roman" w:hAnsi="Times New Roman" w:eastAsia="Times New Roman" w:cs="Times New Roman"/>
                <w:caps w:val="0"/>
                <w:smallCaps w:val="0"/>
                <w:color w:val="auto"/>
                <w:spacing w:val="0"/>
                <w:sz w:val="18"/>
                <w:szCs w:val="18"/>
                <w:highlight w:val="none"/>
                <w:lang w:eastAsia="zh-CN"/>
              </w:rPr>
              <w:t>120m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ascii="Times New Roman" w:hAnsi="Times New Roman" w:eastAsia="Times New Roman" w:cs="Times New Roman"/>
                <w:caps w:val="0"/>
                <w:smallCaps w:val="0"/>
                <w:color w:val="auto"/>
                <w:spacing w:val="0"/>
                <w:sz w:val="18"/>
                <w:szCs w:val="18"/>
                <w:highlight w:val="none"/>
                <w:lang w:eastAsia="zh-CN"/>
              </w:rPr>
              <w:t>/d</w:t>
            </w:r>
            <w:r>
              <w:rPr>
                <w:rFonts w:ascii="Times New Roman" w:hAnsi="Times New Roman" w:cs="Times New Roman"/>
                <w:caps w:val="0"/>
                <w:smallCaps w:val="0"/>
                <w:color w:val="auto"/>
                <w:spacing w:val="0"/>
                <w:sz w:val="18"/>
                <w:szCs w:val="18"/>
                <w:highlight w:val="none"/>
                <w:lang w:eastAsia="zh-CN"/>
              </w:rPr>
              <w:t>，</w:t>
            </w:r>
            <w:r>
              <w:rPr>
                <w:rFonts w:ascii="Times New Roman" w:hAnsi="Times New Roman" w:cs="Times New Roman" w:eastAsiaTheme="minorEastAsia"/>
                <w:bCs/>
                <w:caps w:val="0"/>
                <w:smallCaps w:val="0"/>
                <w:color w:val="auto"/>
                <w:spacing w:val="0"/>
                <w:sz w:val="18"/>
                <w:szCs w:val="18"/>
                <w:highlight w:val="none"/>
                <w:lang w:eastAsia="zh-CN"/>
              </w:rPr>
              <w:t>采用化学沉淀+膜过滤+高效蒸发，实现含镉污水零排放</w:t>
            </w:r>
            <w:r>
              <w:rPr>
                <w:rFonts w:ascii="Times New Roman" w:hAnsi="Times New Roman" w:cs="Times New Roman"/>
                <w:caps w:val="0"/>
                <w:smallCaps w:val="0"/>
                <w:color w:val="auto"/>
                <w:spacing w:val="0"/>
                <w:sz w:val="18"/>
                <w:szCs w:val="18"/>
                <w:highlight w:val="none"/>
                <w:lang w:eastAsia="zh-CN"/>
              </w:rPr>
              <w:t>。</w:t>
            </w:r>
          </w:p>
        </w:tc>
        <w:tc>
          <w:tcPr>
            <w:tcW w:w="5033" w:type="dxa"/>
            <w:vAlign w:val="center"/>
          </w:tcPr>
          <w:p w14:paraId="5FDC86BE">
            <w:pPr>
              <w:widowControl w:val="0"/>
              <w:snapToGrid w:val="0"/>
              <w:jc w:val="both"/>
              <w:rPr>
                <w:rFonts w:ascii="Times New Roman" w:hAnsi="Times New Roman" w:eastAsia="宋体" w:cs="Times New Roman"/>
                <w:bCs/>
                <w:caps w:val="0"/>
                <w:smallCaps w:val="0"/>
                <w:color w:val="auto"/>
                <w:spacing w:val="0"/>
                <w:sz w:val="18"/>
                <w:szCs w:val="18"/>
                <w:highlight w:val="none"/>
                <w:lang w:eastAsia="en-US"/>
              </w:rPr>
            </w:pPr>
            <w:r>
              <w:rPr>
                <w:rFonts w:ascii="Times New Roman" w:hAnsi="Times New Roman" w:eastAsia="宋体" w:cs="Times New Roman"/>
                <w:bCs/>
                <w:caps w:val="0"/>
                <w:smallCaps w:val="0"/>
                <w:color w:val="auto"/>
                <w:spacing w:val="0"/>
                <w:sz w:val="18"/>
                <w:szCs w:val="18"/>
                <w:highlight w:val="none"/>
                <w:lang w:eastAsia="en-US"/>
              </w:rPr>
              <w:t>基板清洗废水为碱性废水，经碱性废水处理系统收集，pH中和后经园区污水管网进入佳木斯高新区污水处理厂，新增纯水制备废水直接进入园区污水水</w:t>
            </w:r>
            <w:r>
              <w:rPr>
                <w:rFonts w:hint="eastAsia" w:ascii="Times New Roman" w:hAnsi="Times New Roman" w:eastAsia="宋体" w:cs="Times New Roman"/>
                <w:bCs/>
                <w:caps w:val="0"/>
                <w:smallCaps w:val="0"/>
                <w:color w:val="auto"/>
                <w:spacing w:val="0"/>
                <w:sz w:val="18"/>
                <w:szCs w:val="18"/>
                <w:highlight w:val="none"/>
                <w:lang w:eastAsia="en-US"/>
              </w:rPr>
              <w:t>管网</w:t>
            </w:r>
            <w:r>
              <w:rPr>
                <w:rFonts w:ascii="Times New Roman" w:hAnsi="Times New Roman" w:eastAsia="宋体" w:cs="Times New Roman"/>
                <w:bCs/>
                <w:caps w:val="0"/>
                <w:smallCaps w:val="0"/>
                <w:color w:val="auto"/>
                <w:spacing w:val="0"/>
                <w:sz w:val="18"/>
                <w:szCs w:val="18"/>
                <w:highlight w:val="none"/>
                <w:lang w:eastAsia="en-US"/>
              </w:rPr>
              <w:t>进入佳木斯高新区污水处理厂。</w:t>
            </w:r>
          </w:p>
          <w:p w14:paraId="0A8938E8">
            <w:pPr>
              <w:pStyle w:val="195"/>
              <w:widowControl w:val="0"/>
              <w:snapToGrid w:val="0"/>
              <w:jc w:val="both"/>
              <w:rPr>
                <w:rFonts w:ascii="Times New Roman" w:hAnsi="Times New Roman" w:cs="Times New Roman"/>
                <w:bCs/>
                <w:caps w:val="0"/>
                <w:smallCaps w:val="0"/>
                <w:color w:val="auto"/>
                <w:spacing w:val="0"/>
                <w:sz w:val="18"/>
                <w:szCs w:val="18"/>
                <w:highlight w:val="none"/>
                <w:lang w:eastAsia="zh-CN"/>
              </w:rPr>
            </w:pPr>
            <w:r>
              <w:rPr>
                <w:rFonts w:ascii="Times New Roman" w:hAnsi="Times New Roman" w:cs="Times New Roman"/>
                <w:bCs/>
                <w:caps w:val="0"/>
                <w:smallCaps w:val="0"/>
                <w:color w:val="auto"/>
                <w:spacing w:val="0"/>
                <w:sz w:val="18"/>
                <w:szCs w:val="18"/>
                <w:highlight w:val="none"/>
                <w:lang w:eastAsia="zh-CN"/>
              </w:rPr>
              <w:t>显影及显影清洗废水进入显影废水处理系统；涂覆前清洗废水、ZnTe膜层溅射后清洗废水、背电极镀膜前清洗废水及碱性喷淋塔排放废水均为低浓度含镉废水，进入低浓度废水收集池；活化层喷涂废液及活化层清洗、蚀刻废水为高浓度含镉废水，高浓度含镉废水进入高</w:t>
            </w:r>
            <w:r>
              <w:rPr>
                <w:rFonts w:hint="eastAsia" w:ascii="Times New Roman" w:hAnsi="Times New Roman" w:cs="Times New Roman"/>
                <w:bCs/>
                <w:caps w:val="0"/>
                <w:smallCaps w:val="0"/>
                <w:color w:val="auto"/>
                <w:spacing w:val="0"/>
                <w:sz w:val="18"/>
                <w:szCs w:val="18"/>
                <w:highlight w:val="none"/>
                <w:lang w:eastAsia="zh-CN"/>
              </w:rPr>
              <w:t>浓度</w:t>
            </w:r>
            <w:r>
              <w:rPr>
                <w:rFonts w:ascii="Times New Roman" w:hAnsi="Times New Roman" w:cs="Times New Roman"/>
                <w:bCs/>
                <w:caps w:val="0"/>
                <w:smallCaps w:val="0"/>
                <w:color w:val="auto"/>
                <w:spacing w:val="0"/>
                <w:sz w:val="18"/>
                <w:szCs w:val="18"/>
                <w:highlight w:val="none"/>
                <w:lang w:eastAsia="zh-CN"/>
              </w:rPr>
              <w:t>废水收集池。显影废水、低浓度含镉废水以及高浓度含镉废水经废水处理设施处理后产生的纯水全部回用于生产工序，实现含镉废水零排放。新建污水处理站一座，处理能力为</w:t>
            </w:r>
            <w:r>
              <w:rPr>
                <w:rFonts w:hint="eastAsia" w:ascii="Times New Roman" w:hAnsi="Times New Roman" w:cs="Times New Roman"/>
                <w:bCs/>
                <w:caps w:val="0"/>
                <w:smallCaps w:val="0"/>
                <w:color w:val="auto"/>
                <w:spacing w:val="0"/>
                <w:sz w:val="18"/>
                <w:szCs w:val="18"/>
                <w:highlight w:val="none"/>
                <w:lang w:eastAsia="zh-CN"/>
              </w:rPr>
              <w:t>180m3/d</w:t>
            </w:r>
            <w:r>
              <w:rPr>
                <w:rFonts w:ascii="Times New Roman" w:hAnsi="Times New Roman" w:cs="Times New Roman"/>
                <w:bCs/>
                <w:caps w:val="0"/>
                <w:smallCaps w:val="0"/>
                <w:color w:val="auto"/>
                <w:spacing w:val="0"/>
                <w:sz w:val="18"/>
                <w:szCs w:val="18"/>
                <w:highlight w:val="none"/>
                <w:lang w:eastAsia="zh-CN"/>
              </w:rPr>
              <w:t>，实现含镉污水零排放。</w:t>
            </w:r>
            <w:r>
              <w:rPr>
                <w:rFonts w:ascii="Times New Roman" w:hAnsi="Times New Roman" w:cs="Times New Roman"/>
                <w:bCs/>
                <w:caps w:val="0"/>
                <w:smallCaps w:val="0"/>
                <w:color w:val="auto"/>
                <w:spacing w:val="0"/>
                <w:sz w:val="18"/>
                <w:szCs w:val="18"/>
                <w:highlight w:val="none"/>
                <w:lang w:eastAsia="zh-CN"/>
              </w:rPr>
              <w:t>废水处理采用“</w:t>
            </w:r>
            <w:r>
              <w:rPr>
                <w:rFonts w:hint="eastAsia" w:ascii="Times New Roman" w:hAnsi="Times New Roman" w:cs="Times New Roman"/>
                <w:bCs/>
                <w:caps w:val="0"/>
                <w:smallCaps w:val="0"/>
                <w:color w:val="auto"/>
                <w:spacing w:val="0"/>
                <w:sz w:val="18"/>
                <w:szCs w:val="18"/>
                <w:highlight w:val="none"/>
                <w:lang w:val="en-US" w:eastAsia="zh-CN"/>
              </w:rPr>
              <w:t>调节+</w:t>
            </w:r>
            <w:r>
              <w:rPr>
                <w:rFonts w:ascii="Times New Roman" w:hAnsi="Times New Roman" w:cs="Times New Roman"/>
                <w:bCs/>
                <w:caps w:val="0"/>
                <w:smallCaps w:val="0"/>
                <w:color w:val="auto"/>
                <w:spacing w:val="0"/>
                <w:sz w:val="18"/>
                <w:szCs w:val="18"/>
                <w:highlight w:val="none"/>
                <w:lang w:eastAsia="zh-CN"/>
              </w:rPr>
              <w:t>沉淀+TMF膜</w:t>
            </w:r>
            <w:r>
              <w:rPr>
                <w:rFonts w:hint="eastAsia" w:ascii="Times New Roman" w:hAnsi="Times New Roman" w:cs="Times New Roman"/>
                <w:bCs/>
                <w:caps w:val="0"/>
                <w:smallCaps w:val="0"/>
                <w:color w:val="auto"/>
                <w:spacing w:val="0"/>
                <w:sz w:val="18"/>
                <w:szCs w:val="18"/>
                <w:highlight w:val="none"/>
                <w:lang w:val="en-US" w:eastAsia="zh-CN"/>
              </w:rPr>
              <w:t>+</w:t>
            </w:r>
            <w:r>
              <w:rPr>
                <w:rFonts w:ascii="Times New Roman" w:hAnsi="Times New Roman" w:cs="Times New Roman"/>
                <w:bCs/>
                <w:caps w:val="0"/>
                <w:smallCaps w:val="0"/>
                <w:color w:val="auto"/>
                <w:spacing w:val="0"/>
                <w:sz w:val="18"/>
                <w:szCs w:val="18"/>
                <w:highlight w:val="none"/>
                <w:lang w:eastAsia="zh-CN"/>
              </w:rPr>
              <w:t>催化</w:t>
            </w:r>
            <w:r>
              <w:rPr>
                <w:rFonts w:hint="eastAsia" w:ascii="Times New Roman" w:hAnsi="Times New Roman" w:cs="Times New Roman"/>
                <w:bCs/>
                <w:caps w:val="0"/>
                <w:smallCaps w:val="0"/>
                <w:color w:val="auto"/>
                <w:spacing w:val="0"/>
                <w:sz w:val="18"/>
                <w:szCs w:val="18"/>
                <w:highlight w:val="none"/>
                <w:lang w:val="en-US" w:eastAsia="zh-CN"/>
              </w:rPr>
              <w:t>系统（电催化+光催化）</w:t>
            </w:r>
            <w:r>
              <w:rPr>
                <w:rFonts w:ascii="Times New Roman" w:hAnsi="Times New Roman" w:cs="Times New Roman"/>
                <w:bCs/>
                <w:caps w:val="0"/>
                <w:smallCaps w:val="0"/>
                <w:color w:val="auto"/>
                <w:spacing w:val="0"/>
                <w:sz w:val="18"/>
                <w:szCs w:val="18"/>
                <w:highlight w:val="none"/>
                <w:lang w:eastAsia="zh-CN"/>
              </w:rPr>
              <w:t>+气浮+</w:t>
            </w:r>
            <w:r>
              <w:rPr>
                <w:rFonts w:hint="eastAsia" w:ascii="Times New Roman" w:hAnsi="Times New Roman" w:cs="Times New Roman"/>
                <w:bCs/>
                <w:caps w:val="0"/>
                <w:smallCaps w:val="0"/>
                <w:color w:val="auto"/>
                <w:spacing w:val="0"/>
                <w:sz w:val="18"/>
                <w:szCs w:val="18"/>
                <w:highlight w:val="none"/>
                <w:lang w:val="en-US" w:eastAsia="zh-CN"/>
              </w:rPr>
              <w:t>好氧</w:t>
            </w:r>
            <w:r>
              <w:rPr>
                <w:rFonts w:ascii="Times New Roman" w:hAnsi="Times New Roman" w:cs="Times New Roman"/>
                <w:bCs/>
                <w:caps w:val="0"/>
                <w:smallCaps w:val="0"/>
                <w:color w:val="auto"/>
                <w:spacing w:val="0"/>
                <w:sz w:val="18"/>
                <w:szCs w:val="18"/>
                <w:highlight w:val="none"/>
                <w:lang w:eastAsia="zh-CN"/>
              </w:rPr>
              <w:t>生化</w:t>
            </w:r>
            <w:r>
              <w:rPr>
                <w:rFonts w:hint="eastAsia" w:ascii="Times New Roman" w:hAnsi="Times New Roman" w:cs="Times New Roman"/>
                <w:bCs/>
                <w:caps w:val="0"/>
                <w:smallCaps w:val="0"/>
                <w:color w:val="auto"/>
                <w:spacing w:val="0"/>
                <w:sz w:val="18"/>
                <w:szCs w:val="18"/>
                <w:highlight w:val="none"/>
                <w:lang w:val="en-US" w:eastAsia="zh-CN"/>
              </w:rPr>
              <w:t>处理+厌氧生化处理+</w:t>
            </w:r>
            <w:r>
              <w:rPr>
                <w:rFonts w:ascii="Times New Roman" w:hAnsi="Times New Roman" w:cs="Times New Roman"/>
                <w:bCs/>
                <w:caps w:val="0"/>
                <w:smallCaps w:val="0"/>
                <w:color w:val="auto"/>
                <w:spacing w:val="0"/>
                <w:sz w:val="18"/>
                <w:szCs w:val="18"/>
                <w:highlight w:val="none"/>
                <w:lang w:eastAsia="zh-CN"/>
              </w:rPr>
              <w:t>MBR系统</w:t>
            </w:r>
            <w:r>
              <w:rPr>
                <w:rFonts w:hint="eastAsia" w:ascii="Times New Roman" w:hAnsi="Times New Roman" w:cs="Times New Roman"/>
                <w:bCs/>
                <w:caps w:val="0"/>
                <w:smallCaps w:val="0"/>
                <w:color w:val="auto"/>
                <w:spacing w:val="0"/>
                <w:sz w:val="18"/>
                <w:szCs w:val="18"/>
                <w:highlight w:val="none"/>
                <w:lang w:val="en-US" w:eastAsia="zh-CN"/>
              </w:rPr>
              <w:t>+RO反渗透+三效蒸发</w:t>
            </w:r>
            <w:r>
              <w:rPr>
                <w:rFonts w:ascii="Times New Roman" w:hAnsi="Times New Roman" w:cs="Times New Roman"/>
                <w:bCs/>
                <w:caps w:val="0"/>
                <w:smallCaps w:val="0"/>
                <w:color w:val="auto"/>
                <w:spacing w:val="0"/>
                <w:sz w:val="18"/>
                <w:szCs w:val="18"/>
                <w:highlight w:val="none"/>
                <w:lang w:eastAsia="zh-CN"/>
              </w:rPr>
              <w:t>”工艺。</w:t>
            </w:r>
          </w:p>
        </w:tc>
        <w:tc>
          <w:tcPr>
            <w:tcW w:w="1651" w:type="dxa"/>
            <w:tcBorders>
              <w:right w:val="nil"/>
            </w:tcBorders>
            <w:vAlign w:val="center"/>
          </w:tcPr>
          <w:p w14:paraId="0004FC39">
            <w:pPr>
              <w:pStyle w:val="195"/>
              <w:widowControl/>
              <w:autoSpaceDE w:val="0"/>
              <w:autoSpaceDN w:val="0"/>
              <w:adjustRightInd w:val="0"/>
              <w:snapToGrid w:val="0"/>
              <w:jc w:val="both"/>
              <w:textAlignment w:val="baseline"/>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显影及显影清洗废水不外排，进入显影废水处理系统处理后回用，不属于重大变动；</w:t>
            </w:r>
          </w:p>
          <w:p w14:paraId="25F1C942">
            <w:pPr>
              <w:pStyle w:val="195"/>
              <w:widowControl/>
              <w:autoSpaceDE w:val="0"/>
              <w:autoSpaceDN w:val="0"/>
              <w:adjustRightInd w:val="0"/>
              <w:snapToGrid w:val="0"/>
              <w:jc w:val="both"/>
              <w:textAlignment w:val="baseline"/>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新增活化层蚀刻废水进入厂区污水处理系统处理后回用，不外排；</w:t>
            </w:r>
          </w:p>
          <w:p w14:paraId="1255EDBA">
            <w:pPr>
              <w:pStyle w:val="195"/>
              <w:widowControl/>
              <w:autoSpaceDE w:val="0"/>
              <w:autoSpaceDN w:val="0"/>
              <w:adjustRightInd w:val="0"/>
              <w:snapToGrid w:val="0"/>
              <w:jc w:val="both"/>
              <w:textAlignment w:val="baseline"/>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污水处理站处理工艺升级处理能力增加到</w:t>
            </w:r>
            <w:r>
              <w:rPr>
                <w:rFonts w:hint="eastAsia" w:ascii="Times New Roman" w:hAnsi="Times New Roman" w:cs="Times New Roman"/>
                <w:caps w:val="0"/>
                <w:smallCaps w:val="0"/>
                <w:color w:val="auto"/>
                <w:spacing w:val="0"/>
                <w:sz w:val="18"/>
                <w:szCs w:val="18"/>
                <w:highlight w:val="none"/>
                <w:lang w:eastAsia="zh-CN"/>
              </w:rPr>
              <w:t>180m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hint="eastAsia" w:ascii="Times New Roman" w:hAnsi="Times New Roman" w:cs="Times New Roman"/>
                <w:caps w:val="0"/>
                <w:smallCaps w:val="0"/>
                <w:color w:val="auto"/>
                <w:spacing w:val="0"/>
                <w:sz w:val="18"/>
                <w:szCs w:val="18"/>
                <w:highlight w:val="none"/>
                <w:lang w:eastAsia="zh-CN"/>
              </w:rPr>
              <w:t>/d</w:t>
            </w:r>
            <w:r>
              <w:rPr>
                <w:rFonts w:ascii="Times New Roman" w:hAnsi="Times New Roman" w:cs="Times New Roman"/>
                <w:caps w:val="0"/>
                <w:smallCaps w:val="0"/>
                <w:color w:val="auto"/>
                <w:spacing w:val="0"/>
                <w:sz w:val="18"/>
                <w:szCs w:val="18"/>
                <w:highlight w:val="none"/>
                <w:lang w:eastAsia="zh-CN"/>
              </w:rPr>
              <w:t>，处置能力增大30%属于重大变动</w:t>
            </w:r>
          </w:p>
        </w:tc>
      </w:tr>
      <w:tr w14:paraId="1A7A4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1A56356C">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p>
        </w:tc>
        <w:tc>
          <w:tcPr>
            <w:tcW w:w="563" w:type="dxa"/>
            <w:vAlign w:val="center"/>
          </w:tcPr>
          <w:p w14:paraId="4E02A757">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工艺废气</w:t>
            </w:r>
          </w:p>
        </w:tc>
        <w:tc>
          <w:tcPr>
            <w:tcW w:w="6429" w:type="dxa"/>
            <w:vAlign w:val="center"/>
          </w:tcPr>
          <w:p w14:paraId="4C2C12CD">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前端镀膜线目前基本建成，但部分设备未到厂，因此无法进行生产，目前生产均采用半成品原材料，进场后直接组装成产品，生产规模不变，故本项目本次验收无前端镀膜废气产生，组装工段产生的无组织</w:t>
            </w:r>
            <w:r>
              <w:rPr>
                <w:rFonts w:ascii="Times New Roman" w:hAnsi="Times New Roman" w:eastAsia="Times New Roman" w:cs="Times New Roman"/>
                <w:caps w:val="0"/>
                <w:smallCaps w:val="0"/>
                <w:color w:val="auto"/>
                <w:spacing w:val="0"/>
                <w:sz w:val="18"/>
                <w:szCs w:val="18"/>
                <w:highlight w:val="none"/>
                <w:lang w:eastAsia="zh-CN"/>
              </w:rPr>
              <w:t>VOC</w:t>
            </w:r>
            <w:r>
              <w:rPr>
                <w:rFonts w:ascii="Times New Roman" w:hAnsi="Times New Roman" w:cs="Times New Roman"/>
                <w:caps w:val="0"/>
                <w:smallCaps w:val="0"/>
                <w:color w:val="auto"/>
                <w:spacing w:val="0"/>
                <w:sz w:val="18"/>
                <w:szCs w:val="18"/>
                <w:highlight w:val="none"/>
                <w:lang w:eastAsia="zh-CN"/>
              </w:rPr>
              <w:t>废气经厂区绿化处理后，达标排放。</w:t>
            </w:r>
          </w:p>
          <w:p w14:paraId="47F78AA2">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hint="eastAsia" w:ascii="Times New Roman" w:hAnsi="Times New Roman" w:cs="Times New Roman"/>
                <w:caps w:val="0"/>
                <w:smallCaps w:val="0"/>
                <w:color w:val="auto"/>
                <w:spacing w:val="0"/>
                <w:sz w:val="18"/>
                <w:szCs w:val="18"/>
                <w:highlight w:val="none"/>
                <w:lang w:eastAsia="zh-CN"/>
              </w:rPr>
              <w:t>未验收部分：</w:t>
            </w:r>
            <w:r>
              <w:rPr>
                <w:rFonts w:ascii="Times New Roman" w:hAnsi="Times New Roman" w:eastAsia="Times New Roman" w:cs="Times New Roman"/>
                <w:caps w:val="0"/>
                <w:smallCaps w:val="0"/>
                <w:color w:val="auto"/>
                <w:spacing w:val="0"/>
                <w:sz w:val="18"/>
                <w:szCs w:val="18"/>
                <w:highlight w:val="none"/>
                <w:lang w:eastAsia="zh-CN"/>
              </w:rPr>
              <w:t>P1</w:t>
            </w:r>
            <w:r>
              <w:rPr>
                <w:rFonts w:ascii="Times New Roman" w:hAnsi="Times New Roman" w:cs="Times New Roman"/>
                <w:caps w:val="0"/>
                <w:smallCaps w:val="0"/>
                <w:color w:val="auto"/>
                <w:spacing w:val="0"/>
                <w:sz w:val="18"/>
                <w:szCs w:val="18"/>
                <w:highlight w:val="none"/>
                <w:lang w:eastAsia="zh-CN"/>
              </w:rPr>
              <w:t>：</w:t>
            </w:r>
            <w:r>
              <w:rPr>
                <w:rFonts w:ascii="Times New Roman" w:hAnsi="Times New Roman" w:eastAsia="Times New Roman" w:cs="Times New Roman"/>
                <w:caps w:val="0"/>
                <w:smallCaps w:val="0"/>
                <w:color w:val="auto"/>
                <w:spacing w:val="0"/>
                <w:sz w:val="18"/>
                <w:szCs w:val="18"/>
                <w:highlight w:val="none"/>
                <w:lang w:eastAsia="zh-CN"/>
              </w:rPr>
              <w:t>CdS/CdTe</w:t>
            </w:r>
            <w:r>
              <w:rPr>
                <w:rFonts w:ascii="Times New Roman" w:hAnsi="Times New Roman" w:cs="Times New Roman"/>
                <w:caps w:val="0"/>
                <w:smallCaps w:val="0"/>
                <w:color w:val="auto"/>
                <w:spacing w:val="0"/>
                <w:sz w:val="18"/>
                <w:szCs w:val="18"/>
                <w:highlight w:val="none"/>
                <w:lang w:eastAsia="zh-CN"/>
              </w:rPr>
              <w:t>镀膜废气和活化层活化废气集中收集后经</w:t>
            </w:r>
            <w:r>
              <w:rPr>
                <w:rFonts w:ascii="Times New Roman" w:hAnsi="Times New Roman" w:eastAsia="Times New Roman" w:cs="Times New Roman"/>
                <w:caps w:val="0"/>
                <w:smallCaps w:val="0"/>
                <w:color w:val="auto"/>
                <w:spacing w:val="0"/>
                <w:sz w:val="18"/>
                <w:szCs w:val="18"/>
                <w:highlight w:val="none"/>
                <w:lang w:eastAsia="zh-CN"/>
              </w:rPr>
              <w:t>H14</w:t>
            </w:r>
            <w:r>
              <w:rPr>
                <w:rFonts w:ascii="Times New Roman" w:hAnsi="Times New Roman" w:cs="Times New Roman"/>
                <w:caps w:val="0"/>
                <w:smallCaps w:val="0"/>
                <w:color w:val="auto"/>
                <w:spacing w:val="0"/>
                <w:sz w:val="18"/>
                <w:szCs w:val="18"/>
                <w:highlight w:val="none"/>
                <w:lang w:eastAsia="zh-CN"/>
              </w:rPr>
              <w:t>级高效过滤装置净化后经</w:t>
            </w:r>
            <w:r>
              <w:rPr>
                <w:rFonts w:ascii="Times New Roman" w:hAnsi="Times New Roman" w:eastAsia="Times New Roman" w:cs="Times New Roman"/>
                <w:caps w:val="0"/>
                <w:smallCaps w:val="0"/>
                <w:color w:val="auto"/>
                <w:spacing w:val="0"/>
                <w:sz w:val="18"/>
                <w:szCs w:val="18"/>
                <w:highlight w:val="none"/>
                <w:lang w:eastAsia="zh-CN"/>
              </w:rPr>
              <w:t>P1</w:t>
            </w:r>
            <w:r>
              <w:rPr>
                <w:rFonts w:ascii="Times New Roman" w:hAnsi="Times New Roman" w:cs="Times New Roman"/>
                <w:caps w:val="0"/>
                <w:smallCaps w:val="0"/>
                <w:color w:val="auto"/>
                <w:spacing w:val="0"/>
                <w:sz w:val="18"/>
                <w:szCs w:val="18"/>
                <w:highlight w:val="none"/>
                <w:lang w:eastAsia="zh-CN"/>
              </w:rPr>
              <w:t>排气筒排放；</w:t>
            </w:r>
          </w:p>
          <w:p w14:paraId="2EF6A217">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eastAsia="Times New Roman" w:cs="Times New Roman"/>
                <w:caps w:val="0"/>
                <w:smallCaps w:val="0"/>
                <w:color w:val="auto"/>
                <w:spacing w:val="0"/>
                <w:sz w:val="18"/>
                <w:szCs w:val="18"/>
                <w:highlight w:val="none"/>
                <w:lang w:eastAsia="zh-CN"/>
              </w:rPr>
              <w:t>P2</w:t>
            </w:r>
            <w:r>
              <w:rPr>
                <w:rFonts w:ascii="Times New Roman" w:hAnsi="Times New Roman" w:cs="Times New Roman"/>
                <w:caps w:val="0"/>
                <w:smallCaps w:val="0"/>
                <w:color w:val="auto"/>
                <w:spacing w:val="0"/>
                <w:sz w:val="18"/>
                <w:szCs w:val="18"/>
                <w:highlight w:val="none"/>
                <w:lang w:eastAsia="zh-CN"/>
              </w:rPr>
              <w:t>：检测后不合格产品发生破碎产生的粉尘集中收集后经</w:t>
            </w:r>
            <w:r>
              <w:rPr>
                <w:rFonts w:ascii="Times New Roman" w:hAnsi="Times New Roman" w:eastAsia="Times New Roman" w:cs="Times New Roman"/>
                <w:caps w:val="0"/>
                <w:smallCaps w:val="0"/>
                <w:color w:val="auto"/>
                <w:spacing w:val="0"/>
                <w:sz w:val="18"/>
                <w:szCs w:val="18"/>
                <w:highlight w:val="none"/>
                <w:lang w:eastAsia="zh-CN"/>
              </w:rPr>
              <w:t>H14</w:t>
            </w:r>
            <w:r>
              <w:rPr>
                <w:rFonts w:ascii="Times New Roman" w:hAnsi="Times New Roman" w:cs="Times New Roman"/>
                <w:caps w:val="0"/>
                <w:smallCaps w:val="0"/>
                <w:color w:val="auto"/>
                <w:spacing w:val="0"/>
                <w:sz w:val="18"/>
                <w:szCs w:val="18"/>
                <w:highlight w:val="none"/>
                <w:lang w:eastAsia="zh-CN"/>
              </w:rPr>
              <w:t>级高效过滤装置净化后经</w:t>
            </w:r>
            <w:r>
              <w:rPr>
                <w:rFonts w:ascii="Times New Roman" w:hAnsi="Times New Roman" w:eastAsia="Times New Roman" w:cs="Times New Roman"/>
                <w:caps w:val="0"/>
                <w:smallCaps w:val="0"/>
                <w:color w:val="auto"/>
                <w:spacing w:val="0"/>
                <w:sz w:val="18"/>
                <w:szCs w:val="18"/>
                <w:highlight w:val="none"/>
                <w:lang w:eastAsia="zh-CN"/>
              </w:rPr>
              <w:t>P2</w:t>
            </w:r>
            <w:r>
              <w:rPr>
                <w:rFonts w:ascii="Times New Roman" w:hAnsi="Times New Roman" w:cs="Times New Roman"/>
                <w:caps w:val="0"/>
                <w:smallCaps w:val="0"/>
                <w:color w:val="auto"/>
                <w:spacing w:val="0"/>
                <w:sz w:val="18"/>
                <w:szCs w:val="18"/>
                <w:highlight w:val="none"/>
                <w:lang w:eastAsia="zh-CN"/>
              </w:rPr>
              <w:t>排气筒排放；</w:t>
            </w:r>
          </w:p>
          <w:p w14:paraId="411A1584">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eastAsia="Times New Roman" w:cs="Times New Roman"/>
                <w:caps w:val="0"/>
                <w:smallCaps w:val="0"/>
                <w:color w:val="auto"/>
                <w:spacing w:val="0"/>
                <w:sz w:val="18"/>
                <w:szCs w:val="18"/>
                <w:highlight w:val="none"/>
                <w:lang w:eastAsia="zh-CN"/>
              </w:rPr>
              <w:t>P3</w:t>
            </w:r>
            <w:r>
              <w:rPr>
                <w:rFonts w:ascii="Times New Roman" w:hAnsi="Times New Roman" w:cs="Times New Roman"/>
                <w:caps w:val="0"/>
                <w:smallCaps w:val="0"/>
                <w:color w:val="auto"/>
                <w:spacing w:val="0"/>
                <w:sz w:val="18"/>
                <w:szCs w:val="18"/>
                <w:highlight w:val="none"/>
                <w:lang w:eastAsia="zh-CN"/>
              </w:rPr>
              <w:t>：氯化镉沉积、活化层清洗、磁控溅射、第一次退火、第一次激光刻线、第三次激光刻线、第二次退火、激光清边的多个工序产生的废气经各自设备配备的</w:t>
            </w:r>
            <w:r>
              <w:rPr>
                <w:rFonts w:ascii="Times New Roman" w:hAnsi="Times New Roman" w:eastAsia="Times New Roman" w:cs="Times New Roman"/>
                <w:caps w:val="0"/>
                <w:smallCaps w:val="0"/>
                <w:color w:val="auto"/>
                <w:spacing w:val="0"/>
                <w:sz w:val="18"/>
                <w:szCs w:val="18"/>
                <w:highlight w:val="none"/>
                <w:lang w:eastAsia="zh-CN"/>
              </w:rPr>
              <w:t>H14</w:t>
            </w:r>
            <w:r>
              <w:rPr>
                <w:rFonts w:ascii="Times New Roman" w:hAnsi="Times New Roman" w:cs="Times New Roman"/>
                <w:caps w:val="0"/>
                <w:smallCaps w:val="0"/>
                <w:color w:val="auto"/>
                <w:spacing w:val="0"/>
                <w:sz w:val="18"/>
                <w:szCs w:val="18"/>
                <w:highlight w:val="none"/>
                <w:lang w:eastAsia="zh-CN"/>
              </w:rPr>
              <w:t>级高效过滤装置净化后集中收集经</w:t>
            </w:r>
            <w:r>
              <w:rPr>
                <w:rFonts w:ascii="Times New Roman" w:hAnsi="Times New Roman" w:eastAsia="Times New Roman" w:cs="Times New Roman"/>
                <w:caps w:val="0"/>
                <w:smallCaps w:val="0"/>
                <w:color w:val="auto"/>
                <w:spacing w:val="0"/>
                <w:sz w:val="18"/>
                <w:szCs w:val="18"/>
                <w:highlight w:val="none"/>
                <w:lang w:eastAsia="zh-CN"/>
              </w:rPr>
              <w:t>P3</w:t>
            </w:r>
            <w:r>
              <w:rPr>
                <w:rFonts w:ascii="Times New Roman" w:hAnsi="Times New Roman" w:cs="Times New Roman"/>
                <w:caps w:val="0"/>
                <w:smallCaps w:val="0"/>
                <w:color w:val="auto"/>
                <w:spacing w:val="0"/>
                <w:sz w:val="18"/>
                <w:szCs w:val="18"/>
                <w:highlight w:val="none"/>
                <w:lang w:eastAsia="zh-CN"/>
              </w:rPr>
              <w:t>排气筒排放；</w:t>
            </w:r>
          </w:p>
          <w:p w14:paraId="53ABA5A3">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eastAsia="Times New Roman" w:cs="Times New Roman"/>
                <w:caps w:val="0"/>
                <w:smallCaps w:val="0"/>
                <w:color w:val="auto"/>
                <w:spacing w:val="0"/>
                <w:sz w:val="18"/>
                <w:szCs w:val="18"/>
                <w:highlight w:val="none"/>
                <w:lang w:eastAsia="zh-CN"/>
              </w:rPr>
              <w:t>P4</w:t>
            </w:r>
            <w:r>
              <w:rPr>
                <w:rFonts w:ascii="Times New Roman" w:hAnsi="Times New Roman" w:cs="Times New Roman"/>
                <w:caps w:val="0"/>
                <w:smallCaps w:val="0"/>
                <w:color w:val="auto"/>
                <w:spacing w:val="0"/>
                <w:sz w:val="18"/>
                <w:szCs w:val="18"/>
                <w:highlight w:val="none"/>
                <w:lang w:eastAsia="zh-CN"/>
              </w:rPr>
              <w:t>：第二次激光刻线和铜掺杂服务的产生的废气经各自设备配备的</w:t>
            </w:r>
            <w:r>
              <w:rPr>
                <w:rFonts w:ascii="Times New Roman" w:hAnsi="Times New Roman" w:eastAsia="Times New Roman" w:cs="Times New Roman"/>
                <w:caps w:val="0"/>
                <w:smallCaps w:val="0"/>
                <w:color w:val="auto"/>
                <w:spacing w:val="0"/>
                <w:sz w:val="18"/>
                <w:szCs w:val="18"/>
                <w:highlight w:val="none"/>
                <w:lang w:eastAsia="zh-CN"/>
              </w:rPr>
              <w:t>H14</w:t>
            </w:r>
            <w:r>
              <w:rPr>
                <w:rFonts w:ascii="Times New Roman" w:hAnsi="Times New Roman" w:cs="Times New Roman"/>
                <w:caps w:val="0"/>
                <w:smallCaps w:val="0"/>
                <w:color w:val="auto"/>
                <w:spacing w:val="0"/>
                <w:sz w:val="18"/>
                <w:szCs w:val="18"/>
                <w:highlight w:val="none"/>
                <w:lang w:eastAsia="zh-CN"/>
              </w:rPr>
              <w:t>级高效过滤装置净化后集中收集经</w:t>
            </w:r>
            <w:r>
              <w:rPr>
                <w:rFonts w:ascii="Times New Roman" w:hAnsi="Times New Roman" w:eastAsia="Times New Roman" w:cs="Times New Roman"/>
                <w:caps w:val="0"/>
                <w:smallCaps w:val="0"/>
                <w:color w:val="auto"/>
                <w:spacing w:val="0"/>
                <w:sz w:val="18"/>
                <w:szCs w:val="18"/>
                <w:highlight w:val="none"/>
                <w:lang w:eastAsia="zh-CN"/>
              </w:rPr>
              <w:t>P4</w:t>
            </w:r>
            <w:r>
              <w:rPr>
                <w:rFonts w:ascii="Times New Roman" w:hAnsi="Times New Roman" w:cs="Times New Roman"/>
                <w:caps w:val="0"/>
                <w:smallCaps w:val="0"/>
                <w:color w:val="auto"/>
                <w:spacing w:val="0"/>
                <w:sz w:val="18"/>
                <w:szCs w:val="18"/>
                <w:highlight w:val="none"/>
                <w:lang w:eastAsia="zh-CN"/>
              </w:rPr>
              <w:t>排气筒排放；</w:t>
            </w:r>
          </w:p>
          <w:p w14:paraId="21B84D7A">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p>
        </w:tc>
        <w:tc>
          <w:tcPr>
            <w:tcW w:w="5033" w:type="dxa"/>
            <w:vAlign w:val="center"/>
          </w:tcPr>
          <w:p w14:paraId="7A598F9F">
            <w:pPr>
              <w:widowControl w:val="0"/>
              <w:snapToGrid w:val="0"/>
              <w:jc w:val="both"/>
              <w:rPr>
                <w:rFonts w:hint="eastAsia" w:ascii="Times New Roman" w:hAnsi="Times New Roman" w:eastAsia="宋体" w:cs="Times New Roman"/>
                <w:caps w:val="0"/>
                <w:smallCaps w:val="0"/>
                <w:color w:val="auto"/>
                <w:spacing w:val="0"/>
                <w:kern w:val="0"/>
                <w:sz w:val="18"/>
                <w:szCs w:val="18"/>
                <w:highlight w:val="none"/>
                <w:lang w:eastAsia="zh-CN" w:bidi="ar"/>
              </w:rPr>
            </w:pPr>
            <w:r>
              <w:rPr>
                <w:rFonts w:ascii="Times New Roman" w:hAnsi="Times New Roman" w:eastAsia="宋体" w:cs="Times New Roman"/>
                <w:caps w:val="0"/>
                <w:smallCaps w:val="0"/>
                <w:color w:val="auto"/>
                <w:spacing w:val="0"/>
                <w:kern w:val="0"/>
                <w:sz w:val="18"/>
                <w:szCs w:val="18"/>
                <w:highlight w:val="none"/>
                <w:lang w:eastAsia="en-US" w:bidi="ar"/>
              </w:rPr>
              <w:t>CSS沉积镀膜废气G1</w:t>
            </w:r>
            <w:r>
              <w:rPr>
                <w:rFonts w:hint="eastAsia" w:ascii="Times New Roman" w:hAnsi="Times New Roman" w:eastAsia="宋体" w:cs="Times New Roman"/>
                <w:caps w:val="0"/>
                <w:smallCaps w:val="0"/>
                <w:color w:val="auto"/>
                <w:spacing w:val="0"/>
                <w:kern w:val="0"/>
                <w:sz w:val="18"/>
                <w:szCs w:val="18"/>
                <w:highlight w:val="none"/>
                <w:lang w:val="en-US" w:eastAsia="en-US" w:bidi="ar"/>
              </w:rPr>
              <w:t>经1套E</w:t>
            </w:r>
            <w:r>
              <w:rPr>
                <w:rFonts w:hint="eastAsia" w:ascii="Times New Roman" w:hAnsi="Times New Roman" w:eastAsia="宋体" w:cs="Times New Roman"/>
                <w:caps w:val="0"/>
                <w:smallCaps w:val="0"/>
                <w:color w:val="auto"/>
                <w:spacing w:val="0"/>
                <w:kern w:val="0"/>
                <w:sz w:val="18"/>
                <w:szCs w:val="18"/>
                <w:highlight w:val="none"/>
                <w:lang w:eastAsia="en-US" w:bidi="ar"/>
              </w:rPr>
              <w:t>1</w:t>
            </w:r>
            <w:r>
              <w:rPr>
                <w:rFonts w:hint="eastAsia" w:ascii="Times New Roman" w:hAnsi="Times New Roman" w:eastAsia="宋体" w:cs="Times New Roman"/>
                <w:caps w:val="0"/>
                <w:smallCaps w:val="0"/>
                <w:color w:val="auto"/>
                <w:spacing w:val="0"/>
                <w:kern w:val="0"/>
                <w:sz w:val="18"/>
                <w:szCs w:val="18"/>
                <w:highlight w:val="none"/>
                <w:lang w:val="en-US" w:eastAsia="en-US" w:bidi="ar"/>
              </w:rPr>
              <w:t>2</w:t>
            </w:r>
            <w:r>
              <w:rPr>
                <w:rFonts w:hint="eastAsia" w:ascii="Times New Roman" w:hAnsi="Times New Roman" w:eastAsia="宋体" w:cs="Times New Roman"/>
                <w:caps w:val="0"/>
                <w:smallCaps w:val="0"/>
                <w:color w:val="auto"/>
                <w:spacing w:val="0"/>
                <w:kern w:val="0"/>
                <w:sz w:val="18"/>
                <w:szCs w:val="18"/>
                <w:highlight w:val="none"/>
                <w:lang w:eastAsia="en-US" w:bidi="ar"/>
              </w:rPr>
              <w:t>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w:t>
            </w:r>
            <w:r>
              <w:rPr>
                <w:rFonts w:hint="eastAsia" w:ascii="Times New Roman" w:hAnsi="Times New Roman" w:eastAsia="宋体" w:cs="Times New Roman"/>
                <w:caps w:val="0"/>
                <w:smallCaps w:val="0"/>
                <w:color w:val="auto"/>
                <w:spacing w:val="0"/>
                <w:kern w:val="0"/>
                <w:sz w:val="18"/>
                <w:szCs w:val="18"/>
                <w:highlight w:val="none"/>
                <w:lang w:eastAsia="en-US" w:bidi="ar"/>
              </w:rPr>
              <w:t>H14级高效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、CdCl2活化废气经1套F7</w:t>
            </w:r>
            <w:r>
              <w:rPr>
                <w:rFonts w:hint="eastAsia" w:ascii="Times New Roman" w:hAnsi="Times New Roman" w:eastAsia="宋体" w:cs="Times New Roman"/>
                <w:caps w:val="0"/>
                <w:smallCaps w:val="0"/>
                <w:color w:val="auto"/>
                <w:spacing w:val="0"/>
                <w:kern w:val="0"/>
                <w:sz w:val="18"/>
                <w:szCs w:val="18"/>
                <w:highlight w:val="none"/>
                <w:lang w:eastAsia="en-US" w:bidi="ar"/>
              </w:rPr>
              <w:t>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+E10</w:t>
            </w:r>
            <w:r>
              <w:rPr>
                <w:rFonts w:hint="eastAsia" w:ascii="Times New Roman" w:hAnsi="Times New Roman" w:eastAsia="宋体" w:cs="Times New Roman"/>
                <w:caps w:val="0"/>
                <w:smallCaps w:val="0"/>
                <w:color w:val="auto"/>
                <w:spacing w:val="0"/>
                <w:kern w:val="0"/>
                <w:sz w:val="18"/>
                <w:szCs w:val="18"/>
                <w:highlight w:val="none"/>
                <w:lang w:eastAsia="en-US" w:bidi="ar"/>
              </w:rPr>
              <w:t>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w:t>
            </w:r>
            <w:r>
              <w:rPr>
                <w:rFonts w:hint="eastAsia" w:ascii="Times New Roman" w:hAnsi="Times New Roman" w:eastAsia="宋体" w:cs="Times New Roman"/>
                <w:caps w:val="0"/>
                <w:smallCaps w:val="0"/>
                <w:color w:val="auto"/>
                <w:spacing w:val="0"/>
                <w:kern w:val="0"/>
                <w:sz w:val="18"/>
                <w:szCs w:val="18"/>
                <w:highlight w:val="none"/>
                <w:lang w:eastAsia="en-US" w:bidi="ar"/>
              </w:rPr>
              <w:t>H14级高效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、P1激光刻线废气经1套2</w:t>
            </w:r>
            <w:r>
              <w:rPr>
                <w:rFonts w:hint="eastAsia" w:ascii="Times New Roman" w:hAnsi="Times New Roman" w:eastAsia="宋体" w:cs="Times New Roman"/>
                <w:caps w:val="0"/>
                <w:smallCaps w:val="0"/>
                <w:color w:val="auto"/>
                <w:spacing w:val="0"/>
                <w:kern w:val="0"/>
                <w:sz w:val="18"/>
                <w:szCs w:val="18"/>
                <w:highlight w:val="none"/>
                <w:lang w:eastAsia="en-US" w:bidi="ar"/>
              </w:rPr>
              <w:t>级</w:t>
            </w:r>
            <w:r>
              <w:rPr>
                <w:rFonts w:hint="eastAsia" w:ascii="Times New Roman" w:hAnsi="Times New Roman" w:eastAsia="宋体" w:cs="Times New Roman"/>
                <w:caps w:val="0"/>
                <w:smallCaps w:val="0"/>
                <w:color w:val="auto"/>
                <w:spacing w:val="0"/>
                <w:kern w:val="0"/>
                <w:sz w:val="18"/>
                <w:szCs w:val="18"/>
                <w:highlight w:val="none"/>
                <w:lang w:val="en-US" w:eastAsia="en-US" w:bidi="ar"/>
              </w:rPr>
              <w:t>初</w:t>
            </w:r>
            <w:r>
              <w:rPr>
                <w:rFonts w:hint="eastAsia" w:ascii="Times New Roman" w:hAnsi="Times New Roman" w:eastAsia="宋体" w:cs="Times New Roman"/>
                <w:caps w:val="0"/>
                <w:smallCaps w:val="0"/>
                <w:color w:val="auto"/>
                <w:spacing w:val="0"/>
                <w:kern w:val="0"/>
                <w:sz w:val="18"/>
                <w:szCs w:val="18"/>
                <w:highlight w:val="none"/>
                <w:lang w:eastAsia="en-US" w:bidi="ar"/>
              </w:rPr>
              <w:t>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w:t>
            </w:r>
            <w:r>
              <w:rPr>
                <w:rFonts w:hint="eastAsia" w:ascii="Times New Roman" w:hAnsi="Times New Roman" w:eastAsia="宋体" w:cs="Times New Roman"/>
                <w:caps w:val="0"/>
                <w:smallCaps w:val="0"/>
                <w:color w:val="auto"/>
                <w:spacing w:val="0"/>
                <w:kern w:val="0"/>
                <w:sz w:val="18"/>
                <w:szCs w:val="18"/>
                <w:highlight w:val="none"/>
                <w:lang w:eastAsia="en-US" w:bidi="ar"/>
              </w:rPr>
              <w:t>H14级高效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、P4激光清边废气经1套H</w:t>
            </w:r>
            <w:r>
              <w:rPr>
                <w:rFonts w:hint="eastAsia" w:ascii="Times New Roman" w:hAnsi="Times New Roman" w:eastAsia="宋体" w:cs="Times New Roman"/>
                <w:caps w:val="0"/>
                <w:smallCaps w:val="0"/>
                <w:color w:val="auto"/>
                <w:spacing w:val="0"/>
                <w:kern w:val="0"/>
                <w:sz w:val="18"/>
                <w:szCs w:val="18"/>
                <w:highlight w:val="none"/>
                <w:lang w:eastAsia="en-US" w:bidi="ar"/>
              </w:rPr>
              <w:t>1</w:t>
            </w:r>
            <w:r>
              <w:rPr>
                <w:rFonts w:hint="eastAsia" w:ascii="Times New Roman" w:hAnsi="Times New Roman" w:eastAsia="宋体" w:cs="Times New Roman"/>
                <w:caps w:val="0"/>
                <w:smallCaps w:val="0"/>
                <w:color w:val="auto"/>
                <w:spacing w:val="0"/>
                <w:kern w:val="0"/>
                <w:sz w:val="18"/>
                <w:szCs w:val="18"/>
                <w:highlight w:val="none"/>
                <w:lang w:val="en-US" w:eastAsia="en-US" w:bidi="ar"/>
              </w:rPr>
              <w:t>3</w:t>
            </w:r>
            <w:r>
              <w:rPr>
                <w:rFonts w:hint="eastAsia" w:ascii="Times New Roman" w:hAnsi="Times New Roman" w:eastAsia="宋体" w:cs="Times New Roman"/>
                <w:caps w:val="0"/>
                <w:smallCaps w:val="0"/>
                <w:color w:val="auto"/>
                <w:spacing w:val="0"/>
                <w:kern w:val="0"/>
                <w:sz w:val="18"/>
                <w:szCs w:val="18"/>
                <w:highlight w:val="none"/>
                <w:lang w:eastAsia="en-US" w:bidi="ar"/>
              </w:rPr>
              <w:t>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w:t>
            </w:r>
            <w:r>
              <w:rPr>
                <w:rFonts w:hint="eastAsia" w:ascii="Times New Roman" w:hAnsi="Times New Roman" w:eastAsia="宋体" w:cs="Times New Roman"/>
                <w:caps w:val="0"/>
                <w:smallCaps w:val="0"/>
                <w:color w:val="auto"/>
                <w:spacing w:val="0"/>
                <w:kern w:val="0"/>
                <w:sz w:val="18"/>
                <w:szCs w:val="18"/>
                <w:highlight w:val="none"/>
                <w:lang w:eastAsia="en-US" w:bidi="ar"/>
              </w:rPr>
              <w:t>H14级高效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eastAsia="en-US" w:bidi="ar"/>
              </w:rPr>
              <w:t>净化后由1根</w:t>
            </w:r>
            <w:r>
              <w:rPr>
                <w:rFonts w:ascii="Times New Roman" w:hAnsi="Times New Roman" w:eastAsia="宋体" w:cs="Times New Roman"/>
                <w:caps w:val="0"/>
                <w:smallCaps w:val="0"/>
                <w:color w:val="auto"/>
                <w:spacing w:val="0"/>
                <w:kern w:val="0"/>
                <w:sz w:val="18"/>
                <w:szCs w:val="18"/>
                <w:highlight w:val="none"/>
                <w:lang w:eastAsia="en-US" w:bidi="ar"/>
              </w:rPr>
              <w:t>21</w:t>
            </w:r>
            <w:r>
              <w:rPr>
                <w:rFonts w:hint="eastAsia" w:ascii="Times New Roman" w:hAnsi="Times New Roman" w:eastAsia="宋体" w:cs="Times New Roman"/>
                <w:caps w:val="0"/>
                <w:smallCaps w:val="0"/>
                <w:color w:val="auto"/>
                <w:spacing w:val="0"/>
                <w:kern w:val="0"/>
                <w:sz w:val="18"/>
                <w:szCs w:val="18"/>
                <w:highlight w:val="none"/>
                <w:lang w:eastAsia="en-US" w:bidi="ar"/>
              </w:rPr>
              <w:t>m高排气筒</w:t>
            </w:r>
            <w:r>
              <w:rPr>
                <w:rFonts w:hint="eastAsia" w:ascii="Times New Roman" w:hAnsi="Times New Roman" w:eastAsia="宋体" w:cs="Times New Roman"/>
                <w:caps w:val="0"/>
                <w:smallCaps w:val="0"/>
                <w:color w:val="auto"/>
                <w:spacing w:val="0"/>
                <w:kern w:val="0"/>
                <w:sz w:val="18"/>
                <w:szCs w:val="18"/>
                <w:highlight w:val="none"/>
                <w:lang w:val="en-US" w:eastAsia="en-US" w:bidi="ar"/>
              </w:rPr>
              <w:t>DA001</w:t>
            </w:r>
            <w:r>
              <w:rPr>
                <w:rFonts w:hint="eastAsia" w:ascii="Times New Roman" w:hAnsi="Times New Roman" w:eastAsia="宋体" w:cs="Times New Roman"/>
                <w:caps w:val="0"/>
                <w:smallCaps w:val="0"/>
                <w:color w:val="auto"/>
                <w:spacing w:val="0"/>
                <w:kern w:val="0"/>
                <w:sz w:val="18"/>
                <w:szCs w:val="18"/>
                <w:highlight w:val="none"/>
                <w:lang w:eastAsia="en-US" w:bidi="ar"/>
              </w:rPr>
              <w:t>排放</w:t>
            </w:r>
            <w:r>
              <w:rPr>
                <w:rFonts w:hint="eastAsia" w:ascii="Times New Roman" w:hAnsi="Times New Roman" w:eastAsia="宋体" w:cs="Times New Roman"/>
                <w:caps w:val="0"/>
                <w:smallCaps w:val="0"/>
                <w:color w:val="auto"/>
                <w:spacing w:val="0"/>
                <w:kern w:val="0"/>
                <w:sz w:val="18"/>
                <w:szCs w:val="18"/>
                <w:highlight w:val="none"/>
                <w:lang w:eastAsia="zh-CN" w:bidi="ar"/>
              </w:rPr>
              <w:t>。</w:t>
            </w:r>
          </w:p>
          <w:p w14:paraId="08FA1308">
            <w:pPr>
              <w:widowControl w:val="0"/>
              <w:snapToGrid w:val="0"/>
              <w:jc w:val="both"/>
              <w:rPr>
                <w:rFonts w:ascii="Times New Roman" w:hAnsi="Times New Roman" w:eastAsia="宋体" w:cs="Times New Roman"/>
                <w:caps w:val="0"/>
                <w:smallCaps w:val="0"/>
                <w:color w:val="auto"/>
                <w:spacing w:val="0"/>
                <w:kern w:val="0"/>
                <w:sz w:val="18"/>
                <w:szCs w:val="18"/>
                <w:highlight w:val="none"/>
                <w:lang w:eastAsia="en-US" w:bidi="ar"/>
              </w:rPr>
            </w:pPr>
            <w:r>
              <w:rPr>
                <w:rFonts w:ascii="Times New Roman" w:hAnsi="Times New Roman" w:eastAsia="宋体" w:cs="Times New Roman"/>
                <w:caps w:val="0"/>
                <w:smallCaps w:val="0"/>
                <w:color w:val="auto"/>
                <w:spacing w:val="0"/>
                <w:kern w:val="0"/>
                <w:sz w:val="18"/>
                <w:szCs w:val="18"/>
                <w:highlight w:val="none"/>
                <w:lang w:eastAsia="en-US" w:bidi="ar"/>
              </w:rPr>
              <w:t>ZnTe膜层溅射废气G4，废气经H14级高效空气过滤器除尘+21m排气筒DA002排放。</w:t>
            </w:r>
          </w:p>
          <w:p w14:paraId="46D586A7">
            <w:pPr>
              <w:widowControl w:val="0"/>
              <w:snapToGrid w:val="0"/>
              <w:jc w:val="both"/>
              <w:rPr>
                <w:rFonts w:ascii="Times New Roman" w:hAnsi="Times New Roman" w:eastAsia="宋体" w:cs="Times New Roman"/>
                <w:caps w:val="0"/>
                <w:smallCaps w:val="0"/>
                <w:color w:val="auto"/>
                <w:spacing w:val="0"/>
                <w:kern w:val="0"/>
                <w:sz w:val="18"/>
                <w:szCs w:val="18"/>
                <w:highlight w:val="none"/>
                <w:lang w:eastAsia="en-US" w:bidi="ar"/>
              </w:rPr>
            </w:pPr>
            <w:r>
              <w:rPr>
                <w:rFonts w:hint="eastAsia" w:ascii="Times New Roman" w:hAnsi="Times New Roman" w:eastAsia="宋体" w:cs="Times New Roman"/>
                <w:caps w:val="0"/>
                <w:smallCaps w:val="0"/>
                <w:color w:val="auto"/>
                <w:spacing w:val="0"/>
                <w:kern w:val="0"/>
                <w:sz w:val="18"/>
                <w:szCs w:val="18"/>
                <w:highlight w:val="none"/>
                <w:lang w:val="en-US" w:eastAsia="en-US" w:bidi="ar"/>
              </w:rPr>
              <w:t>P2激光刻线废气</w:t>
            </w:r>
            <w:r>
              <w:rPr>
                <w:rFonts w:ascii="Times New Roman" w:hAnsi="Times New Roman" w:eastAsia="宋体" w:cs="Times New Roman"/>
                <w:caps w:val="0"/>
                <w:smallCaps w:val="0"/>
                <w:color w:val="auto"/>
                <w:spacing w:val="0"/>
                <w:kern w:val="0"/>
                <w:sz w:val="18"/>
                <w:szCs w:val="18"/>
                <w:highlight w:val="none"/>
                <w:lang w:eastAsia="en-US" w:bidi="ar"/>
              </w:rPr>
              <w:t>G3</w:t>
            </w:r>
            <w:r>
              <w:rPr>
                <w:rFonts w:hint="eastAsia" w:ascii="Times New Roman" w:hAnsi="Times New Roman" w:eastAsia="宋体" w:cs="Times New Roman"/>
                <w:caps w:val="0"/>
                <w:smallCaps w:val="0"/>
                <w:color w:val="auto"/>
                <w:spacing w:val="0"/>
                <w:kern w:val="0"/>
                <w:sz w:val="18"/>
                <w:szCs w:val="18"/>
                <w:highlight w:val="none"/>
                <w:lang w:val="en-US" w:eastAsia="en-US" w:bidi="ar"/>
              </w:rPr>
              <w:t>、P3激光刻线废气</w:t>
            </w:r>
            <w:r>
              <w:rPr>
                <w:rFonts w:ascii="Times New Roman" w:hAnsi="Times New Roman" w:eastAsia="宋体" w:cs="Times New Roman"/>
                <w:caps w:val="0"/>
                <w:smallCaps w:val="0"/>
                <w:color w:val="auto"/>
                <w:spacing w:val="0"/>
                <w:kern w:val="0"/>
                <w:sz w:val="18"/>
                <w:szCs w:val="18"/>
                <w:highlight w:val="none"/>
                <w:lang w:eastAsia="en-US" w:bidi="ar"/>
              </w:rPr>
              <w:t>G9</w:t>
            </w:r>
            <w:r>
              <w:rPr>
                <w:rFonts w:hint="eastAsia" w:ascii="Times New Roman" w:hAnsi="Times New Roman" w:eastAsia="宋体" w:cs="Times New Roman"/>
                <w:caps w:val="0"/>
                <w:smallCaps w:val="0"/>
                <w:color w:val="auto"/>
                <w:spacing w:val="0"/>
                <w:kern w:val="0"/>
                <w:sz w:val="18"/>
                <w:szCs w:val="18"/>
                <w:highlight w:val="none"/>
                <w:lang w:val="en-US" w:eastAsia="en-US" w:bidi="ar"/>
              </w:rPr>
              <w:t>经各自的1套2</w:t>
            </w:r>
            <w:r>
              <w:rPr>
                <w:rFonts w:hint="eastAsia" w:ascii="Times New Roman" w:hAnsi="Times New Roman" w:eastAsia="宋体" w:cs="Times New Roman"/>
                <w:caps w:val="0"/>
                <w:smallCaps w:val="0"/>
                <w:color w:val="auto"/>
                <w:spacing w:val="0"/>
                <w:kern w:val="0"/>
                <w:sz w:val="18"/>
                <w:szCs w:val="18"/>
                <w:highlight w:val="none"/>
                <w:lang w:eastAsia="en-US" w:bidi="ar"/>
              </w:rPr>
              <w:t>级</w:t>
            </w:r>
            <w:r>
              <w:rPr>
                <w:rFonts w:hint="eastAsia" w:ascii="Times New Roman" w:hAnsi="Times New Roman" w:eastAsia="宋体" w:cs="Times New Roman"/>
                <w:caps w:val="0"/>
                <w:smallCaps w:val="0"/>
                <w:color w:val="auto"/>
                <w:spacing w:val="0"/>
                <w:kern w:val="0"/>
                <w:sz w:val="18"/>
                <w:szCs w:val="18"/>
                <w:highlight w:val="none"/>
                <w:lang w:val="en-US" w:eastAsia="en-US" w:bidi="ar"/>
              </w:rPr>
              <w:t>初</w:t>
            </w:r>
            <w:r>
              <w:rPr>
                <w:rFonts w:hint="eastAsia" w:ascii="Times New Roman" w:hAnsi="Times New Roman" w:eastAsia="宋体" w:cs="Times New Roman"/>
                <w:caps w:val="0"/>
                <w:smallCaps w:val="0"/>
                <w:color w:val="auto"/>
                <w:spacing w:val="0"/>
                <w:kern w:val="0"/>
                <w:sz w:val="18"/>
                <w:szCs w:val="18"/>
                <w:highlight w:val="none"/>
                <w:lang w:eastAsia="en-US" w:bidi="ar"/>
              </w:rPr>
              <w:t>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val="en-US" w:eastAsia="en-US" w:bidi="ar"/>
              </w:rPr>
              <w:t>+</w:t>
            </w:r>
            <w:r>
              <w:rPr>
                <w:rFonts w:hint="eastAsia" w:ascii="Times New Roman" w:hAnsi="Times New Roman" w:eastAsia="宋体" w:cs="Times New Roman"/>
                <w:caps w:val="0"/>
                <w:smallCaps w:val="0"/>
                <w:color w:val="auto"/>
                <w:spacing w:val="0"/>
                <w:kern w:val="0"/>
                <w:sz w:val="18"/>
                <w:szCs w:val="18"/>
                <w:highlight w:val="none"/>
                <w:lang w:eastAsia="en-US" w:bidi="ar"/>
              </w:rPr>
              <w:t>H14级高效</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begin"/>
            </w:r>
            <w:r>
              <w:rPr>
                <w:rFonts w:hint="eastAsia" w:ascii="Times New Roman" w:hAnsi="Times New Roman" w:eastAsia="宋体" w:cs="Times New Roman"/>
                <w:caps w:val="0"/>
                <w:smallCaps w:val="0"/>
                <w:color w:val="auto"/>
                <w:spacing w:val="0"/>
                <w:kern w:val="0"/>
                <w:sz w:val="18"/>
                <w:szCs w:val="18"/>
                <w:highlight w:val="none"/>
                <w:lang w:eastAsia="en-US" w:bidi="ar"/>
              </w:rPr>
              <w:instrText xml:space="preserve">HYPERLINK "https://baike.baidu.com/item/%E8%BF%87%E6%BB%A4%E5%99%A8" \t "_blank"</w:instrTex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separate"/>
            </w:r>
            <w:r>
              <w:rPr>
                <w:rFonts w:hint="eastAsia" w:ascii="Times New Roman" w:hAnsi="Times New Roman" w:eastAsia="宋体" w:cs="Times New Roman"/>
                <w:caps w:val="0"/>
                <w:smallCaps w:val="0"/>
                <w:color w:val="auto"/>
                <w:spacing w:val="0"/>
                <w:kern w:val="0"/>
                <w:sz w:val="18"/>
                <w:szCs w:val="18"/>
                <w:highlight w:val="none"/>
                <w:lang w:eastAsia="en-US" w:bidi="ar"/>
              </w:rPr>
              <w:t>过滤器</w:t>
            </w:r>
            <w:r>
              <w:rPr>
                <w:rFonts w:hint="eastAsia" w:ascii="Times New Roman" w:hAnsi="Times New Roman" w:eastAsia="宋体" w:cs="Times New Roman"/>
                <w:caps w:val="0"/>
                <w:smallCaps w:val="0"/>
                <w:color w:val="auto"/>
                <w:spacing w:val="0"/>
                <w:kern w:val="0"/>
                <w:sz w:val="18"/>
                <w:szCs w:val="18"/>
                <w:highlight w:val="none"/>
                <w:lang w:eastAsia="en-US" w:bidi="ar"/>
              </w:rPr>
              <w:fldChar w:fldCharType="end"/>
            </w:r>
            <w:r>
              <w:rPr>
                <w:rFonts w:hint="eastAsia" w:ascii="Times New Roman" w:hAnsi="Times New Roman" w:eastAsia="宋体" w:cs="Times New Roman"/>
                <w:caps w:val="0"/>
                <w:smallCaps w:val="0"/>
                <w:color w:val="auto"/>
                <w:spacing w:val="0"/>
                <w:kern w:val="0"/>
                <w:sz w:val="18"/>
                <w:szCs w:val="18"/>
                <w:highlight w:val="none"/>
                <w:lang w:eastAsia="en-US" w:bidi="ar"/>
              </w:rPr>
              <w:t>净化后</w:t>
            </w:r>
            <w:r>
              <w:rPr>
                <w:rFonts w:hint="eastAsia" w:ascii="Times New Roman" w:hAnsi="Times New Roman" w:eastAsia="宋体" w:cs="Times New Roman"/>
                <w:caps w:val="0"/>
                <w:smallCaps w:val="0"/>
                <w:color w:val="auto"/>
                <w:spacing w:val="0"/>
                <w:kern w:val="0"/>
                <w:sz w:val="18"/>
                <w:szCs w:val="18"/>
                <w:highlight w:val="none"/>
                <w:lang w:val="en-US" w:eastAsia="en-US" w:bidi="ar"/>
              </w:rPr>
              <w:t>分别</w:t>
            </w:r>
            <w:r>
              <w:rPr>
                <w:rFonts w:hint="eastAsia" w:ascii="Times New Roman" w:hAnsi="Times New Roman" w:eastAsia="宋体" w:cs="Times New Roman"/>
                <w:caps w:val="0"/>
                <w:smallCaps w:val="0"/>
                <w:color w:val="auto"/>
                <w:spacing w:val="0"/>
                <w:kern w:val="0"/>
                <w:sz w:val="18"/>
                <w:szCs w:val="18"/>
                <w:highlight w:val="none"/>
                <w:lang w:eastAsia="en-US" w:bidi="ar"/>
              </w:rPr>
              <w:t>由</w:t>
            </w:r>
            <w:r>
              <w:rPr>
                <w:rFonts w:hint="eastAsia" w:ascii="Times New Roman" w:hAnsi="Times New Roman" w:eastAsia="宋体" w:cs="Times New Roman"/>
                <w:caps w:val="0"/>
                <w:smallCaps w:val="0"/>
                <w:color w:val="auto"/>
                <w:spacing w:val="0"/>
                <w:kern w:val="0"/>
                <w:sz w:val="18"/>
                <w:szCs w:val="18"/>
                <w:highlight w:val="none"/>
                <w:lang w:val="en-US" w:eastAsia="en-US" w:bidi="ar"/>
              </w:rPr>
              <w:t>1</w:t>
            </w:r>
            <w:r>
              <w:rPr>
                <w:rFonts w:hint="eastAsia" w:ascii="Times New Roman" w:hAnsi="Times New Roman" w:eastAsia="宋体" w:cs="Times New Roman"/>
                <w:caps w:val="0"/>
                <w:smallCaps w:val="0"/>
                <w:color w:val="auto"/>
                <w:spacing w:val="0"/>
                <w:kern w:val="0"/>
                <w:sz w:val="18"/>
                <w:szCs w:val="18"/>
                <w:highlight w:val="none"/>
                <w:lang w:eastAsia="en-US" w:bidi="ar"/>
              </w:rPr>
              <w:t>根</w:t>
            </w:r>
            <w:r>
              <w:rPr>
                <w:rFonts w:ascii="Times New Roman" w:hAnsi="Times New Roman" w:eastAsia="宋体" w:cs="Times New Roman"/>
                <w:caps w:val="0"/>
                <w:smallCaps w:val="0"/>
                <w:color w:val="auto"/>
                <w:spacing w:val="0"/>
                <w:kern w:val="0"/>
                <w:sz w:val="18"/>
                <w:szCs w:val="18"/>
                <w:highlight w:val="none"/>
                <w:lang w:eastAsia="en-US" w:bidi="ar"/>
              </w:rPr>
              <w:t>21</w:t>
            </w:r>
            <w:r>
              <w:rPr>
                <w:rFonts w:hint="eastAsia" w:ascii="Times New Roman" w:hAnsi="Times New Roman" w:eastAsia="宋体" w:cs="Times New Roman"/>
                <w:caps w:val="0"/>
                <w:smallCaps w:val="0"/>
                <w:color w:val="auto"/>
                <w:spacing w:val="0"/>
                <w:kern w:val="0"/>
                <w:sz w:val="18"/>
                <w:szCs w:val="18"/>
                <w:highlight w:val="none"/>
                <w:lang w:eastAsia="en-US" w:bidi="ar"/>
              </w:rPr>
              <w:t>m高排气筒（</w:t>
            </w:r>
            <w:r>
              <w:rPr>
                <w:rFonts w:hint="eastAsia" w:ascii="Times New Roman" w:hAnsi="Times New Roman" w:eastAsia="宋体" w:cs="Times New Roman"/>
                <w:caps w:val="0"/>
                <w:smallCaps w:val="0"/>
                <w:color w:val="auto"/>
                <w:spacing w:val="0"/>
                <w:kern w:val="0"/>
                <w:sz w:val="18"/>
                <w:szCs w:val="18"/>
                <w:highlight w:val="none"/>
                <w:lang w:val="en-US" w:eastAsia="en-US" w:bidi="ar"/>
              </w:rPr>
              <w:t>DA003、DA004</w:t>
            </w:r>
            <w:r>
              <w:rPr>
                <w:rFonts w:hint="eastAsia" w:ascii="Times New Roman" w:hAnsi="Times New Roman" w:eastAsia="宋体" w:cs="Times New Roman"/>
                <w:caps w:val="0"/>
                <w:smallCaps w:val="0"/>
                <w:color w:val="auto"/>
                <w:spacing w:val="0"/>
                <w:kern w:val="0"/>
                <w:sz w:val="18"/>
                <w:szCs w:val="18"/>
                <w:highlight w:val="none"/>
                <w:lang w:eastAsia="en-US" w:bidi="ar"/>
              </w:rPr>
              <w:t>）排放</w:t>
            </w:r>
          </w:p>
          <w:p w14:paraId="03CE79A2">
            <w:pPr>
              <w:widowControl w:val="0"/>
              <w:snapToGrid w:val="0"/>
              <w:jc w:val="both"/>
              <w:rPr>
                <w:rFonts w:ascii="Times New Roman" w:hAnsi="Times New Roman" w:eastAsia="宋体" w:cs="Times New Roman"/>
                <w:caps w:val="0"/>
                <w:smallCaps w:val="0"/>
                <w:color w:val="auto"/>
                <w:spacing w:val="0"/>
                <w:kern w:val="0"/>
                <w:sz w:val="18"/>
                <w:szCs w:val="18"/>
                <w:highlight w:val="none"/>
                <w:lang w:eastAsia="en-US" w:bidi="ar"/>
              </w:rPr>
            </w:pPr>
            <w:r>
              <w:rPr>
                <w:rFonts w:ascii="Times New Roman" w:hAnsi="Times New Roman" w:eastAsia="宋体" w:cs="Times New Roman"/>
                <w:caps w:val="0"/>
                <w:smallCaps w:val="0"/>
                <w:color w:val="auto"/>
                <w:spacing w:val="0"/>
                <w:kern w:val="0"/>
                <w:sz w:val="18"/>
                <w:szCs w:val="18"/>
                <w:highlight w:val="none"/>
                <w:lang w:eastAsia="en-US" w:bidi="ar"/>
              </w:rPr>
              <w:t>背电极磁控溅射废气G8，废气经H14级高效空气过滤器除尘+21m排气筒</w:t>
            </w:r>
            <w:r>
              <w:rPr>
                <w:rFonts w:ascii="Times New Roman" w:hAnsi="Times New Roman" w:eastAsia="宋体" w:cs="Times New Roman"/>
                <w:caps w:val="0"/>
                <w:smallCaps w:val="0"/>
                <w:color w:val="auto"/>
                <w:spacing w:val="0"/>
                <w:kern w:val="0"/>
                <w:sz w:val="18"/>
                <w:szCs w:val="18"/>
                <w:highlight w:val="none"/>
                <w:lang w:eastAsia="en-US" w:bidi="ar"/>
              </w:rPr>
              <w:t>DA0</w:t>
            </w:r>
            <w:r>
              <w:rPr>
                <w:rFonts w:hint="eastAsia" w:ascii="Times New Roman" w:hAnsi="Times New Roman" w:eastAsia="宋体" w:cs="Times New Roman"/>
                <w:caps w:val="0"/>
                <w:smallCaps w:val="0"/>
                <w:color w:val="auto"/>
                <w:spacing w:val="0"/>
                <w:kern w:val="0"/>
                <w:sz w:val="18"/>
                <w:szCs w:val="18"/>
                <w:highlight w:val="none"/>
                <w:lang w:val="en-US" w:eastAsia="zh-CN" w:bidi="ar"/>
              </w:rPr>
              <w:t>05</w:t>
            </w:r>
            <w:r>
              <w:rPr>
                <w:rFonts w:ascii="Times New Roman" w:hAnsi="Times New Roman" w:eastAsia="宋体" w:cs="Times New Roman"/>
                <w:caps w:val="0"/>
                <w:smallCaps w:val="0"/>
                <w:color w:val="auto"/>
                <w:spacing w:val="0"/>
                <w:kern w:val="0"/>
                <w:sz w:val="18"/>
                <w:szCs w:val="18"/>
                <w:highlight w:val="none"/>
                <w:lang w:eastAsia="en-US" w:bidi="ar"/>
              </w:rPr>
              <w:t>排放。</w:t>
            </w:r>
          </w:p>
          <w:p w14:paraId="4BF2807A">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hint="eastAsia" w:ascii="Times New Roman" w:hAnsi="Times New Roman" w:eastAsia="宋体" w:cs="Times New Roman"/>
                <w:caps w:val="0"/>
                <w:smallCaps w:val="0"/>
                <w:color w:val="auto"/>
                <w:spacing w:val="0"/>
                <w:sz w:val="18"/>
                <w:szCs w:val="18"/>
                <w:highlight w:val="none"/>
                <w:lang w:val="en-US" w:eastAsia="en-US"/>
              </w:rPr>
              <w:t>透光组件P5激光废气和异型组件P6激光废气经各自的1套H</w:t>
            </w:r>
            <w:r>
              <w:rPr>
                <w:rFonts w:hint="eastAsia" w:ascii="Times New Roman" w:hAnsi="Times New Roman" w:eastAsia="宋体" w:cs="Times New Roman"/>
                <w:caps w:val="0"/>
                <w:smallCaps w:val="0"/>
                <w:color w:val="auto"/>
                <w:spacing w:val="0"/>
                <w:sz w:val="18"/>
                <w:szCs w:val="18"/>
                <w:highlight w:val="none"/>
                <w:lang w:eastAsia="en-US"/>
              </w:rPr>
              <w:t>1</w:t>
            </w:r>
            <w:r>
              <w:rPr>
                <w:rFonts w:hint="eastAsia" w:ascii="Times New Roman" w:hAnsi="Times New Roman" w:eastAsia="宋体" w:cs="Times New Roman"/>
                <w:caps w:val="0"/>
                <w:smallCaps w:val="0"/>
                <w:color w:val="auto"/>
                <w:spacing w:val="0"/>
                <w:sz w:val="18"/>
                <w:szCs w:val="18"/>
                <w:highlight w:val="none"/>
                <w:lang w:val="en-US" w:eastAsia="en-US"/>
              </w:rPr>
              <w:t>3</w:t>
            </w:r>
            <w:r>
              <w:rPr>
                <w:rFonts w:hint="eastAsia" w:ascii="Times New Roman" w:hAnsi="Times New Roman" w:eastAsia="宋体" w:cs="Times New Roman"/>
                <w:caps w:val="0"/>
                <w:smallCaps w:val="0"/>
                <w:color w:val="auto"/>
                <w:spacing w:val="0"/>
                <w:sz w:val="18"/>
                <w:szCs w:val="18"/>
                <w:highlight w:val="none"/>
                <w:lang w:eastAsia="en-US"/>
              </w:rPr>
              <w:t>级高效</w:t>
            </w:r>
            <w:r>
              <w:rPr>
                <w:rFonts w:hint="eastAsia" w:ascii="Times New Roman" w:hAnsi="Times New Roman" w:eastAsia="宋体" w:cs="Times New Roman"/>
                <w:caps w:val="0"/>
                <w:smallCaps w:val="0"/>
                <w:color w:val="auto"/>
                <w:spacing w:val="0"/>
                <w:sz w:val="18"/>
                <w:szCs w:val="18"/>
                <w:highlight w:val="none"/>
                <w:lang w:eastAsia="en-US"/>
              </w:rPr>
              <w:fldChar w:fldCharType="begin"/>
            </w:r>
            <w:r>
              <w:rPr>
                <w:rFonts w:hint="eastAsia" w:ascii="Times New Roman" w:hAnsi="Times New Roman" w:eastAsia="宋体" w:cs="Times New Roman"/>
                <w:caps w:val="0"/>
                <w:smallCaps w:val="0"/>
                <w:color w:val="auto"/>
                <w:spacing w:val="0"/>
                <w:sz w:val="18"/>
                <w:szCs w:val="18"/>
                <w:highlight w:val="none"/>
                <w:lang w:eastAsia="en-US"/>
              </w:rPr>
              <w:instrText xml:space="preserve">HYPERLINK "https://baike.baidu.com/item/%E8%BF%87%E6%BB%A4%E5%99%A8" \t "_blank"</w:instrText>
            </w:r>
            <w:r>
              <w:rPr>
                <w:rFonts w:hint="eastAsia" w:ascii="Times New Roman" w:hAnsi="Times New Roman" w:eastAsia="宋体" w:cs="Times New Roman"/>
                <w:caps w:val="0"/>
                <w:smallCaps w:val="0"/>
                <w:color w:val="auto"/>
                <w:spacing w:val="0"/>
                <w:sz w:val="18"/>
                <w:szCs w:val="18"/>
                <w:highlight w:val="none"/>
                <w:lang w:eastAsia="en-US"/>
              </w:rPr>
              <w:fldChar w:fldCharType="separate"/>
            </w:r>
            <w:r>
              <w:rPr>
                <w:rFonts w:hint="eastAsia" w:ascii="Times New Roman" w:hAnsi="Times New Roman" w:eastAsia="宋体" w:cs="Times New Roman"/>
                <w:caps w:val="0"/>
                <w:smallCaps w:val="0"/>
                <w:color w:val="auto"/>
                <w:spacing w:val="0"/>
                <w:sz w:val="18"/>
                <w:szCs w:val="18"/>
                <w:highlight w:val="none"/>
                <w:lang w:eastAsia="en-US"/>
              </w:rPr>
              <w:t>过滤器</w:t>
            </w:r>
            <w:r>
              <w:rPr>
                <w:rFonts w:hint="eastAsia" w:ascii="Times New Roman" w:hAnsi="Times New Roman" w:eastAsia="宋体" w:cs="Times New Roman"/>
                <w:caps w:val="0"/>
                <w:smallCaps w:val="0"/>
                <w:color w:val="auto"/>
                <w:spacing w:val="0"/>
                <w:sz w:val="18"/>
                <w:szCs w:val="18"/>
                <w:highlight w:val="none"/>
                <w:lang w:eastAsia="en-US"/>
              </w:rPr>
              <w:fldChar w:fldCharType="end"/>
            </w:r>
            <w:r>
              <w:rPr>
                <w:rFonts w:hint="eastAsia" w:ascii="Times New Roman" w:hAnsi="Times New Roman" w:eastAsia="宋体" w:cs="Times New Roman"/>
                <w:caps w:val="0"/>
                <w:smallCaps w:val="0"/>
                <w:color w:val="auto"/>
                <w:spacing w:val="0"/>
                <w:sz w:val="18"/>
                <w:szCs w:val="18"/>
                <w:highlight w:val="none"/>
                <w:lang w:val="en-US" w:eastAsia="en-US"/>
              </w:rPr>
              <w:t>+</w:t>
            </w:r>
            <w:r>
              <w:rPr>
                <w:rFonts w:hint="eastAsia" w:ascii="Times New Roman" w:hAnsi="Times New Roman" w:eastAsia="宋体" w:cs="Times New Roman"/>
                <w:caps w:val="0"/>
                <w:smallCaps w:val="0"/>
                <w:color w:val="auto"/>
                <w:spacing w:val="0"/>
                <w:sz w:val="18"/>
                <w:szCs w:val="18"/>
                <w:highlight w:val="none"/>
                <w:lang w:eastAsia="en-US"/>
              </w:rPr>
              <w:t>H14级高效</w:t>
            </w:r>
            <w:r>
              <w:rPr>
                <w:rFonts w:hint="eastAsia" w:ascii="Times New Roman" w:hAnsi="Times New Roman" w:eastAsia="宋体" w:cs="Times New Roman"/>
                <w:caps w:val="0"/>
                <w:smallCaps w:val="0"/>
                <w:color w:val="auto"/>
                <w:spacing w:val="0"/>
                <w:sz w:val="18"/>
                <w:szCs w:val="18"/>
                <w:highlight w:val="none"/>
                <w:lang w:eastAsia="en-US"/>
              </w:rPr>
              <w:fldChar w:fldCharType="begin"/>
            </w:r>
            <w:r>
              <w:rPr>
                <w:rFonts w:hint="eastAsia" w:ascii="Times New Roman" w:hAnsi="Times New Roman" w:eastAsia="宋体" w:cs="Times New Roman"/>
                <w:caps w:val="0"/>
                <w:smallCaps w:val="0"/>
                <w:color w:val="auto"/>
                <w:spacing w:val="0"/>
                <w:sz w:val="18"/>
                <w:szCs w:val="18"/>
                <w:highlight w:val="none"/>
                <w:lang w:eastAsia="en-US"/>
              </w:rPr>
              <w:instrText xml:space="preserve">HYPERLINK "https://baike.baidu.com/item/%E8%BF%87%E6%BB%A4%E5%99%A8" \t "_blank"</w:instrText>
            </w:r>
            <w:r>
              <w:rPr>
                <w:rFonts w:hint="eastAsia" w:ascii="Times New Roman" w:hAnsi="Times New Roman" w:eastAsia="宋体" w:cs="Times New Roman"/>
                <w:caps w:val="0"/>
                <w:smallCaps w:val="0"/>
                <w:color w:val="auto"/>
                <w:spacing w:val="0"/>
                <w:sz w:val="18"/>
                <w:szCs w:val="18"/>
                <w:highlight w:val="none"/>
                <w:lang w:eastAsia="en-US"/>
              </w:rPr>
              <w:fldChar w:fldCharType="separate"/>
            </w:r>
            <w:r>
              <w:rPr>
                <w:rFonts w:hint="eastAsia" w:ascii="Times New Roman" w:hAnsi="Times New Roman" w:eastAsia="宋体" w:cs="Times New Roman"/>
                <w:caps w:val="0"/>
                <w:smallCaps w:val="0"/>
                <w:color w:val="auto"/>
                <w:spacing w:val="0"/>
                <w:sz w:val="18"/>
                <w:szCs w:val="18"/>
                <w:highlight w:val="none"/>
                <w:lang w:eastAsia="en-US"/>
              </w:rPr>
              <w:t>过滤器</w:t>
            </w:r>
            <w:r>
              <w:rPr>
                <w:rFonts w:hint="eastAsia" w:ascii="Times New Roman" w:hAnsi="Times New Roman" w:eastAsia="宋体" w:cs="Times New Roman"/>
                <w:caps w:val="0"/>
                <w:smallCaps w:val="0"/>
                <w:color w:val="auto"/>
                <w:spacing w:val="0"/>
                <w:sz w:val="18"/>
                <w:szCs w:val="18"/>
                <w:highlight w:val="none"/>
                <w:lang w:eastAsia="en-US"/>
              </w:rPr>
              <w:fldChar w:fldCharType="end"/>
            </w:r>
            <w:r>
              <w:rPr>
                <w:rFonts w:hint="eastAsia" w:ascii="Times New Roman" w:hAnsi="Times New Roman" w:eastAsia="宋体" w:cs="Times New Roman"/>
                <w:caps w:val="0"/>
                <w:smallCaps w:val="0"/>
                <w:color w:val="auto"/>
                <w:spacing w:val="0"/>
                <w:sz w:val="18"/>
                <w:szCs w:val="18"/>
                <w:highlight w:val="none"/>
                <w:lang w:eastAsia="en-US"/>
              </w:rPr>
              <w:t>净化后由1根</w:t>
            </w:r>
            <w:r>
              <w:rPr>
                <w:rFonts w:ascii="Times New Roman" w:hAnsi="Times New Roman" w:eastAsia="宋体" w:cs="Times New Roman"/>
                <w:caps w:val="0"/>
                <w:smallCaps w:val="0"/>
                <w:color w:val="auto"/>
                <w:spacing w:val="0"/>
                <w:sz w:val="18"/>
                <w:szCs w:val="18"/>
                <w:highlight w:val="none"/>
                <w:lang w:eastAsia="en-US"/>
              </w:rPr>
              <w:t>21</w:t>
            </w:r>
            <w:r>
              <w:rPr>
                <w:rFonts w:hint="eastAsia" w:ascii="Times New Roman" w:hAnsi="Times New Roman" w:eastAsia="宋体" w:cs="Times New Roman"/>
                <w:caps w:val="0"/>
                <w:smallCaps w:val="0"/>
                <w:color w:val="auto"/>
                <w:spacing w:val="0"/>
                <w:sz w:val="18"/>
                <w:szCs w:val="18"/>
                <w:highlight w:val="none"/>
                <w:lang w:eastAsia="en-US"/>
              </w:rPr>
              <w:t>m高排气筒</w:t>
            </w:r>
            <w:r>
              <w:rPr>
                <w:rFonts w:hint="eastAsia" w:ascii="Times New Roman" w:hAnsi="Times New Roman" w:eastAsia="宋体" w:cs="Times New Roman"/>
                <w:caps w:val="0"/>
                <w:smallCaps w:val="0"/>
                <w:color w:val="auto"/>
                <w:spacing w:val="0"/>
                <w:sz w:val="18"/>
                <w:szCs w:val="18"/>
                <w:highlight w:val="none"/>
                <w:lang w:val="en-US" w:eastAsia="en-US"/>
              </w:rPr>
              <w:t>DA006</w:t>
            </w:r>
            <w:r>
              <w:rPr>
                <w:rFonts w:hint="eastAsia" w:ascii="Times New Roman" w:hAnsi="Times New Roman" w:eastAsia="宋体" w:cs="Times New Roman"/>
                <w:caps w:val="0"/>
                <w:smallCaps w:val="0"/>
                <w:color w:val="auto"/>
                <w:spacing w:val="0"/>
                <w:sz w:val="18"/>
                <w:szCs w:val="18"/>
                <w:highlight w:val="none"/>
                <w:lang w:eastAsia="en-US"/>
              </w:rPr>
              <w:t>排放</w:t>
            </w:r>
            <w:r>
              <w:rPr>
                <w:rFonts w:ascii="Times New Roman" w:hAnsi="Times New Roman" w:eastAsia="宋体" w:cs="Times New Roman"/>
                <w:caps w:val="0"/>
                <w:smallCaps w:val="0"/>
                <w:color w:val="auto"/>
                <w:spacing w:val="0"/>
                <w:sz w:val="18"/>
                <w:szCs w:val="18"/>
                <w:highlight w:val="none"/>
                <w:lang w:eastAsia="en-US"/>
              </w:rPr>
              <w:t>。</w:t>
            </w:r>
          </w:p>
          <w:p w14:paraId="0FA92B98">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光刻胶干燥曝光废气G6，经全封闭负压收集后通过二级活性炭吸附处理后，</w:t>
            </w:r>
            <w:r>
              <w:rPr>
                <w:rFonts w:hint="eastAsia" w:ascii="Times New Roman" w:hAnsi="Times New Roman" w:eastAsia="宋体" w:cs="Times New Roman"/>
                <w:caps w:val="0"/>
                <w:smallCaps w:val="0"/>
                <w:color w:val="auto"/>
                <w:spacing w:val="0"/>
                <w:sz w:val="18"/>
                <w:szCs w:val="18"/>
                <w:highlight w:val="none"/>
                <w:lang w:eastAsia="en-US"/>
              </w:rPr>
              <w:t>再</w:t>
            </w:r>
            <w:r>
              <w:rPr>
                <w:rFonts w:ascii="Times New Roman" w:hAnsi="Times New Roman" w:eastAsia="宋体" w:cs="Times New Roman"/>
                <w:caps w:val="0"/>
                <w:smallCaps w:val="0"/>
                <w:color w:val="auto"/>
                <w:spacing w:val="0"/>
                <w:sz w:val="18"/>
                <w:szCs w:val="18"/>
                <w:highlight w:val="none"/>
                <w:lang w:eastAsia="en-US"/>
              </w:rPr>
              <w:t>通过1根21m高排气筒DA007排放。</w:t>
            </w:r>
          </w:p>
          <w:p w14:paraId="5E28C12C">
            <w:pPr>
              <w:pStyle w:val="194"/>
              <w:widowControl w:val="0"/>
              <w:snapToGrid w:val="0"/>
              <w:spacing w:line="240" w:lineRule="auto"/>
              <w:ind w:firstLine="0" w:firstLineChars="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活化层清洗+蚀刻废气</w:t>
            </w:r>
            <w:r>
              <w:rPr>
                <w:rFonts w:hint="eastAsia" w:ascii="Times New Roman" w:hAnsi="Times New Roman" w:eastAsia="宋体" w:cs="Times New Roman"/>
                <w:caps w:val="0"/>
                <w:smallCaps w:val="0"/>
                <w:color w:val="auto"/>
                <w:spacing w:val="0"/>
                <w:sz w:val="18"/>
                <w:szCs w:val="18"/>
                <w:highlight w:val="none"/>
                <w:lang w:eastAsia="en-US"/>
              </w:rPr>
              <w:t>及污水处理站废气</w:t>
            </w:r>
            <w:r>
              <w:rPr>
                <w:rFonts w:ascii="Times New Roman" w:hAnsi="Times New Roman" w:eastAsia="宋体" w:cs="Times New Roman"/>
                <w:caps w:val="0"/>
                <w:smallCaps w:val="0"/>
                <w:color w:val="auto"/>
                <w:spacing w:val="0"/>
                <w:sz w:val="18"/>
                <w:szCs w:val="18"/>
                <w:highlight w:val="none"/>
                <w:lang w:eastAsia="en-US"/>
              </w:rPr>
              <w:t>经收集后，通过二级碱液洗涤塔处理+活性炭吸附后通过1根21m高排气筒</w:t>
            </w:r>
            <w:r>
              <w:rPr>
                <w:rFonts w:ascii="Times New Roman" w:hAnsi="Times New Roman" w:eastAsia="宋体" w:cs="Times New Roman"/>
                <w:caps w:val="0"/>
                <w:smallCaps w:val="0"/>
                <w:color w:val="auto"/>
                <w:spacing w:val="0"/>
                <w:sz w:val="18"/>
                <w:szCs w:val="18"/>
                <w:highlight w:val="none"/>
                <w:lang w:eastAsia="en-US"/>
              </w:rPr>
              <w:t>DA00</w:t>
            </w:r>
            <w:r>
              <w:rPr>
                <w:rFonts w:hint="eastAsia" w:ascii="Times New Roman" w:hAnsi="Times New Roman" w:eastAsia="宋体" w:cs="Times New Roman"/>
                <w:caps w:val="0"/>
                <w:smallCaps w:val="0"/>
                <w:color w:val="auto"/>
                <w:spacing w:val="0"/>
                <w:sz w:val="18"/>
                <w:szCs w:val="18"/>
                <w:highlight w:val="none"/>
                <w:lang w:val="en-US" w:eastAsia="zh-CN"/>
              </w:rPr>
              <w:t>8</w:t>
            </w:r>
            <w:r>
              <w:rPr>
                <w:rFonts w:ascii="Times New Roman" w:hAnsi="Times New Roman" w:eastAsia="宋体" w:cs="Times New Roman"/>
                <w:caps w:val="0"/>
                <w:smallCaps w:val="0"/>
                <w:color w:val="auto"/>
                <w:spacing w:val="0"/>
                <w:sz w:val="18"/>
                <w:szCs w:val="18"/>
                <w:highlight w:val="none"/>
                <w:lang w:eastAsia="en-US"/>
              </w:rPr>
              <w:t>排放。</w:t>
            </w:r>
          </w:p>
          <w:p w14:paraId="644DEB31">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离线实验室实验过程中产生的废气G13，经实验室内通风柜收集后通过活性炭吸附处理后，</w:t>
            </w:r>
            <w:r>
              <w:rPr>
                <w:rFonts w:hint="eastAsia" w:ascii="Times New Roman" w:hAnsi="Times New Roman" w:eastAsia="宋体" w:cs="Times New Roman"/>
                <w:caps w:val="0"/>
                <w:smallCaps w:val="0"/>
                <w:color w:val="auto"/>
                <w:spacing w:val="0"/>
                <w:sz w:val="18"/>
                <w:szCs w:val="18"/>
                <w:highlight w:val="none"/>
                <w:lang w:eastAsia="en-US"/>
              </w:rPr>
              <w:t>再</w:t>
            </w:r>
            <w:r>
              <w:rPr>
                <w:rFonts w:ascii="Times New Roman" w:hAnsi="Times New Roman" w:eastAsia="宋体" w:cs="Times New Roman"/>
                <w:caps w:val="0"/>
                <w:smallCaps w:val="0"/>
                <w:color w:val="auto"/>
                <w:spacing w:val="0"/>
                <w:sz w:val="18"/>
                <w:szCs w:val="18"/>
                <w:highlight w:val="none"/>
                <w:lang w:eastAsia="en-US"/>
              </w:rPr>
              <w:t>通过1根21m高排气筒</w:t>
            </w:r>
            <w:r>
              <w:rPr>
                <w:rFonts w:ascii="Times New Roman" w:hAnsi="Times New Roman" w:eastAsia="宋体" w:cs="Times New Roman"/>
                <w:caps w:val="0"/>
                <w:smallCaps w:val="0"/>
                <w:color w:val="auto"/>
                <w:spacing w:val="0"/>
                <w:sz w:val="18"/>
                <w:szCs w:val="18"/>
                <w:highlight w:val="none"/>
                <w:lang w:eastAsia="en-US"/>
              </w:rPr>
              <w:t>DA0</w:t>
            </w:r>
            <w:r>
              <w:rPr>
                <w:rFonts w:hint="eastAsia" w:ascii="Times New Roman" w:hAnsi="Times New Roman" w:eastAsia="宋体" w:cs="Times New Roman"/>
                <w:caps w:val="0"/>
                <w:smallCaps w:val="0"/>
                <w:color w:val="auto"/>
                <w:spacing w:val="0"/>
                <w:sz w:val="18"/>
                <w:szCs w:val="18"/>
                <w:highlight w:val="none"/>
                <w:lang w:val="en-US" w:eastAsia="zh-CN"/>
              </w:rPr>
              <w:t>09</w:t>
            </w:r>
            <w:r>
              <w:rPr>
                <w:rFonts w:ascii="Times New Roman" w:hAnsi="Times New Roman" w:eastAsia="宋体" w:cs="Times New Roman"/>
                <w:caps w:val="0"/>
                <w:smallCaps w:val="0"/>
                <w:color w:val="auto"/>
                <w:spacing w:val="0"/>
                <w:sz w:val="18"/>
                <w:szCs w:val="18"/>
                <w:highlight w:val="none"/>
                <w:lang w:eastAsia="en-US"/>
              </w:rPr>
              <w:t>排放。</w:t>
            </w:r>
          </w:p>
          <w:p w14:paraId="2205E7ED">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各排气筒排放颗粒物浓度满足《电池工业污染物标准》（GB30484-2013）表5新建企业大气污染物排放限值，氨气</w:t>
            </w:r>
            <w:r>
              <w:rPr>
                <w:rFonts w:hint="eastAsia" w:ascii="Times New Roman" w:hAnsi="Times New Roman" w:cs="Times New Roman"/>
                <w:caps w:val="0"/>
                <w:smallCaps w:val="0"/>
                <w:color w:val="auto"/>
                <w:spacing w:val="0"/>
                <w:sz w:val="18"/>
                <w:szCs w:val="18"/>
                <w:highlight w:val="none"/>
                <w:lang w:eastAsia="zh-CN"/>
              </w:rPr>
              <w:t>、硫化氢及臭气浓度</w:t>
            </w:r>
            <w:r>
              <w:rPr>
                <w:rFonts w:ascii="Times New Roman" w:hAnsi="Times New Roman" w:cs="Times New Roman"/>
                <w:caps w:val="0"/>
                <w:smallCaps w:val="0"/>
                <w:color w:val="auto"/>
                <w:spacing w:val="0"/>
                <w:sz w:val="18"/>
                <w:szCs w:val="18"/>
                <w:highlight w:val="none"/>
                <w:lang w:eastAsia="zh-CN"/>
              </w:rPr>
              <w:t>排放满足《恶臭污染物排放标准》（GB14554-93）表2中限值要求。</w:t>
            </w:r>
          </w:p>
        </w:tc>
        <w:tc>
          <w:tcPr>
            <w:tcW w:w="1651" w:type="dxa"/>
            <w:tcBorders>
              <w:right w:val="nil"/>
            </w:tcBorders>
            <w:vAlign w:val="center"/>
          </w:tcPr>
          <w:p w14:paraId="372CBBB8">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光刻胶干燥由无组织变为有组织。</w:t>
            </w:r>
          </w:p>
          <w:p w14:paraId="06DAF248">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新增离线实验室实验过程中产生的废气，废气为二甲苯、非甲烷总烃以及氨气。</w:t>
            </w:r>
          </w:p>
          <w:p w14:paraId="48D52FB8">
            <w:pPr>
              <w:widowControl w:val="0"/>
              <w:snapToGrid w:val="0"/>
              <w:jc w:val="both"/>
              <w:rPr>
                <w:rFonts w:ascii="Times New Roman" w:hAnsi="Times New Roman" w:eastAsia="宋体" w:cs="Times New Roman"/>
                <w:caps w:val="0"/>
                <w:smallCaps w:val="0"/>
                <w:color w:val="auto"/>
                <w:spacing w:val="0"/>
                <w:kern w:val="0"/>
                <w:sz w:val="18"/>
                <w:szCs w:val="18"/>
                <w:highlight w:val="none"/>
                <w:lang w:eastAsia="en-US" w:bidi="ar"/>
              </w:rPr>
            </w:pPr>
            <w:r>
              <w:rPr>
                <w:rFonts w:ascii="Times New Roman" w:hAnsi="Times New Roman" w:eastAsia="宋体" w:cs="Times New Roman"/>
                <w:caps w:val="0"/>
                <w:smallCaps w:val="0"/>
                <w:color w:val="auto"/>
                <w:spacing w:val="0"/>
                <w:kern w:val="0"/>
                <w:sz w:val="18"/>
                <w:szCs w:val="18"/>
                <w:highlight w:val="none"/>
                <w:lang w:eastAsia="en-US" w:bidi="ar"/>
              </w:rPr>
              <w:t>新增ZnTe膜层溅射废气，废气为颗粒物。</w:t>
            </w:r>
          </w:p>
          <w:p w14:paraId="594493FF">
            <w:pPr>
              <w:pStyle w:val="194"/>
              <w:widowControl w:val="0"/>
              <w:snapToGrid w:val="0"/>
              <w:spacing w:line="240" w:lineRule="auto"/>
              <w:ind w:firstLine="0" w:firstLineChars="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cs="Times New Roman"/>
                <w:caps w:val="0"/>
                <w:smallCaps w:val="0"/>
                <w:color w:val="auto"/>
                <w:spacing w:val="0"/>
                <w:sz w:val="18"/>
                <w:szCs w:val="18"/>
                <w:highlight w:val="none"/>
                <w:lang w:eastAsia="en-US"/>
              </w:rPr>
              <w:t>新增</w:t>
            </w:r>
            <w:r>
              <w:rPr>
                <w:rFonts w:ascii="Times New Roman" w:hAnsi="Times New Roman" w:eastAsia="宋体" w:cs="Times New Roman"/>
                <w:caps w:val="0"/>
                <w:smallCaps w:val="0"/>
                <w:color w:val="auto"/>
                <w:spacing w:val="0"/>
                <w:sz w:val="18"/>
                <w:szCs w:val="18"/>
                <w:highlight w:val="none"/>
                <w:lang w:eastAsia="en-US"/>
              </w:rPr>
              <w:t>活化层清洗+蚀刻废气，污染物二氧化氮、氯化氢。</w:t>
            </w:r>
          </w:p>
          <w:p w14:paraId="207780C8">
            <w:pPr>
              <w:pStyle w:val="194"/>
              <w:widowControl w:val="0"/>
              <w:snapToGrid w:val="0"/>
              <w:spacing w:line="240" w:lineRule="auto"/>
              <w:ind w:firstLine="0" w:firstLineChars="0"/>
              <w:jc w:val="both"/>
              <w:rPr>
                <w:rFonts w:ascii="Times New Roman" w:hAnsi="Times New Roman" w:eastAsia="宋体" w:cs="Times New Roman"/>
                <w:caps w:val="0"/>
                <w:smallCaps w:val="0"/>
                <w:color w:val="auto"/>
                <w:spacing w:val="0"/>
                <w:sz w:val="18"/>
                <w:szCs w:val="18"/>
                <w:highlight w:val="none"/>
                <w:lang w:eastAsia="en-US"/>
              </w:rPr>
            </w:pPr>
            <w:r>
              <w:rPr>
                <w:rFonts w:ascii="Times New Roman" w:hAnsi="Times New Roman" w:eastAsia="宋体" w:cs="Times New Roman"/>
                <w:caps w:val="0"/>
                <w:smallCaps w:val="0"/>
                <w:color w:val="auto"/>
                <w:spacing w:val="0"/>
                <w:sz w:val="18"/>
                <w:szCs w:val="18"/>
                <w:highlight w:val="none"/>
                <w:lang w:eastAsia="en-US"/>
              </w:rPr>
              <w:t>新增污染物种类属于重大变动。</w:t>
            </w:r>
          </w:p>
          <w:p w14:paraId="22C2C207">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p>
          <w:p w14:paraId="7ADDAD24">
            <w:pPr>
              <w:widowControl w:val="0"/>
              <w:snapToGrid w:val="0"/>
              <w:jc w:val="both"/>
              <w:rPr>
                <w:rFonts w:ascii="Times New Roman" w:hAnsi="Times New Roman" w:eastAsia="宋体" w:cs="Times New Roman"/>
                <w:caps w:val="0"/>
                <w:smallCaps w:val="0"/>
                <w:color w:val="auto"/>
                <w:spacing w:val="0"/>
                <w:sz w:val="18"/>
                <w:szCs w:val="18"/>
                <w:highlight w:val="none"/>
                <w:lang w:eastAsia="en-US"/>
              </w:rPr>
            </w:pPr>
          </w:p>
          <w:p w14:paraId="5099A659">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p>
        </w:tc>
      </w:tr>
      <w:tr w14:paraId="77DA5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38E4B997">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p>
        </w:tc>
        <w:tc>
          <w:tcPr>
            <w:tcW w:w="563" w:type="dxa"/>
            <w:vAlign w:val="center"/>
          </w:tcPr>
          <w:p w14:paraId="60CA07BD">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锅炉烟囱</w:t>
            </w:r>
          </w:p>
        </w:tc>
        <w:tc>
          <w:tcPr>
            <w:tcW w:w="6429" w:type="dxa"/>
            <w:vAlign w:val="center"/>
          </w:tcPr>
          <w:p w14:paraId="0845C37A">
            <w:pPr>
              <w:pStyle w:val="195"/>
              <w:widowControl w:val="0"/>
              <w:spacing w:before="53" w:line="244" w:lineRule="auto"/>
              <w:ind w:left="111" w:right="88" w:firstLine="7"/>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项目在联合车间的辅助用房内拟建设锅炉房，内设置</w:t>
            </w:r>
            <w:r>
              <w:rPr>
                <w:rFonts w:ascii="Times New Roman" w:hAnsi="Times New Roman" w:eastAsia="Times New Roman" w:cs="Times New Roman"/>
                <w:caps w:val="0"/>
                <w:smallCaps w:val="0"/>
                <w:color w:val="auto"/>
                <w:spacing w:val="0"/>
                <w:sz w:val="18"/>
                <w:szCs w:val="18"/>
                <w:highlight w:val="none"/>
                <w:lang w:eastAsia="zh-CN"/>
              </w:rPr>
              <w:t>2</w:t>
            </w:r>
            <w:r>
              <w:rPr>
                <w:rFonts w:ascii="Times New Roman" w:hAnsi="Times New Roman" w:cs="Times New Roman"/>
                <w:caps w:val="0"/>
                <w:smallCaps w:val="0"/>
                <w:color w:val="auto"/>
                <w:spacing w:val="0"/>
                <w:sz w:val="18"/>
                <w:szCs w:val="18"/>
                <w:highlight w:val="none"/>
                <w:lang w:eastAsia="zh-CN"/>
              </w:rPr>
              <w:t>台</w:t>
            </w:r>
            <w:r>
              <w:rPr>
                <w:rFonts w:ascii="Times New Roman" w:hAnsi="Times New Roman" w:eastAsia="Times New Roman" w:cs="Times New Roman"/>
                <w:caps w:val="0"/>
                <w:smallCaps w:val="0"/>
                <w:color w:val="auto"/>
                <w:spacing w:val="0"/>
                <w:sz w:val="18"/>
                <w:szCs w:val="18"/>
                <w:highlight w:val="none"/>
                <w:lang w:eastAsia="zh-CN"/>
              </w:rPr>
              <w:t>6.6t/h</w:t>
            </w:r>
            <w:r>
              <w:rPr>
                <w:rFonts w:ascii="Times New Roman" w:hAnsi="Times New Roman" w:cs="Times New Roman"/>
                <w:caps w:val="0"/>
                <w:smallCaps w:val="0"/>
                <w:color w:val="auto"/>
                <w:spacing w:val="0"/>
                <w:sz w:val="18"/>
                <w:szCs w:val="18"/>
                <w:highlight w:val="none"/>
                <w:lang w:eastAsia="zh-CN"/>
              </w:rPr>
              <w:t>燃气锅炉，配套建设</w:t>
            </w:r>
            <w:r>
              <w:rPr>
                <w:rFonts w:ascii="Times New Roman" w:hAnsi="Times New Roman" w:eastAsia="Times New Roman" w:cs="Times New Roman"/>
                <w:caps w:val="0"/>
                <w:smallCaps w:val="0"/>
                <w:color w:val="auto"/>
                <w:spacing w:val="0"/>
                <w:sz w:val="18"/>
                <w:szCs w:val="18"/>
                <w:highlight w:val="none"/>
                <w:lang w:eastAsia="zh-CN"/>
              </w:rPr>
              <w:t>2</w:t>
            </w:r>
            <w:r>
              <w:rPr>
                <w:rFonts w:ascii="Times New Roman" w:hAnsi="Times New Roman" w:cs="Times New Roman"/>
                <w:caps w:val="0"/>
                <w:smallCaps w:val="0"/>
                <w:color w:val="auto"/>
                <w:spacing w:val="0"/>
                <w:sz w:val="18"/>
                <w:szCs w:val="18"/>
                <w:highlight w:val="none"/>
                <w:lang w:eastAsia="zh-CN"/>
              </w:rPr>
              <w:t>根</w:t>
            </w:r>
            <w:r>
              <w:rPr>
                <w:rFonts w:ascii="Times New Roman" w:hAnsi="Times New Roman" w:eastAsia="Times New Roman" w:cs="Times New Roman"/>
                <w:caps w:val="0"/>
                <w:smallCaps w:val="0"/>
                <w:color w:val="auto"/>
                <w:spacing w:val="0"/>
                <w:sz w:val="18"/>
                <w:szCs w:val="18"/>
                <w:highlight w:val="none"/>
                <w:lang w:eastAsia="zh-CN"/>
              </w:rPr>
              <w:t>21m</w:t>
            </w:r>
            <w:r>
              <w:rPr>
                <w:rFonts w:ascii="Times New Roman" w:hAnsi="Times New Roman" w:cs="Times New Roman"/>
                <w:caps w:val="0"/>
                <w:smallCaps w:val="0"/>
                <w:color w:val="auto"/>
                <w:spacing w:val="0"/>
                <w:sz w:val="18"/>
                <w:szCs w:val="18"/>
                <w:highlight w:val="none"/>
                <w:lang w:eastAsia="zh-CN"/>
              </w:rPr>
              <w:t>烟囱，用于冬季供暖及生产用热。</w:t>
            </w:r>
            <w:r>
              <w:rPr>
                <w:rFonts w:ascii="Times New Roman" w:hAnsi="Times New Roman" w:eastAsia="Times New Roman" w:cs="Times New Roman"/>
                <w:caps w:val="0"/>
                <w:smallCaps w:val="0"/>
                <w:color w:val="auto"/>
                <w:spacing w:val="0"/>
                <w:sz w:val="18"/>
                <w:szCs w:val="18"/>
                <w:highlight w:val="none"/>
                <w:lang w:eastAsia="zh-CN"/>
              </w:rPr>
              <w:t>2</w:t>
            </w:r>
            <w:r>
              <w:rPr>
                <w:rFonts w:ascii="Times New Roman" w:hAnsi="Times New Roman" w:cs="Times New Roman"/>
                <w:caps w:val="0"/>
                <w:smallCaps w:val="0"/>
                <w:color w:val="auto"/>
                <w:spacing w:val="0"/>
                <w:sz w:val="18"/>
                <w:szCs w:val="18"/>
                <w:highlight w:val="none"/>
                <w:lang w:eastAsia="zh-CN"/>
              </w:rPr>
              <w:t>台</w:t>
            </w:r>
            <w:r>
              <w:rPr>
                <w:rFonts w:ascii="Times New Roman" w:hAnsi="Times New Roman" w:eastAsia="Times New Roman" w:cs="Times New Roman"/>
                <w:caps w:val="0"/>
                <w:smallCaps w:val="0"/>
                <w:color w:val="auto"/>
                <w:spacing w:val="0"/>
                <w:sz w:val="18"/>
                <w:szCs w:val="18"/>
                <w:highlight w:val="none"/>
                <w:lang w:eastAsia="zh-CN"/>
              </w:rPr>
              <w:t>3.3t/h</w:t>
            </w:r>
            <w:r>
              <w:rPr>
                <w:rFonts w:ascii="Times New Roman" w:hAnsi="Times New Roman" w:cs="Times New Roman"/>
                <w:caps w:val="0"/>
                <w:smallCaps w:val="0"/>
                <w:color w:val="auto"/>
                <w:spacing w:val="0"/>
                <w:sz w:val="18"/>
                <w:szCs w:val="18"/>
                <w:highlight w:val="none"/>
                <w:lang w:eastAsia="zh-CN"/>
              </w:rPr>
              <w:t>燃气锅炉，共用</w:t>
            </w:r>
            <w:r>
              <w:rPr>
                <w:rFonts w:ascii="Times New Roman" w:hAnsi="Times New Roman" w:eastAsia="Times New Roman" w:cs="Times New Roman"/>
                <w:caps w:val="0"/>
                <w:smallCaps w:val="0"/>
                <w:color w:val="auto"/>
                <w:spacing w:val="0"/>
                <w:sz w:val="18"/>
                <w:szCs w:val="18"/>
                <w:highlight w:val="none"/>
                <w:lang w:eastAsia="zh-CN"/>
              </w:rPr>
              <w:t>1</w:t>
            </w:r>
            <w:r>
              <w:rPr>
                <w:rFonts w:ascii="Times New Roman" w:hAnsi="Times New Roman" w:cs="Times New Roman"/>
                <w:caps w:val="0"/>
                <w:smallCaps w:val="0"/>
                <w:color w:val="auto"/>
                <w:spacing w:val="0"/>
                <w:sz w:val="18"/>
                <w:szCs w:val="18"/>
                <w:highlight w:val="none"/>
                <w:lang w:eastAsia="zh-CN"/>
              </w:rPr>
              <w:t>个</w:t>
            </w:r>
            <w:r>
              <w:rPr>
                <w:rFonts w:ascii="Times New Roman" w:hAnsi="Times New Roman" w:eastAsia="Times New Roman" w:cs="Times New Roman"/>
                <w:caps w:val="0"/>
                <w:smallCaps w:val="0"/>
                <w:color w:val="auto"/>
                <w:spacing w:val="0"/>
                <w:sz w:val="18"/>
                <w:szCs w:val="18"/>
                <w:highlight w:val="none"/>
                <w:lang w:eastAsia="zh-CN"/>
              </w:rPr>
              <w:t>21m</w:t>
            </w:r>
            <w:r>
              <w:rPr>
                <w:rFonts w:ascii="Times New Roman" w:hAnsi="Times New Roman" w:cs="Times New Roman"/>
                <w:caps w:val="0"/>
                <w:smallCaps w:val="0"/>
                <w:color w:val="auto"/>
                <w:spacing w:val="0"/>
                <w:sz w:val="18"/>
                <w:szCs w:val="18"/>
                <w:highlight w:val="none"/>
                <w:lang w:eastAsia="zh-CN"/>
              </w:rPr>
              <w:t>烟囱。</w:t>
            </w:r>
            <w:r>
              <w:rPr>
                <w:rFonts w:ascii="Times New Roman" w:hAnsi="Times New Roman" w:eastAsia="Times New Roman" w:cs="Times New Roman"/>
                <w:caps w:val="0"/>
                <w:smallCaps w:val="0"/>
                <w:color w:val="auto"/>
                <w:spacing w:val="0"/>
                <w:sz w:val="18"/>
                <w:szCs w:val="18"/>
                <w:highlight w:val="none"/>
                <w:lang w:eastAsia="zh-CN"/>
              </w:rPr>
              <w:t>4</w:t>
            </w:r>
            <w:r>
              <w:rPr>
                <w:rFonts w:ascii="Times New Roman" w:hAnsi="Times New Roman" w:cs="Times New Roman"/>
                <w:caps w:val="0"/>
                <w:smallCaps w:val="0"/>
                <w:color w:val="auto"/>
                <w:spacing w:val="0"/>
                <w:sz w:val="18"/>
                <w:szCs w:val="18"/>
                <w:highlight w:val="none"/>
                <w:lang w:eastAsia="zh-CN"/>
              </w:rPr>
              <w:t>台燃气锅炉均安装低氮燃烧器，污染物排放可满足《锅炉大气污染物排放标准》（</w:t>
            </w:r>
            <w:r>
              <w:rPr>
                <w:rFonts w:ascii="Times New Roman" w:hAnsi="Times New Roman" w:eastAsia="Times New Roman" w:cs="Times New Roman"/>
                <w:caps w:val="0"/>
                <w:smallCaps w:val="0"/>
                <w:color w:val="auto"/>
                <w:spacing w:val="0"/>
                <w:sz w:val="18"/>
                <w:szCs w:val="18"/>
                <w:highlight w:val="none"/>
                <w:lang w:eastAsia="zh-CN"/>
              </w:rPr>
              <w:t>GB13271-2014</w:t>
            </w:r>
            <w:r>
              <w:rPr>
                <w:rFonts w:ascii="Times New Roman" w:hAnsi="Times New Roman" w:cs="Times New Roman"/>
                <w:caps w:val="0"/>
                <w:smallCaps w:val="0"/>
                <w:color w:val="auto"/>
                <w:spacing w:val="0"/>
                <w:sz w:val="18"/>
                <w:szCs w:val="18"/>
                <w:highlight w:val="none"/>
                <w:lang w:eastAsia="zh-CN"/>
              </w:rPr>
              <w:t>）中新建燃气锅炉标准限值。</w:t>
            </w:r>
          </w:p>
        </w:tc>
        <w:tc>
          <w:tcPr>
            <w:tcW w:w="5033" w:type="dxa"/>
            <w:vAlign w:val="center"/>
          </w:tcPr>
          <w:p w14:paraId="5F3112ED">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24031B8F">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r>
      <w:tr w14:paraId="00AB4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586B3B25">
            <w:pPr>
              <w:pStyle w:val="195"/>
              <w:widowControl w:val="0"/>
              <w:snapToGrid w:val="0"/>
              <w:jc w:val="both"/>
              <w:rPr>
                <w:rFonts w:ascii="Times New Roman" w:hAnsi="Times New Roman" w:cs="Times New Roman"/>
                <w:caps w:val="0"/>
                <w:smallCaps w:val="0"/>
                <w:color w:val="auto"/>
                <w:spacing w:val="0"/>
                <w:sz w:val="18"/>
                <w:szCs w:val="18"/>
                <w:highlight w:val="none"/>
              </w:rPr>
            </w:pPr>
          </w:p>
        </w:tc>
        <w:tc>
          <w:tcPr>
            <w:tcW w:w="563" w:type="dxa"/>
            <w:vAlign w:val="center"/>
          </w:tcPr>
          <w:p w14:paraId="5224C67A">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食堂油烟</w:t>
            </w:r>
          </w:p>
        </w:tc>
        <w:tc>
          <w:tcPr>
            <w:tcW w:w="6429" w:type="dxa"/>
            <w:vAlign w:val="center"/>
          </w:tcPr>
          <w:p w14:paraId="453D02C8">
            <w:pPr>
              <w:pStyle w:val="195"/>
              <w:widowControl w:val="0"/>
              <w:spacing w:before="55" w:line="215" w:lineRule="auto"/>
              <w:ind w:left="115"/>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食堂油烟经油烟净化装置处理后引至屋顶上方外排</w:t>
            </w:r>
          </w:p>
        </w:tc>
        <w:tc>
          <w:tcPr>
            <w:tcW w:w="5033" w:type="dxa"/>
            <w:vAlign w:val="center"/>
          </w:tcPr>
          <w:p w14:paraId="3CE6899D">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0126E661">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已验收，</w:t>
            </w:r>
            <w:r>
              <w:rPr>
                <w:rFonts w:hint="eastAsia" w:ascii="Times New Roman" w:hAnsi="Times New Roman" w:cs="Times New Roman"/>
                <w:caps w:val="0"/>
                <w:smallCaps w:val="0"/>
                <w:color w:val="auto"/>
                <w:spacing w:val="0"/>
                <w:sz w:val="18"/>
                <w:szCs w:val="18"/>
                <w:highlight w:val="none"/>
                <w:lang w:val="en-US" w:eastAsia="zh-CN"/>
              </w:rPr>
              <w:t>无变化</w:t>
            </w:r>
          </w:p>
        </w:tc>
      </w:tr>
      <w:tr w14:paraId="4B926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6D401A8B">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p>
        </w:tc>
        <w:tc>
          <w:tcPr>
            <w:tcW w:w="563" w:type="dxa"/>
            <w:vAlign w:val="center"/>
          </w:tcPr>
          <w:p w14:paraId="3CE9B825">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噪声治理措施</w:t>
            </w:r>
          </w:p>
        </w:tc>
        <w:tc>
          <w:tcPr>
            <w:tcW w:w="6429" w:type="dxa"/>
            <w:vAlign w:val="center"/>
          </w:tcPr>
          <w:p w14:paraId="45514900">
            <w:pPr>
              <w:pStyle w:val="195"/>
              <w:widowControl w:val="0"/>
              <w:spacing w:before="65"/>
              <w:ind w:left="115" w:right="106" w:hanging="1"/>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采取必要的减振、降噪、隔声等噪声污染控制措施</w:t>
            </w:r>
          </w:p>
        </w:tc>
        <w:tc>
          <w:tcPr>
            <w:tcW w:w="5033" w:type="dxa"/>
            <w:vAlign w:val="center"/>
          </w:tcPr>
          <w:p w14:paraId="528158EA">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设备的选型尽可能选用噪声低、振动小的设备，并采取必要的减振、降噪、隔声等噪声污染控制措施，减少对区域声环境的影响，项目产生的噪声可以实现达标排放，厂界噪声满足《工业企业厂界环境噪声排放标准》（</w:t>
            </w:r>
            <w:r>
              <w:rPr>
                <w:rFonts w:ascii="Times New Roman" w:hAnsi="Times New Roman" w:eastAsia="Times New Roman" w:cs="Times New Roman"/>
                <w:caps w:val="0"/>
                <w:smallCaps w:val="0"/>
                <w:color w:val="auto"/>
                <w:spacing w:val="0"/>
                <w:sz w:val="18"/>
                <w:szCs w:val="18"/>
                <w:highlight w:val="none"/>
                <w:lang w:eastAsia="zh-CN"/>
              </w:rPr>
              <w:t>GB12348-2008</w:t>
            </w:r>
            <w:r>
              <w:rPr>
                <w:rFonts w:ascii="Times New Roman" w:hAnsi="Times New Roman" w:cs="Times New Roman"/>
                <w:caps w:val="0"/>
                <w:smallCaps w:val="0"/>
                <w:color w:val="auto"/>
                <w:spacing w:val="0"/>
                <w:sz w:val="18"/>
                <w:szCs w:val="18"/>
                <w:highlight w:val="none"/>
                <w:lang w:eastAsia="zh-CN"/>
              </w:rPr>
              <w:t>）</w:t>
            </w:r>
            <w:r>
              <w:rPr>
                <w:rFonts w:ascii="Times New Roman" w:hAnsi="Times New Roman" w:eastAsia="Times New Roman" w:cs="Times New Roman"/>
                <w:caps w:val="0"/>
                <w:smallCaps w:val="0"/>
                <w:color w:val="auto"/>
                <w:spacing w:val="0"/>
                <w:sz w:val="18"/>
                <w:szCs w:val="18"/>
                <w:highlight w:val="none"/>
                <w:lang w:eastAsia="zh-CN"/>
              </w:rPr>
              <w:t>3</w:t>
            </w:r>
            <w:r>
              <w:rPr>
                <w:rFonts w:ascii="Times New Roman" w:hAnsi="Times New Roman" w:cs="Times New Roman"/>
                <w:caps w:val="0"/>
                <w:smallCaps w:val="0"/>
                <w:color w:val="auto"/>
                <w:spacing w:val="0"/>
                <w:sz w:val="18"/>
                <w:szCs w:val="18"/>
                <w:highlight w:val="none"/>
                <w:lang w:eastAsia="zh-CN"/>
              </w:rPr>
              <w:t>类噪声功能区噪声排放限值。</w:t>
            </w:r>
          </w:p>
        </w:tc>
        <w:tc>
          <w:tcPr>
            <w:tcW w:w="1651" w:type="dxa"/>
            <w:tcBorders>
              <w:right w:val="nil"/>
            </w:tcBorders>
            <w:vAlign w:val="center"/>
          </w:tcPr>
          <w:p w14:paraId="1509FFC8">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无变化</w:t>
            </w:r>
          </w:p>
        </w:tc>
      </w:tr>
      <w:tr w14:paraId="1DD06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3FA31884">
            <w:pPr>
              <w:pStyle w:val="195"/>
              <w:widowControl w:val="0"/>
              <w:snapToGrid w:val="0"/>
              <w:jc w:val="both"/>
              <w:rPr>
                <w:rFonts w:ascii="Times New Roman" w:hAnsi="Times New Roman" w:cs="Times New Roman"/>
                <w:caps w:val="0"/>
                <w:smallCaps w:val="0"/>
                <w:color w:val="auto"/>
                <w:spacing w:val="0"/>
                <w:sz w:val="18"/>
                <w:szCs w:val="18"/>
                <w:highlight w:val="none"/>
              </w:rPr>
            </w:pPr>
          </w:p>
        </w:tc>
        <w:tc>
          <w:tcPr>
            <w:tcW w:w="563" w:type="dxa"/>
            <w:vAlign w:val="center"/>
          </w:tcPr>
          <w:p w14:paraId="046108EC">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hint="eastAsia" w:ascii="Times New Roman" w:hAnsi="Times New Roman" w:cs="Times New Roman"/>
                <w:caps w:val="0"/>
                <w:smallCaps w:val="0"/>
                <w:color w:val="auto"/>
                <w:spacing w:val="0"/>
                <w:sz w:val="18"/>
                <w:szCs w:val="18"/>
                <w:highlight w:val="none"/>
                <w:lang w:eastAsia="zh-CN"/>
              </w:rPr>
              <w:t>地下水防治措施</w:t>
            </w:r>
          </w:p>
          <w:p w14:paraId="373DDEA7">
            <w:pPr>
              <w:widowControl w:val="0"/>
              <w:rPr>
                <w:caps w:val="0"/>
                <w:smallCaps w:val="0"/>
                <w:color w:val="auto"/>
                <w:spacing w:val="0"/>
                <w:highlight w:val="none"/>
                <w:lang w:eastAsia="en-US"/>
              </w:rPr>
            </w:pPr>
          </w:p>
        </w:tc>
        <w:tc>
          <w:tcPr>
            <w:tcW w:w="6429" w:type="dxa"/>
            <w:vAlign w:val="center"/>
          </w:tcPr>
          <w:p w14:paraId="69C47672">
            <w:pPr>
              <w:pStyle w:val="195"/>
              <w:widowControl w:val="0"/>
              <w:spacing w:before="29" w:line="246" w:lineRule="auto"/>
              <w:ind w:left="114" w:right="106" w:hanging="1"/>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地下水污染防治措施坚持“源头控制、分区防控、污染监控、应急响应”相结合的原则。危险废物暂存间、污水处理间和事故池为重点防渗区，防渗技术层为至少2mm厚高密度聚乙烯或其它人工材料，渗透系数≤1×10⁻¹cm/s;生产车间、化粪池及食堂隔油池为一般防渗区，防渗技术要求达到等效黏土防渗层Mb≥1.5m</w:t>
            </w:r>
            <w:r>
              <w:rPr>
                <w:rFonts w:hint="eastAsia" w:ascii="Times New Roman" w:hAnsi="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K≤1×10⁻⁷cm/s;其余区域为简单防渗区，进行一般地面硬化即可。在建设项目厂区西北角布设1口地下水跟踪监测井，定期对地下水水质进行监测。</w:t>
            </w:r>
          </w:p>
        </w:tc>
        <w:tc>
          <w:tcPr>
            <w:tcW w:w="5033" w:type="dxa"/>
            <w:vAlign w:val="center"/>
          </w:tcPr>
          <w:p w14:paraId="4B33CCEA">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hint="eastAsia"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7252422B">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hint="eastAsia" w:ascii="Times New Roman" w:hAnsi="Times New Roman" w:cs="Times New Roman"/>
                <w:caps w:val="0"/>
                <w:smallCaps w:val="0"/>
                <w:color w:val="auto"/>
                <w:spacing w:val="0"/>
                <w:sz w:val="18"/>
                <w:szCs w:val="18"/>
                <w:highlight w:val="none"/>
                <w:lang w:eastAsia="zh-CN"/>
              </w:rPr>
              <w:t>已验收，依托厂区现有地下水井及防渗措施</w:t>
            </w:r>
          </w:p>
        </w:tc>
      </w:tr>
      <w:tr w14:paraId="00DBB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vMerge w:val="continue"/>
            <w:tcBorders>
              <w:left w:val="nil"/>
            </w:tcBorders>
            <w:vAlign w:val="center"/>
          </w:tcPr>
          <w:p w14:paraId="44FBB4B7">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p>
        </w:tc>
        <w:tc>
          <w:tcPr>
            <w:tcW w:w="563" w:type="dxa"/>
            <w:vAlign w:val="center"/>
          </w:tcPr>
          <w:p w14:paraId="3A4641E9">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固体废物处理措施</w:t>
            </w:r>
          </w:p>
        </w:tc>
        <w:tc>
          <w:tcPr>
            <w:tcW w:w="6429" w:type="dxa"/>
            <w:vAlign w:val="center"/>
          </w:tcPr>
          <w:p w14:paraId="19F8831E">
            <w:pPr>
              <w:pStyle w:val="195"/>
              <w:widowControl w:val="0"/>
              <w:spacing w:before="65" w:line="239" w:lineRule="auto"/>
              <w:ind w:left="119" w:right="88" w:hanging="5"/>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①餐厨垃圾和食堂废水油脂属于一般固废，交由专业单位进行处置；</w:t>
            </w:r>
          </w:p>
          <w:p w14:paraId="41CAF196">
            <w:pPr>
              <w:pStyle w:val="195"/>
              <w:widowControl w:val="0"/>
              <w:spacing w:before="26" w:line="239" w:lineRule="auto"/>
              <w:ind w:left="114" w:right="106" w:hanging="1"/>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②生活垃圾、新鲜水纯水制备废膜交由市政环卫部门统一清运；</w:t>
            </w:r>
          </w:p>
          <w:p w14:paraId="778A6AF1">
            <w:pPr>
              <w:pStyle w:val="195"/>
              <w:widowControl w:val="0"/>
              <w:spacing w:before="26" w:line="249" w:lineRule="auto"/>
              <w:ind w:left="113" w:right="106"/>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③前端镀膜线目前基本建成，但部分设备未到厂，因此无法进行生产，目前生产均采用半成品原材料，进场后直接组装成产品，生产规模不变，故本项目本次验收无前端镀膜线产生的固体废物。</w:t>
            </w:r>
          </w:p>
          <w:p w14:paraId="3DEC6695">
            <w:pPr>
              <w:pStyle w:val="195"/>
              <w:widowControl w:val="0"/>
              <w:spacing w:before="29" w:line="246" w:lineRule="auto"/>
              <w:ind w:left="114" w:right="106" w:hanging="1"/>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④弃包装物外售给废品收购商；不合格产品属于危险废物，分类暂存于危险废物</w:t>
            </w:r>
            <w:r>
              <w:rPr>
                <w:rFonts w:hint="eastAsia" w:ascii="Times New Roman" w:hAnsi="Times New Roman" w:cs="Times New Roman"/>
                <w:caps w:val="0"/>
                <w:smallCaps w:val="0"/>
                <w:color w:val="auto"/>
                <w:spacing w:val="0"/>
                <w:sz w:val="18"/>
                <w:szCs w:val="18"/>
                <w:highlight w:val="none"/>
                <w:lang w:val="en-US" w:eastAsia="zh-CN"/>
              </w:rPr>
              <w:t>贮存库</w:t>
            </w:r>
            <w:r>
              <w:rPr>
                <w:rFonts w:ascii="Times New Roman" w:hAnsi="Times New Roman" w:cs="Times New Roman"/>
                <w:caps w:val="0"/>
                <w:smallCaps w:val="0"/>
                <w:color w:val="auto"/>
                <w:spacing w:val="0"/>
                <w:sz w:val="18"/>
                <w:szCs w:val="18"/>
                <w:highlight w:val="none"/>
                <w:lang w:eastAsia="zh-CN"/>
              </w:rPr>
              <w:t>，定期送至有资质的危险废物处置单位进行处置。</w:t>
            </w:r>
          </w:p>
          <w:p w14:paraId="136A518C">
            <w:pPr>
              <w:pStyle w:val="195"/>
              <w:widowControl w:val="0"/>
              <w:spacing w:before="29" w:line="246" w:lineRule="auto"/>
              <w:ind w:left="114" w:right="106" w:hanging="1"/>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该项目危险废物</w:t>
            </w:r>
            <w:r>
              <w:rPr>
                <w:rFonts w:hint="eastAsia" w:ascii="Times New Roman" w:hAnsi="Times New Roman" w:cs="Times New Roman"/>
                <w:caps w:val="0"/>
                <w:smallCaps w:val="0"/>
                <w:color w:val="auto"/>
                <w:spacing w:val="0"/>
                <w:sz w:val="18"/>
                <w:szCs w:val="18"/>
                <w:highlight w:val="none"/>
                <w:lang w:val="en-US" w:eastAsia="zh-CN"/>
              </w:rPr>
              <w:t>贮存库</w:t>
            </w:r>
            <w:r>
              <w:rPr>
                <w:rFonts w:ascii="Times New Roman" w:hAnsi="Times New Roman" w:cs="Times New Roman"/>
                <w:caps w:val="0"/>
                <w:smallCaps w:val="0"/>
                <w:color w:val="auto"/>
                <w:spacing w:val="0"/>
                <w:sz w:val="18"/>
                <w:szCs w:val="18"/>
                <w:highlight w:val="none"/>
                <w:lang w:eastAsia="zh-CN"/>
              </w:rPr>
              <w:t>建筑面积</w:t>
            </w:r>
            <w:r>
              <w:rPr>
                <w:rFonts w:ascii="Times New Roman" w:hAnsi="Times New Roman" w:eastAsia="Times New Roman" w:cs="Times New Roman"/>
                <w:caps w:val="0"/>
                <w:smallCaps w:val="0"/>
                <w:color w:val="auto"/>
                <w:spacing w:val="0"/>
                <w:sz w:val="18"/>
                <w:szCs w:val="18"/>
                <w:highlight w:val="none"/>
                <w:lang w:eastAsia="zh-CN"/>
              </w:rPr>
              <w:t>270m²</w:t>
            </w:r>
            <w:r>
              <w:rPr>
                <w:rFonts w:hint="eastAsia" w:ascii="Times New Roman" w:hAnsi="Times New Roman" w:eastAsia="Times New Roman" w:cs="Times New Roman"/>
                <w:caps w:val="0"/>
                <w:smallCaps w:val="0"/>
                <w:color w:val="auto"/>
                <w:spacing w:val="0"/>
                <w:sz w:val="18"/>
                <w:szCs w:val="18"/>
                <w:highlight w:val="none"/>
                <w:lang w:eastAsia="zh-CN"/>
              </w:rPr>
              <w:t>，危废贮存库按照《危险废物贮存污染控制标准》（GB18597-2023）相关规定进行设置，对危废贮存库贮存区进行坡度设计；贮存区地面用坚固、防渗的材料建造，贮存区有耐腐蚀的硬化地面，</w:t>
            </w:r>
            <w:r>
              <w:rPr>
                <w:rFonts w:hint="eastAsia" w:ascii="Times New Roman" w:hAnsi="Times New Roman" w:eastAsia="Times New Roman" w:cs="Times New Roman"/>
                <w:caps w:val="0"/>
                <w:smallCaps w:val="0"/>
                <w:color w:val="auto"/>
                <w:spacing w:val="0"/>
                <w:sz w:val="18"/>
                <w:szCs w:val="18"/>
                <w:highlight w:val="none"/>
                <w:lang w:val="en-US" w:eastAsia="zh-CN"/>
              </w:rPr>
              <w:t>危险废物贮存库</w:t>
            </w:r>
            <w:r>
              <w:rPr>
                <w:rFonts w:hint="eastAsia" w:ascii="Times New Roman" w:hAnsi="Times New Roman" w:eastAsia="Times New Roman" w:cs="Times New Roman"/>
                <w:caps w:val="0"/>
                <w:smallCaps w:val="0"/>
                <w:color w:val="auto"/>
                <w:spacing w:val="0"/>
                <w:sz w:val="18"/>
                <w:szCs w:val="18"/>
                <w:highlight w:val="none"/>
                <w:lang w:eastAsia="zh-CN"/>
              </w:rPr>
              <w:t>整体加铺一层5mmPDHE膜抗渗层，沿墙上卷200mm，上部50mm厚C25细石混凝土保护层，</w:t>
            </w:r>
            <w:r>
              <w:rPr>
                <w:rFonts w:hint="eastAsia" w:ascii="Times New Roman" w:hAnsi="Times New Roman" w:eastAsia="Times New Roman" w:cs="Times New Roman"/>
                <w:caps w:val="0"/>
                <w:smallCaps w:val="0"/>
                <w:color w:val="auto"/>
                <w:spacing w:val="0"/>
                <w:sz w:val="18"/>
                <w:szCs w:val="18"/>
                <w:highlight w:val="none"/>
                <w:lang w:val="en-US" w:eastAsia="zh-CN"/>
              </w:rPr>
              <w:t>贮存区设有围堰，</w:t>
            </w:r>
            <w:r>
              <w:rPr>
                <w:rFonts w:hint="eastAsia" w:ascii="Times New Roman" w:hAnsi="Times New Roman" w:eastAsia="Times New Roman" w:cs="Times New Roman"/>
                <w:caps w:val="0"/>
                <w:smallCaps w:val="0"/>
                <w:color w:val="auto"/>
                <w:spacing w:val="0"/>
                <w:sz w:val="18"/>
                <w:szCs w:val="18"/>
                <w:highlight w:val="none"/>
                <w:lang w:eastAsia="zh-CN"/>
              </w:rPr>
              <w:t>渗透系数≤10</w:t>
            </w:r>
            <w:r>
              <w:rPr>
                <w:rFonts w:hint="eastAsia" w:ascii="Times New Roman" w:hAnsi="Times New Roman" w:eastAsia="Times New Roman" w:cs="Times New Roman"/>
                <w:caps w:val="0"/>
                <w:smallCaps w:val="0"/>
                <w:color w:val="auto"/>
                <w:spacing w:val="0"/>
                <w:sz w:val="18"/>
                <w:szCs w:val="18"/>
                <w:highlight w:val="none"/>
                <w:vertAlign w:val="superscript"/>
                <w:lang w:eastAsia="zh-CN"/>
              </w:rPr>
              <w:t>-10</w:t>
            </w:r>
            <w:r>
              <w:rPr>
                <w:rFonts w:hint="eastAsia" w:ascii="Times New Roman" w:hAnsi="Times New Roman" w:eastAsia="Times New Roman" w:cs="Times New Roman"/>
                <w:caps w:val="0"/>
                <w:smallCaps w:val="0"/>
                <w:color w:val="auto"/>
                <w:spacing w:val="0"/>
                <w:sz w:val="18"/>
                <w:szCs w:val="18"/>
                <w:highlight w:val="none"/>
                <w:lang w:eastAsia="zh-CN"/>
              </w:rPr>
              <w:t>cm/s，</w:t>
            </w:r>
            <w:r>
              <w:rPr>
                <w:rFonts w:hint="eastAsia" w:ascii="Times New Roman" w:hAnsi="Times New Roman" w:eastAsia="Times New Roman" w:cs="Times New Roman"/>
                <w:caps w:val="0"/>
                <w:smallCaps w:val="0"/>
                <w:color w:val="auto"/>
                <w:spacing w:val="0"/>
                <w:sz w:val="18"/>
                <w:szCs w:val="18"/>
                <w:highlight w:val="none"/>
                <w:lang w:val="en-US" w:eastAsia="zh-CN"/>
              </w:rPr>
              <w:t>并已</w:t>
            </w:r>
            <w:r>
              <w:rPr>
                <w:rFonts w:hint="eastAsia" w:ascii="Times New Roman" w:hAnsi="Times New Roman" w:eastAsia="Times New Roman" w:cs="Times New Roman"/>
                <w:caps w:val="0"/>
                <w:smallCaps w:val="0"/>
                <w:color w:val="auto"/>
                <w:spacing w:val="0"/>
                <w:sz w:val="18"/>
                <w:szCs w:val="18"/>
                <w:highlight w:val="none"/>
                <w:lang w:eastAsia="zh-CN"/>
              </w:rPr>
              <w:t>按照GB15562的规定设置警示标志，</w:t>
            </w:r>
            <w:r>
              <w:rPr>
                <w:rFonts w:hint="eastAsia" w:ascii="Times New Roman" w:hAnsi="Times New Roman" w:eastAsia="Times New Roman" w:cs="Times New Roman"/>
                <w:caps w:val="0"/>
                <w:smallCaps w:val="0"/>
                <w:color w:val="auto"/>
                <w:spacing w:val="0"/>
                <w:sz w:val="18"/>
                <w:szCs w:val="18"/>
                <w:highlight w:val="none"/>
                <w:lang w:val="en-US" w:eastAsia="zh-CN"/>
              </w:rPr>
              <w:t>危险废物贮存库照片见附件</w:t>
            </w:r>
            <w:r>
              <w:rPr>
                <w:rFonts w:hint="eastAsia" w:ascii="Times New Roman" w:hAnsi="Times New Roman" w:eastAsia="Times New Roman" w:cs="Times New Roman"/>
                <w:caps w:val="0"/>
                <w:smallCaps w:val="0"/>
                <w:color w:val="auto"/>
                <w:spacing w:val="0"/>
                <w:sz w:val="18"/>
                <w:szCs w:val="18"/>
                <w:highlight w:val="none"/>
                <w:lang w:eastAsia="zh-CN"/>
              </w:rPr>
              <w:t>。</w:t>
            </w:r>
          </w:p>
        </w:tc>
        <w:tc>
          <w:tcPr>
            <w:tcW w:w="5033" w:type="dxa"/>
            <w:vAlign w:val="center"/>
          </w:tcPr>
          <w:p w14:paraId="35BA9547">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废靶材、废防溅射板、纯水制备废渗透膜、废离子交换树脂定期由厂家进行回收，废玻璃基板、废背板玻璃、废包装材料定期外售回收单位。</w:t>
            </w:r>
          </w:p>
          <w:p w14:paraId="6EC82398">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项目生产过程产生的废真空罩、废石墨舟、破裂玻璃、废电池组件、收尘灰、废活性炭、化学包装材料、废机油、废</w:t>
            </w:r>
            <w:r>
              <w:rPr>
                <w:rFonts w:hint="eastAsia" w:cs="Times New Roman"/>
                <w:caps w:val="0"/>
                <w:smallCaps w:val="0"/>
                <w:color w:val="auto"/>
                <w:spacing w:val="0"/>
                <w:sz w:val="18"/>
                <w:szCs w:val="18"/>
                <w:highlight w:val="none"/>
                <w:lang w:eastAsia="zh-CN"/>
              </w:rPr>
              <w:t>润滑</w:t>
            </w:r>
            <w:r>
              <w:rPr>
                <w:rFonts w:ascii="Times New Roman" w:hAnsi="Times New Roman" w:cs="Times New Roman"/>
                <w:caps w:val="0"/>
                <w:smallCaps w:val="0"/>
                <w:color w:val="auto"/>
                <w:spacing w:val="0"/>
                <w:sz w:val="18"/>
                <w:szCs w:val="18"/>
                <w:highlight w:val="none"/>
                <w:lang w:eastAsia="zh-CN"/>
              </w:rPr>
              <w:t>油</w:t>
            </w:r>
            <w:r>
              <w:rPr>
                <w:rFonts w:hint="eastAsia" w:cs="Times New Roman"/>
                <w:caps w:val="0"/>
                <w:smallCaps w:val="0"/>
                <w:color w:val="auto"/>
                <w:spacing w:val="0"/>
                <w:sz w:val="18"/>
                <w:szCs w:val="18"/>
                <w:highlight w:val="none"/>
                <w:lang w:eastAsia="zh-CN"/>
              </w:rPr>
              <w:t>油</w:t>
            </w:r>
            <w:r>
              <w:rPr>
                <w:rFonts w:ascii="Times New Roman" w:hAnsi="Times New Roman" w:cs="Times New Roman"/>
                <w:caps w:val="0"/>
                <w:smallCaps w:val="0"/>
                <w:color w:val="auto"/>
                <w:spacing w:val="0"/>
                <w:sz w:val="18"/>
                <w:szCs w:val="18"/>
                <w:highlight w:val="none"/>
                <w:lang w:eastAsia="zh-CN"/>
              </w:rPr>
              <w:t>桶、</w:t>
            </w:r>
            <w:r>
              <w:rPr>
                <w:rFonts w:hint="eastAsia" w:cs="Times New Roman"/>
                <w:caps w:val="0"/>
                <w:smallCaps w:val="0"/>
                <w:color w:val="auto"/>
                <w:spacing w:val="0"/>
                <w:sz w:val="18"/>
                <w:szCs w:val="18"/>
                <w:highlight w:val="none"/>
                <w:lang w:eastAsia="zh-CN"/>
              </w:rPr>
              <w:t>废胶桶、</w:t>
            </w:r>
            <w:r>
              <w:rPr>
                <w:rFonts w:ascii="Times New Roman" w:hAnsi="Times New Roman" w:cs="Times New Roman"/>
                <w:caps w:val="0"/>
                <w:smallCaps w:val="0"/>
                <w:color w:val="auto"/>
                <w:spacing w:val="0"/>
                <w:sz w:val="18"/>
                <w:szCs w:val="18"/>
                <w:highlight w:val="none"/>
                <w:lang w:eastAsia="zh-CN"/>
              </w:rPr>
              <w:t>污水处理设施产生的废过滤膜、废反渗透膜、实验废液、污泥及蒸发结晶盐均属于危险废物，于危险废物贮存库暂存后交</w:t>
            </w:r>
            <w:r>
              <w:rPr>
                <w:rFonts w:hint="eastAsia" w:ascii="Times New Roman" w:hAnsi="Times New Roman" w:cs="Times New Roman"/>
                <w:caps w:val="0"/>
                <w:smallCaps w:val="0"/>
                <w:color w:val="auto"/>
                <w:spacing w:val="0"/>
                <w:sz w:val="18"/>
                <w:szCs w:val="18"/>
                <w:highlight w:val="none"/>
                <w:lang w:eastAsia="zh-CN"/>
              </w:rPr>
              <w:t>由</w:t>
            </w:r>
            <w:r>
              <w:rPr>
                <w:rFonts w:ascii="Times New Roman" w:hAnsi="Times New Roman" w:cs="Times New Roman"/>
                <w:caps w:val="0"/>
                <w:smallCaps w:val="0"/>
                <w:color w:val="auto"/>
                <w:spacing w:val="0"/>
                <w:sz w:val="18"/>
                <w:szCs w:val="18"/>
                <w:highlight w:val="none"/>
                <w:lang w:eastAsia="zh-CN"/>
              </w:rPr>
              <w:t>有危废资质单位处理。废铅蓄电池为危险废物，换下后直接由厂家回收，定不在厂区内暂存。</w:t>
            </w:r>
          </w:p>
        </w:tc>
        <w:tc>
          <w:tcPr>
            <w:tcW w:w="1651" w:type="dxa"/>
            <w:tcBorders>
              <w:right w:val="nil"/>
            </w:tcBorders>
            <w:vAlign w:val="center"/>
          </w:tcPr>
          <w:p w14:paraId="05923740">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新增废活性炭、废机油、废</w:t>
            </w:r>
            <w:r>
              <w:rPr>
                <w:rFonts w:hint="eastAsia" w:cs="Times New Roman"/>
                <w:caps w:val="0"/>
                <w:smallCaps w:val="0"/>
                <w:color w:val="auto"/>
                <w:spacing w:val="0"/>
                <w:sz w:val="18"/>
                <w:szCs w:val="18"/>
                <w:highlight w:val="none"/>
                <w:lang w:eastAsia="zh-CN"/>
              </w:rPr>
              <w:t>润滑</w:t>
            </w:r>
            <w:r>
              <w:rPr>
                <w:rFonts w:ascii="Times New Roman" w:hAnsi="Times New Roman" w:cs="Times New Roman"/>
                <w:caps w:val="0"/>
                <w:smallCaps w:val="0"/>
                <w:color w:val="auto"/>
                <w:spacing w:val="0"/>
                <w:sz w:val="18"/>
                <w:szCs w:val="18"/>
                <w:highlight w:val="none"/>
                <w:lang w:eastAsia="zh-CN"/>
              </w:rPr>
              <w:t>油</w:t>
            </w:r>
            <w:r>
              <w:rPr>
                <w:rFonts w:hint="eastAsia" w:cs="Times New Roman"/>
                <w:caps w:val="0"/>
                <w:smallCaps w:val="0"/>
                <w:color w:val="auto"/>
                <w:spacing w:val="0"/>
                <w:sz w:val="18"/>
                <w:szCs w:val="18"/>
                <w:highlight w:val="none"/>
                <w:lang w:eastAsia="zh-CN"/>
              </w:rPr>
              <w:t>油</w:t>
            </w:r>
            <w:r>
              <w:rPr>
                <w:rFonts w:ascii="Times New Roman" w:hAnsi="Times New Roman" w:cs="Times New Roman"/>
                <w:caps w:val="0"/>
                <w:smallCaps w:val="0"/>
                <w:color w:val="auto"/>
                <w:spacing w:val="0"/>
                <w:sz w:val="18"/>
                <w:szCs w:val="18"/>
                <w:highlight w:val="none"/>
                <w:lang w:eastAsia="zh-CN"/>
              </w:rPr>
              <w:t>桶、</w:t>
            </w:r>
            <w:r>
              <w:rPr>
                <w:rFonts w:hint="eastAsia" w:cs="Times New Roman"/>
                <w:caps w:val="0"/>
                <w:smallCaps w:val="0"/>
                <w:color w:val="auto"/>
                <w:spacing w:val="0"/>
                <w:sz w:val="18"/>
                <w:szCs w:val="18"/>
                <w:highlight w:val="none"/>
                <w:lang w:eastAsia="zh-CN"/>
              </w:rPr>
              <w:t>废胶桶、</w:t>
            </w:r>
            <w:r>
              <w:rPr>
                <w:rFonts w:ascii="Times New Roman" w:hAnsi="Times New Roman" w:cs="Times New Roman"/>
                <w:caps w:val="0"/>
                <w:smallCaps w:val="0"/>
                <w:color w:val="auto"/>
                <w:spacing w:val="0"/>
                <w:sz w:val="18"/>
                <w:szCs w:val="18"/>
                <w:highlight w:val="none"/>
                <w:lang w:eastAsia="zh-CN"/>
              </w:rPr>
              <w:t>污水处理设施产生的废过滤膜、废反渗透膜</w:t>
            </w:r>
            <w:r>
              <w:rPr>
                <w:rFonts w:hint="eastAsia" w:ascii="Times New Roman" w:hAnsi="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实验室废液、废铅蓄电</w:t>
            </w:r>
            <w:r>
              <w:rPr>
                <w:rFonts w:ascii="Times New Roman" w:hAnsi="Times New Roman" w:cs="Times New Roman"/>
                <w:caps w:val="0"/>
                <w:smallCaps w:val="0"/>
                <w:color w:val="auto"/>
                <w:spacing w:val="0"/>
                <w:sz w:val="18"/>
                <w:szCs w:val="18"/>
                <w:highlight w:val="none"/>
                <w:lang w:eastAsia="zh-CN"/>
              </w:rPr>
              <w:t>池等，危险废物贮存能力不变，不属于重大变动。</w:t>
            </w:r>
          </w:p>
        </w:tc>
      </w:tr>
      <w:tr w14:paraId="3A97C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326" w:type="dxa"/>
            <w:tcBorders>
              <w:left w:val="nil"/>
            </w:tcBorders>
            <w:vAlign w:val="center"/>
          </w:tcPr>
          <w:p w14:paraId="559890DE">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依托工程</w:t>
            </w:r>
          </w:p>
        </w:tc>
        <w:tc>
          <w:tcPr>
            <w:tcW w:w="563" w:type="dxa"/>
            <w:vAlign w:val="center"/>
          </w:tcPr>
          <w:p w14:paraId="1E3B5953">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rPr>
              <w:t>依托工程</w:t>
            </w:r>
          </w:p>
        </w:tc>
        <w:tc>
          <w:tcPr>
            <w:tcW w:w="6429" w:type="dxa"/>
            <w:vAlign w:val="center"/>
          </w:tcPr>
          <w:p w14:paraId="796255C7">
            <w:pPr>
              <w:pStyle w:val="195"/>
              <w:widowControl w:val="0"/>
              <w:snapToGrid w:val="0"/>
              <w:jc w:val="both"/>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佳木斯高新区污水处理厂，近期建设规模为</w:t>
            </w:r>
            <w:r>
              <w:rPr>
                <w:rFonts w:ascii="Times New Roman" w:hAnsi="Times New Roman" w:eastAsia="Times New Roman" w:cs="Times New Roman"/>
                <w:caps w:val="0"/>
                <w:smallCaps w:val="0"/>
                <w:color w:val="auto"/>
                <w:spacing w:val="0"/>
                <w:sz w:val="18"/>
                <w:szCs w:val="18"/>
                <w:highlight w:val="none"/>
                <w:lang w:eastAsia="zh-CN"/>
              </w:rPr>
              <w:t>3.5×10</w:t>
            </w:r>
            <w:r>
              <w:rPr>
                <w:rFonts w:ascii="Times New Roman" w:hAnsi="Times New Roman" w:eastAsia="Times New Roman" w:cs="Times New Roman"/>
                <w:caps w:val="0"/>
                <w:smallCaps w:val="0"/>
                <w:color w:val="auto"/>
                <w:spacing w:val="0"/>
                <w:sz w:val="18"/>
                <w:szCs w:val="18"/>
                <w:highlight w:val="none"/>
                <w:vertAlign w:val="superscript"/>
                <w:lang w:eastAsia="zh-CN"/>
              </w:rPr>
              <w:t>4</w:t>
            </w:r>
            <w:r>
              <w:rPr>
                <w:rFonts w:ascii="Times New Roman" w:hAnsi="Times New Roman" w:eastAsia="Times New Roman" w:cs="Times New Roman"/>
                <w:caps w:val="0"/>
                <w:smallCaps w:val="0"/>
                <w:color w:val="auto"/>
                <w:spacing w:val="0"/>
                <w:sz w:val="18"/>
                <w:szCs w:val="18"/>
                <w:highlight w:val="none"/>
                <w:lang w:eastAsia="zh-CN"/>
              </w:rPr>
              <w:t>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hint="eastAsia" w:ascii="Times New Roman" w:hAnsi="Times New Roman" w:cs="Times New Roman"/>
                <w:caps w:val="0"/>
                <w:smallCaps w:val="0"/>
                <w:color w:val="auto"/>
                <w:spacing w:val="0"/>
                <w:sz w:val="18"/>
                <w:szCs w:val="18"/>
                <w:highlight w:val="none"/>
                <w:lang w:eastAsia="zh-CN"/>
              </w:rPr>
              <w:t>/</w:t>
            </w:r>
            <w:r>
              <w:rPr>
                <w:rFonts w:ascii="Times New Roman" w:hAnsi="Times New Roman" w:eastAsia="Times New Roman" w:cs="Times New Roman"/>
                <w:caps w:val="0"/>
                <w:smallCaps w:val="0"/>
                <w:color w:val="auto"/>
                <w:spacing w:val="0"/>
                <w:sz w:val="18"/>
                <w:szCs w:val="18"/>
                <w:highlight w:val="none"/>
                <w:lang w:eastAsia="zh-CN"/>
              </w:rPr>
              <w:t>d</w:t>
            </w:r>
            <w:r>
              <w:rPr>
                <w:rFonts w:ascii="Times New Roman" w:hAnsi="Times New Roman" w:cs="Times New Roman"/>
                <w:caps w:val="0"/>
                <w:smallCaps w:val="0"/>
                <w:color w:val="auto"/>
                <w:spacing w:val="0"/>
                <w:sz w:val="18"/>
                <w:szCs w:val="18"/>
                <w:highlight w:val="none"/>
                <w:lang w:eastAsia="zh-CN"/>
              </w:rPr>
              <w:t>，远期总处理规模为</w:t>
            </w:r>
            <w:r>
              <w:rPr>
                <w:rFonts w:ascii="Times New Roman" w:hAnsi="Times New Roman" w:eastAsia="Times New Roman" w:cs="Times New Roman"/>
                <w:caps w:val="0"/>
                <w:smallCaps w:val="0"/>
                <w:color w:val="auto"/>
                <w:spacing w:val="0"/>
                <w:sz w:val="18"/>
                <w:szCs w:val="18"/>
                <w:highlight w:val="none"/>
                <w:lang w:eastAsia="zh-CN"/>
              </w:rPr>
              <w:t>7.5</w:t>
            </w:r>
            <w:r>
              <w:rPr>
                <w:rFonts w:ascii="Times New Roman" w:hAnsi="Times New Roman" w:cs="Times New Roman"/>
                <w:caps w:val="0"/>
                <w:smallCaps w:val="0"/>
                <w:color w:val="auto"/>
                <w:spacing w:val="0"/>
                <w:sz w:val="18"/>
                <w:szCs w:val="18"/>
                <w:highlight w:val="none"/>
                <w:lang w:eastAsia="zh-CN"/>
              </w:rPr>
              <w:t>万</w:t>
            </w:r>
            <w:r>
              <w:rPr>
                <w:rFonts w:ascii="Times New Roman" w:hAnsi="Times New Roman" w:eastAsia="Times New Roman" w:cs="Times New Roman"/>
                <w:caps w:val="0"/>
                <w:smallCaps w:val="0"/>
                <w:color w:val="auto"/>
                <w:spacing w:val="0"/>
                <w:sz w:val="18"/>
                <w:szCs w:val="18"/>
                <w:highlight w:val="none"/>
                <w:lang w:eastAsia="zh-CN"/>
              </w:rPr>
              <w:t>m</w:t>
            </w:r>
            <w:r>
              <w:rPr>
                <w:rFonts w:hint="eastAsia" w:ascii="Times New Roman" w:hAnsi="Times New Roman" w:cs="Times New Roman"/>
                <w:caps w:val="0"/>
                <w:smallCaps w:val="0"/>
                <w:color w:val="auto"/>
                <w:spacing w:val="0"/>
                <w:sz w:val="18"/>
                <w:szCs w:val="18"/>
                <w:highlight w:val="none"/>
                <w:vertAlign w:val="superscript"/>
                <w:lang w:eastAsia="zh-CN"/>
              </w:rPr>
              <w:t>3</w:t>
            </w:r>
            <w:r>
              <w:rPr>
                <w:rFonts w:hint="eastAsia" w:ascii="Times New Roman" w:hAnsi="Times New Roman" w:cs="Times New Roman"/>
                <w:caps w:val="0"/>
                <w:smallCaps w:val="0"/>
                <w:color w:val="auto"/>
                <w:spacing w:val="0"/>
                <w:sz w:val="18"/>
                <w:szCs w:val="18"/>
                <w:highlight w:val="none"/>
                <w:lang w:eastAsia="zh-CN"/>
              </w:rPr>
              <w:t>/</w:t>
            </w:r>
            <w:r>
              <w:rPr>
                <w:rFonts w:ascii="Times New Roman" w:hAnsi="Times New Roman" w:eastAsia="Times New Roman" w:cs="Times New Roman"/>
                <w:caps w:val="0"/>
                <w:smallCaps w:val="0"/>
                <w:color w:val="auto"/>
                <w:spacing w:val="0"/>
                <w:sz w:val="18"/>
                <w:szCs w:val="18"/>
                <w:highlight w:val="none"/>
                <w:lang w:eastAsia="zh-CN"/>
              </w:rPr>
              <w:t>d</w:t>
            </w:r>
            <w:r>
              <w:rPr>
                <w:rFonts w:ascii="Times New Roman" w:hAnsi="Times New Roman" w:cs="Times New Roman"/>
                <w:caps w:val="0"/>
                <w:smallCaps w:val="0"/>
                <w:color w:val="auto"/>
                <w:spacing w:val="0"/>
                <w:sz w:val="18"/>
                <w:szCs w:val="18"/>
                <w:highlight w:val="none"/>
                <w:lang w:eastAsia="zh-CN"/>
              </w:rPr>
              <w:t>，配套新建污水管道</w:t>
            </w:r>
            <w:r>
              <w:rPr>
                <w:rFonts w:ascii="Times New Roman" w:hAnsi="Times New Roman" w:eastAsia="Times New Roman" w:cs="Times New Roman"/>
                <w:caps w:val="0"/>
                <w:smallCaps w:val="0"/>
                <w:color w:val="auto"/>
                <w:spacing w:val="0"/>
                <w:sz w:val="18"/>
                <w:szCs w:val="18"/>
                <w:highlight w:val="none"/>
                <w:lang w:eastAsia="zh-CN"/>
              </w:rPr>
              <w:t>8500m</w:t>
            </w:r>
            <w:r>
              <w:rPr>
                <w:rFonts w:ascii="Times New Roman" w:hAnsi="Times New Roman" w:cs="Times New Roman"/>
                <w:caps w:val="0"/>
                <w:smallCaps w:val="0"/>
                <w:color w:val="auto"/>
                <w:spacing w:val="0"/>
                <w:sz w:val="18"/>
                <w:szCs w:val="18"/>
                <w:highlight w:val="none"/>
                <w:lang w:eastAsia="zh-CN"/>
              </w:rPr>
              <w:t>。主体采用</w:t>
            </w:r>
            <w:r>
              <w:rPr>
                <w:rFonts w:ascii="Times New Roman" w:hAnsi="Times New Roman" w:eastAsia="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强化预处理工艺</w:t>
            </w:r>
            <w:r>
              <w:rPr>
                <w:rFonts w:ascii="Times New Roman" w:hAnsi="Times New Roman" w:eastAsia="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主体生化处理工艺（生物脱氮除磷）</w:t>
            </w:r>
            <w:r>
              <w:rPr>
                <w:rFonts w:ascii="Times New Roman" w:hAnsi="Times New Roman" w:eastAsia="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深度处理工艺</w:t>
            </w:r>
            <w:r>
              <w:rPr>
                <w:rFonts w:ascii="Times New Roman" w:hAnsi="Times New Roman" w:eastAsia="Times New Roman" w:cs="Times New Roman"/>
                <w:caps w:val="0"/>
                <w:smallCaps w:val="0"/>
                <w:color w:val="auto"/>
                <w:spacing w:val="0"/>
                <w:sz w:val="18"/>
                <w:szCs w:val="18"/>
                <w:highlight w:val="none"/>
                <w:lang w:eastAsia="zh-CN"/>
              </w:rPr>
              <w:t>”</w:t>
            </w:r>
            <w:r>
              <w:rPr>
                <w:rFonts w:ascii="Times New Roman" w:hAnsi="Times New Roman" w:cs="Times New Roman"/>
                <w:caps w:val="0"/>
                <w:smallCaps w:val="0"/>
                <w:color w:val="auto"/>
                <w:spacing w:val="0"/>
                <w:sz w:val="18"/>
                <w:szCs w:val="18"/>
                <w:highlight w:val="none"/>
                <w:lang w:eastAsia="zh-CN"/>
              </w:rPr>
              <w:t>，消毒采用紫外线消毒，处理后水质达到《城镇污水处理厂污染物排放标准（</w:t>
            </w:r>
            <w:r>
              <w:rPr>
                <w:rFonts w:ascii="Times New Roman" w:hAnsi="Times New Roman" w:eastAsia="Times New Roman" w:cs="Times New Roman"/>
                <w:caps w:val="0"/>
                <w:smallCaps w:val="0"/>
                <w:color w:val="auto"/>
                <w:spacing w:val="0"/>
                <w:sz w:val="18"/>
                <w:szCs w:val="18"/>
                <w:highlight w:val="none"/>
                <w:lang w:eastAsia="zh-CN"/>
              </w:rPr>
              <w:t>GB18918-2002</w:t>
            </w:r>
            <w:r>
              <w:rPr>
                <w:rFonts w:ascii="Times New Roman" w:hAnsi="Times New Roman" w:cs="Times New Roman"/>
                <w:caps w:val="0"/>
                <w:smallCaps w:val="0"/>
                <w:color w:val="auto"/>
                <w:spacing w:val="0"/>
                <w:sz w:val="18"/>
                <w:szCs w:val="18"/>
                <w:highlight w:val="none"/>
                <w:lang w:eastAsia="zh-CN"/>
              </w:rPr>
              <w:t>）一级</w:t>
            </w:r>
            <w:r>
              <w:rPr>
                <w:rFonts w:ascii="Times New Roman" w:hAnsi="Times New Roman" w:eastAsia="Times New Roman" w:cs="Times New Roman"/>
                <w:caps w:val="0"/>
                <w:smallCaps w:val="0"/>
                <w:color w:val="auto"/>
                <w:spacing w:val="0"/>
                <w:sz w:val="18"/>
                <w:szCs w:val="18"/>
                <w:highlight w:val="none"/>
                <w:lang w:eastAsia="zh-CN"/>
              </w:rPr>
              <w:t>A</w:t>
            </w:r>
            <w:r>
              <w:rPr>
                <w:rFonts w:ascii="Times New Roman" w:hAnsi="Times New Roman" w:cs="Times New Roman"/>
                <w:caps w:val="0"/>
                <w:smallCaps w:val="0"/>
                <w:color w:val="auto"/>
                <w:spacing w:val="0"/>
                <w:sz w:val="18"/>
                <w:szCs w:val="18"/>
                <w:highlight w:val="none"/>
                <w:lang w:eastAsia="zh-CN"/>
              </w:rPr>
              <w:t>标准后排入音达木河</w:t>
            </w:r>
            <w:r>
              <w:rPr>
                <w:rFonts w:hint="eastAsia" w:ascii="Times New Roman" w:hAnsi="Times New Roman" w:cs="Times New Roman"/>
                <w:caps w:val="0"/>
                <w:smallCaps w:val="0"/>
                <w:color w:val="auto"/>
                <w:spacing w:val="0"/>
                <w:sz w:val="18"/>
                <w:szCs w:val="18"/>
                <w:highlight w:val="none"/>
                <w:lang w:eastAsia="zh-CN"/>
              </w:rPr>
              <w:t>，</w:t>
            </w:r>
            <w:r>
              <w:rPr>
                <w:rFonts w:hint="eastAsia" w:ascii="Times New Roman" w:hAnsi="Times New Roman" w:cs="Times New Roman"/>
                <w:caps w:val="0"/>
                <w:smallCaps w:val="0"/>
                <w:color w:val="auto"/>
                <w:spacing w:val="0"/>
                <w:sz w:val="18"/>
                <w:szCs w:val="18"/>
                <w:highlight w:val="none"/>
                <w:lang w:val="en-US" w:eastAsia="zh-CN"/>
              </w:rPr>
              <w:t>途经</w:t>
            </w:r>
            <w:r>
              <w:rPr>
                <w:rFonts w:hint="eastAsia" w:ascii="Times New Roman" w:hAnsi="Times New Roman" w:cs="Times New Roman"/>
                <w:caps w:val="0"/>
                <w:smallCaps w:val="0"/>
                <w:color w:val="auto"/>
                <w:spacing w:val="0"/>
                <w:sz w:val="18"/>
                <w:szCs w:val="18"/>
                <w:highlight w:val="none"/>
                <w:lang w:eastAsia="zh-CN"/>
              </w:rPr>
              <w:t>铃铛麦河</w:t>
            </w:r>
            <w:r>
              <w:rPr>
                <w:rFonts w:ascii="Times New Roman" w:hAnsi="Times New Roman" w:cs="Times New Roman"/>
                <w:caps w:val="0"/>
                <w:smallCaps w:val="0"/>
                <w:color w:val="auto"/>
                <w:spacing w:val="0"/>
                <w:sz w:val="18"/>
                <w:szCs w:val="18"/>
                <w:highlight w:val="none"/>
                <w:lang w:eastAsia="zh-CN"/>
              </w:rPr>
              <w:t>最终进入松花江。主要收集佳木斯高新区的污水，本项目在其收水范围内，且有排水管网。《佳木斯高新区污水处理项目环境影响报告书》现</w:t>
            </w:r>
            <w:r>
              <w:rPr>
                <w:rFonts w:hint="eastAsia" w:ascii="Times New Roman" w:hAnsi="Times New Roman" w:cs="Times New Roman"/>
                <w:caps w:val="0"/>
                <w:smallCaps w:val="0"/>
                <w:color w:val="auto"/>
                <w:spacing w:val="0"/>
                <w:sz w:val="18"/>
                <w:szCs w:val="18"/>
                <w:highlight w:val="none"/>
                <w:lang w:eastAsia="zh-CN"/>
              </w:rPr>
              <w:t>已</w:t>
            </w:r>
            <w:r>
              <w:rPr>
                <w:rFonts w:ascii="Times New Roman" w:hAnsi="Times New Roman" w:cs="Times New Roman"/>
                <w:caps w:val="0"/>
                <w:smallCaps w:val="0"/>
                <w:color w:val="auto"/>
                <w:spacing w:val="0"/>
                <w:sz w:val="18"/>
                <w:szCs w:val="18"/>
                <w:highlight w:val="none"/>
                <w:lang w:eastAsia="zh-CN"/>
              </w:rPr>
              <w:t>取得生态环境主管部门批复，已经开工建设，预计投产日期为</w:t>
            </w:r>
            <w:r>
              <w:rPr>
                <w:rFonts w:ascii="Times New Roman" w:hAnsi="Times New Roman" w:eastAsia="Times New Roman" w:cs="Times New Roman"/>
                <w:caps w:val="0"/>
                <w:smallCaps w:val="0"/>
                <w:color w:val="auto"/>
                <w:spacing w:val="0"/>
                <w:sz w:val="18"/>
                <w:szCs w:val="18"/>
                <w:highlight w:val="none"/>
                <w:lang w:eastAsia="zh-CN"/>
              </w:rPr>
              <w:t>2019</w:t>
            </w:r>
            <w:r>
              <w:rPr>
                <w:rFonts w:ascii="Times New Roman" w:hAnsi="Times New Roman" w:cs="Times New Roman"/>
                <w:caps w:val="0"/>
                <w:smallCaps w:val="0"/>
                <w:color w:val="auto"/>
                <w:spacing w:val="0"/>
                <w:sz w:val="18"/>
                <w:szCs w:val="18"/>
                <w:highlight w:val="none"/>
                <w:lang w:eastAsia="zh-CN"/>
              </w:rPr>
              <w:t>年年末，本项目计划于</w:t>
            </w:r>
            <w:r>
              <w:rPr>
                <w:rFonts w:ascii="Times New Roman" w:hAnsi="Times New Roman" w:eastAsia="Times New Roman" w:cs="Times New Roman"/>
                <w:caps w:val="0"/>
                <w:smallCaps w:val="0"/>
                <w:color w:val="auto"/>
                <w:spacing w:val="0"/>
                <w:sz w:val="18"/>
                <w:szCs w:val="18"/>
                <w:highlight w:val="none"/>
                <w:lang w:eastAsia="zh-CN"/>
              </w:rPr>
              <w:t>2020</w:t>
            </w:r>
            <w:r>
              <w:rPr>
                <w:rFonts w:ascii="Times New Roman" w:hAnsi="Times New Roman" w:cs="Times New Roman"/>
                <w:caps w:val="0"/>
                <w:smallCaps w:val="0"/>
                <w:color w:val="auto"/>
                <w:spacing w:val="0"/>
                <w:sz w:val="18"/>
                <w:szCs w:val="18"/>
                <w:highlight w:val="none"/>
                <w:lang w:eastAsia="zh-CN"/>
              </w:rPr>
              <w:t>年年末投产运行，本项目污水可以进入佳木斯高新区污水处理厂进行处理后达标外排。</w:t>
            </w:r>
          </w:p>
        </w:tc>
        <w:tc>
          <w:tcPr>
            <w:tcW w:w="5033" w:type="dxa"/>
            <w:vAlign w:val="center"/>
          </w:tcPr>
          <w:p w14:paraId="66E2E4D2">
            <w:pPr>
              <w:pStyle w:val="195"/>
              <w:widowControl w:val="0"/>
              <w:snapToGrid w:val="0"/>
              <w:jc w:val="center"/>
              <w:rPr>
                <w:rFonts w:ascii="Times New Roman" w:hAnsi="Times New Roman" w:cs="Times New Roman"/>
                <w:caps w:val="0"/>
                <w:smallCaps w:val="0"/>
                <w:color w:val="auto"/>
                <w:spacing w:val="0"/>
                <w:sz w:val="18"/>
                <w:szCs w:val="18"/>
                <w:highlight w:val="none"/>
              </w:rPr>
            </w:pPr>
            <w:r>
              <w:rPr>
                <w:rFonts w:ascii="Times New Roman" w:hAnsi="Times New Roman" w:cs="Times New Roman"/>
                <w:caps w:val="0"/>
                <w:smallCaps w:val="0"/>
                <w:color w:val="auto"/>
                <w:spacing w:val="0"/>
                <w:sz w:val="18"/>
                <w:szCs w:val="18"/>
                <w:highlight w:val="none"/>
                <w:lang w:eastAsia="zh-CN"/>
              </w:rPr>
              <w:t>/</w:t>
            </w:r>
          </w:p>
        </w:tc>
        <w:tc>
          <w:tcPr>
            <w:tcW w:w="1651" w:type="dxa"/>
            <w:tcBorders>
              <w:right w:val="nil"/>
            </w:tcBorders>
            <w:vAlign w:val="center"/>
          </w:tcPr>
          <w:p w14:paraId="64C2BF23">
            <w:pPr>
              <w:pStyle w:val="195"/>
              <w:widowControl w:val="0"/>
              <w:snapToGrid w:val="0"/>
              <w:jc w:val="center"/>
              <w:rPr>
                <w:rFonts w:ascii="Times New Roman" w:hAnsi="Times New Roman" w:cs="Times New Roman"/>
                <w:caps w:val="0"/>
                <w:smallCaps w:val="0"/>
                <w:color w:val="auto"/>
                <w:spacing w:val="0"/>
                <w:sz w:val="18"/>
                <w:szCs w:val="18"/>
                <w:highlight w:val="none"/>
                <w:lang w:eastAsia="zh-CN"/>
              </w:rPr>
            </w:pPr>
            <w:r>
              <w:rPr>
                <w:rFonts w:ascii="Times New Roman" w:hAnsi="Times New Roman" w:cs="Times New Roman"/>
                <w:caps w:val="0"/>
                <w:smallCaps w:val="0"/>
                <w:color w:val="auto"/>
                <w:spacing w:val="0"/>
                <w:sz w:val="18"/>
                <w:szCs w:val="18"/>
                <w:highlight w:val="none"/>
                <w:lang w:eastAsia="zh-CN"/>
              </w:rPr>
              <w:t>无变化</w:t>
            </w:r>
          </w:p>
        </w:tc>
      </w:tr>
    </w:tbl>
    <w:p w14:paraId="33CBE7BB">
      <w:pPr>
        <w:rPr>
          <w:caps w:val="0"/>
          <w:smallCaps w:val="0"/>
          <w:color w:val="auto"/>
          <w:spacing w:val="0"/>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r>
        <w:rPr>
          <w:caps w:val="0"/>
          <w:smallCaps w:val="0"/>
          <w:color w:val="auto"/>
          <w:spacing w:val="0"/>
          <w:sz w:val="18"/>
          <w:szCs w:val="18"/>
          <w:highlight w:val="none"/>
        </w:rPr>
        <w:br w:type="page"/>
      </w:r>
    </w:p>
    <w:p w14:paraId="6544EE46">
      <w:pPr>
        <w:pStyle w:val="5"/>
        <w:widowControl w:val="0"/>
        <w:rPr>
          <w:rFonts w:eastAsia="宋体"/>
          <w:caps w:val="0"/>
          <w:smallCaps w:val="0"/>
          <w:color w:val="auto"/>
          <w:spacing w:val="0"/>
          <w:sz w:val="30"/>
          <w:szCs w:val="30"/>
          <w:highlight w:val="none"/>
        </w:rPr>
      </w:pPr>
      <w:bookmarkStart w:id="76" w:name="_Toc477951946"/>
      <w:bookmarkStart w:id="77" w:name="_Toc15686"/>
      <w:r>
        <w:rPr>
          <w:rFonts w:eastAsia="宋体"/>
          <w:caps w:val="0"/>
          <w:smallCaps w:val="0"/>
          <w:color w:val="auto"/>
          <w:spacing w:val="0"/>
          <w:sz w:val="30"/>
          <w:szCs w:val="30"/>
          <w:highlight w:val="none"/>
        </w:rPr>
        <w:t>3.2.3组织结构与劳动定员</w:t>
      </w:r>
      <w:bookmarkEnd w:id="76"/>
      <w:bookmarkEnd w:id="77"/>
    </w:p>
    <w:p w14:paraId="051B996A">
      <w:pPr>
        <w:pStyle w:val="6"/>
        <w:widowControl w:val="0"/>
        <w:rPr>
          <w:rFonts w:eastAsia="宋体"/>
          <w:caps w:val="0"/>
          <w:smallCaps w:val="0"/>
          <w:color w:val="auto"/>
          <w:spacing w:val="0"/>
          <w:highlight w:val="none"/>
        </w:rPr>
      </w:pPr>
      <w:r>
        <w:rPr>
          <w:rFonts w:eastAsia="宋体"/>
          <w:caps w:val="0"/>
          <w:smallCaps w:val="0"/>
          <w:color w:val="auto"/>
          <w:spacing w:val="0"/>
          <w:highlight w:val="none"/>
        </w:rPr>
        <w:t>3.2.3.1劳动定员</w:t>
      </w:r>
    </w:p>
    <w:p w14:paraId="3E77D69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本项目不新增劳动定员，由厂区现有员工调配。</w:t>
      </w:r>
    </w:p>
    <w:p w14:paraId="79C5A610">
      <w:pPr>
        <w:pStyle w:val="6"/>
        <w:widowControl w:val="0"/>
        <w:rPr>
          <w:rFonts w:eastAsia="宋体"/>
          <w:caps w:val="0"/>
          <w:smallCaps w:val="0"/>
          <w:color w:val="auto"/>
          <w:spacing w:val="0"/>
          <w:highlight w:val="none"/>
        </w:rPr>
      </w:pPr>
      <w:r>
        <w:rPr>
          <w:rFonts w:eastAsia="宋体"/>
          <w:caps w:val="0"/>
          <w:smallCaps w:val="0"/>
          <w:color w:val="auto"/>
          <w:spacing w:val="0"/>
          <w:highlight w:val="none"/>
        </w:rPr>
        <w:t>3.1.3.2工作制度</w:t>
      </w:r>
    </w:p>
    <w:p w14:paraId="0E0E9859">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工作制度：项目年运行300天、3班/天、8小时/班。</w:t>
      </w:r>
    </w:p>
    <w:p w14:paraId="53EFE2CC">
      <w:pPr>
        <w:pStyle w:val="4"/>
        <w:widowControl w:val="0"/>
        <w:rPr>
          <w:rFonts w:eastAsia="宋体"/>
          <w:caps w:val="0"/>
          <w:smallCaps w:val="0"/>
          <w:color w:val="auto"/>
          <w:spacing w:val="0"/>
          <w:highlight w:val="none"/>
        </w:rPr>
      </w:pPr>
      <w:bookmarkStart w:id="78" w:name="_Toc477951947"/>
      <w:bookmarkStart w:id="79" w:name="_Toc17115"/>
      <w:r>
        <w:rPr>
          <w:rFonts w:eastAsia="宋体"/>
          <w:caps w:val="0"/>
          <w:smallCaps w:val="0"/>
          <w:color w:val="auto"/>
          <w:spacing w:val="0"/>
          <w:highlight w:val="none"/>
        </w:rPr>
        <w:t>3.3工程分析</w:t>
      </w:r>
      <w:bookmarkEnd w:id="78"/>
      <w:bookmarkEnd w:id="79"/>
    </w:p>
    <w:p w14:paraId="3E6B5B48">
      <w:pPr>
        <w:pStyle w:val="5"/>
        <w:widowControl w:val="0"/>
        <w:rPr>
          <w:rFonts w:eastAsia="宋体"/>
          <w:caps w:val="0"/>
          <w:smallCaps w:val="0"/>
          <w:color w:val="auto"/>
          <w:spacing w:val="0"/>
          <w:sz w:val="30"/>
          <w:szCs w:val="30"/>
          <w:highlight w:val="none"/>
        </w:rPr>
      </w:pPr>
      <w:bookmarkStart w:id="80" w:name="_Toc477951948"/>
      <w:bookmarkStart w:id="81" w:name="_Toc304"/>
      <w:r>
        <w:rPr>
          <w:rFonts w:eastAsia="宋体"/>
          <w:caps w:val="0"/>
          <w:smallCaps w:val="0"/>
          <w:color w:val="auto"/>
          <w:spacing w:val="0"/>
          <w:sz w:val="30"/>
          <w:szCs w:val="30"/>
          <w:highlight w:val="none"/>
        </w:rPr>
        <w:t>3.3.1生产规模</w:t>
      </w:r>
      <w:bookmarkEnd w:id="80"/>
      <w:bookmarkEnd w:id="81"/>
    </w:p>
    <w:p w14:paraId="7D9436AD">
      <w:pPr>
        <w:pStyle w:val="65"/>
        <w:widowControl w:val="0"/>
        <w:numPr>
          <w:ilvl w:val="0"/>
          <w:numId w:val="7"/>
        </w:numPr>
        <w:ind w:firstLine="480"/>
        <w:rPr>
          <w:rFonts w:eastAsia="宋体"/>
          <w:caps w:val="0"/>
          <w:smallCaps w:val="0"/>
          <w:color w:val="auto"/>
          <w:spacing w:val="0"/>
          <w:highlight w:val="none"/>
        </w:rPr>
      </w:pPr>
      <w:r>
        <w:rPr>
          <w:rFonts w:hint="eastAsia" w:eastAsia="宋体"/>
          <w:caps w:val="0"/>
          <w:smallCaps w:val="0"/>
          <w:color w:val="auto"/>
          <w:spacing w:val="0"/>
          <w:highlight w:val="none"/>
        </w:rPr>
        <w:t>原环评</w:t>
      </w:r>
      <w:r>
        <w:rPr>
          <w:rFonts w:eastAsia="宋体"/>
          <w:caps w:val="0"/>
          <w:smallCaps w:val="0"/>
          <w:color w:val="auto"/>
          <w:spacing w:val="0"/>
          <w:highlight w:val="none"/>
        </w:rPr>
        <w:t>生产规模</w:t>
      </w:r>
    </w:p>
    <w:p w14:paraId="72772F18">
      <w:pPr>
        <w:pStyle w:val="66"/>
        <w:widowControl w:val="0"/>
        <w:ind w:firstLine="44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 w:val="24"/>
          <w:szCs w:val="24"/>
          <w:highlight w:val="none"/>
        </w:rPr>
        <w:t>表3.3-1</w:t>
      </w:r>
      <w:r>
        <w:rPr>
          <w:rFonts w:hint="eastAsia" w:ascii="Times New Roman" w:hAnsi="Times New Roman" w:eastAsia="宋体" w:cs="Times New Roman"/>
          <w:b/>
          <w:bCs/>
          <w:caps w:val="0"/>
          <w:smallCaps w:val="0"/>
          <w:color w:val="auto"/>
          <w:spacing w:val="0"/>
          <w:sz w:val="24"/>
          <w:szCs w:val="24"/>
          <w:highlight w:val="none"/>
        </w:rPr>
        <w:t>原环评</w:t>
      </w:r>
      <w:r>
        <w:rPr>
          <w:rFonts w:ascii="Times New Roman" w:hAnsi="Times New Roman" w:eastAsia="宋体" w:cs="Times New Roman"/>
          <w:b/>
          <w:bCs/>
          <w:caps w:val="0"/>
          <w:smallCaps w:val="0"/>
          <w:color w:val="auto"/>
          <w:spacing w:val="0"/>
          <w:sz w:val="24"/>
          <w:szCs w:val="24"/>
          <w:highlight w:val="none"/>
        </w:rPr>
        <w:t>主要产品参数</w:t>
      </w:r>
    </w:p>
    <w:tbl>
      <w:tblPr>
        <w:tblStyle w:val="37"/>
        <w:tblW w:w="907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751"/>
        <w:gridCol w:w="1290"/>
        <w:gridCol w:w="1119"/>
        <w:gridCol w:w="1258"/>
        <w:gridCol w:w="1249"/>
        <w:gridCol w:w="3403"/>
      </w:tblGrid>
      <w:tr w14:paraId="4CA333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751" w:type="dxa"/>
            <w:tcBorders>
              <w:top w:val="single" w:color="auto" w:sz="8" w:space="0"/>
              <w:bottom w:val="single" w:color="auto" w:sz="8" w:space="0"/>
              <w:tl2br w:val="nil"/>
              <w:tr2bl w:val="nil"/>
            </w:tcBorders>
            <w:shd w:val="clear" w:color="auto" w:fill="auto"/>
            <w:vAlign w:val="center"/>
          </w:tcPr>
          <w:p w14:paraId="41BF6A3C">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序号</w:t>
            </w:r>
          </w:p>
        </w:tc>
        <w:tc>
          <w:tcPr>
            <w:tcW w:w="2409" w:type="dxa"/>
            <w:gridSpan w:val="2"/>
            <w:tcBorders>
              <w:top w:val="single" w:color="auto" w:sz="8" w:space="0"/>
              <w:bottom w:val="single" w:color="auto" w:sz="8" w:space="0"/>
              <w:tl2br w:val="nil"/>
              <w:tr2bl w:val="nil"/>
            </w:tcBorders>
            <w:vAlign w:val="center"/>
          </w:tcPr>
          <w:p w14:paraId="0AF3DFCD">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名称</w:t>
            </w:r>
          </w:p>
        </w:tc>
        <w:tc>
          <w:tcPr>
            <w:tcW w:w="1258" w:type="dxa"/>
            <w:tcBorders>
              <w:top w:val="single" w:color="auto" w:sz="8" w:space="0"/>
              <w:bottom w:val="single" w:color="auto" w:sz="8" w:space="0"/>
              <w:tl2br w:val="nil"/>
              <w:tr2bl w:val="nil"/>
            </w:tcBorders>
            <w:vAlign w:val="center"/>
          </w:tcPr>
          <w:p w14:paraId="09DFF4F9">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单位</w:t>
            </w:r>
          </w:p>
        </w:tc>
        <w:tc>
          <w:tcPr>
            <w:tcW w:w="1249" w:type="dxa"/>
            <w:tcBorders>
              <w:top w:val="single" w:color="auto" w:sz="8" w:space="0"/>
              <w:bottom w:val="single" w:color="auto" w:sz="8" w:space="0"/>
              <w:tl2br w:val="nil"/>
              <w:tr2bl w:val="nil"/>
            </w:tcBorders>
            <w:shd w:val="clear" w:color="auto" w:fill="auto"/>
            <w:vAlign w:val="center"/>
          </w:tcPr>
          <w:p w14:paraId="286403C7">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w:t>
            </w:r>
          </w:p>
        </w:tc>
        <w:tc>
          <w:tcPr>
            <w:tcW w:w="3403" w:type="dxa"/>
            <w:tcBorders>
              <w:top w:val="single" w:color="auto" w:sz="8" w:space="0"/>
              <w:bottom w:val="single" w:color="auto" w:sz="8" w:space="0"/>
              <w:tl2br w:val="nil"/>
              <w:tr2bl w:val="nil"/>
            </w:tcBorders>
            <w:shd w:val="clear" w:color="auto" w:fill="auto"/>
            <w:vAlign w:val="center"/>
          </w:tcPr>
          <w:p w14:paraId="4EEC0376">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备注</w:t>
            </w:r>
          </w:p>
        </w:tc>
      </w:tr>
      <w:tr w14:paraId="42C253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64" w:hRule="atLeast"/>
          <w:jc w:val="center"/>
        </w:trPr>
        <w:tc>
          <w:tcPr>
            <w:tcW w:w="751" w:type="dxa"/>
            <w:tcBorders>
              <w:top w:val="single" w:color="auto" w:sz="8" w:space="0"/>
              <w:tl2br w:val="nil"/>
              <w:tr2bl w:val="nil"/>
            </w:tcBorders>
            <w:shd w:val="clear" w:color="auto" w:fill="auto"/>
            <w:vAlign w:val="center"/>
          </w:tcPr>
          <w:p w14:paraId="6B43634F">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1</w:t>
            </w:r>
          </w:p>
        </w:tc>
        <w:tc>
          <w:tcPr>
            <w:tcW w:w="1290" w:type="dxa"/>
            <w:tcBorders>
              <w:top w:val="single" w:color="auto" w:sz="8" w:space="0"/>
              <w:tl2br w:val="nil"/>
              <w:tr2bl w:val="nil"/>
            </w:tcBorders>
            <w:vAlign w:val="center"/>
          </w:tcPr>
          <w:p w14:paraId="33330614">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碲化镉弱光发电玻璃</w:t>
            </w:r>
          </w:p>
        </w:tc>
        <w:tc>
          <w:tcPr>
            <w:tcW w:w="1119" w:type="dxa"/>
            <w:tcBorders>
              <w:top w:val="single" w:color="auto" w:sz="8" w:space="0"/>
              <w:tl2br w:val="nil"/>
              <w:tr2bl w:val="nil"/>
            </w:tcBorders>
            <w:vAlign w:val="center"/>
          </w:tcPr>
          <w:p w14:paraId="50D12D6F">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常规组件</w:t>
            </w:r>
          </w:p>
        </w:tc>
        <w:tc>
          <w:tcPr>
            <w:tcW w:w="1258" w:type="dxa"/>
            <w:tcBorders>
              <w:top w:val="single" w:color="auto" w:sz="8" w:space="0"/>
              <w:tl2br w:val="nil"/>
              <w:tr2bl w:val="nil"/>
            </w:tcBorders>
            <w:shd w:val="clear" w:color="auto" w:fill="auto"/>
            <w:vAlign w:val="center"/>
          </w:tcPr>
          <w:p w14:paraId="7A8F6A68">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MW/年</w:t>
            </w:r>
          </w:p>
        </w:tc>
        <w:tc>
          <w:tcPr>
            <w:tcW w:w="1249" w:type="dxa"/>
            <w:tcBorders>
              <w:top w:val="single" w:color="auto" w:sz="8" w:space="0"/>
              <w:tl2br w:val="nil"/>
              <w:tr2bl w:val="nil"/>
            </w:tcBorders>
            <w:shd w:val="clear" w:color="auto" w:fill="auto"/>
            <w:vAlign w:val="center"/>
          </w:tcPr>
          <w:p w14:paraId="52372778">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100</w:t>
            </w:r>
          </w:p>
        </w:tc>
        <w:tc>
          <w:tcPr>
            <w:tcW w:w="3403" w:type="dxa"/>
            <w:tcBorders>
              <w:top w:val="single" w:color="auto" w:sz="8" w:space="0"/>
              <w:tl2br w:val="nil"/>
              <w:tr2bl w:val="nil"/>
            </w:tcBorders>
            <w:shd w:val="clear" w:color="auto" w:fill="auto"/>
            <w:vAlign w:val="center"/>
          </w:tcPr>
          <w:p w14:paraId="29653230">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约</w:t>
            </w:r>
            <w:r>
              <w:rPr>
                <w:rFonts w:hint="eastAsia" w:ascii="Times New Roman" w:hAnsi="Times New Roman" w:eastAsia="宋体" w:cs="Times New Roman"/>
                <w:bCs/>
                <w:caps w:val="0"/>
                <w:smallCaps w:val="0"/>
                <w:color w:val="auto"/>
                <w:spacing w:val="0"/>
                <w:sz w:val="21"/>
                <w:highlight w:val="none"/>
              </w:rPr>
              <w:t>5184</w:t>
            </w:r>
            <w:r>
              <w:rPr>
                <w:rFonts w:ascii="Times New Roman" w:hAnsi="Times New Roman" w:eastAsia="宋体" w:cs="Times New Roman"/>
                <w:bCs/>
                <w:caps w:val="0"/>
                <w:smallCaps w:val="0"/>
                <w:color w:val="auto"/>
                <w:spacing w:val="0"/>
                <w:sz w:val="21"/>
                <w:highlight w:val="none"/>
              </w:rPr>
              <w:t>00片，单片尺寸1.6m×1.2m，厚度7mm，单片输出功率2</w:t>
            </w:r>
            <w:r>
              <w:rPr>
                <w:rFonts w:hint="eastAsia" w:ascii="Times New Roman" w:hAnsi="Times New Roman" w:eastAsia="宋体" w:cs="Times New Roman"/>
                <w:bCs/>
                <w:caps w:val="0"/>
                <w:smallCaps w:val="0"/>
                <w:color w:val="auto"/>
                <w:spacing w:val="0"/>
                <w:sz w:val="21"/>
                <w:highlight w:val="none"/>
              </w:rPr>
              <w:t>5</w:t>
            </w:r>
            <w:r>
              <w:rPr>
                <w:rFonts w:ascii="Times New Roman" w:hAnsi="Times New Roman" w:eastAsia="宋体" w:cs="Times New Roman"/>
                <w:bCs/>
                <w:caps w:val="0"/>
                <w:smallCaps w:val="0"/>
                <w:color w:val="auto"/>
                <w:spacing w:val="0"/>
                <w:sz w:val="21"/>
                <w:highlight w:val="none"/>
              </w:rPr>
              <w:t>0W</w:t>
            </w:r>
            <w:r>
              <w:rPr>
                <w:rFonts w:hint="eastAsia" w:ascii="Times New Roman" w:hAnsi="Times New Roman" w:eastAsia="宋体" w:cs="Times New Roman"/>
                <w:bCs/>
                <w:caps w:val="0"/>
                <w:smallCaps w:val="0"/>
                <w:color w:val="auto"/>
                <w:spacing w:val="0"/>
                <w:sz w:val="21"/>
                <w:highlight w:val="none"/>
              </w:rPr>
              <w:t>p</w:t>
            </w:r>
            <w:r>
              <w:rPr>
                <w:rFonts w:ascii="Times New Roman" w:hAnsi="Times New Roman" w:eastAsia="宋体" w:cs="Times New Roman"/>
                <w:bCs/>
                <w:caps w:val="0"/>
                <w:smallCaps w:val="0"/>
                <w:color w:val="auto"/>
                <w:spacing w:val="0"/>
                <w:sz w:val="21"/>
                <w:highlight w:val="none"/>
              </w:rPr>
              <w:t>，总功率100MW</w:t>
            </w:r>
            <w:r>
              <w:rPr>
                <w:rFonts w:hint="eastAsia" w:ascii="Times New Roman" w:hAnsi="Times New Roman" w:eastAsia="宋体" w:cs="Times New Roman"/>
                <w:bCs/>
                <w:caps w:val="0"/>
                <w:smallCaps w:val="0"/>
                <w:color w:val="auto"/>
                <w:spacing w:val="0"/>
                <w:sz w:val="21"/>
                <w:highlight w:val="none"/>
              </w:rPr>
              <w:t>（峰值功率126MWp）</w:t>
            </w:r>
            <w:r>
              <w:rPr>
                <w:rFonts w:ascii="Times New Roman" w:hAnsi="Times New Roman" w:eastAsia="宋体" w:cs="Times New Roman"/>
                <w:bCs/>
                <w:caps w:val="0"/>
                <w:smallCaps w:val="0"/>
                <w:color w:val="auto"/>
                <w:spacing w:val="0"/>
                <w:sz w:val="21"/>
                <w:highlight w:val="none"/>
              </w:rPr>
              <w:t>，良品率约9</w:t>
            </w:r>
            <w:r>
              <w:rPr>
                <w:rFonts w:hint="eastAsia" w:ascii="Times New Roman" w:hAnsi="Times New Roman" w:eastAsia="宋体" w:cs="Times New Roman"/>
                <w:bCs/>
                <w:caps w:val="0"/>
                <w:smallCaps w:val="0"/>
                <w:color w:val="auto"/>
                <w:spacing w:val="0"/>
                <w:sz w:val="21"/>
                <w:highlight w:val="none"/>
              </w:rPr>
              <w:t>2</w:t>
            </w:r>
            <w:r>
              <w:rPr>
                <w:rFonts w:ascii="Times New Roman" w:hAnsi="Times New Roman" w:eastAsia="宋体" w:cs="Times New Roman"/>
                <w:bCs/>
                <w:caps w:val="0"/>
                <w:smallCaps w:val="0"/>
                <w:color w:val="auto"/>
                <w:spacing w:val="0"/>
                <w:sz w:val="21"/>
                <w:highlight w:val="none"/>
              </w:rPr>
              <w:t>%。</w:t>
            </w:r>
          </w:p>
        </w:tc>
      </w:tr>
    </w:tbl>
    <w:p w14:paraId="1A3F8A16">
      <w:pPr>
        <w:pStyle w:val="65"/>
        <w:widowControl w:val="0"/>
        <w:numPr>
          <w:ilvl w:val="0"/>
          <w:numId w:val="7"/>
        </w:numPr>
        <w:ind w:firstLine="480"/>
        <w:rPr>
          <w:rFonts w:eastAsia="宋体"/>
          <w:caps w:val="0"/>
          <w:smallCaps w:val="0"/>
          <w:color w:val="auto"/>
          <w:spacing w:val="0"/>
          <w:highlight w:val="none"/>
        </w:rPr>
      </w:pPr>
      <w:r>
        <w:rPr>
          <w:rFonts w:hint="eastAsia" w:eastAsia="宋体"/>
          <w:caps w:val="0"/>
          <w:smallCaps w:val="0"/>
          <w:color w:val="auto"/>
          <w:spacing w:val="0"/>
          <w:highlight w:val="none"/>
        </w:rPr>
        <w:t>本项目生产规模</w:t>
      </w:r>
    </w:p>
    <w:p w14:paraId="795F417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w:t>
      </w:r>
      <w:r>
        <w:rPr>
          <w:rFonts w:hint="eastAsia" w:eastAsia="宋体"/>
          <w:caps w:val="0"/>
          <w:smallCaps w:val="0"/>
          <w:color w:val="auto"/>
          <w:spacing w:val="0"/>
          <w:highlight w:val="none"/>
        </w:rPr>
        <w:t>建成</w:t>
      </w:r>
      <w:r>
        <w:rPr>
          <w:rFonts w:eastAsia="宋体"/>
          <w:caps w:val="0"/>
          <w:smallCaps w:val="0"/>
          <w:color w:val="auto"/>
          <w:spacing w:val="0"/>
          <w:highlight w:val="none"/>
        </w:rPr>
        <w:t>后生产碲化镉弱光发电玻璃100MW/年（412000片），营运期主要产品情况见表3.3-</w:t>
      </w:r>
      <w:r>
        <w:rPr>
          <w:rFonts w:hint="eastAsia" w:eastAsia="宋体"/>
          <w:caps w:val="0"/>
          <w:smallCaps w:val="0"/>
          <w:color w:val="auto"/>
          <w:spacing w:val="0"/>
          <w:highlight w:val="none"/>
        </w:rPr>
        <w:t>2</w:t>
      </w:r>
      <w:r>
        <w:rPr>
          <w:rFonts w:eastAsia="宋体"/>
          <w:caps w:val="0"/>
          <w:smallCaps w:val="0"/>
          <w:color w:val="auto"/>
          <w:spacing w:val="0"/>
          <w:highlight w:val="none"/>
        </w:rPr>
        <w:t>。</w:t>
      </w:r>
    </w:p>
    <w:p w14:paraId="426808AC">
      <w:pPr>
        <w:pStyle w:val="66"/>
        <w:widowControl w:val="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表3.3-</w:t>
      </w:r>
      <w:r>
        <w:rPr>
          <w:rFonts w:hint="eastAsia" w:ascii="Times New Roman" w:hAnsi="Times New Roman" w:eastAsia="宋体" w:cs="Times New Roman"/>
          <w:b/>
          <w:bCs/>
          <w:caps w:val="0"/>
          <w:smallCaps w:val="0"/>
          <w:color w:val="auto"/>
          <w:spacing w:val="0"/>
          <w:sz w:val="24"/>
          <w:szCs w:val="24"/>
          <w:highlight w:val="none"/>
        </w:rPr>
        <w:t>2</w:t>
      </w:r>
      <w:r>
        <w:rPr>
          <w:rFonts w:ascii="Times New Roman" w:hAnsi="Times New Roman" w:eastAsia="宋体" w:cs="Times New Roman"/>
          <w:b/>
          <w:bCs/>
          <w:caps w:val="0"/>
          <w:smallCaps w:val="0"/>
          <w:color w:val="auto"/>
          <w:spacing w:val="0"/>
          <w:sz w:val="24"/>
          <w:szCs w:val="24"/>
          <w:highlight w:val="none"/>
        </w:rPr>
        <w:t>主要产品参数</w:t>
      </w:r>
    </w:p>
    <w:tbl>
      <w:tblPr>
        <w:tblStyle w:val="37"/>
        <w:tblW w:w="907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751"/>
        <w:gridCol w:w="1290"/>
        <w:gridCol w:w="1119"/>
        <w:gridCol w:w="1258"/>
        <w:gridCol w:w="1249"/>
        <w:gridCol w:w="3403"/>
      </w:tblGrid>
      <w:tr w14:paraId="716F41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751" w:type="dxa"/>
            <w:tcBorders>
              <w:top w:val="single" w:color="auto" w:sz="8" w:space="0"/>
              <w:bottom w:val="single" w:color="auto" w:sz="8" w:space="0"/>
              <w:tl2br w:val="nil"/>
              <w:tr2bl w:val="nil"/>
            </w:tcBorders>
            <w:shd w:val="clear" w:color="auto" w:fill="auto"/>
            <w:vAlign w:val="center"/>
          </w:tcPr>
          <w:p w14:paraId="0254159F">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bookmarkStart w:id="82" w:name="_Toc477951949"/>
            <w:r>
              <w:rPr>
                <w:rFonts w:ascii="Times New Roman" w:hAnsi="Times New Roman" w:eastAsia="宋体" w:cs="Times New Roman"/>
                <w:b/>
                <w:caps w:val="0"/>
                <w:smallCaps w:val="0"/>
                <w:color w:val="auto"/>
                <w:spacing w:val="0"/>
                <w:sz w:val="21"/>
                <w:highlight w:val="none"/>
              </w:rPr>
              <w:t>序号</w:t>
            </w:r>
          </w:p>
        </w:tc>
        <w:tc>
          <w:tcPr>
            <w:tcW w:w="2409" w:type="dxa"/>
            <w:gridSpan w:val="2"/>
            <w:tcBorders>
              <w:top w:val="single" w:color="auto" w:sz="8" w:space="0"/>
              <w:bottom w:val="single" w:color="auto" w:sz="8" w:space="0"/>
              <w:tl2br w:val="nil"/>
              <w:tr2bl w:val="nil"/>
            </w:tcBorders>
            <w:vAlign w:val="center"/>
          </w:tcPr>
          <w:p w14:paraId="3DEF579D">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名称</w:t>
            </w:r>
          </w:p>
        </w:tc>
        <w:tc>
          <w:tcPr>
            <w:tcW w:w="1258" w:type="dxa"/>
            <w:tcBorders>
              <w:top w:val="single" w:color="auto" w:sz="8" w:space="0"/>
              <w:bottom w:val="single" w:color="auto" w:sz="8" w:space="0"/>
              <w:tl2br w:val="nil"/>
              <w:tr2bl w:val="nil"/>
            </w:tcBorders>
            <w:vAlign w:val="center"/>
          </w:tcPr>
          <w:p w14:paraId="10259371">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单位</w:t>
            </w:r>
          </w:p>
        </w:tc>
        <w:tc>
          <w:tcPr>
            <w:tcW w:w="1249" w:type="dxa"/>
            <w:tcBorders>
              <w:top w:val="single" w:color="auto" w:sz="8" w:space="0"/>
              <w:bottom w:val="single" w:color="auto" w:sz="8" w:space="0"/>
              <w:tl2br w:val="nil"/>
              <w:tr2bl w:val="nil"/>
            </w:tcBorders>
            <w:shd w:val="clear" w:color="auto" w:fill="auto"/>
            <w:vAlign w:val="center"/>
          </w:tcPr>
          <w:p w14:paraId="2264F8AC">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w:t>
            </w:r>
          </w:p>
        </w:tc>
        <w:tc>
          <w:tcPr>
            <w:tcW w:w="3403" w:type="dxa"/>
            <w:tcBorders>
              <w:top w:val="single" w:color="auto" w:sz="8" w:space="0"/>
              <w:bottom w:val="single" w:color="auto" w:sz="8" w:space="0"/>
              <w:tl2br w:val="nil"/>
              <w:tr2bl w:val="nil"/>
            </w:tcBorders>
            <w:shd w:val="clear" w:color="auto" w:fill="auto"/>
            <w:vAlign w:val="center"/>
          </w:tcPr>
          <w:p w14:paraId="5185306D">
            <w:pPr>
              <w:widowControl w:val="0"/>
              <w:snapToGrid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备注</w:t>
            </w:r>
          </w:p>
        </w:tc>
      </w:tr>
      <w:tr w14:paraId="37CFC8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64" w:hRule="atLeast"/>
          <w:jc w:val="center"/>
        </w:trPr>
        <w:tc>
          <w:tcPr>
            <w:tcW w:w="751" w:type="dxa"/>
            <w:vMerge w:val="restart"/>
            <w:tcBorders>
              <w:top w:val="single" w:color="auto" w:sz="8" w:space="0"/>
              <w:tl2br w:val="nil"/>
              <w:tr2bl w:val="nil"/>
            </w:tcBorders>
            <w:shd w:val="clear" w:color="auto" w:fill="auto"/>
            <w:vAlign w:val="center"/>
          </w:tcPr>
          <w:p w14:paraId="7420F574">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1</w:t>
            </w:r>
          </w:p>
        </w:tc>
        <w:tc>
          <w:tcPr>
            <w:tcW w:w="1290" w:type="dxa"/>
            <w:vMerge w:val="restart"/>
            <w:tcBorders>
              <w:top w:val="single" w:color="auto" w:sz="8" w:space="0"/>
              <w:tl2br w:val="nil"/>
              <w:tr2bl w:val="nil"/>
            </w:tcBorders>
            <w:vAlign w:val="center"/>
          </w:tcPr>
          <w:p w14:paraId="21938CCC">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碲化镉弱光发电玻璃</w:t>
            </w:r>
          </w:p>
        </w:tc>
        <w:tc>
          <w:tcPr>
            <w:tcW w:w="1119" w:type="dxa"/>
            <w:tcBorders>
              <w:top w:val="single" w:color="auto" w:sz="8" w:space="0"/>
              <w:tl2br w:val="nil"/>
              <w:tr2bl w:val="nil"/>
            </w:tcBorders>
            <w:vAlign w:val="center"/>
          </w:tcPr>
          <w:p w14:paraId="24082F45">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常规组件</w:t>
            </w:r>
          </w:p>
        </w:tc>
        <w:tc>
          <w:tcPr>
            <w:tcW w:w="1258" w:type="dxa"/>
            <w:tcBorders>
              <w:top w:val="single" w:color="auto" w:sz="8" w:space="0"/>
              <w:tl2br w:val="nil"/>
              <w:tr2bl w:val="nil"/>
            </w:tcBorders>
            <w:shd w:val="clear" w:color="auto" w:fill="auto"/>
            <w:vAlign w:val="center"/>
          </w:tcPr>
          <w:p w14:paraId="658F5240">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MW/年</w:t>
            </w:r>
          </w:p>
        </w:tc>
        <w:tc>
          <w:tcPr>
            <w:tcW w:w="1249" w:type="dxa"/>
            <w:tcBorders>
              <w:top w:val="single" w:color="auto" w:sz="8" w:space="0"/>
              <w:tl2br w:val="nil"/>
              <w:tr2bl w:val="nil"/>
            </w:tcBorders>
            <w:shd w:val="clear" w:color="auto" w:fill="auto"/>
            <w:vAlign w:val="center"/>
          </w:tcPr>
          <w:p w14:paraId="3630A267">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95</w:t>
            </w:r>
          </w:p>
        </w:tc>
        <w:tc>
          <w:tcPr>
            <w:tcW w:w="3403" w:type="dxa"/>
            <w:vMerge w:val="restart"/>
            <w:tcBorders>
              <w:top w:val="single" w:color="auto" w:sz="8" w:space="0"/>
              <w:tl2br w:val="nil"/>
              <w:tr2bl w:val="nil"/>
            </w:tcBorders>
            <w:shd w:val="clear" w:color="auto" w:fill="auto"/>
            <w:vAlign w:val="center"/>
          </w:tcPr>
          <w:p w14:paraId="05B17292">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约412000片，单片尺寸1.6m×1.2m，厚度7mm，单片输出功率280W，总功率100MW，良品率约95%。</w:t>
            </w:r>
          </w:p>
        </w:tc>
      </w:tr>
      <w:tr w14:paraId="48C8F2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64" w:hRule="atLeast"/>
          <w:jc w:val="center"/>
        </w:trPr>
        <w:tc>
          <w:tcPr>
            <w:tcW w:w="751" w:type="dxa"/>
            <w:vMerge w:val="continue"/>
            <w:tcBorders>
              <w:tl2br w:val="nil"/>
              <w:tr2bl w:val="nil"/>
            </w:tcBorders>
            <w:shd w:val="clear" w:color="auto" w:fill="auto"/>
            <w:vAlign w:val="center"/>
          </w:tcPr>
          <w:p w14:paraId="768D1940">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p>
        </w:tc>
        <w:tc>
          <w:tcPr>
            <w:tcW w:w="1290" w:type="dxa"/>
            <w:vMerge w:val="continue"/>
            <w:tcBorders>
              <w:tl2br w:val="nil"/>
              <w:tr2bl w:val="nil"/>
            </w:tcBorders>
            <w:vAlign w:val="center"/>
          </w:tcPr>
          <w:p w14:paraId="099C423A">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p>
        </w:tc>
        <w:tc>
          <w:tcPr>
            <w:tcW w:w="1119" w:type="dxa"/>
            <w:tcBorders>
              <w:tl2br w:val="nil"/>
              <w:tr2bl w:val="nil"/>
            </w:tcBorders>
            <w:vAlign w:val="center"/>
          </w:tcPr>
          <w:p w14:paraId="05D69A49">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透光组件</w:t>
            </w:r>
          </w:p>
        </w:tc>
        <w:tc>
          <w:tcPr>
            <w:tcW w:w="1258" w:type="dxa"/>
            <w:tcBorders>
              <w:tl2br w:val="nil"/>
              <w:tr2bl w:val="nil"/>
            </w:tcBorders>
            <w:shd w:val="clear" w:color="auto" w:fill="auto"/>
            <w:vAlign w:val="center"/>
          </w:tcPr>
          <w:p w14:paraId="7A02A3C1">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MW/年</w:t>
            </w:r>
          </w:p>
        </w:tc>
        <w:tc>
          <w:tcPr>
            <w:tcW w:w="1249" w:type="dxa"/>
            <w:tcBorders>
              <w:tl2br w:val="nil"/>
              <w:tr2bl w:val="nil"/>
            </w:tcBorders>
            <w:shd w:val="clear" w:color="auto" w:fill="auto"/>
            <w:vAlign w:val="center"/>
          </w:tcPr>
          <w:p w14:paraId="16378BF6">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3</w:t>
            </w:r>
          </w:p>
        </w:tc>
        <w:tc>
          <w:tcPr>
            <w:tcW w:w="3403" w:type="dxa"/>
            <w:vMerge w:val="continue"/>
            <w:tcBorders>
              <w:tl2br w:val="nil"/>
              <w:tr2bl w:val="nil"/>
            </w:tcBorders>
            <w:shd w:val="clear" w:color="auto" w:fill="auto"/>
            <w:vAlign w:val="center"/>
          </w:tcPr>
          <w:p w14:paraId="4AF741CD">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p>
        </w:tc>
      </w:tr>
      <w:tr w14:paraId="345E47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14" w:hRule="atLeast"/>
          <w:jc w:val="center"/>
        </w:trPr>
        <w:tc>
          <w:tcPr>
            <w:tcW w:w="751" w:type="dxa"/>
            <w:vMerge w:val="continue"/>
            <w:tcBorders>
              <w:tl2br w:val="nil"/>
              <w:tr2bl w:val="nil"/>
            </w:tcBorders>
            <w:shd w:val="clear" w:color="auto" w:fill="auto"/>
            <w:vAlign w:val="center"/>
          </w:tcPr>
          <w:p w14:paraId="1D60EF7A">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p>
        </w:tc>
        <w:tc>
          <w:tcPr>
            <w:tcW w:w="1290" w:type="dxa"/>
            <w:vMerge w:val="continue"/>
            <w:tcBorders>
              <w:tl2br w:val="nil"/>
              <w:tr2bl w:val="nil"/>
            </w:tcBorders>
            <w:vAlign w:val="center"/>
          </w:tcPr>
          <w:p w14:paraId="284F832F">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p>
        </w:tc>
        <w:tc>
          <w:tcPr>
            <w:tcW w:w="1119" w:type="dxa"/>
            <w:tcBorders>
              <w:tl2br w:val="nil"/>
              <w:tr2bl w:val="nil"/>
            </w:tcBorders>
            <w:vAlign w:val="center"/>
          </w:tcPr>
          <w:p w14:paraId="060A196D">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异型组件</w:t>
            </w:r>
          </w:p>
        </w:tc>
        <w:tc>
          <w:tcPr>
            <w:tcW w:w="1258" w:type="dxa"/>
            <w:tcBorders>
              <w:tl2br w:val="nil"/>
              <w:tr2bl w:val="nil"/>
            </w:tcBorders>
            <w:shd w:val="clear" w:color="auto" w:fill="auto"/>
            <w:vAlign w:val="center"/>
          </w:tcPr>
          <w:p w14:paraId="1A6B72D6">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MW/年</w:t>
            </w:r>
          </w:p>
        </w:tc>
        <w:tc>
          <w:tcPr>
            <w:tcW w:w="1249" w:type="dxa"/>
            <w:tcBorders>
              <w:tl2br w:val="nil"/>
              <w:tr2bl w:val="nil"/>
            </w:tcBorders>
            <w:shd w:val="clear" w:color="auto" w:fill="auto"/>
            <w:vAlign w:val="center"/>
          </w:tcPr>
          <w:p w14:paraId="71FAD4F5">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2</w:t>
            </w:r>
          </w:p>
        </w:tc>
        <w:tc>
          <w:tcPr>
            <w:tcW w:w="3403" w:type="dxa"/>
            <w:vMerge w:val="continue"/>
            <w:tcBorders>
              <w:tl2br w:val="nil"/>
              <w:tr2bl w:val="nil"/>
            </w:tcBorders>
            <w:shd w:val="clear" w:color="auto" w:fill="auto"/>
            <w:vAlign w:val="center"/>
          </w:tcPr>
          <w:p w14:paraId="4145DEF9">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p>
        </w:tc>
      </w:tr>
      <w:tr w14:paraId="2EE32F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14" w:hRule="atLeast"/>
          <w:jc w:val="center"/>
        </w:trPr>
        <w:tc>
          <w:tcPr>
            <w:tcW w:w="9070" w:type="dxa"/>
            <w:gridSpan w:val="6"/>
            <w:tcBorders>
              <w:bottom w:val="single" w:color="auto" w:sz="8" w:space="0"/>
              <w:tl2br w:val="nil"/>
              <w:tr2bl w:val="nil"/>
            </w:tcBorders>
            <w:shd w:val="clear" w:color="auto" w:fill="auto"/>
            <w:vAlign w:val="center"/>
          </w:tcPr>
          <w:p w14:paraId="18D17FC7">
            <w:pPr>
              <w:widowControl w:val="0"/>
              <w:snapToGrid w:val="0"/>
              <w:spacing w:before="48" w:beforeLines="20" w:after="48" w:afterLines="2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产品标准符合IEC61646和IEC61730-1标准要求</w:t>
            </w:r>
          </w:p>
        </w:tc>
      </w:tr>
    </w:tbl>
    <w:p w14:paraId="7262094B">
      <w:pPr>
        <w:spacing w:line="360" w:lineRule="auto"/>
        <w:ind w:firstLine="480" w:firstLineChars="200"/>
        <w:rPr>
          <w:caps w:val="0"/>
          <w:smallCaps w:val="0"/>
          <w:color w:val="auto"/>
          <w:spacing w:val="0"/>
          <w:highlight w:val="none"/>
        </w:rPr>
      </w:pPr>
      <w:r>
        <w:rPr>
          <w:rFonts w:hint="eastAsia"/>
          <w:caps w:val="0"/>
          <w:smallCaps w:val="0"/>
          <w:color w:val="auto"/>
          <w:spacing w:val="0"/>
          <w:highlight w:val="none"/>
        </w:rPr>
        <w:t>产品由原有单一的常规组件变为三种规格组件，但总产能不</w:t>
      </w:r>
      <w:r>
        <w:rPr>
          <w:rFonts w:hint="eastAsia"/>
          <w:caps w:val="0"/>
          <w:smallCaps w:val="0"/>
          <w:color w:val="auto"/>
          <w:spacing w:val="0"/>
          <w:highlight w:val="none"/>
          <w:lang w:val="en-US" w:eastAsia="zh-CN"/>
        </w:rPr>
        <w:t>变</w:t>
      </w:r>
      <w:r>
        <w:rPr>
          <w:rFonts w:hint="eastAsia"/>
          <w:caps w:val="0"/>
          <w:smallCaps w:val="0"/>
          <w:color w:val="auto"/>
          <w:spacing w:val="0"/>
          <w:highlight w:val="none"/>
          <w:lang w:eastAsia="zh-CN"/>
        </w:rPr>
        <w:t>，</w:t>
      </w:r>
      <w:r>
        <w:rPr>
          <w:rFonts w:hint="eastAsia"/>
          <w:caps w:val="0"/>
          <w:smallCaps w:val="0"/>
          <w:color w:val="auto"/>
          <w:spacing w:val="0"/>
          <w:highlight w:val="none"/>
          <w:lang w:val="en-US" w:eastAsia="zh-CN"/>
        </w:rPr>
        <w:t>异型组件是</w:t>
      </w:r>
      <w:r>
        <w:rPr>
          <w:rFonts w:ascii="Times New Roman" w:hAnsi="Times New Roman" w:eastAsia="宋体" w:cs="Times New Roman"/>
          <w:caps w:val="0"/>
          <w:smallCaps w:val="0"/>
          <w:color w:val="auto"/>
          <w:spacing w:val="0"/>
          <w:kern w:val="0"/>
          <w:szCs w:val="24"/>
          <w:highlight w:val="none"/>
          <w:lang w:bidi="ar"/>
        </w:rPr>
        <w:t>根据市场定制化异型组件进行切割制作，切割</w:t>
      </w:r>
      <w:r>
        <w:rPr>
          <w:rFonts w:hint="eastAsia" w:ascii="Times New Roman" w:hAnsi="Times New Roman" w:eastAsia="宋体" w:cs="Times New Roman"/>
          <w:caps w:val="0"/>
          <w:smallCaps w:val="0"/>
          <w:color w:val="auto"/>
          <w:spacing w:val="0"/>
          <w:kern w:val="0"/>
          <w:szCs w:val="24"/>
          <w:highlight w:val="none"/>
          <w:lang w:val="en-US" w:eastAsia="zh-CN" w:bidi="ar"/>
        </w:rPr>
        <w:t>成</w:t>
      </w:r>
      <w:r>
        <w:rPr>
          <w:rFonts w:ascii="Times New Roman" w:hAnsi="Times New Roman" w:eastAsia="宋体" w:cs="Times New Roman"/>
          <w:caps w:val="0"/>
          <w:smallCaps w:val="0"/>
          <w:color w:val="auto"/>
          <w:spacing w:val="0"/>
          <w:kern w:val="0"/>
          <w:szCs w:val="24"/>
          <w:highlight w:val="none"/>
          <w:lang w:bidi="ar"/>
        </w:rPr>
        <w:t>不同形状或需求的产品</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与常规组件仅形状外观不同；</w:t>
      </w:r>
      <w:r>
        <w:rPr>
          <w:rFonts w:ascii="Times New Roman" w:hAnsi="Times New Roman" w:eastAsia="宋体" w:cs="Times New Roman"/>
          <w:caps w:val="0"/>
          <w:smallCaps w:val="0"/>
          <w:color w:val="auto"/>
          <w:spacing w:val="0"/>
          <w:kern w:val="0"/>
          <w:szCs w:val="24"/>
          <w:highlight w:val="none"/>
          <w:lang w:bidi="ar"/>
        </w:rPr>
        <w:t>透光组件工艺与常规组件工艺基本相同，区别之处在于在激光清边后增加P5激光工序，此过程用于增加组件的透光度</w:t>
      </w:r>
      <w:r>
        <w:rPr>
          <w:rFonts w:hint="eastAsia"/>
          <w:caps w:val="0"/>
          <w:smallCaps w:val="0"/>
          <w:color w:val="auto"/>
          <w:spacing w:val="0"/>
          <w:highlight w:val="none"/>
        </w:rPr>
        <w:t>。</w:t>
      </w:r>
    </w:p>
    <w:p w14:paraId="32E4238C">
      <w:pPr>
        <w:pStyle w:val="5"/>
        <w:widowControl w:val="0"/>
        <w:rPr>
          <w:rFonts w:eastAsia="宋体"/>
          <w:caps w:val="0"/>
          <w:smallCaps w:val="0"/>
          <w:color w:val="auto"/>
          <w:spacing w:val="0"/>
          <w:sz w:val="30"/>
          <w:szCs w:val="30"/>
          <w:highlight w:val="none"/>
        </w:rPr>
      </w:pPr>
      <w:bookmarkStart w:id="83" w:name="_Toc22560"/>
      <w:r>
        <w:rPr>
          <w:rFonts w:eastAsia="宋体"/>
          <w:caps w:val="0"/>
          <w:smallCaps w:val="0"/>
          <w:color w:val="auto"/>
          <w:spacing w:val="0"/>
          <w:sz w:val="30"/>
          <w:szCs w:val="30"/>
          <w:highlight w:val="none"/>
        </w:rPr>
        <w:t>3.3.2原辅材料</w:t>
      </w:r>
      <w:bookmarkEnd w:id="82"/>
      <w:bookmarkEnd w:id="83"/>
    </w:p>
    <w:p w14:paraId="29A3F90F">
      <w:pPr>
        <w:pStyle w:val="65"/>
        <w:widowControl w:val="0"/>
        <w:ind w:firstLine="480"/>
        <w:rPr>
          <w:rFonts w:eastAsia="宋体"/>
          <w:caps w:val="0"/>
          <w:smallCaps w:val="0"/>
          <w:color w:val="auto"/>
          <w:spacing w:val="0"/>
          <w:highlight w:val="none"/>
        </w:rPr>
      </w:pPr>
      <w:r>
        <w:rPr>
          <w:rFonts w:hint="eastAsia" w:eastAsia="宋体"/>
          <w:caps w:val="0"/>
          <w:smallCaps w:val="0"/>
          <w:color w:val="auto"/>
          <w:spacing w:val="0"/>
          <w:highlight w:val="none"/>
        </w:rPr>
        <w:t>1、原环评原料组成</w:t>
      </w:r>
    </w:p>
    <w:p w14:paraId="387767DA">
      <w:pPr>
        <w:pStyle w:val="66"/>
        <w:widowControl w:val="0"/>
        <w:ind w:firstLine="442"/>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 w:val="24"/>
          <w:szCs w:val="24"/>
          <w:highlight w:val="none"/>
        </w:rPr>
        <w:t>表3.3-</w:t>
      </w:r>
      <w:r>
        <w:rPr>
          <w:rFonts w:hint="eastAsia" w:ascii="Times New Roman" w:hAnsi="Times New Roman" w:eastAsia="宋体" w:cs="Times New Roman"/>
          <w:b/>
          <w:bCs/>
          <w:caps w:val="0"/>
          <w:smallCaps w:val="0"/>
          <w:color w:val="auto"/>
          <w:spacing w:val="0"/>
          <w:sz w:val="24"/>
          <w:szCs w:val="24"/>
          <w:highlight w:val="none"/>
        </w:rPr>
        <w:t>3原环评</w:t>
      </w:r>
      <w:r>
        <w:rPr>
          <w:rFonts w:ascii="Times New Roman" w:hAnsi="Times New Roman" w:eastAsia="宋体" w:cs="Times New Roman"/>
          <w:b/>
          <w:bCs/>
          <w:caps w:val="0"/>
          <w:smallCaps w:val="0"/>
          <w:color w:val="auto"/>
          <w:spacing w:val="0"/>
          <w:sz w:val="24"/>
          <w:szCs w:val="24"/>
          <w:highlight w:val="none"/>
        </w:rPr>
        <w:t>原料组成情况一览表</w:t>
      </w:r>
    </w:p>
    <w:tbl>
      <w:tblPr>
        <w:tblStyle w:val="17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599"/>
        <w:gridCol w:w="2396"/>
        <w:gridCol w:w="2634"/>
        <w:gridCol w:w="2441"/>
      </w:tblGrid>
      <w:tr w14:paraId="77AE73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881" w:type="pct"/>
            <w:tcBorders>
              <w:top w:val="single" w:color="auto" w:sz="8" w:space="0"/>
              <w:tl2br w:val="nil"/>
              <w:tr2bl w:val="nil"/>
            </w:tcBorders>
            <w:vAlign w:val="center"/>
          </w:tcPr>
          <w:p w14:paraId="33C82C8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序号</w:t>
            </w:r>
          </w:p>
        </w:tc>
        <w:tc>
          <w:tcPr>
            <w:tcW w:w="1320" w:type="pct"/>
            <w:tcBorders>
              <w:top w:val="single" w:color="auto" w:sz="8" w:space="0"/>
              <w:tl2br w:val="nil"/>
              <w:tr2bl w:val="nil"/>
            </w:tcBorders>
            <w:vAlign w:val="center"/>
          </w:tcPr>
          <w:p w14:paraId="4E94495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原料名称</w:t>
            </w:r>
          </w:p>
        </w:tc>
        <w:tc>
          <w:tcPr>
            <w:tcW w:w="1451" w:type="pct"/>
            <w:tcBorders>
              <w:top w:val="single" w:color="auto" w:sz="8" w:space="0"/>
              <w:tl2br w:val="nil"/>
              <w:tr2bl w:val="nil"/>
            </w:tcBorders>
            <w:vAlign w:val="center"/>
          </w:tcPr>
          <w:p w14:paraId="544CDB5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单位</w:t>
            </w:r>
          </w:p>
        </w:tc>
        <w:tc>
          <w:tcPr>
            <w:tcW w:w="1345" w:type="pct"/>
            <w:tcBorders>
              <w:top w:val="single" w:color="auto" w:sz="8" w:space="0"/>
              <w:tl2br w:val="nil"/>
              <w:tr2bl w:val="nil"/>
            </w:tcBorders>
            <w:vAlign w:val="center"/>
          </w:tcPr>
          <w:p w14:paraId="06DAEE4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用量</w:t>
            </w:r>
          </w:p>
        </w:tc>
      </w:tr>
      <w:tr w14:paraId="6E9C03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62717C4B">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w:t>
            </w:r>
          </w:p>
        </w:tc>
        <w:tc>
          <w:tcPr>
            <w:tcW w:w="1320" w:type="pct"/>
            <w:tcBorders>
              <w:tl2br w:val="nil"/>
              <w:tr2bl w:val="nil"/>
            </w:tcBorders>
            <w:vAlign w:val="center"/>
          </w:tcPr>
          <w:p w14:paraId="7AC6A11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TCO玻璃</w:t>
            </w:r>
          </w:p>
        </w:tc>
        <w:tc>
          <w:tcPr>
            <w:tcW w:w="1451" w:type="pct"/>
            <w:tcBorders>
              <w:tl2br w:val="nil"/>
              <w:tr2bl w:val="nil"/>
            </w:tcBorders>
            <w:vAlign w:val="center"/>
          </w:tcPr>
          <w:p w14:paraId="7729373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m</w:t>
            </w:r>
            <w:r>
              <w:rPr>
                <w:rFonts w:ascii="Times New Roman" w:hAnsi="Times New Roman" w:cs="Times New Roman"/>
                <w:caps w:val="0"/>
                <w:smallCaps w:val="0"/>
                <w:color w:val="auto"/>
                <w:spacing w:val="0"/>
                <w:sz w:val="21"/>
                <w:szCs w:val="21"/>
                <w:highlight w:val="none"/>
                <w:vertAlign w:val="superscript"/>
                <w:lang w:eastAsia="en-US"/>
              </w:rPr>
              <w:t>2</w:t>
            </w:r>
            <w:r>
              <w:rPr>
                <w:rFonts w:ascii="Times New Roman" w:hAnsi="Times New Roman" w:cs="Times New Roman"/>
                <w:caps w:val="0"/>
                <w:smallCaps w:val="0"/>
                <w:color w:val="auto"/>
                <w:spacing w:val="0"/>
                <w:sz w:val="21"/>
                <w:szCs w:val="21"/>
                <w:highlight w:val="none"/>
                <w:lang w:eastAsia="en-US"/>
              </w:rPr>
              <w:t>/a</w:t>
            </w:r>
          </w:p>
        </w:tc>
        <w:tc>
          <w:tcPr>
            <w:tcW w:w="1345" w:type="pct"/>
            <w:tcBorders>
              <w:tl2br w:val="nil"/>
              <w:tr2bl w:val="nil"/>
            </w:tcBorders>
            <w:vAlign w:val="center"/>
          </w:tcPr>
          <w:p w14:paraId="2B665C7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1035709</w:t>
            </w:r>
          </w:p>
        </w:tc>
      </w:tr>
      <w:tr w14:paraId="403AA8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01A0051A">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2</w:t>
            </w:r>
          </w:p>
        </w:tc>
        <w:tc>
          <w:tcPr>
            <w:tcW w:w="1320" w:type="pct"/>
            <w:tcBorders>
              <w:tl2br w:val="nil"/>
              <w:tr2bl w:val="nil"/>
            </w:tcBorders>
            <w:vAlign w:val="center"/>
          </w:tcPr>
          <w:p w14:paraId="1EF6759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碲化镉</w:t>
            </w:r>
          </w:p>
        </w:tc>
        <w:tc>
          <w:tcPr>
            <w:tcW w:w="1451" w:type="pct"/>
            <w:tcBorders>
              <w:tl2br w:val="nil"/>
              <w:tr2bl w:val="nil"/>
            </w:tcBorders>
            <w:vAlign w:val="center"/>
          </w:tcPr>
          <w:p w14:paraId="04F9FD7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w:t>
            </w:r>
          </w:p>
        </w:tc>
        <w:tc>
          <w:tcPr>
            <w:tcW w:w="1345" w:type="pct"/>
            <w:tcBorders>
              <w:tl2br w:val="nil"/>
              <w:tr2bl w:val="nil"/>
            </w:tcBorders>
            <w:vAlign w:val="center"/>
          </w:tcPr>
          <w:p w14:paraId="07AA344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36.036</w:t>
            </w:r>
          </w:p>
        </w:tc>
      </w:tr>
      <w:tr w14:paraId="27C270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551562E3">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3</w:t>
            </w:r>
          </w:p>
        </w:tc>
        <w:tc>
          <w:tcPr>
            <w:tcW w:w="1320" w:type="pct"/>
            <w:tcBorders>
              <w:tl2br w:val="nil"/>
              <w:tr2bl w:val="nil"/>
            </w:tcBorders>
            <w:vAlign w:val="center"/>
          </w:tcPr>
          <w:p w14:paraId="3A6E7C4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硫</w:t>
            </w:r>
            <w:r>
              <w:rPr>
                <w:rFonts w:ascii="Times New Roman" w:hAnsi="Times New Roman" w:cs="Times New Roman"/>
                <w:caps w:val="0"/>
                <w:smallCaps w:val="0"/>
                <w:color w:val="auto"/>
                <w:spacing w:val="0"/>
                <w:sz w:val="21"/>
                <w:szCs w:val="21"/>
                <w:highlight w:val="none"/>
                <w:lang w:eastAsia="en-US"/>
              </w:rPr>
              <w:t>化镉</w:t>
            </w:r>
          </w:p>
        </w:tc>
        <w:tc>
          <w:tcPr>
            <w:tcW w:w="1451" w:type="pct"/>
            <w:tcBorders>
              <w:tl2br w:val="nil"/>
              <w:tr2bl w:val="nil"/>
            </w:tcBorders>
            <w:vAlign w:val="center"/>
          </w:tcPr>
          <w:p w14:paraId="039F5253">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t</w:t>
            </w:r>
          </w:p>
        </w:tc>
        <w:tc>
          <w:tcPr>
            <w:tcW w:w="1345" w:type="pct"/>
            <w:tcBorders>
              <w:tl2br w:val="nil"/>
              <w:tr2bl w:val="nil"/>
            </w:tcBorders>
            <w:vAlign w:val="center"/>
          </w:tcPr>
          <w:p w14:paraId="3BF4E69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0.593</w:t>
            </w:r>
          </w:p>
        </w:tc>
      </w:tr>
      <w:tr w14:paraId="5AA7B3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50E11E2B">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4</w:t>
            </w:r>
          </w:p>
        </w:tc>
        <w:tc>
          <w:tcPr>
            <w:tcW w:w="1320" w:type="pct"/>
            <w:tcBorders>
              <w:tl2br w:val="nil"/>
              <w:tr2bl w:val="nil"/>
            </w:tcBorders>
            <w:vAlign w:val="center"/>
          </w:tcPr>
          <w:p w14:paraId="00C3C66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氯化镉</w:t>
            </w:r>
          </w:p>
        </w:tc>
        <w:tc>
          <w:tcPr>
            <w:tcW w:w="1451" w:type="pct"/>
            <w:tcBorders>
              <w:tl2br w:val="nil"/>
              <w:tr2bl w:val="nil"/>
            </w:tcBorders>
            <w:vAlign w:val="center"/>
          </w:tcPr>
          <w:p w14:paraId="3BB8B40A">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t</w:t>
            </w:r>
          </w:p>
        </w:tc>
        <w:tc>
          <w:tcPr>
            <w:tcW w:w="1345" w:type="pct"/>
            <w:tcBorders>
              <w:tl2br w:val="nil"/>
              <w:tr2bl w:val="nil"/>
            </w:tcBorders>
            <w:vAlign w:val="center"/>
          </w:tcPr>
          <w:p w14:paraId="103AD0D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0.769</w:t>
            </w:r>
          </w:p>
        </w:tc>
      </w:tr>
      <w:tr w14:paraId="2684FE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7E874F1D">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5</w:t>
            </w:r>
          </w:p>
        </w:tc>
        <w:tc>
          <w:tcPr>
            <w:tcW w:w="1320" w:type="pct"/>
            <w:tcBorders>
              <w:tl2br w:val="nil"/>
              <w:tr2bl w:val="nil"/>
            </w:tcBorders>
            <w:vAlign w:val="center"/>
          </w:tcPr>
          <w:p w14:paraId="7BDD448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氯化铜</w:t>
            </w:r>
          </w:p>
        </w:tc>
        <w:tc>
          <w:tcPr>
            <w:tcW w:w="1451" w:type="pct"/>
            <w:tcBorders>
              <w:tl2br w:val="nil"/>
              <w:tr2bl w:val="nil"/>
            </w:tcBorders>
            <w:vAlign w:val="center"/>
          </w:tcPr>
          <w:p w14:paraId="1C6E703B">
            <w:pPr>
              <w:widowControl w:val="0"/>
              <w:jc w:val="center"/>
              <w:rPr>
                <w:rFonts w:ascii="Times New Roman" w:hAnsi="Times New Roman" w:eastAsia="宋体" w:cs="Times New Roman"/>
                <w:caps w:val="0"/>
                <w:smallCaps w:val="0"/>
                <w:color w:val="auto"/>
                <w:spacing w:val="0"/>
                <w:sz w:val="21"/>
                <w:highlight w:val="none"/>
                <w:lang w:eastAsia="en-US"/>
              </w:rPr>
            </w:pPr>
            <w:r>
              <w:rPr>
                <w:rFonts w:hint="eastAsia" w:ascii="Times New Roman" w:hAnsi="Times New Roman" w:eastAsia="宋体" w:cs="Times New Roman"/>
                <w:caps w:val="0"/>
                <w:smallCaps w:val="0"/>
                <w:color w:val="auto"/>
                <w:spacing w:val="0"/>
                <w:sz w:val="21"/>
                <w:highlight w:val="none"/>
                <w:lang w:eastAsia="en-US"/>
              </w:rPr>
              <w:t>t</w:t>
            </w:r>
          </w:p>
        </w:tc>
        <w:tc>
          <w:tcPr>
            <w:tcW w:w="1345" w:type="pct"/>
            <w:tcBorders>
              <w:tl2br w:val="nil"/>
              <w:tr2bl w:val="nil"/>
            </w:tcBorders>
            <w:vAlign w:val="center"/>
          </w:tcPr>
          <w:p w14:paraId="647835A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0.256</w:t>
            </w:r>
          </w:p>
        </w:tc>
      </w:tr>
      <w:tr w14:paraId="099117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34365DAF">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6</w:t>
            </w:r>
          </w:p>
        </w:tc>
        <w:tc>
          <w:tcPr>
            <w:tcW w:w="1320" w:type="pct"/>
            <w:tcBorders>
              <w:tl2br w:val="nil"/>
              <w:tr2bl w:val="nil"/>
            </w:tcBorders>
            <w:vAlign w:val="center"/>
          </w:tcPr>
          <w:p w14:paraId="449DB7B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钼靶材</w:t>
            </w:r>
          </w:p>
        </w:tc>
        <w:tc>
          <w:tcPr>
            <w:tcW w:w="1451" w:type="pct"/>
            <w:tcBorders>
              <w:tl2br w:val="nil"/>
              <w:tr2bl w:val="nil"/>
            </w:tcBorders>
            <w:vAlign w:val="center"/>
          </w:tcPr>
          <w:p w14:paraId="7DF9FF0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t</w:t>
            </w:r>
          </w:p>
        </w:tc>
        <w:tc>
          <w:tcPr>
            <w:tcW w:w="1345" w:type="pct"/>
            <w:tcBorders>
              <w:tl2br w:val="nil"/>
              <w:tr2bl w:val="nil"/>
            </w:tcBorders>
            <w:vAlign w:val="center"/>
          </w:tcPr>
          <w:p w14:paraId="28EDA83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10.2</w:t>
            </w:r>
          </w:p>
        </w:tc>
      </w:tr>
      <w:tr w14:paraId="5D080A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319E2EA6">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7</w:t>
            </w:r>
          </w:p>
        </w:tc>
        <w:tc>
          <w:tcPr>
            <w:tcW w:w="1320" w:type="pct"/>
            <w:tcBorders>
              <w:tl2br w:val="nil"/>
              <w:tr2bl w:val="nil"/>
            </w:tcBorders>
            <w:vAlign w:val="center"/>
          </w:tcPr>
          <w:p w14:paraId="133F000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光刻胶</w:t>
            </w:r>
          </w:p>
        </w:tc>
        <w:tc>
          <w:tcPr>
            <w:tcW w:w="1451" w:type="pct"/>
            <w:tcBorders>
              <w:tl2br w:val="nil"/>
              <w:tr2bl w:val="nil"/>
            </w:tcBorders>
            <w:vAlign w:val="center"/>
          </w:tcPr>
          <w:p w14:paraId="7FC3BF53">
            <w:pPr>
              <w:widowControl w:val="0"/>
              <w:jc w:val="center"/>
              <w:rPr>
                <w:rFonts w:ascii="Times New Roman" w:hAnsi="Times New Roman" w:eastAsia="宋体" w:cs="Times New Roman"/>
                <w:caps w:val="0"/>
                <w:smallCaps w:val="0"/>
                <w:color w:val="auto"/>
                <w:spacing w:val="0"/>
                <w:sz w:val="21"/>
                <w:highlight w:val="none"/>
                <w:lang w:eastAsia="en-US"/>
              </w:rPr>
            </w:pPr>
            <w:r>
              <w:rPr>
                <w:rFonts w:hint="eastAsia" w:ascii="Times New Roman" w:hAnsi="Times New Roman" w:eastAsia="宋体" w:cs="Times New Roman"/>
                <w:caps w:val="0"/>
                <w:smallCaps w:val="0"/>
                <w:color w:val="auto"/>
                <w:spacing w:val="0"/>
                <w:sz w:val="21"/>
                <w:highlight w:val="none"/>
                <w:lang w:eastAsia="en-US"/>
              </w:rPr>
              <w:t>t</w:t>
            </w:r>
          </w:p>
        </w:tc>
        <w:tc>
          <w:tcPr>
            <w:tcW w:w="1345" w:type="pct"/>
            <w:tcBorders>
              <w:tl2br w:val="nil"/>
              <w:tr2bl w:val="nil"/>
            </w:tcBorders>
            <w:vAlign w:val="center"/>
          </w:tcPr>
          <w:p w14:paraId="1AEF50E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23</w:t>
            </w:r>
          </w:p>
        </w:tc>
      </w:tr>
      <w:tr w14:paraId="4B9DAF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181EE8F8">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8</w:t>
            </w:r>
          </w:p>
        </w:tc>
        <w:tc>
          <w:tcPr>
            <w:tcW w:w="1320" w:type="pct"/>
            <w:tcBorders>
              <w:tl2br w:val="nil"/>
              <w:tr2bl w:val="nil"/>
            </w:tcBorders>
            <w:vAlign w:val="center"/>
          </w:tcPr>
          <w:p w14:paraId="334FD7A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过氧化氢</w:t>
            </w:r>
          </w:p>
        </w:tc>
        <w:tc>
          <w:tcPr>
            <w:tcW w:w="1451" w:type="pct"/>
            <w:tcBorders>
              <w:tl2br w:val="nil"/>
              <w:tr2bl w:val="nil"/>
            </w:tcBorders>
            <w:vAlign w:val="center"/>
          </w:tcPr>
          <w:p w14:paraId="00678706">
            <w:pPr>
              <w:widowControl w:val="0"/>
              <w:jc w:val="center"/>
              <w:rPr>
                <w:rFonts w:ascii="Times New Roman" w:hAnsi="Times New Roman" w:eastAsia="宋体" w:cs="Times New Roman"/>
                <w:caps w:val="0"/>
                <w:smallCaps w:val="0"/>
                <w:color w:val="auto"/>
                <w:spacing w:val="0"/>
                <w:sz w:val="21"/>
                <w:highlight w:val="none"/>
                <w:lang w:eastAsia="en-US"/>
              </w:rPr>
            </w:pPr>
            <w:r>
              <w:rPr>
                <w:rFonts w:hint="eastAsia" w:ascii="Times New Roman" w:hAnsi="Times New Roman" w:eastAsia="宋体" w:cs="Times New Roman"/>
                <w:caps w:val="0"/>
                <w:smallCaps w:val="0"/>
                <w:color w:val="auto"/>
                <w:spacing w:val="0"/>
                <w:sz w:val="21"/>
                <w:highlight w:val="none"/>
                <w:lang w:eastAsia="en-US"/>
              </w:rPr>
              <w:t>L</w:t>
            </w:r>
          </w:p>
        </w:tc>
        <w:tc>
          <w:tcPr>
            <w:tcW w:w="1345" w:type="pct"/>
            <w:tcBorders>
              <w:tl2br w:val="nil"/>
              <w:tr2bl w:val="nil"/>
            </w:tcBorders>
            <w:vAlign w:val="center"/>
          </w:tcPr>
          <w:p w14:paraId="01FBB1A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25623</w:t>
            </w:r>
          </w:p>
        </w:tc>
      </w:tr>
      <w:tr w14:paraId="3E8FD6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77224C91">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10</w:t>
            </w:r>
          </w:p>
        </w:tc>
        <w:tc>
          <w:tcPr>
            <w:tcW w:w="1320" w:type="pct"/>
            <w:tcBorders>
              <w:tl2br w:val="nil"/>
              <w:tr2bl w:val="nil"/>
            </w:tcBorders>
            <w:vAlign w:val="center"/>
          </w:tcPr>
          <w:p w14:paraId="1831687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铜丝</w:t>
            </w:r>
          </w:p>
        </w:tc>
        <w:tc>
          <w:tcPr>
            <w:tcW w:w="1451" w:type="pct"/>
            <w:tcBorders>
              <w:tl2br w:val="nil"/>
              <w:tr2bl w:val="nil"/>
            </w:tcBorders>
            <w:vAlign w:val="center"/>
          </w:tcPr>
          <w:p w14:paraId="473C1263">
            <w:pPr>
              <w:widowControl w:val="0"/>
              <w:jc w:val="center"/>
              <w:rPr>
                <w:rFonts w:ascii="Times New Roman" w:hAnsi="Times New Roman" w:eastAsia="宋体" w:cs="Times New Roman"/>
                <w:caps w:val="0"/>
                <w:smallCaps w:val="0"/>
                <w:color w:val="auto"/>
                <w:spacing w:val="0"/>
                <w:sz w:val="21"/>
                <w:highlight w:val="none"/>
                <w:lang w:eastAsia="en-US"/>
              </w:rPr>
            </w:pPr>
            <w:r>
              <w:rPr>
                <w:rFonts w:hint="eastAsia" w:ascii="Times New Roman" w:hAnsi="Times New Roman" w:eastAsia="宋体" w:cs="Times New Roman"/>
                <w:caps w:val="0"/>
                <w:smallCaps w:val="0"/>
                <w:color w:val="auto"/>
                <w:spacing w:val="0"/>
                <w:sz w:val="21"/>
                <w:highlight w:val="none"/>
                <w:lang w:eastAsia="en-US"/>
              </w:rPr>
              <w:t>t</w:t>
            </w:r>
          </w:p>
        </w:tc>
        <w:tc>
          <w:tcPr>
            <w:tcW w:w="1345" w:type="pct"/>
            <w:tcBorders>
              <w:tl2br w:val="nil"/>
              <w:tr2bl w:val="nil"/>
            </w:tcBorders>
            <w:vAlign w:val="center"/>
          </w:tcPr>
          <w:p w14:paraId="1006F77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3.276</w:t>
            </w:r>
          </w:p>
        </w:tc>
      </w:tr>
      <w:tr w14:paraId="7EE666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6801AAF5">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11</w:t>
            </w:r>
          </w:p>
        </w:tc>
        <w:tc>
          <w:tcPr>
            <w:tcW w:w="1320" w:type="pct"/>
            <w:tcBorders>
              <w:tl2br w:val="nil"/>
              <w:tr2bl w:val="nil"/>
            </w:tcBorders>
            <w:vAlign w:val="center"/>
          </w:tcPr>
          <w:p w14:paraId="23A6D1D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氮气</w:t>
            </w:r>
          </w:p>
        </w:tc>
        <w:tc>
          <w:tcPr>
            <w:tcW w:w="1451" w:type="pct"/>
            <w:tcBorders>
              <w:tl2br w:val="nil"/>
              <w:tr2bl w:val="nil"/>
            </w:tcBorders>
            <w:vAlign w:val="center"/>
          </w:tcPr>
          <w:p w14:paraId="1D13186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万m</w:t>
            </w:r>
            <w:r>
              <w:rPr>
                <w:rFonts w:hint="eastAsia" w:ascii="Times New Roman" w:hAnsi="Times New Roman" w:cs="Times New Roman"/>
                <w:caps w:val="0"/>
                <w:smallCaps w:val="0"/>
                <w:color w:val="auto"/>
                <w:spacing w:val="0"/>
                <w:sz w:val="21"/>
                <w:szCs w:val="21"/>
                <w:highlight w:val="none"/>
                <w:vertAlign w:val="superscript"/>
                <w:lang w:eastAsia="en-US"/>
              </w:rPr>
              <w:t>3</w:t>
            </w:r>
          </w:p>
        </w:tc>
        <w:tc>
          <w:tcPr>
            <w:tcW w:w="1345" w:type="pct"/>
            <w:tcBorders>
              <w:tl2br w:val="nil"/>
              <w:tr2bl w:val="nil"/>
            </w:tcBorders>
            <w:vAlign w:val="center"/>
          </w:tcPr>
          <w:p w14:paraId="1E8F7B7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118.26</w:t>
            </w:r>
          </w:p>
        </w:tc>
      </w:tr>
      <w:tr w14:paraId="7718A3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81" w:type="pct"/>
            <w:tcBorders>
              <w:tl2br w:val="nil"/>
              <w:tr2bl w:val="nil"/>
            </w:tcBorders>
            <w:vAlign w:val="center"/>
          </w:tcPr>
          <w:p w14:paraId="74488C25">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12</w:t>
            </w:r>
          </w:p>
        </w:tc>
        <w:tc>
          <w:tcPr>
            <w:tcW w:w="1320" w:type="pct"/>
            <w:tcBorders>
              <w:tl2br w:val="nil"/>
              <w:tr2bl w:val="nil"/>
            </w:tcBorders>
            <w:vAlign w:val="center"/>
          </w:tcPr>
          <w:p w14:paraId="2CCED87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氩气</w:t>
            </w:r>
          </w:p>
        </w:tc>
        <w:tc>
          <w:tcPr>
            <w:tcW w:w="1451" w:type="pct"/>
            <w:tcBorders>
              <w:tl2br w:val="nil"/>
              <w:tr2bl w:val="nil"/>
            </w:tcBorders>
            <w:vAlign w:val="center"/>
          </w:tcPr>
          <w:p w14:paraId="1F95F0C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m</w:t>
            </w:r>
            <w:r>
              <w:rPr>
                <w:rFonts w:hint="eastAsia" w:ascii="Times New Roman" w:hAnsi="Times New Roman" w:cs="Times New Roman"/>
                <w:caps w:val="0"/>
                <w:smallCaps w:val="0"/>
                <w:color w:val="auto"/>
                <w:spacing w:val="0"/>
                <w:sz w:val="21"/>
                <w:szCs w:val="21"/>
                <w:highlight w:val="none"/>
                <w:vertAlign w:val="superscript"/>
                <w:lang w:eastAsia="en-US"/>
              </w:rPr>
              <w:t>3</w:t>
            </w:r>
          </w:p>
        </w:tc>
        <w:tc>
          <w:tcPr>
            <w:tcW w:w="1345" w:type="pct"/>
            <w:tcBorders>
              <w:tl2br w:val="nil"/>
              <w:tr2bl w:val="nil"/>
            </w:tcBorders>
            <w:vAlign w:val="center"/>
          </w:tcPr>
          <w:p w14:paraId="7B26F48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1025</w:t>
            </w:r>
          </w:p>
        </w:tc>
      </w:tr>
    </w:tbl>
    <w:p w14:paraId="44E4A1EA">
      <w:pPr>
        <w:pStyle w:val="65"/>
        <w:widowControl w:val="0"/>
        <w:ind w:firstLine="480"/>
        <w:rPr>
          <w:rFonts w:eastAsia="宋体"/>
          <w:caps w:val="0"/>
          <w:smallCaps w:val="0"/>
          <w:color w:val="auto"/>
          <w:spacing w:val="0"/>
          <w:highlight w:val="none"/>
        </w:rPr>
      </w:pPr>
      <w:r>
        <w:rPr>
          <w:rFonts w:hint="eastAsia" w:eastAsia="宋体"/>
          <w:caps w:val="0"/>
          <w:smallCaps w:val="0"/>
          <w:color w:val="auto"/>
          <w:spacing w:val="0"/>
          <w:highlight w:val="none"/>
        </w:rPr>
        <w:t>2、本项目原料组成</w:t>
      </w:r>
    </w:p>
    <w:p w14:paraId="5664525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w:t>
      </w:r>
      <w:r>
        <w:rPr>
          <w:rFonts w:hint="eastAsia" w:eastAsia="宋体"/>
          <w:caps w:val="0"/>
          <w:smallCaps w:val="0"/>
          <w:color w:val="auto"/>
          <w:spacing w:val="0"/>
          <w:highlight w:val="none"/>
        </w:rPr>
        <w:t>主要</w:t>
      </w:r>
      <w:r>
        <w:rPr>
          <w:rFonts w:eastAsia="宋体"/>
          <w:caps w:val="0"/>
          <w:smallCaps w:val="0"/>
          <w:color w:val="auto"/>
          <w:spacing w:val="0"/>
          <w:highlight w:val="none"/>
        </w:rPr>
        <w:t>原材料消耗情况详见下表。</w:t>
      </w:r>
    </w:p>
    <w:p w14:paraId="6041B0A0">
      <w:pPr>
        <w:pStyle w:val="66"/>
        <w:widowControl w:val="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表3.3-</w:t>
      </w:r>
      <w:r>
        <w:rPr>
          <w:rFonts w:hint="eastAsia" w:ascii="Times New Roman" w:hAnsi="Times New Roman" w:eastAsia="宋体" w:cs="Times New Roman"/>
          <w:b/>
          <w:bCs/>
          <w:caps w:val="0"/>
          <w:smallCaps w:val="0"/>
          <w:color w:val="auto"/>
          <w:spacing w:val="0"/>
          <w:sz w:val="24"/>
          <w:szCs w:val="24"/>
          <w:highlight w:val="none"/>
        </w:rPr>
        <w:t>4</w:t>
      </w:r>
      <w:r>
        <w:rPr>
          <w:rFonts w:ascii="Times New Roman" w:hAnsi="Times New Roman" w:eastAsia="宋体" w:cs="Times New Roman"/>
          <w:b/>
          <w:bCs/>
          <w:caps w:val="0"/>
          <w:smallCaps w:val="0"/>
          <w:color w:val="auto"/>
          <w:spacing w:val="0"/>
          <w:sz w:val="24"/>
          <w:szCs w:val="24"/>
          <w:highlight w:val="none"/>
        </w:rPr>
        <w:t>本项目原料组成情况一览表</w:t>
      </w:r>
    </w:p>
    <w:tbl>
      <w:tblPr>
        <w:tblStyle w:val="17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53"/>
        <w:gridCol w:w="461"/>
        <w:gridCol w:w="935"/>
        <w:gridCol w:w="403"/>
        <w:gridCol w:w="640"/>
        <w:gridCol w:w="1725"/>
        <w:gridCol w:w="1389"/>
        <w:gridCol w:w="926"/>
        <w:gridCol w:w="2338"/>
      </w:tblGrid>
      <w:tr w14:paraId="124D2E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140" w:type="pct"/>
            <w:tcBorders>
              <w:top w:val="single" w:color="auto" w:sz="8" w:space="0"/>
              <w:tl2br w:val="nil"/>
              <w:tr2bl w:val="nil"/>
            </w:tcBorders>
            <w:vAlign w:val="center"/>
          </w:tcPr>
          <w:p w14:paraId="5D7BE6A1">
            <w:pPr>
              <w:pStyle w:val="105"/>
              <w:widowControl w:val="0"/>
              <w:jc w:val="center"/>
              <w:rPr>
                <w:rFonts w:ascii="Times New Roman" w:hAnsi="Times New Roman" w:cs="Times New Roman"/>
                <w:caps w:val="0"/>
                <w:smallCaps w:val="0"/>
                <w:color w:val="auto"/>
                <w:spacing w:val="0"/>
                <w:sz w:val="21"/>
                <w:szCs w:val="21"/>
                <w:highlight w:val="none"/>
                <w:lang w:eastAsia="en-US"/>
              </w:rPr>
            </w:pPr>
            <w:bookmarkStart w:id="84" w:name="_Toc477951950"/>
            <w:r>
              <w:rPr>
                <w:rFonts w:ascii="Times New Roman" w:hAnsi="Times New Roman" w:cs="Times New Roman"/>
                <w:caps w:val="0"/>
                <w:smallCaps w:val="0"/>
                <w:color w:val="auto"/>
                <w:spacing w:val="0"/>
                <w:sz w:val="21"/>
                <w:szCs w:val="21"/>
                <w:highlight w:val="none"/>
                <w:lang w:eastAsia="en-US"/>
              </w:rPr>
              <w:t>序号</w:t>
            </w:r>
          </w:p>
        </w:tc>
        <w:tc>
          <w:tcPr>
            <w:tcW w:w="254" w:type="pct"/>
            <w:tcBorders>
              <w:top w:val="single" w:color="auto" w:sz="8" w:space="0"/>
              <w:tl2br w:val="nil"/>
              <w:tr2bl w:val="nil"/>
            </w:tcBorders>
            <w:vAlign w:val="center"/>
          </w:tcPr>
          <w:p w14:paraId="24BC5F23">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类别</w:t>
            </w:r>
          </w:p>
        </w:tc>
        <w:tc>
          <w:tcPr>
            <w:tcW w:w="515" w:type="pct"/>
            <w:tcBorders>
              <w:top w:val="single" w:color="auto" w:sz="8" w:space="0"/>
              <w:tl2br w:val="nil"/>
              <w:tr2bl w:val="nil"/>
            </w:tcBorders>
            <w:vAlign w:val="center"/>
          </w:tcPr>
          <w:p w14:paraId="450EAB7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原料名称</w:t>
            </w:r>
          </w:p>
        </w:tc>
        <w:tc>
          <w:tcPr>
            <w:tcW w:w="222" w:type="pct"/>
            <w:tcBorders>
              <w:top w:val="single" w:color="auto" w:sz="8" w:space="0"/>
              <w:tl2br w:val="nil"/>
              <w:tr2bl w:val="nil"/>
            </w:tcBorders>
            <w:vAlign w:val="center"/>
          </w:tcPr>
          <w:p w14:paraId="0828DAD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单位</w:t>
            </w:r>
          </w:p>
        </w:tc>
        <w:tc>
          <w:tcPr>
            <w:tcW w:w="352" w:type="pct"/>
            <w:tcBorders>
              <w:top w:val="single" w:color="auto" w:sz="8" w:space="0"/>
              <w:tl2br w:val="nil"/>
              <w:tr2bl w:val="nil"/>
            </w:tcBorders>
            <w:vAlign w:val="center"/>
          </w:tcPr>
          <w:p w14:paraId="75BE2A3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用量</w:t>
            </w:r>
          </w:p>
        </w:tc>
        <w:tc>
          <w:tcPr>
            <w:tcW w:w="950" w:type="pct"/>
            <w:tcBorders>
              <w:top w:val="single" w:color="auto" w:sz="8" w:space="0"/>
              <w:tl2br w:val="nil"/>
              <w:tr2bl w:val="nil"/>
            </w:tcBorders>
            <w:vAlign w:val="center"/>
          </w:tcPr>
          <w:p w14:paraId="64DF3F5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最大暂存量</w:t>
            </w:r>
            <w:r>
              <w:rPr>
                <w:rFonts w:hint="eastAsia" w:ascii="Times New Roman" w:hAnsi="Times New Roman" w:cs="Times New Roman"/>
                <w:caps w:val="0"/>
                <w:smallCaps w:val="0"/>
                <w:color w:val="auto"/>
                <w:spacing w:val="0"/>
                <w:sz w:val="21"/>
                <w:szCs w:val="21"/>
                <w:highlight w:val="none"/>
                <w:lang w:eastAsia="en-US"/>
              </w:rPr>
              <w:t>（包括生产线使用量）</w:t>
            </w:r>
          </w:p>
        </w:tc>
        <w:tc>
          <w:tcPr>
            <w:tcW w:w="765" w:type="pct"/>
            <w:tcBorders>
              <w:top w:val="single" w:color="auto" w:sz="8" w:space="0"/>
              <w:tl2br w:val="nil"/>
              <w:tr2bl w:val="nil"/>
            </w:tcBorders>
            <w:vAlign w:val="center"/>
          </w:tcPr>
          <w:p w14:paraId="4E4A0B8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有毒有害成分名称</w:t>
            </w:r>
          </w:p>
        </w:tc>
        <w:tc>
          <w:tcPr>
            <w:tcW w:w="510" w:type="pct"/>
            <w:tcBorders>
              <w:top w:val="single" w:color="auto" w:sz="8" w:space="0"/>
              <w:tl2br w:val="nil"/>
              <w:tr2bl w:val="nil"/>
            </w:tcBorders>
            <w:vAlign w:val="center"/>
          </w:tcPr>
          <w:p w14:paraId="3F6BECD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在该物料中的大致占比（%）</w:t>
            </w:r>
          </w:p>
        </w:tc>
        <w:tc>
          <w:tcPr>
            <w:tcW w:w="1288" w:type="pct"/>
            <w:tcBorders>
              <w:top w:val="single" w:color="auto" w:sz="8" w:space="0"/>
              <w:tl2br w:val="nil"/>
              <w:tr2bl w:val="nil"/>
            </w:tcBorders>
            <w:vAlign w:val="center"/>
          </w:tcPr>
          <w:p w14:paraId="732B00B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备注</w:t>
            </w:r>
          </w:p>
        </w:tc>
      </w:tr>
      <w:tr w14:paraId="3EEDF5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639F4463">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w:t>
            </w:r>
          </w:p>
        </w:tc>
        <w:tc>
          <w:tcPr>
            <w:tcW w:w="254" w:type="pct"/>
            <w:tcBorders>
              <w:tl2br w:val="nil"/>
              <w:tr2bl w:val="nil"/>
            </w:tcBorders>
            <w:vAlign w:val="center"/>
          </w:tcPr>
          <w:p w14:paraId="331540D0">
            <w:pPr>
              <w:widowControl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778BD17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TCO玻璃</w:t>
            </w:r>
          </w:p>
        </w:tc>
        <w:tc>
          <w:tcPr>
            <w:tcW w:w="222" w:type="pct"/>
            <w:tcBorders>
              <w:tl2br w:val="nil"/>
              <w:tr2bl w:val="nil"/>
            </w:tcBorders>
            <w:vAlign w:val="center"/>
          </w:tcPr>
          <w:p w14:paraId="5D563C5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m</w:t>
            </w:r>
            <w:r>
              <w:rPr>
                <w:rFonts w:ascii="Times New Roman" w:hAnsi="Times New Roman" w:cs="Times New Roman"/>
                <w:caps w:val="0"/>
                <w:smallCaps w:val="0"/>
                <w:color w:val="auto"/>
                <w:spacing w:val="0"/>
                <w:sz w:val="21"/>
                <w:szCs w:val="21"/>
                <w:highlight w:val="none"/>
                <w:vertAlign w:val="superscript"/>
                <w:lang w:eastAsia="en-US"/>
              </w:rPr>
              <w:t>2</w:t>
            </w:r>
            <w:r>
              <w:rPr>
                <w:rFonts w:ascii="Times New Roman" w:hAnsi="Times New Roman" w:cs="Times New Roman"/>
                <w:caps w:val="0"/>
                <w:smallCaps w:val="0"/>
                <w:color w:val="auto"/>
                <w:spacing w:val="0"/>
                <w:sz w:val="21"/>
                <w:szCs w:val="21"/>
                <w:highlight w:val="none"/>
                <w:lang w:eastAsia="en-US"/>
              </w:rPr>
              <w:t>/a</w:t>
            </w:r>
          </w:p>
        </w:tc>
        <w:tc>
          <w:tcPr>
            <w:tcW w:w="352" w:type="pct"/>
            <w:tcBorders>
              <w:tl2br w:val="nil"/>
              <w:tr2bl w:val="nil"/>
            </w:tcBorders>
            <w:vAlign w:val="center"/>
          </w:tcPr>
          <w:p w14:paraId="2088F69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791040</w:t>
            </w:r>
          </w:p>
        </w:tc>
        <w:tc>
          <w:tcPr>
            <w:tcW w:w="950" w:type="pct"/>
            <w:tcBorders>
              <w:tl2br w:val="nil"/>
              <w:tr2bl w:val="nil"/>
            </w:tcBorders>
            <w:shd w:val="clear" w:color="auto" w:fill="auto"/>
            <w:vAlign w:val="center"/>
          </w:tcPr>
          <w:p w14:paraId="561EF6A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19200（10000片）</w:t>
            </w:r>
          </w:p>
        </w:tc>
        <w:tc>
          <w:tcPr>
            <w:tcW w:w="765" w:type="pct"/>
            <w:tcBorders>
              <w:tl2br w:val="nil"/>
              <w:tr2bl w:val="nil"/>
            </w:tcBorders>
            <w:vAlign w:val="center"/>
          </w:tcPr>
          <w:p w14:paraId="2A3F8BC5">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w:t>
            </w:r>
          </w:p>
        </w:tc>
        <w:tc>
          <w:tcPr>
            <w:tcW w:w="510" w:type="pct"/>
            <w:tcBorders>
              <w:tl2br w:val="nil"/>
              <w:tr2bl w:val="nil"/>
            </w:tcBorders>
            <w:vAlign w:val="center"/>
          </w:tcPr>
          <w:p w14:paraId="7AE99FD4">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l2br w:val="nil"/>
              <w:tr2bl w:val="nil"/>
            </w:tcBorders>
            <w:vAlign w:val="center"/>
          </w:tcPr>
          <w:p w14:paraId="2843B60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412000片（6126t/a）</w:t>
            </w:r>
          </w:p>
          <w:p w14:paraId="192C480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1200mm×1600mm×3.2mm</w:t>
            </w:r>
          </w:p>
        </w:tc>
      </w:tr>
      <w:tr w14:paraId="19AC8A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3745BE4E">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2</w:t>
            </w:r>
          </w:p>
        </w:tc>
        <w:tc>
          <w:tcPr>
            <w:tcW w:w="254" w:type="pct"/>
            <w:tcBorders>
              <w:tl2br w:val="nil"/>
              <w:tr2bl w:val="nil"/>
            </w:tcBorders>
            <w:vAlign w:val="center"/>
          </w:tcPr>
          <w:p w14:paraId="22DF8D67">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0718A94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碲化镉</w:t>
            </w:r>
          </w:p>
        </w:tc>
        <w:tc>
          <w:tcPr>
            <w:tcW w:w="222" w:type="pct"/>
            <w:tcBorders>
              <w:tl2br w:val="nil"/>
              <w:tr2bl w:val="nil"/>
            </w:tcBorders>
            <w:vAlign w:val="center"/>
          </w:tcPr>
          <w:p w14:paraId="13BF84B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w:t>
            </w:r>
          </w:p>
        </w:tc>
        <w:tc>
          <w:tcPr>
            <w:tcW w:w="352" w:type="pct"/>
            <w:tcBorders>
              <w:tl2br w:val="nil"/>
              <w:tr2bl w:val="nil"/>
            </w:tcBorders>
            <w:vAlign w:val="center"/>
          </w:tcPr>
          <w:p w14:paraId="295BAB8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23</w:t>
            </w:r>
          </w:p>
        </w:tc>
        <w:tc>
          <w:tcPr>
            <w:tcW w:w="950" w:type="pct"/>
            <w:tcBorders>
              <w:tl2br w:val="nil"/>
              <w:tr2bl w:val="nil"/>
            </w:tcBorders>
            <w:vAlign w:val="center"/>
          </w:tcPr>
          <w:p w14:paraId="1FE9643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3</w:t>
            </w:r>
          </w:p>
        </w:tc>
        <w:tc>
          <w:tcPr>
            <w:tcW w:w="765" w:type="pct"/>
            <w:tcBorders>
              <w:tl2br w:val="nil"/>
              <w:tr2bl w:val="nil"/>
            </w:tcBorders>
            <w:vAlign w:val="center"/>
          </w:tcPr>
          <w:p w14:paraId="10ED2960">
            <w:pPr>
              <w:pStyle w:val="105"/>
              <w:widowControl w:val="0"/>
              <w:jc w:val="center"/>
              <w:rPr>
                <w:rFonts w:hint="eastAsia" w:ascii="Times New Roman" w:hAnsi="Times New Roman"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镉（Cd）及其化合物</w:t>
            </w:r>
          </w:p>
          <w:p w14:paraId="37B1A7D0">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碲（Te）及其化合物</w:t>
            </w:r>
          </w:p>
        </w:tc>
        <w:tc>
          <w:tcPr>
            <w:tcW w:w="510" w:type="pct"/>
            <w:tcBorders>
              <w:tl2br w:val="nil"/>
              <w:tr2bl w:val="nil"/>
            </w:tcBorders>
            <w:vAlign w:val="center"/>
          </w:tcPr>
          <w:p w14:paraId="412C3BD7">
            <w:pPr>
              <w:pStyle w:val="105"/>
              <w:widowControl w:val="0"/>
              <w:jc w:val="center"/>
              <w:rPr>
                <w:rFonts w:hint="eastAsia"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lang w:eastAsia="zh-CN"/>
              </w:rPr>
              <w:t>：</w:t>
            </w:r>
            <w:r>
              <w:rPr>
                <w:rFonts w:hint="eastAsia" w:ascii="Times New Roman" w:hAnsi="Times New Roman" w:cs="Times New Roman"/>
                <w:caps w:val="0"/>
                <w:smallCaps w:val="0"/>
                <w:color w:val="auto"/>
                <w:spacing w:val="0"/>
                <w:sz w:val="21"/>
                <w:szCs w:val="21"/>
                <w:highlight w:val="none"/>
                <w:lang w:eastAsia="en-US"/>
              </w:rPr>
              <w:t>47%</w:t>
            </w:r>
          </w:p>
          <w:p w14:paraId="2C57649F">
            <w:pPr>
              <w:pStyle w:val="105"/>
              <w:widowControl w:val="0"/>
              <w:jc w:val="center"/>
              <w:rPr>
                <w:rFonts w:hint="eastAsia"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Te</w:t>
            </w:r>
            <w:r>
              <w:rPr>
                <w:rFonts w:hint="eastAsia" w:ascii="Times New Roman" w:hAnsi="Times New Roman" w:cs="Times New Roman"/>
                <w:caps w:val="0"/>
                <w:smallCaps w:val="0"/>
                <w:color w:val="auto"/>
                <w:spacing w:val="0"/>
                <w:sz w:val="21"/>
                <w:szCs w:val="21"/>
                <w:highlight w:val="none"/>
                <w:lang w:eastAsia="zh-CN"/>
              </w:rPr>
              <w:t>：</w:t>
            </w:r>
            <w:r>
              <w:rPr>
                <w:rFonts w:hint="eastAsia" w:ascii="Times New Roman" w:hAnsi="Times New Roman" w:cs="Times New Roman"/>
                <w:caps w:val="0"/>
                <w:smallCaps w:val="0"/>
                <w:color w:val="auto"/>
                <w:spacing w:val="0"/>
                <w:sz w:val="21"/>
                <w:szCs w:val="21"/>
                <w:highlight w:val="none"/>
                <w:lang w:eastAsia="en-US"/>
              </w:rPr>
              <w:t>53%</w:t>
            </w:r>
          </w:p>
        </w:tc>
        <w:tc>
          <w:tcPr>
            <w:tcW w:w="1288" w:type="pct"/>
            <w:tcBorders>
              <w:tl2br w:val="nil"/>
              <w:tr2bl w:val="nil"/>
            </w:tcBorders>
            <w:vAlign w:val="center"/>
          </w:tcPr>
          <w:p w14:paraId="7B1F431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桶装存放于</w:t>
            </w:r>
            <w:r>
              <w:rPr>
                <w:rFonts w:ascii="Times New Roman" w:hAnsi="Times New Roman" w:cs="Times New Roman"/>
                <w:caps w:val="0"/>
                <w:smallCaps w:val="0"/>
                <w:color w:val="auto"/>
                <w:spacing w:val="0"/>
                <w:sz w:val="21"/>
                <w:szCs w:val="21"/>
                <w:highlight w:val="none"/>
                <w:lang w:eastAsia="en-US" w:bidi="ar"/>
              </w:rPr>
              <w:t>高纯材料间</w:t>
            </w:r>
          </w:p>
        </w:tc>
      </w:tr>
      <w:tr w14:paraId="776212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0870B327">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3</w:t>
            </w:r>
          </w:p>
        </w:tc>
        <w:tc>
          <w:tcPr>
            <w:tcW w:w="254" w:type="pct"/>
            <w:tcBorders>
              <w:tl2br w:val="nil"/>
              <w:tr2bl w:val="nil"/>
            </w:tcBorders>
            <w:vAlign w:val="center"/>
          </w:tcPr>
          <w:p w14:paraId="604DF7A2">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2D43E23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硒化镉</w:t>
            </w:r>
          </w:p>
        </w:tc>
        <w:tc>
          <w:tcPr>
            <w:tcW w:w="222" w:type="pct"/>
            <w:tcBorders>
              <w:tl2br w:val="nil"/>
              <w:tr2bl w:val="nil"/>
            </w:tcBorders>
            <w:vAlign w:val="center"/>
          </w:tcPr>
          <w:p w14:paraId="4116ED8B">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t</w:t>
            </w:r>
          </w:p>
        </w:tc>
        <w:tc>
          <w:tcPr>
            <w:tcW w:w="352" w:type="pct"/>
            <w:tcBorders>
              <w:tl2br w:val="nil"/>
              <w:tr2bl w:val="nil"/>
            </w:tcBorders>
            <w:vAlign w:val="center"/>
          </w:tcPr>
          <w:p w14:paraId="65B85E5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0.95</w:t>
            </w:r>
          </w:p>
        </w:tc>
        <w:tc>
          <w:tcPr>
            <w:tcW w:w="950" w:type="pct"/>
            <w:tcBorders>
              <w:tl2br w:val="nil"/>
              <w:tr2bl w:val="nil"/>
            </w:tcBorders>
            <w:vAlign w:val="center"/>
          </w:tcPr>
          <w:p w14:paraId="77123F8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0.</w:t>
            </w:r>
            <w:r>
              <w:rPr>
                <w:rFonts w:hint="eastAsia" w:ascii="Times New Roman" w:hAnsi="Times New Roman" w:cs="Times New Roman"/>
                <w:caps w:val="0"/>
                <w:smallCaps w:val="0"/>
                <w:color w:val="auto"/>
                <w:spacing w:val="0"/>
                <w:sz w:val="21"/>
                <w:szCs w:val="21"/>
                <w:highlight w:val="none"/>
                <w:lang w:eastAsia="en-US"/>
              </w:rPr>
              <w:t>2</w:t>
            </w:r>
          </w:p>
        </w:tc>
        <w:tc>
          <w:tcPr>
            <w:tcW w:w="765" w:type="pct"/>
            <w:tcBorders>
              <w:tl2br w:val="nil"/>
              <w:tr2bl w:val="nil"/>
            </w:tcBorders>
            <w:vAlign w:val="center"/>
          </w:tcPr>
          <w:p w14:paraId="6D824344">
            <w:pPr>
              <w:pStyle w:val="105"/>
              <w:widowControl w:val="0"/>
              <w:jc w:val="center"/>
              <w:rPr>
                <w:rFonts w:hint="eastAsia"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镉（Cd）及其化合物</w:t>
            </w:r>
          </w:p>
          <w:p w14:paraId="0166EC43">
            <w:pPr>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硒（Se）及其化合物</w:t>
            </w:r>
          </w:p>
        </w:tc>
        <w:tc>
          <w:tcPr>
            <w:tcW w:w="510" w:type="pct"/>
            <w:tcBorders>
              <w:tl2br w:val="nil"/>
              <w:tr2bl w:val="nil"/>
            </w:tcBorders>
            <w:vAlign w:val="center"/>
          </w:tcPr>
          <w:p w14:paraId="253DC9D4">
            <w:pPr>
              <w:pStyle w:val="105"/>
              <w:widowControl w:val="0"/>
              <w:jc w:val="center"/>
              <w:rPr>
                <w:rFonts w:hint="eastAsia"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lang w:eastAsia="zh-CN"/>
              </w:rPr>
              <w:t>：</w:t>
            </w:r>
            <w:r>
              <w:rPr>
                <w:rFonts w:hint="eastAsia" w:ascii="Times New Roman" w:hAnsi="Times New Roman" w:cs="Times New Roman"/>
                <w:caps w:val="0"/>
                <w:smallCaps w:val="0"/>
                <w:color w:val="auto"/>
                <w:spacing w:val="0"/>
                <w:sz w:val="21"/>
                <w:szCs w:val="21"/>
                <w:highlight w:val="none"/>
                <w:lang w:val="en-US" w:eastAsia="zh-CN"/>
              </w:rPr>
              <w:t>58</w:t>
            </w:r>
            <w:r>
              <w:rPr>
                <w:rFonts w:hint="eastAsia" w:ascii="Times New Roman" w:hAnsi="Times New Roman" w:cs="Times New Roman"/>
                <w:caps w:val="0"/>
                <w:smallCaps w:val="0"/>
                <w:color w:val="auto"/>
                <w:spacing w:val="0"/>
                <w:sz w:val="21"/>
                <w:szCs w:val="21"/>
                <w:highlight w:val="none"/>
                <w:lang w:eastAsia="en-US"/>
              </w:rPr>
              <w:t>%</w:t>
            </w:r>
          </w:p>
          <w:p w14:paraId="4CAC233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S</w:t>
            </w:r>
            <w:r>
              <w:rPr>
                <w:rFonts w:hint="eastAsia" w:ascii="Times New Roman" w:hAnsi="Times New Roman" w:cs="Times New Roman"/>
                <w:caps w:val="0"/>
                <w:smallCaps w:val="0"/>
                <w:color w:val="auto"/>
                <w:spacing w:val="0"/>
                <w:sz w:val="21"/>
                <w:szCs w:val="21"/>
                <w:highlight w:val="none"/>
                <w:lang w:eastAsia="en-US"/>
              </w:rPr>
              <w:t>e</w:t>
            </w:r>
            <w:r>
              <w:rPr>
                <w:rFonts w:hint="eastAsia" w:ascii="Times New Roman" w:hAnsi="Times New Roman" w:cs="Times New Roman"/>
                <w:caps w:val="0"/>
                <w:smallCaps w:val="0"/>
                <w:color w:val="auto"/>
                <w:spacing w:val="0"/>
                <w:sz w:val="21"/>
                <w:szCs w:val="21"/>
                <w:highlight w:val="none"/>
                <w:lang w:eastAsia="zh-CN"/>
              </w:rPr>
              <w:t>：</w:t>
            </w:r>
            <w:r>
              <w:rPr>
                <w:rFonts w:hint="eastAsia" w:ascii="Times New Roman" w:hAnsi="Times New Roman" w:cs="Times New Roman"/>
                <w:caps w:val="0"/>
                <w:smallCaps w:val="0"/>
                <w:color w:val="auto"/>
                <w:spacing w:val="0"/>
                <w:sz w:val="21"/>
                <w:szCs w:val="21"/>
                <w:highlight w:val="none"/>
                <w:lang w:val="en-US" w:eastAsia="zh-CN"/>
              </w:rPr>
              <w:t>42</w:t>
            </w:r>
            <w:r>
              <w:rPr>
                <w:rFonts w:hint="eastAsia" w:ascii="Times New Roman" w:hAnsi="Times New Roman" w:cs="Times New Roman"/>
                <w:caps w:val="0"/>
                <w:smallCaps w:val="0"/>
                <w:color w:val="auto"/>
                <w:spacing w:val="0"/>
                <w:sz w:val="21"/>
                <w:szCs w:val="21"/>
                <w:highlight w:val="none"/>
                <w:lang w:eastAsia="en-US"/>
              </w:rPr>
              <w:t>%</w:t>
            </w:r>
          </w:p>
        </w:tc>
        <w:tc>
          <w:tcPr>
            <w:tcW w:w="1288" w:type="pct"/>
            <w:tcBorders>
              <w:tl2br w:val="nil"/>
              <w:tr2bl w:val="nil"/>
            </w:tcBorders>
            <w:vAlign w:val="center"/>
          </w:tcPr>
          <w:p w14:paraId="5E4B4C1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桶装存放于</w:t>
            </w:r>
            <w:r>
              <w:rPr>
                <w:rFonts w:ascii="Times New Roman" w:hAnsi="Times New Roman" w:cs="Times New Roman"/>
                <w:caps w:val="0"/>
                <w:smallCaps w:val="0"/>
                <w:color w:val="auto"/>
                <w:spacing w:val="0"/>
                <w:sz w:val="21"/>
                <w:szCs w:val="21"/>
                <w:highlight w:val="none"/>
                <w:lang w:eastAsia="en-US" w:bidi="ar"/>
              </w:rPr>
              <w:t>高纯材料间</w:t>
            </w:r>
          </w:p>
        </w:tc>
      </w:tr>
      <w:tr w14:paraId="108D4A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5" w:hRule="atLeast"/>
          <w:jc w:val="center"/>
        </w:trPr>
        <w:tc>
          <w:tcPr>
            <w:tcW w:w="140" w:type="pct"/>
            <w:tcBorders>
              <w:tl2br w:val="nil"/>
              <w:tr2bl w:val="nil"/>
            </w:tcBorders>
            <w:vAlign w:val="center"/>
          </w:tcPr>
          <w:p w14:paraId="41A0627B">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4</w:t>
            </w:r>
          </w:p>
        </w:tc>
        <w:tc>
          <w:tcPr>
            <w:tcW w:w="254" w:type="pct"/>
            <w:tcBorders>
              <w:tl2br w:val="nil"/>
              <w:tr2bl w:val="nil"/>
            </w:tcBorders>
            <w:vAlign w:val="center"/>
          </w:tcPr>
          <w:p w14:paraId="74597337">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614C41E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五水氯化镉</w:t>
            </w:r>
          </w:p>
        </w:tc>
        <w:tc>
          <w:tcPr>
            <w:tcW w:w="222" w:type="pct"/>
            <w:tcBorders>
              <w:tl2br w:val="nil"/>
              <w:tr2bl w:val="nil"/>
            </w:tcBorders>
            <w:vAlign w:val="center"/>
          </w:tcPr>
          <w:p w14:paraId="141142CE">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t</w:t>
            </w:r>
          </w:p>
        </w:tc>
        <w:tc>
          <w:tcPr>
            <w:tcW w:w="352" w:type="pct"/>
            <w:tcBorders>
              <w:tl2br w:val="nil"/>
              <w:tr2bl w:val="nil"/>
            </w:tcBorders>
            <w:vAlign w:val="center"/>
          </w:tcPr>
          <w:p w14:paraId="2E8D0FD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1.75</w:t>
            </w:r>
          </w:p>
        </w:tc>
        <w:tc>
          <w:tcPr>
            <w:tcW w:w="950" w:type="pct"/>
            <w:tcBorders>
              <w:tl2br w:val="nil"/>
              <w:tr2bl w:val="nil"/>
            </w:tcBorders>
            <w:vAlign w:val="center"/>
          </w:tcPr>
          <w:p w14:paraId="0B043E4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0.12</w:t>
            </w:r>
          </w:p>
        </w:tc>
        <w:tc>
          <w:tcPr>
            <w:tcW w:w="765" w:type="pct"/>
            <w:tcBorders>
              <w:tl2br w:val="nil"/>
              <w:tr2bl w:val="nil"/>
            </w:tcBorders>
            <w:vAlign w:val="center"/>
          </w:tcPr>
          <w:p w14:paraId="2E9734A9">
            <w:pPr>
              <w:widowControl w:val="0"/>
              <w:jc w:val="center"/>
              <w:rPr>
                <w:rFonts w:hint="eastAsia"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镉及其化合物</w:t>
            </w:r>
          </w:p>
        </w:tc>
        <w:tc>
          <w:tcPr>
            <w:tcW w:w="510" w:type="pct"/>
            <w:tcBorders>
              <w:tl2br w:val="nil"/>
              <w:tr2bl w:val="nil"/>
            </w:tcBorders>
            <w:vAlign w:val="center"/>
          </w:tcPr>
          <w:p w14:paraId="616B896E">
            <w:pPr>
              <w:pStyle w:val="105"/>
              <w:widowControl w:val="0"/>
              <w:jc w:val="center"/>
              <w:rPr>
                <w:rFonts w:hint="eastAsia" w:ascii="Times New Roman" w:hAnsi="Times New Roman" w:cs="Times New Roman"/>
                <w:b/>
                <w:bCs/>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lang w:eastAsia="zh-CN"/>
              </w:rPr>
              <w:t>：</w:t>
            </w:r>
            <w:r>
              <w:rPr>
                <w:rFonts w:hint="eastAsia" w:ascii="Times New Roman" w:hAnsi="Times New Roman" w:cs="Times New Roman"/>
                <w:caps w:val="0"/>
                <w:smallCaps w:val="0"/>
                <w:color w:val="auto"/>
                <w:spacing w:val="0"/>
                <w:sz w:val="21"/>
                <w:szCs w:val="21"/>
                <w:highlight w:val="none"/>
                <w:lang w:val="en-US" w:eastAsia="zh-CN"/>
              </w:rPr>
              <w:t>37</w:t>
            </w:r>
            <w:r>
              <w:rPr>
                <w:rFonts w:hint="eastAsia" w:ascii="Times New Roman" w:hAnsi="Times New Roman" w:cs="Times New Roman"/>
                <w:caps w:val="0"/>
                <w:smallCaps w:val="0"/>
                <w:color w:val="auto"/>
                <w:spacing w:val="0"/>
                <w:sz w:val="21"/>
                <w:szCs w:val="21"/>
                <w:highlight w:val="none"/>
                <w:lang w:eastAsia="en-US"/>
              </w:rPr>
              <w:t>%</w:t>
            </w:r>
          </w:p>
        </w:tc>
        <w:tc>
          <w:tcPr>
            <w:tcW w:w="1288" w:type="pct"/>
            <w:tcBorders>
              <w:tl2br w:val="nil"/>
              <w:tr2bl w:val="nil"/>
            </w:tcBorders>
            <w:vAlign w:val="center"/>
          </w:tcPr>
          <w:p w14:paraId="307F08C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桶装存放于</w:t>
            </w:r>
            <w:r>
              <w:rPr>
                <w:rFonts w:ascii="Times New Roman" w:hAnsi="Times New Roman" w:cs="Times New Roman"/>
                <w:caps w:val="0"/>
                <w:smallCaps w:val="0"/>
                <w:color w:val="auto"/>
                <w:spacing w:val="0"/>
                <w:sz w:val="21"/>
                <w:szCs w:val="21"/>
                <w:highlight w:val="none"/>
                <w:lang w:eastAsia="en-US" w:bidi="ar"/>
              </w:rPr>
              <w:t>高纯材料间</w:t>
            </w:r>
          </w:p>
        </w:tc>
      </w:tr>
      <w:tr w14:paraId="43E1DB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02863817">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5</w:t>
            </w:r>
          </w:p>
        </w:tc>
        <w:tc>
          <w:tcPr>
            <w:tcW w:w="254" w:type="pct"/>
            <w:tcBorders>
              <w:tl2br w:val="nil"/>
              <w:tr2bl w:val="nil"/>
            </w:tcBorders>
            <w:vAlign w:val="center"/>
          </w:tcPr>
          <w:p w14:paraId="1FB1C157">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26CF9FA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钼靶材</w:t>
            </w:r>
          </w:p>
        </w:tc>
        <w:tc>
          <w:tcPr>
            <w:tcW w:w="222" w:type="pct"/>
            <w:tcBorders>
              <w:tl2br w:val="nil"/>
              <w:tr2bl w:val="nil"/>
            </w:tcBorders>
            <w:vAlign w:val="center"/>
          </w:tcPr>
          <w:p w14:paraId="04AEB62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支</w:t>
            </w:r>
          </w:p>
        </w:tc>
        <w:tc>
          <w:tcPr>
            <w:tcW w:w="352" w:type="pct"/>
            <w:tcBorders>
              <w:tl2br w:val="nil"/>
              <w:tr2bl w:val="nil"/>
            </w:tcBorders>
            <w:vAlign w:val="center"/>
          </w:tcPr>
          <w:p w14:paraId="7BCE6F2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4</w:t>
            </w:r>
          </w:p>
        </w:tc>
        <w:tc>
          <w:tcPr>
            <w:tcW w:w="950" w:type="pct"/>
            <w:tcBorders>
              <w:tl2br w:val="nil"/>
              <w:tr2bl w:val="nil"/>
            </w:tcBorders>
            <w:vAlign w:val="center"/>
          </w:tcPr>
          <w:p w14:paraId="3FC5F1B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w:t>
            </w:r>
          </w:p>
        </w:tc>
        <w:tc>
          <w:tcPr>
            <w:tcW w:w="765" w:type="pct"/>
            <w:tcBorders>
              <w:tl2br w:val="nil"/>
              <w:tr2bl w:val="nil"/>
            </w:tcBorders>
            <w:vAlign w:val="center"/>
          </w:tcPr>
          <w:p w14:paraId="18289DE2">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钼粉</w:t>
            </w:r>
          </w:p>
        </w:tc>
        <w:tc>
          <w:tcPr>
            <w:tcW w:w="510" w:type="pct"/>
            <w:tcBorders>
              <w:tl2br w:val="nil"/>
              <w:tr2bl w:val="nil"/>
            </w:tcBorders>
            <w:vAlign w:val="center"/>
          </w:tcPr>
          <w:p w14:paraId="1F8A1F4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&gt;99.9%</w:t>
            </w:r>
          </w:p>
        </w:tc>
        <w:tc>
          <w:tcPr>
            <w:tcW w:w="1288" w:type="pct"/>
            <w:tcBorders>
              <w:tl2br w:val="nil"/>
              <w:tr2bl w:val="nil"/>
            </w:tcBorders>
            <w:vAlign w:val="center"/>
          </w:tcPr>
          <w:p w14:paraId="4385B33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存放于主要材料库，单支靶材金属质量约为39.912kg</w:t>
            </w:r>
          </w:p>
        </w:tc>
      </w:tr>
      <w:tr w14:paraId="0FCCA0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79C2A106">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6</w:t>
            </w:r>
          </w:p>
        </w:tc>
        <w:tc>
          <w:tcPr>
            <w:tcW w:w="254" w:type="pct"/>
            <w:tcBorders>
              <w:tl2br w:val="nil"/>
              <w:tr2bl w:val="nil"/>
            </w:tcBorders>
            <w:vAlign w:val="center"/>
          </w:tcPr>
          <w:p w14:paraId="4CEC5D6E">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7250DE8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铝靶材</w:t>
            </w:r>
          </w:p>
        </w:tc>
        <w:tc>
          <w:tcPr>
            <w:tcW w:w="222" w:type="pct"/>
            <w:tcBorders>
              <w:tl2br w:val="nil"/>
              <w:tr2bl w:val="nil"/>
            </w:tcBorders>
            <w:vAlign w:val="center"/>
          </w:tcPr>
          <w:p w14:paraId="0E060B29">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支</w:t>
            </w:r>
          </w:p>
        </w:tc>
        <w:tc>
          <w:tcPr>
            <w:tcW w:w="352" w:type="pct"/>
            <w:tcBorders>
              <w:tl2br w:val="nil"/>
              <w:tr2bl w:val="nil"/>
            </w:tcBorders>
            <w:vAlign w:val="center"/>
          </w:tcPr>
          <w:p w14:paraId="37C356D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22</w:t>
            </w:r>
          </w:p>
        </w:tc>
        <w:tc>
          <w:tcPr>
            <w:tcW w:w="950" w:type="pct"/>
            <w:tcBorders>
              <w:tl2br w:val="nil"/>
              <w:tr2bl w:val="nil"/>
            </w:tcBorders>
            <w:vAlign w:val="center"/>
          </w:tcPr>
          <w:p w14:paraId="32FB137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4</w:t>
            </w:r>
          </w:p>
        </w:tc>
        <w:tc>
          <w:tcPr>
            <w:tcW w:w="765" w:type="pct"/>
            <w:tcBorders>
              <w:tl2br w:val="nil"/>
              <w:tr2bl w:val="nil"/>
            </w:tcBorders>
            <w:vAlign w:val="center"/>
          </w:tcPr>
          <w:p w14:paraId="03606178">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铝粉</w:t>
            </w:r>
          </w:p>
        </w:tc>
        <w:tc>
          <w:tcPr>
            <w:tcW w:w="510" w:type="pct"/>
            <w:tcBorders>
              <w:tl2br w:val="nil"/>
              <w:tr2bl w:val="nil"/>
            </w:tcBorders>
            <w:vAlign w:val="center"/>
          </w:tcPr>
          <w:p w14:paraId="5B93DF8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&gt;99.9%</w:t>
            </w:r>
          </w:p>
        </w:tc>
        <w:tc>
          <w:tcPr>
            <w:tcW w:w="1288" w:type="pct"/>
            <w:tcBorders>
              <w:tl2br w:val="nil"/>
              <w:tr2bl w:val="nil"/>
            </w:tcBorders>
            <w:vAlign w:val="center"/>
          </w:tcPr>
          <w:p w14:paraId="4CA285D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存放于主要材料库，单支靶材金属质量为11.683kg</w:t>
            </w:r>
          </w:p>
        </w:tc>
      </w:tr>
      <w:tr w14:paraId="1FE19C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7B758836">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7</w:t>
            </w:r>
          </w:p>
        </w:tc>
        <w:tc>
          <w:tcPr>
            <w:tcW w:w="254" w:type="pct"/>
            <w:tcBorders>
              <w:tl2br w:val="nil"/>
              <w:tr2bl w:val="nil"/>
            </w:tcBorders>
            <w:vAlign w:val="center"/>
          </w:tcPr>
          <w:p w14:paraId="37B55C83">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471D569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铬靶材</w:t>
            </w:r>
          </w:p>
        </w:tc>
        <w:tc>
          <w:tcPr>
            <w:tcW w:w="222" w:type="pct"/>
            <w:tcBorders>
              <w:tl2br w:val="nil"/>
              <w:tr2bl w:val="nil"/>
            </w:tcBorders>
            <w:vAlign w:val="center"/>
          </w:tcPr>
          <w:p w14:paraId="3BF8E8F5">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支</w:t>
            </w:r>
          </w:p>
        </w:tc>
        <w:tc>
          <w:tcPr>
            <w:tcW w:w="352" w:type="pct"/>
            <w:tcBorders>
              <w:tl2br w:val="nil"/>
              <w:tr2bl w:val="nil"/>
            </w:tcBorders>
            <w:vAlign w:val="center"/>
          </w:tcPr>
          <w:p w14:paraId="2E7F0C7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12</w:t>
            </w:r>
          </w:p>
        </w:tc>
        <w:tc>
          <w:tcPr>
            <w:tcW w:w="950" w:type="pct"/>
            <w:tcBorders>
              <w:tl2br w:val="nil"/>
              <w:tr2bl w:val="nil"/>
            </w:tcBorders>
            <w:vAlign w:val="center"/>
          </w:tcPr>
          <w:p w14:paraId="0D115C3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w:t>
            </w:r>
          </w:p>
        </w:tc>
        <w:tc>
          <w:tcPr>
            <w:tcW w:w="765" w:type="pct"/>
            <w:tcBorders>
              <w:tl2br w:val="nil"/>
              <w:tr2bl w:val="nil"/>
            </w:tcBorders>
            <w:vAlign w:val="center"/>
          </w:tcPr>
          <w:p w14:paraId="3B326A9A">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铬</w:t>
            </w:r>
          </w:p>
        </w:tc>
        <w:tc>
          <w:tcPr>
            <w:tcW w:w="510" w:type="pct"/>
            <w:tcBorders>
              <w:tl2br w:val="nil"/>
              <w:tr2bl w:val="nil"/>
            </w:tcBorders>
            <w:vAlign w:val="center"/>
          </w:tcPr>
          <w:p w14:paraId="07E7FB0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&gt;9</w:t>
            </w:r>
            <w:r>
              <w:rPr>
                <w:rFonts w:hint="eastAsia" w:ascii="Times New Roman" w:hAnsi="Times New Roman" w:cs="Times New Roman"/>
                <w:caps w:val="0"/>
                <w:smallCaps w:val="0"/>
                <w:color w:val="auto"/>
                <w:spacing w:val="0"/>
                <w:sz w:val="21"/>
                <w:szCs w:val="21"/>
                <w:highlight w:val="none"/>
                <w:lang w:val="en-US" w:eastAsia="zh-CN"/>
              </w:rPr>
              <w:t>0</w:t>
            </w:r>
            <w:r>
              <w:rPr>
                <w:rFonts w:hint="eastAsia" w:ascii="Times New Roman" w:hAnsi="Times New Roman" w:cs="Times New Roman"/>
                <w:caps w:val="0"/>
                <w:smallCaps w:val="0"/>
                <w:color w:val="auto"/>
                <w:spacing w:val="0"/>
                <w:sz w:val="21"/>
                <w:szCs w:val="21"/>
                <w:highlight w:val="none"/>
                <w:lang w:eastAsia="en-US"/>
              </w:rPr>
              <w:t>.</w:t>
            </w:r>
            <w:r>
              <w:rPr>
                <w:rFonts w:hint="eastAsia" w:ascii="Times New Roman" w:hAnsi="Times New Roman" w:cs="Times New Roman"/>
                <w:caps w:val="0"/>
                <w:smallCaps w:val="0"/>
                <w:color w:val="auto"/>
                <w:spacing w:val="0"/>
                <w:sz w:val="21"/>
                <w:szCs w:val="21"/>
                <w:highlight w:val="none"/>
                <w:lang w:val="en-US" w:eastAsia="zh-CN"/>
              </w:rPr>
              <w:t>0</w:t>
            </w:r>
            <w:r>
              <w:rPr>
                <w:rFonts w:hint="eastAsia" w:ascii="Times New Roman" w:hAnsi="Times New Roman" w:cs="Times New Roman"/>
                <w:caps w:val="0"/>
                <w:smallCaps w:val="0"/>
                <w:color w:val="auto"/>
                <w:spacing w:val="0"/>
                <w:sz w:val="21"/>
                <w:szCs w:val="21"/>
                <w:highlight w:val="none"/>
                <w:lang w:eastAsia="en-US"/>
              </w:rPr>
              <w:t>%</w:t>
            </w:r>
          </w:p>
        </w:tc>
        <w:tc>
          <w:tcPr>
            <w:tcW w:w="1288" w:type="pct"/>
            <w:tcBorders>
              <w:tl2br w:val="nil"/>
              <w:tr2bl w:val="nil"/>
            </w:tcBorders>
            <w:vAlign w:val="center"/>
          </w:tcPr>
          <w:p w14:paraId="09382BB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存放于主要材料库，单支靶材金属质量为30.415kg</w:t>
            </w:r>
          </w:p>
        </w:tc>
      </w:tr>
      <w:tr w14:paraId="649DF8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22CD04E6">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8</w:t>
            </w:r>
          </w:p>
        </w:tc>
        <w:tc>
          <w:tcPr>
            <w:tcW w:w="254" w:type="pct"/>
            <w:tcBorders>
              <w:tl2br w:val="nil"/>
              <w:tr2bl w:val="nil"/>
            </w:tcBorders>
            <w:vAlign w:val="center"/>
          </w:tcPr>
          <w:p w14:paraId="32B6442B">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原料</w:t>
            </w:r>
          </w:p>
        </w:tc>
        <w:tc>
          <w:tcPr>
            <w:tcW w:w="515" w:type="pct"/>
            <w:tcBorders>
              <w:tl2br w:val="nil"/>
              <w:tr2bl w:val="nil"/>
            </w:tcBorders>
            <w:vAlign w:val="center"/>
          </w:tcPr>
          <w:p w14:paraId="6AE567A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ZnTe靶材</w:t>
            </w:r>
          </w:p>
        </w:tc>
        <w:tc>
          <w:tcPr>
            <w:tcW w:w="222" w:type="pct"/>
            <w:tcBorders>
              <w:tl2br w:val="nil"/>
              <w:tr2bl w:val="nil"/>
            </w:tcBorders>
            <w:vAlign w:val="center"/>
          </w:tcPr>
          <w:p w14:paraId="2C7B780A">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支</w:t>
            </w:r>
          </w:p>
        </w:tc>
        <w:tc>
          <w:tcPr>
            <w:tcW w:w="352" w:type="pct"/>
            <w:tcBorders>
              <w:tl2br w:val="nil"/>
              <w:tr2bl w:val="nil"/>
            </w:tcBorders>
            <w:vAlign w:val="center"/>
          </w:tcPr>
          <w:p w14:paraId="7E946A5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18</w:t>
            </w:r>
          </w:p>
        </w:tc>
        <w:tc>
          <w:tcPr>
            <w:tcW w:w="950" w:type="pct"/>
            <w:tcBorders>
              <w:tl2br w:val="nil"/>
              <w:tr2bl w:val="nil"/>
            </w:tcBorders>
            <w:vAlign w:val="center"/>
          </w:tcPr>
          <w:p w14:paraId="4F8C41C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w:t>
            </w:r>
          </w:p>
        </w:tc>
        <w:tc>
          <w:tcPr>
            <w:tcW w:w="765" w:type="pct"/>
            <w:tcBorders>
              <w:tl2br w:val="nil"/>
              <w:tr2bl w:val="nil"/>
            </w:tcBorders>
            <w:vAlign w:val="center"/>
          </w:tcPr>
          <w:p w14:paraId="68E45FC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碲（Te）及其化合物</w:t>
            </w:r>
          </w:p>
        </w:tc>
        <w:tc>
          <w:tcPr>
            <w:tcW w:w="510" w:type="pct"/>
            <w:tcBorders>
              <w:tl2br w:val="nil"/>
              <w:tr2bl w:val="nil"/>
            </w:tcBorders>
            <w:vAlign w:val="center"/>
          </w:tcPr>
          <w:p w14:paraId="091BD2A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50</w:t>
            </w:r>
            <w:r>
              <w:rPr>
                <w:rFonts w:hint="eastAsia" w:ascii="Times New Roman" w:hAnsi="Times New Roman" w:cs="Times New Roman"/>
                <w:caps w:val="0"/>
                <w:smallCaps w:val="0"/>
                <w:color w:val="auto"/>
                <w:spacing w:val="0"/>
                <w:sz w:val="21"/>
                <w:szCs w:val="21"/>
                <w:highlight w:val="none"/>
                <w:lang w:eastAsia="en-US"/>
              </w:rPr>
              <w:t>.</w:t>
            </w:r>
            <w:r>
              <w:rPr>
                <w:rFonts w:hint="eastAsia" w:ascii="Times New Roman" w:hAnsi="Times New Roman" w:cs="Times New Roman"/>
                <w:caps w:val="0"/>
                <w:smallCaps w:val="0"/>
                <w:color w:val="auto"/>
                <w:spacing w:val="0"/>
                <w:sz w:val="21"/>
                <w:szCs w:val="21"/>
                <w:highlight w:val="none"/>
                <w:lang w:val="en-US" w:eastAsia="zh-CN"/>
              </w:rPr>
              <w:t>0</w:t>
            </w:r>
            <w:r>
              <w:rPr>
                <w:rFonts w:hint="eastAsia" w:ascii="Times New Roman" w:hAnsi="Times New Roman" w:cs="Times New Roman"/>
                <w:caps w:val="0"/>
                <w:smallCaps w:val="0"/>
                <w:color w:val="auto"/>
                <w:spacing w:val="0"/>
                <w:sz w:val="21"/>
                <w:szCs w:val="21"/>
                <w:highlight w:val="none"/>
                <w:lang w:eastAsia="en-US"/>
              </w:rPr>
              <w:t>%</w:t>
            </w:r>
          </w:p>
        </w:tc>
        <w:tc>
          <w:tcPr>
            <w:tcW w:w="1288" w:type="pct"/>
            <w:tcBorders>
              <w:tl2br w:val="nil"/>
              <w:tr2bl w:val="nil"/>
            </w:tcBorders>
            <w:vAlign w:val="center"/>
          </w:tcPr>
          <w:p w14:paraId="49EC71C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存放于主要材料库，单支靶材金属质量为23.771kg</w:t>
            </w:r>
          </w:p>
        </w:tc>
      </w:tr>
      <w:tr w14:paraId="5B5C3D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0BE74DAB">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10</w:t>
            </w:r>
          </w:p>
        </w:tc>
        <w:tc>
          <w:tcPr>
            <w:tcW w:w="254" w:type="pct"/>
            <w:tcBorders>
              <w:tl2br w:val="nil"/>
              <w:tr2bl w:val="nil"/>
            </w:tcBorders>
            <w:vAlign w:val="center"/>
          </w:tcPr>
          <w:p w14:paraId="4B765D09">
            <w:pPr>
              <w:widowControl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0C0DC4E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光刻胶</w:t>
            </w:r>
          </w:p>
        </w:tc>
        <w:tc>
          <w:tcPr>
            <w:tcW w:w="222" w:type="pct"/>
            <w:tcBorders>
              <w:tl2br w:val="nil"/>
              <w:tr2bl w:val="nil"/>
            </w:tcBorders>
            <w:vAlign w:val="center"/>
          </w:tcPr>
          <w:p w14:paraId="60E3988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w:t>
            </w:r>
          </w:p>
        </w:tc>
        <w:tc>
          <w:tcPr>
            <w:tcW w:w="352" w:type="pct"/>
            <w:tcBorders>
              <w:tl2br w:val="nil"/>
              <w:tr2bl w:val="nil"/>
            </w:tcBorders>
            <w:vAlign w:val="center"/>
          </w:tcPr>
          <w:p w14:paraId="38BD260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18.3</w:t>
            </w:r>
          </w:p>
        </w:tc>
        <w:tc>
          <w:tcPr>
            <w:tcW w:w="950" w:type="pct"/>
            <w:tcBorders>
              <w:tl2br w:val="nil"/>
              <w:tr2bl w:val="nil"/>
            </w:tcBorders>
            <w:vAlign w:val="center"/>
          </w:tcPr>
          <w:p w14:paraId="3705672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2.7</w:t>
            </w:r>
          </w:p>
        </w:tc>
        <w:tc>
          <w:tcPr>
            <w:tcW w:w="765" w:type="pct"/>
            <w:tcBorders>
              <w:tl2br w:val="nil"/>
              <w:tr2bl w:val="nil"/>
            </w:tcBorders>
            <w:vAlign w:val="center"/>
          </w:tcPr>
          <w:p w14:paraId="58DCBB3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eastAsia="宋体" w:cs="Times New Roman"/>
                <w:caps w:val="0"/>
                <w:smallCaps w:val="0"/>
                <w:color w:val="auto"/>
                <w:spacing w:val="0"/>
                <w:kern w:val="0"/>
                <w:sz w:val="21"/>
                <w:highlight w:val="none"/>
                <w:lang w:eastAsia="en-US" w:bidi="ar"/>
              </w:rPr>
              <w:t>N,N'-亚甲基双丙烯酰胺</w:t>
            </w:r>
          </w:p>
        </w:tc>
        <w:tc>
          <w:tcPr>
            <w:tcW w:w="510" w:type="pct"/>
            <w:tcBorders>
              <w:tl2br w:val="nil"/>
              <w:tr2bl w:val="nil"/>
            </w:tcBorders>
            <w:vAlign w:val="center"/>
          </w:tcPr>
          <w:p w14:paraId="2C0F14E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eastAsia="宋体" w:cs="Times New Roman"/>
                <w:caps w:val="0"/>
                <w:smallCaps w:val="0"/>
                <w:color w:val="auto"/>
                <w:spacing w:val="0"/>
                <w:kern w:val="0"/>
                <w:sz w:val="21"/>
                <w:highlight w:val="none"/>
                <w:lang w:eastAsia="en-US" w:bidi="ar"/>
              </w:rPr>
              <w:t>1-3%</w:t>
            </w:r>
          </w:p>
        </w:tc>
        <w:tc>
          <w:tcPr>
            <w:tcW w:w="1288" w:type="pct"/>
            <w:tcBorders>
              <w:tl2br w:val="nil"/>
              <w:tr2bl w:val="nil"/>
            </w:tcBorders>
            <w:vAlign w:val="center"/>
          </w:tcPr>
          <w:p w14:paraId="33DADA5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桶装存放于主要材料库</w:t>
            </w:r>
          </w:p>
        </w:tc>
      </w:tr>
      <w:tr w14:paraId="22730A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327C30DF">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11</w:t>
            </w:r>
          </w:p>
        </w:tc>
        <w:tc>
          <w:tcPr>
            <w:tcW w:w="254" w:type="pct"/>
            <w:tcBorders>
              <w:tl2br w:val="nil"/>
              <w:tr2bl w:val="nil"/>
            </w:tcBorders>
            <w:vAlign w:val="center"/>
          </w:tcPr>
          <w:p w14:paraId="39939624">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473F63B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H</w:t>
            </w:r>
            <w:r>
              <w:rPr>
                <w:rFonts w:ascii="Times New Roman" w:hAnsi="Times New Roman" w:cs="Times New Roman"/>
                <w:caps w:val="0"/>
                <w:smallCaps w:val="0"/>
                <w:color w:val="auto"/>
                <w:spacing w:val="0"/>
                <w:sz w:val="21"/>
                <w:szCs w:val="21"/>
                <w:highlight w:val="none"/>
                <w:vertAlign w:val="subscript"/>
                <w:lang w:eastAsia="en-US"/>
              </w:rPr>
              <w:t>2</w:t>
            </w:r>
            <w:r>
              <w:rPr>
                <w:rFonts w:ascii="Times New Roman" w:hAnsi="Times New Roman" w:cs="Times New Roman"/>
                <w:caps w:val="0"/>
                <w:smallCaps w:val="0"/>
                <w:color w:val="auto"/>
                <w:spacing w:val="0"/>
                <w:sz w:val="21"/>
                <w:szCs w:val="21"/>
                <w:highlight w:val="none"/>
                <w:lang w:eastAsia="en-US"/>
              </w:rPr>
              <w:t>O</w:t>
            </w:r>
            <w:r>
              <w:rPr>
                <w:rFonts w:ascii="Times New Roman" w:hAnsi="Times New Roman" w:cs="Times New Roman"/>
                <w:caps w:val="0"/>
                <w:smallCaps w:val="0"/>
                <w:color w:val="auto"/>
                <w:spacing w:val="0"/>
                <w:sz w:val="21"/>
                <w:szCs w:val="21"/>
                <w:highlight w:val="none"/>
                <w:vertAlign w:val="subscript"/>
                <w:lang w:eastAsia="en-US"/>
              </w:rPr>
              <w:t>2</w:t>
            </w:r>
            <w:r>
              <w:rPr>
                <w:rFonts w:ascii="Times New Roman" w:hAnsi="Times New Roman" w:cs="Times New Roman"/>
                <w:caps w:val="0"/>
                <w:smallCaps w:val="0"/>
                <w:color w:val="auto"/>
                <w:spacing w:val="0"/>
                <w:sz w:val="21"/>
                <w:szCs w:val="21"/>
                <w:highlight w:val="none"/>
                <w:lang w:eastAsia="en-US"/>
              </w:rPr>
              <w:t>（30%）</w:t>
            </w:r>
          </w:p>
        </w:tc>
        <w:tc>
          <w:tcPr>
            <w:tcW w:w="222" w:type="pct"/>
            <w:tcBorders>
              <w:tl2br w:val="nil"/>
              <w:tr2bl w:val="nil"/>
            </w:tcBorders>
            <w:vAlign w:val="center"/>
          </w:tcPr>
          <w:p w14:paraId="58F88BD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w:t>
            </w:r>
          </w:p>
        </w:tc>
        <w:tc>
          <w:tcPr>
            <w:tcW w:w="352" w:type="pct"/>
            <w:tcBorders>
              <w:tl2br w:val="nil"/>
              <w:tr2bl w:val="nil"/>
            </w:tcBorders>
            <w:vAlign w:val="center"/>
          </w:tcPr>
          <w:p w14:paraId="56CF873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12.7</w:t>
            </w:r>
          </w:p>
        </w:tc>
        <w:tc>
          <w:tcPr>
            <w:tcW w:w="950" w:type="pct"/>
            <w:tcBorders>
              <w:tl2br w:val="nil"/>
              <w:tr2bl w:val="nil"/>
            </w:tcBorders>
            <w:vAlign w:val="center"/>
          </w:tcPr>
          <w:p w14:paraId="100B0EC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1.9</w:t>
            </w:r>
          </w:p>
        </w:tc>
        <w:tc>
          <w:tcPr>
            <w:tcW w:w="765" w:type="pct"/>
            <w:tcBorders>
              <w:tl2br w:val="nil"/>
              <w:tr2bl w:val="nil"/>
            </w:tcBorders>
            <w:vAlign w:val="center"/>
          </w:tcPr>
          <w:p w14:paraId="39B1F51B">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过氧化氢</w:t>
            </w:r>
          </w:p>
        </w:tc>
        <w:tc>
          <w:tcPr>
            <w:tcW w:w="510" w:type="pct"/>
            <w:tcBorders>
              <w:tl2br w:val="nil"/>
              <w:tr2bl w:val="nil"/>
            </w:tcBorders>
            <w:vAlign w:val="center"/>
          </w:tcPr>
          <w:p w14:paraId="37BAE04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30%</w:t>
            </w:r>
          </w:p>
        </w:tc>
        <w:tc>
          <w:tcPr>
            <w:tcW w:w="1288" w:type="pct"/>
            <w:tcBorders>
              <w:tl2br w:val="nil"/>
              <w:tr2bl w:val="nil"/>
            </w:tcBorders>
            <w:vAlign w:val="center"/>
          </w:tcPr>
          <w:p w14:paraId="51BFCE5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桶装存放于主要材料库</w:t>
            </w:r>
          </w:p>
        </w:tc>
      </w:tr>
      <w:tr w14:paraId="07A0A1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0CEDDD81">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12</w:t>
            </w:r>
          </w:p>
        </w:tc>
        <w:tc>
          <w:tcPr>
            <w:tcW w:w="254" w:type="pct"/>
            <w:tcBorders>
              <w:tl2br w:val="nil"/>
              <w:tr2bl w:val="nil"/>
            </w:tcBorders>
            <w:vAlign w:val="center"/>
          </w:tcPr>
          <w:p w14:paraId="32469DD0">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25D4CF8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氮气</w:t>
            </w:r>
          </w:p>
        </w:tc>
        <w:tc>
          <w:tcPr>
            <w:tcW w:w="222" w:type="pct"/>
            <w:tcBorders>
              <w:tl2br w:val="nil"/>
              <w:tr2bl w:val="nil"/>
            </w:tcBorders>
            <w:vAlign w:val="center"/>
          </w:tcPr>
          <w:p w14:paraId="5C694B9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w:t>
            </w:r>
          </w:p>
        </w:tc>
        <w:tc>
          <w:tcPr>
            <w:tcW w:w="352" w:type="pct"/>
            <w:tcBorders>
              <w:tl2br w:val="nil"/>
              <w:tr2bl w:val="nil"/>
            </w:tcBorders>
            <w:vAlign w:val="center"/>
          </w:tcPr>
          <w:p w14:paraId="42D3A46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50</w:t>
            </w:r>
          </w:p>
        </w:tc>
        <w:tc>
          <w:tcPr>
            <w:tcW w:w="950" w:type="pct"/>
            <w:tcBorders>
              <w:tl2br w:val="nil"/>
              <w:tr2bl w:val="nil"/>
            </w:tcBorders>
            <w:vAlign w:val="center"/>
          </w:tcPr>
          <w:p w14:paraId="09AEB08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3</w:t>
            </w:r>
          </w:p>
        </w:tc>
        <w:tc>
          <w:tcPr>
            <w:tcW w:w="765" w:type="pct"/>
            <w:tcBorders>
              <w:tl2br w:val="nil"/>
              <w:tr2bl w:val="nil"/>
            </w:tcBorders>
            <w:vAlign w:val="center"/>
          </w:tcPr>
          <w:p w14:paraId="40091787">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w:t>
            </w:r>
          </w:p>
        </w:tc>
        <w:tc>
          <w:tcPr>
            <w:tcW w:w="510" w:type="pct"/>
            <w:tcBorders>
              <w:tl2br w:val="nil"/>
              <w:tr2bl w:val="nil"/>
            </w:tcBorders>
            <w:vAlign w:val="center"/>
          </w:tcPr>
          <w:p w14:paraId="1A8C936A">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l2br w:val="nil"/>
              <w:tr2bl w:val="nil"/>
            </w:tcBorders>
            <w:vAlign w:val="center"/>
          </w:tcPr>
          <w:p w14:paraId="2F6AC5B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瓶装于磁控溅射间</w:t>
            </w:r>
          </w:p>
        </w:tc>
      </w:tr>
      <w:tr w14:paraId="13B03F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6EEF743D">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13</w:t>
            </w:r>
          </w:p>
        </w:tc>
        <w:tc>
          <w:tcPr>
            <w:tcW w:w="254" w:type="pct"/>
            <w:tcBorders>
              <w:tl2br w:val="nil"/>
              <w:tr2bl w:val="nil"/>
            </w:tcBorders>
            <w:vAlign w:val="center"/>
          </w:tcPr>
          <w:p w14:paraId="09164095">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4561E93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液氮</w:t>
            </w:r>
          </w:p>
        </w:tc>
        <w:tc>
          <w:tcPr>
            <w:tcW w:w="222" w:type="pct"/>
            <w:tcBorders>
              <w:tl2br w:val="nil"/>
              <w:tr2bl w:val="nil"/>
            </w:tcBorders>
            <w:vAlign w:val="center"/>
          </w:tcPr>
          <w:p w14:paraId="529C0F2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m</w:t>
            </w:r>
            <w:r>
              <w:rPr>
                <w:rFonts w:ascii="Times New Roman" w:hAnsi="Times New Roman" w:cs="Times New Roman"/>
                <w:caps w:val="0"/>
                <w:smallCaps w:val="0"/>
                <w:color w:val="auto"/>
                <w:spacing w:val="0"/>
                <w:sz w:val="21"/>
                <w:szCs w:val="21"/>
                <w:highlight w:val="none"/>
                <w:vertAlign w:val="superscript"/>
                <w:lang w:eastAsia="en-US"/>
              </w:rPr>
              <w:t>3</w:t>
            </w:r>
          </w:p>
        </w:tc>
        <w:tc>
          <w:tcPr>
            <w:tcW w:w="352" w:type="pct"/>
            <w:tcBorders>
              <w:tl2br w:val="nil"/>
              <w:tr2bl w:val="nil"/>
            </w:tcBorders>
            <w:vAlign w:val="center"/>
          </w:tcPr>
          <w:p w14:paraId="12F7B35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600</w:t>
            </w:r>
          </w:p>
        </w:tc>
        <w:tc>
          <w:tcPr>
            <w:tcW w:w="950" w:type="pct"/>
            <w:tcBorders>
              <w:tl2br w:val="nil"/>
              <w:tr2bl w:val="nil"/>
            </w:tcBorders>
            <w:vAlign w:val="center"/>
          </w:tcPr>
          <w:p w14:paraId="0F5017B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60</w:t>
            </w:r>
          </w:p>
        </w:tc>
        <w:tc>
          <w:tcPr>
            <w:tcW w:w="1389" w:type="dxa"/>
            <w:tcBorders>
              <w:tl2br w:val="nil"/>
              <w:tr2bl w:val="nil"/>
            </w:tcBorders>
            <w:vAlign w:val="center"/>
          </w:tcPr>
          <w:p w14:paraId="4A6DB7F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926" w:type="dxa"/>
            <w:tcBorders>
              <w:tl2br w:val="nil"/>
              <w:tr2bl w:val="nil"/>
            </w:tcBorders>
            <w:vAlign w:val="center"/>
          </w:tcPr>
          <w:p w14:paraId="6A346C1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l2br w:val="nil"/>
              <w:tr2bl w:val="nil"/>
            </w:tcBorders>
            <w:vAlign w:val="center"/>
          </w:tcPr>
          <w:p w14:paraId="31E394A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储存于60m</w:t>
            </w:r>
            <w:r>
              <w:rPr>
                <w:rFonts w:ascii="Times New Roman" w:hAnsi="Times New Roman" w:cs="Times New Roman"/>
                <w:caps w:val="0"/>
                <w:smallCaps w:val="0"/>
                <w:color w:val="auto"/>
                <w:spacing w:val="0"/>
                <w:sz w:val="21"/>
                <w:szCs w:val="21"/>
                <w:highlight w:val="none"/>
                <w:vertAlign w:val="superscript"/>
                <w:lang w:eastAsia="en-US"/>
              </w:rPr>
              <w:t>3</w:t>
            </w:r>
            <w:r>
              <w:rPr>
                <w:rFonts w:ascii="Times New Roman" w:hAnsi="Times New Roman" w:cs="Times New Roman"/>
                <w:caps w:val="0"/>
                <w:smallCaps w:val="0"/>
                <w:color w:val="auto"/>
                <w:spacing w:val="0"/>
                <w:sz w:val="21"/>
                <w:szCs w:val="21"/>
                <w:highlight w:val="none"/>
                <w:lang w:eastAsia="en-US"/>
              </w:rPr>
              <w:t>液氮储罐</w:t>
            </w:r>
          </w:p>
        </w:tc>
      </w:tr>
      <w:tr w14:paraId="6CBCE0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40" w:type="pct"/>
            <w:tcBorders>
              <w:tl2br w:val="nil"/>
              <w:tr2bl w:val="nil"/>
            </w:tcBorders>
            <w:vAlign w:val="center"/>
          </w:tcPr>
          <w:p w14:paraId="2F902636">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14</w:t>
            </w:r>
          </w:p>
        </w:tc>
        <w:tc>
          <w:tcPr>
            <w:tcW w:w="254" w:type="pct"/>
            <w:tcBorders>
              <w:tl2br w:val="nil"/>
              <w:tr2bl w:val="nil"/>
            </w:tcBorders>
            <w:vAlign w:val="center"/>
          </w:tcPr>
          <w:p w14:paraId="6AEBED87">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419904A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氩气</w:t>
            </w:r>
          </w:p>
        </w:tc>
        <w:tc>
          <w:tcPr>
            <w:tcW w:w="222" w:type="pct"/>
            <w:tcBorders>
              <w:tl2br w:val="nil"/>
              <w:tr2bl w:val="nil"/>
            </w:tcBorders>
            <w:vAlign w:val="center"/>
          </w:tcPr>
          <w:p w14:paraId="1559B6F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w:t>
            </w:r>
          </w:p>
        </w:tc>
        <w:tc>
          <w:tcPr>
            <w:tcW w:w="352" w:type="pct"/>
            <w:tcBorders>
              <w:tl2br w:val="nil"/>
              <w:tr2bl w:val="nil"/>
            </w:tcBorders>
            <w:vAlign w:val="center"/>
          </w:tcPr>
          <w:p w14:paraId="66816C8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200</w:t>
            </w:r>
          </w:p>
        </w:tc>
        <w:tc>
          <w:tcPr>
            <w:tcW w:w="950" w:type="pct"/>
            <w:tcBorders>
              <w:tl2br w:val="nil"/>
              <w:tr2bl w:val="nil"/>
            </w:tcBorders>
            <w:vAlign w:val="center"/>
          </w:tcPr>
          <w:p w14:paraId="5ACE2F0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8</w:t>
            </w:r>
          </w:p>
        </w:tc>
        <w:tc>
          <w:tcPr>
            <w:tcW w:w="1389" w:type="dxa"/>
            <w:tcBorders>
              <w:tl2br w:val="nil"/>
              <w:tr2bl w:val="nil"/>
            </w:tcBorders>
            <w:vAlign w:val="center"/>
          </w:tcPr>
          <w:p w14:paraId="1241267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926" w:type="dxa"/>
            <w:tcBorders>
              <w:tl2br w:val="nil"/>
              <w:tr2bl w:val="nil"/>
            </w:tcBorders>
            <w:vAlign w:val="center"/>
          </w:tcPr>
          <w:p w14:paraId="0432DBD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l2br w:val="nil"/>
              <w:tr2bl w:val="nil"/>
            </w:tcBorders>
            <w:vAlign w:val="center"/>
          </w:tcPr>
          <w:p w14:paraId="5A9BD30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瓶装于磁控溅射间</w:t>
            </w:r>
          </w:p>
        </w:tc>
      </w:tr>
      <w:tr w14:paraId="0DE68D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tcBorders>
              <w:tl2br w:val="nil"/>
              <w:tr2bl w:val="nil"/>
            </w:tcBorders>
            <w:vAlign w:val="center"/>
          </w:tcPr>
          <w:p w14:paraId="76644840">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15</w:t>
            </w:r>
          </w:p>
        </w:tc>
        <w:tc>
          <w:tcPr>
            <w:tcW w:w="254" w:type="pct"/>
            <w:tcBorders>
              <w:tl2br w:val="nil"/>
              <w:tr2bl w:val="nil"/>
            </w:tcBorders>
            <w:vAlign w:val="center"/>
          </w:tcPr>
          <w:p w14:paraId="0CD4E6C5">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45F7AAD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氦气</w:t>
            </w:r>
          </w:p>
        </w:tc>
        <w:tc>
          <w:tcPr>
            <w:tcW w:w="222" w:type="pct"/>
            <w:tcBorders>
              <w:tl2br w:val="nil"/>
              <w:tr2bl w:val="nil"/>
            </w:tcBorders>
            <w:vAlign w:val="center"/>
          </w:tcPr>
          <w:p w14:paraId="5FC0E38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w:t>
            </w:r>
          </w:p>
        </w:tc>
        <w:tc>
          <w:tcPr>
            <w:tcW w:w="352" w:type="pct"/>
            <w:tcBorders>
              <w:tl2br w:val="nil"/>
              <w:tr2bl w:val="nil"/>
            </w:tcBorders>
            <w:vAlign w:val="center"/>
          </w:tcPr>
          <w:p w14:paraId="6B569F9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w:t>
            </w:r>
          </w:p>
        </w:tc>
        <w:tc>
          <w:tcPr>
            <w:tcW w:w="950" w:type="pct"/>
            <w:tcBorders>
              <w:tl2br w:val="nil"/>
              <w:tr2bl w:val="nil"/>
            </w:tcBorders>
            <w:vAlign w:val="center"/>
          </w:tcPr>
          <w:p w14:paraId="6E8439D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w:t>
            </w:r>
          </w:p>
        </w:tc>
        <w:tc>
          <w:tcPr>
            <w:tcW w:w="1389" w:type="dxa"/>
            <w:tcBorders>
              <w:tl2br w:val="nil"/>
              <w:tr2bl w:val="nil"/>
            </w:tcBorders>
            <w:vAlign w:val="center"/>
          </w:tcPr>
          <w:p w14:paraId="4004FA3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926" w:type="dxa"/>
            <w:tcBorders>
              <w:tl2br w:val="nil"/>
              <w:tr2bl w:val="nil"/>
            </w:tcBorders>
            <w:vAlign w:val="center"/>
          </w:tcPr>
          <w:p w14:paraId="7D8ABCF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l2br w:val="nil"/>
              <w:tr2bl w:val="nil"/>
            </w:tcBorders>
            <w:vAlign w:val="center"/>
          </w:tcPr>
          <w:p w14:paraId="014033B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瓶装存放于CSS间</w:t>
            </w:r>
          </w:p>
        </w:tc>
      </w:tr>
      <w:tr w14:paraId="5D1610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tcBorders>
              <w:tl2br w:val="nil"/>
              <w:tr2bl w:val="nil"/>
            </w:tcBorders>
            <w:vAlign w:val="center"/>
          </w:tcPr>
          <w:p w14:paraId="3B176AF0">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16</w:t>
            </w:r>
          </w:p>
        </w:tc>
        <w:tc>
          <w:tcPr>
            <w:tcW w:w="254" w:type="pct"/>
            <w:tcBorders>
              <w:tl2br w:val="nil"/>
              <w:tr2bl w:val="nil"/>
            </w:tcBorders>
            <w:vAlign w:val="center"/>
          </w:tcPr>
          <w:p w14:paraId="107FA7C7">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33D2221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氧气</w:t>
            </w:r>
          </w:p>
        </w:tc>
        <w:tc>
          <w:tcPr>
            <w:tcW w:w="222" w:type="pct"/>
            <w:tcBorders>
              <w:tl2br w:val="nil"/>
              <w:tr2bl w:val="nil"/>
            </w:tcBorders>
            <w:shd w:val="clear" w:color="auto" w:fill="auto"/>
            <w:vAlign w:val="center"/>
          </w:tcPr>
          <w:p w14:paraId="46910EE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w:t>
            </w:r>
          </w:p>
        </w:tc>
        <w:tc>
          <w:tcPr>
            <w:tcW w:w="352" w:type="pct"/>
            <w:tcBorders>
              <w:tl2br w:val="nil"/>
              <w:tr2bl w:val="nil"/>
            </w:tcBorders>
            <w:shd w:val="clear" w:color="auto" w:fill="auto"/>
            <w:vAlign w:val="center"/>
          </w:tcPr>
          <w:p w14:paraId="5F0F989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4</w:t>
            </w:r>
          </w:p>
        </w:tc>
        <w:tc>
          <w:tcPr>
            <w:tcW w:w="950" w:type="pct"/>
            <w:tcBorders>
              <w:tl2br w:val="nil"/>
              <w:tr2bl w:val="nil"/>
            </w:tcBorders>
            <w:vAlign w:val="center"/>
          </w:tcPr>
          <w:p w14:paraId="478A441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4</w:t>
            </w:r>
          </w:p>
        </w:tc>
        <w:tc>
          <w:tcPr>
            <w:tcW w:w="1389" w:type="dxa"/>
            <w:tcBorders>
              <w:tl2br w:val="nil"/>
              <w:tr2bl w:val="nil"/>
            </w:tcBorders>
            <w:vAlign w:val="center"/>
          </w:tcPr>
          <w:p w14:paraId="02539AA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926" w:type="dxa"/>
            <w:tcBorders>
              <w:tl2br w:val="nil"/>
              <w:tr2bl w:val="nil"/>
            </w:tcBorders>
            <w:vAlign w:val="center"/>
          </w:tcPr>
          <w:p w14:paraId="7FFC01E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l2br w:val="nil"/>
              <w:tr2bl w:val="nil"/>
            </w:tcBorders>
            <w:vAlign w:val="center"/>
          </w:tcPr>
          <w:p w14:paraId="38C40BD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瓶装存放于CSS间</w:t>
            </w:r>
          </w:p>
        </w:tc>
      </w:tr>
      <w:tr w14:paraId="588856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tcBorders>
              <w:tl2br w:val="nil"/>
              <w:tr2bl w:val="nil"/>
            </w:tcBorders>
            <w:vAlign w:val="center"/>
          </w:tcPr>
          <w:p w14:paraId="34FCE66D">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17</w:t>
            </w:r>
          </w:p>
        </w:tc>
        <w:tc>
          <w:tcPr>
            <w:tcW w:w="254" w:type="pct"/>
            <w:tcBorders>
              <w:tl2br w:val="nil"/>
              <w:tr2bl w:val="nil"/>
            </w:tcBorders>
            <w:vAlign w:val="center"/>
          </w:tcPr>
          <w:p w14:paraId="19FB653B">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131298C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氢氧化钾</w:t>
            </w:r>
          </w:p>
        </w:tc>
        <w:tc>
          <w:tcPr>
            <w:tcW w:w="222" w:type="pct"/>
            <w:tcBorders>
              <w:tl2br w:val="nil"/>
              <w:tr2bl w:val="nil"/>
            </w:tcBorders>
            <w:vAlign w:val="center"/>
          </w:tcPr>
          <w:p w14:paraId="3EC5E3A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t</w:t>
            </w:r>
          </w:p>
        </w:tc>
        <w:tc>
          <w:tcPr>
            <w:tcW w:w="352" w:type="pct"/>
            <w:tcBorders>
              <w:tl2br w:val="nil"/>
              <w:tr2bl w:val="nil"/>
            </w:tcBorders>
            <w:vAlign w:val="center"/>
          </w:tcPr>
          <w:p w14:paraId="75A56AF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3.7</w:t>
            </w:r>
          </w:p>
        </w:tc>
        <w:tc>
          <w:tcPr>
            <w:tcW w:w="950" w:type="pct"/>
            <w:tcBorders>
              <w:tl2br w:val="nil"/>
              <w:tr2bl w:val="nil"/>
            </w:tcBorders>
            <w:vAlign w:val="center"/>
          </w:tcPr>
          <w:p w14:paraId="28B5CF2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0.1</w:t>
            </w:r>
          </w:p>
        </w:tc>
        <w:tc>
          <w:tcPr>
            <w:tcW w:w="765" w:type="pct"/>
            <w:tcBorders>
              <w:tl2br w:val="nil"/>
              <w:tr2bl w:val="nil"/>
            </w:tcBorders>
            <w:vAlign w:val="center"/>
          </w:tcPr>
          <w:p w14:paraId="0D1515D4">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氢氧化钾</w:t>
            </w:r>
          </w:p>
        </w:tc>
        <w:tc>
          <w:tcPr>
            <w:tcW w:w="510" w:type="pct"/>
            <w:tcBorders>
              <w:tl2br w:val="nil"/>
              <w:tr2bl w:val="nil"/>
            </w:tcBorders>
            <w:vAlign w:val="center"/>
          </w:tcPr>
          <w:p w14:paraId="2873B28B">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固体</w:t>
            </w:r>
          </w:p>
        </w:tc>
        <w:tc>
          <w:tcPr>
            <w:tcW w:w="1288" w:type="pct"/>
            <w:tcBorders>
              <w:tl2br w:val="nil"/>
              <w:tr2bl w:val="nil"/>
            </w:tcBorders>
            <w:vAlign w:val="center"/>
          </w:tcPr>
          <w:p w14:paraId="42F38C1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碱洗</w:t>
            </w:r>
          </w:p>
        </w:tc>
      </w:tr>
      <w:tr w14:paraId="44BF4D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tcBorders>
              <w:tl2br w:val="nil"/>
              <w:tr2bl w:val="nil"/>
            </w:tcBorders>
            <w:vAlign w:val="center"/>
          </w:tcPr>
          <w:p w14:paraId="675C3C87">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18</w:t>
            </w:r>
          </w:p>
        </w:tc>
        <w:tc>
          <w:tcPr>
            <w:tcW w:w="254" w:type="pct"/>
            <w:tcBorders>
              <w:tl2br w:val="nil"/>
              <w:tr2bl w:val="nil"/>
            </w:tcBorders>
            <w:vAlign w:val="center"/>
          </w:tcPr>
          <w:p w14:paraId="0DA200B5">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66D4415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盐酸（30%）</w:t>
            </w:r>
          </w:p>
        </w:tc>
        <w:tc>
          <w:tcPr>
            <w:tcW w:w="222" w:type="pct"/>
            <w:tcBorders>
              <w:tl2br w:val="nil"/>
              <w:tr2bl w:val="nil"/>
            </w:tcBorders>
            <w:vAlign w:val="center"/>
          </w:tcPr>
          <w:p w14:paraId="3F13376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L</w:t>
            </w:r>
          </w:p>
        </w:tc>
        <w:tc>
          <w:tcPr>
            <w:tcW w:w="352" w:type="pct"/>
            <w:tcBorders>
              <w:tl2br w:val="nil"/>
              <w:tr2bl w:val="nil"/>
            </w:tcBorders>
            <w:vAlign w:val="center"/>
          </w:tcPr>
          <w:p w14:paraId="7D39E6B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952</w:t>
            </w:r>
          </w:p>
        </w:tc>
        <w:tc>
          <w:tcPr>
            <w:tcW w:w="950" w:type="pct"/>
            <w:tcBorders>
              <w:tl2br w:val="nil"/>
              <w:tr2bl w:val="nil"/>
            </w:tcBorders>
            <w:vAlign w:val="center"/>
          </w:tcPr>
          <w:p w14:paraId="5409E4B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100</w:t>
            </w:r>
          </w:p>
        </w:tc>
        <w:tc>
          <w:tcPr>
            <w:tcW w:w="765" w:type="pct"/>
            <w:tcBorders>
              <w:tl2br w:val="nil"/>
              <w:tr2bl w:val="nil"/>
            </w:tcBorders>
            <w:vAlign w:val="center"/>
          </w:tcPr>
          <w:p w14:paraId="11C03F40">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盐酸</w:t>
            </w:r>
          </w:p>
        </w:tc>
        <w:tc>
          <w:tcPr>
            <w:tcW w:w="510" w:type="pct"/>
            <w:tcBorders>
              <w:tl2br w:val="nil"/>
              <w:tr2bl w:val="nil"/>
            </w:tcBorders>
            <w:vAlign w:val="center"/>
          </w:tcPr>
          <w:p w14:paraId="6D4CB0B8">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30%</w:t>
            </w:r>
          </w:p>
        </w:tc>
        <w:tc>
          <w:tcPr>
            <w:tcW w:w="1288" w:type="pct"/>
            <w:tcBorders>
              <w:tl2br w:val="nil"/>
              <w:tr2bl w:val="nil"/>
            </w:tcBorders>
            <w:vAlign w:val="center"/>
          </w:tcPr>
          <w:p w14:paraId="09C1A00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盐酸间</w:t>
            </w:r>
          </w:p>
        </w:tc>
      </w:tr>
      <w:tr w14:paraId="6EA633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tcBorders>
              <w:tl2br w:val="nil"/>
              <w:tr2bl w:val="nil"/>
            </w:tcBorders>
            <w:vAlign w:val="center"/>
          </w:tcPr>
          <w:p w14:paraId="05B4FAC7">
            <w:pPr>
              <w:widowControl w:val="0"/>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19</w:t>
            </w:r>
          </w:p>
        </w:tc>
        <w:tc>
          <w:tcPr>
            <w:tcW w:w="254" w:type="pct"/>
            <w:tcBorders>
              <w:tl2br w:val="nil"/>
              <w:tr2bl w:val="nil"/>
            </w:tcBorders>
            <w:vAlign w:val="center"/>
          </w:tcPr>
          <w:p w14:paraId="3F528E5B">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568DB8E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硝酸（65%）</w:t>
            </w:r>
          </w:p>
        </w:tc>
        <w:tc>
          <w:tcPr>
            <w:tcW w:w="222" w:type="pct"/>
            <w:tcBorders>
              <w:tl2br w:val="nil"/>
              <w:tr2bl w:val="nil"/>
            </w:tcBorders>
            <w:vAlign w:val="center"/>
          </w:tcPr>
          <w:p w14:paraId="4929A43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L</w:t>
            </w:r>
          </w:p>
        </w:tc>
        <w:tc>
          <w:tcPr>
            <w:tcW w:w="352" w:type="pct"/>
            <w:tcBorders>
              <w:tl2br w:val="nil"/>
              <w:tr2bl w:val="nil"/>
            </w:tcBorders>
            <w:vAlign w:val="center"/>
          </w:tcPr>
          <w:p w14:paraId="7DD8369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952</w:t>
            </w:r>
          </w:p>
        </w:tc>
        <w:tc>
          <w:tcPr>
            <w:tcW w:w="950" w:type="pct"/>
            <w:tcBorders>
              <w:tl2br w:val="nil"/>
              <w:tr2bl w:val="nil"/>
            </w:tcBorders>
            <w:vAlign w:val="center"/>
          </w:tcPr>
          <w:p w14:paraId="0F918C3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100</w:t>
            </w:r>
          </w:p>
        </w:tc>
        <w:tc>
          <w:tcPr>
            <w:tcW w:w="765" w:type="pct"/>
            <w:tcBorders>
              <w:tl2br w:val="nil"/>
              <w:tr2bl w:val="nil"/>
            </w:tcBorders>
            <w:vAlign w:val="center"/>
          </w:tcPr>
          <w:p w14:paraId="1DEF85FA">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硝酸</w:t>
            </w:r>
          </w:p>
        </w:tc>
        <w:tc>
          <w:tcPr>
            <w:tcW w:w="510" w:type="pct"/>
            <w:tcBorders>
              <w:tl2br w:val="nil"/>
              <w:tr2bl w:val="nil"/>
            </w:tcBorders>
            <w:vAlign w:val="center"/>
          </w:tcPr>
          <w:p w14:paraId="04958475">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65%</w:t>
            </w:r>
          </w:p>
        </w:tc>
        <w:tc>
          <w:tcPr>
            <w:tcW w:w="1288" w:type="pct"/>
            <w:tcBorders>
              <w:tl2br w:val="nil"/>
              <w:tr2bl w:val="nil"/>
            </w:tcBorders>
            <w:vAlign w:val="center"/>
          </w:tcPr>
          <w:p w14:paraId="44D1080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硝酸间</w:t>
            </w:r>
          </w:p>
        </w:tc>
      </w:tr>
      <w:tr w14:paraId="61C7FF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vMerge w:val="restart"/>
            <w:tcBorders>
              <w:tl2br w:val="nil"/>
              <w:tr2bl w:val="nil"/>
            </w:tcBorders>
            <w:vAlign w:val="center"/>
          </w:tcPr>
          <w:p w14:paraId="479C3D2A">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实验室原辅材料</w:t>
            </w:r>
          </w:p>
        </w:tc>
        <w:tc>
          <w:tcPr>
            <w:tcW w:w="254" w:type="pct"/>
            <w:tcBorders>
              <w:tl2br w:val="nil"/>
              <w:tr2bl w:val="nil"/>
            </w:tcBorders>
            <w:vAlign w:val="center"/>
          </w:tcPr>
          <w:p w14:paraId="542FD12C">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l2br w:val="nil"/>
              <w:tr2bl w:val="nil"/>
            </w:tcBorders>
            <w:vAlign w:val="center"/>
          </w:tcPr>
          <w:p w14:paraId="77481D9B">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氨水</w:t>
            </w:r>
          </w:p>
        </w:tc>
        <w:tc>
          <w:tcPr>
            <w:tcW w:w="222" w:type="pct"/>
            <w:tcBorders>
              <w:tl2br w:val="nil"/>
              <w:tr2bl w:val="nil"/>
            </w:tcBorders>
            <w:vAlign w:val="center"/>
          </w:tcPr>
          <w:p w14:paraId="5126C9F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mL</w:t>
            </w:r>
          </w:p>
        </w:tc>
        <w:tc>
          <w:tcPr>
            <w:tcW w:w="352" w:type="pct"/>
            <w:tcBorders>
              <w:tl2br w:val="nil"/>
              <w:tr2bl w:val="nil"/>
            </w:tcBorders>
            <w:vAlign w:val="center"/>
          </w:tcPr>
          <w:p w14:paraId="5EC48E0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500</w:t>
            </w:r>
          </w:p>
        </w:tc>
        <w:tc>
          <w:tcPr>
            <w:tcW w:w="950" w:type="pct"/>
            <w:tcBorders>
              <w:tl2br w:val="nil"/>
              <w:tr2bl w:val="nil"/>
            </w:tcBorders>
            <w:vAlign w:val="center"/>
          </w:tcPr>
          <w:p w14:paraId="4D37C10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500</w:t>
            </w:r>
          </w:p>
        </w:tc>
        <w:tc>
          <w:tcPr>
            <w:tcW w:w="765" w:type="pct"/>
            <w:tcBorders>
              <w:tl2br w:val="nil"/>
              <w:tr2bl w:val="nil"/>
            </w:tcBorders>
            <w:vAlign w:val="center"/>
          </w:tcPr>
          <w:p w14:paraId="3E24D545">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氨水</w:t>
            </w:r>
          </w:p>
        </w:tc>
        <w:tc>
          <w:tcPr>
            <w:tcW w:w="510" w:type="pct"/>
            <w:tcBorders>
              <w:tl2br w:val="nil"/>
              <w:tr2bl w:val="nil"/>
            </w:tcBorders>
            <w:vAlign w:val="center"/>
          </w:tcPr>
          <w:p w14:paraId="632915D8">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25%</w:t>
            </w:r>
          </w:p>
        </w:tc>
        <w:tc>
          <w:tcPr>
            <w:tcW w:w="1288" w:type="pct"/>
            <w:tcBorders>
              <w:tl2br w:val="nil"/>
              <w:tr2bl w:val="nil"/>
            </w:tcBorders>
            <w:vAlign w:val="center"/>
          </w:tcPr>
          <w:p w14:paraId="5E0BF5CE">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实验室防爆柜</w:t>
            </w:r>
          </w:p>
        </w:tc>
      </w:tr>
      <w:tr w14:paraId="41863F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vMerge w:val="continue"/>
            <w:tcBorders>
              <w:bottom w:val="single" w:color="auto" w:sz="8" w:space="0"/>
              <w:tl2br w:val="nil"/>
              <w:tr2bl w:val="nil"/>
            </w:tcBorders>
            <w:vAlign w:val="center"/>
          </w:tcPr>
          <w:p w14:paraId="0CF94D8E">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p>
        </w:tc>
        <w:tc>
          <w:tcPr>
            <w:tcW w:w="254" w:type="pct"/>
            <w:tcBorders>
              <w:bottom w:val="single" w:color="auto" w:sz="8" w:space="0"/>
              <w:tl2br w:val="nil"/>
              <w:tr2bl w:val="nil"/>
            </w:tcBorders>
            <w:vAlign w:val="center"/>
          </w:tcPr>
          <w:p w14:paraId="09B873F2">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bottom w:val="single" w:color="auto" w:sz="8" w:space="0"/>
              <w:tl2br w:val="nil"/>
              <w:tr2bl w:val="nil"/>
            </w:tcBorders>
            <w:vAlign w:val="center"/>
          </w:tcPr>
          <w:p w14:paraId="35B519F4">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酒精</w:t>
            </w:r>
          </w:p>
        </w:tc>
        <w:tc>
          <w:tcPr>
            <w:tcW w:w="222" w:type="pct"/>
            <w:tcBorders>
              <w:bottom w:val="single" w:color="auto" w:sz="8" w:space="0"/>
              <w:tl2br w:val="nil"/>
              <w:tr2bl w:val="nil"/>
            </w:tcBorders>
            <w:vAlign w:val="center"/>
          </w:tcPr>
          <w:p w14:paraId="318188D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mL</w:t>
            </w:r>
          </w:p>
        </w:tc>
        <w:tc>
          <w:tcPr>
            <w:tcW w:w="352" w:type="pct"/>
            <w:tcBorders>
              <w:bottom w:val="single" w:color="auto" w:sz="8" w:space="0"/>
              <w:tl2br w:val="nil"/>
              <w:tr2bl w:val="nil"/>
            </w:tcBorders>
            <w:vAlign w:val="center"/>
          </w:tcPr>
          <w:p w14:paraId="24896E5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3000</w:t>
            </w:r>
          </w:p>
        </w:tc>
        <w:tc>
          <w:tcPr>
            <w:tcW w:w="950" w:type="pct"/>
            <w:tcBorders>
              <w:bottom w:val="single" w:color="auto" w:sz="8" w:space="0"/>
              <w:tl2br w:val="nil"/>
              <w:tr2bl w:val="nil"/>
            </w:tcBorders>
            <w:vAlign w:val="center"/>
          </w:tcPr>
          <w:p w14:paraId="48466F5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3000</w:t>
            </w:r>
          </w:p>
        </w:tc>
        <w:tc>
          <w:tcPr>
            <w:tcW w:w="765" w:type="pct"/>
            <w:tcBorders>
              <w:bottom w:val="single" w:color="auto" w:sz="8" w:space="0"/>
              <w:tl2br w:val="nil"/>
              <w:tr2bl w:val="nil"/>
            </w:tcBorders>
            <w:vAlign w:val="center"/>
          </w:tcPr>
          <w:p w14:paraId="305FC998">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乙醇</w:t>
            </w:r>
          </w:p>
        </w:tc>
        <w:tc>
          <w:tcPr>
            <w:tcW w:w="510" w:type="pct"/>
            <w:tcBorders>
              <w:bottom w:val="single" w:color="auto" w:sz="8" w:space="0"/>
              <w:tl2br w:val="nil"/>
              <w:tr2bl w:val="nil"/>
            </w:tcBorders>
            <w:vAlign w:val="center"/>
          </w:tcPr>
          <w:p w14:paraId="249B705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val="en-US" w:eastAsia="zh-CN"/>
              </w:rPr>
              <w:t>99.7%</w:t>
            </w:r>
          </w:p>
        </w:tc>
        <w:tc>
          <w:tcPr>
            <w:tcW w:w="1288" w:type="pct"/>
            <w:tcBorders>
              <w:bottom w:val="single" w:color="auto" w:sz="8" w:space="0"/>
              <w:tl2br w:val="nil"/>
              <w:tr2bl w:val="nil"/>
            </w:tcBorders>
            <w:vAlign w:val="center"/>
          </w:tcPr>
          <w:p w14:paraId="7777BFCA">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实验室防爆柜</w:t>
            </w:r>
          </w:p>
        </w:tc>
      </w:tr>
      <w:tr w14:paraId="5AEAA3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vMerge w:val="continue"/>
            <w:tcBorders>
              <w:top w:val="single" w:color="auto" w:sz="8" w:space="0"/>
              <w:bottom w:val="single" w:color="auto" w:sz="8" w:space="0"/>
              <w:tl2br w:val="nil"/>
              <w:tr2bl w:val="nil"/>
            </w:tcBorders>
            <w:vAlign w:val="center"/>
          </w:tcPr>
          <w:p w14:paraId="741C80A3">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p>
        </w:tc>
        <w:tc>
          <w:tcPr>
            <w:tcW w:w="254" w:type="pct"/>
            <w:tcBorders>
              <w:top w:val="single" w:color="auto" w:sz="8" w:space="0"/>
              <w:bottom w:val="single" w:color="auto" w:sz="8" w:space="0"/>
              <w:tl2br w:val="nil"/>
              <w:tr2bl w:val="nil"/>
            </w:tcBorders>
            <w:vAlign w:val="center"/>
          </w:tcPr>
          <w:p w14:paraId="654F93AB">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op w:val="single" w:color="auto" w:sz="8" w:space="0"/>
              <w:bottom w:val="single" w:color="auto" w:sz="8" w:space="0"/>
              <w:tl2br w:val="nil"/>
              <w:tr2bl w:val="nil"/>
            </w:tcBorders>
            <w:vAlign w:val="center"/>
          </w:tcPr>
          <w:p w14:paraId="43B046B5">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二甲苯</w:t>
            </w:r>
          </w:p>
        </w:tc>
        <w:tc>
          <w:tcPr>
            <w:tcW w:w="222" w:type="pct"/>
            <w:tcBorders>
              <w:top w:val="single" w:color="auto" w:sz="8" w:space="0"/>
              <w:bottom w:val="single" w:color="auto" w:sz="8" w:space="0"/>
              <w:tl2br w:val="nil"/>
              <w:tr2bl w:val="nil"/>
            </w:tcBorders>
            <w:vAlign w:val="center"/>
          </w:tcPr>
          <w:p w14:paraId="3EB0256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mL</w:t>
            </w:r>
          </w:p>
        </w:tc>
        <w:tc>
          <w:tcPr>
            <w:tcW w:w="352" w:type="pct"/>
            <w:tcBorders>
              <w:top w:val="single" w:color="auto" w:sz="8" w:space="0"/>
              <w:bottom w:val="single" w:color="auto" w:sz="8" w:space="0"/>
              <w:tl2br w:val="nil"/>
              <w:tr2bl w:val="nil"/>
            </w:tcBorders>
            <w:vAlign w:val="center"/>
          </w:tcPr>
          <w:p w14:paraId="338AF1E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500</w:t>
            </w:r>
          </w:p>
        </w:tc>
        <w:tc>
          <w:tcPr>
            <w:tcW w:w="950" w:type="pct"/>
            <w:tcBorders>
              <w:top w:val="single" w:color="auto" w:sz="8" w:space="0"/>
              <w:bottom w:val="single" w:color="auto" w:sz="8" w:space="0"/>
              <w:tl2br w:val="nil"/>
              <w:tr2bl w:val="nil"/>
            </w:tcBorders>
            <w:vAlign w:val="center"/>
          </w:tcPr>
          <w:p w14:paraId="1A10776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500</w:t>
            </w:r>
          </w:p>
        </w:tc>
        <w:tc>
          <w:tcPr>
            <w:tcW w:w="765" w:type="pct"/>
            <w:tcBorders>
              <w:top w:val="single" w:color="auto" w:sz="8" w:space="0"/>
              <w:bottom w:val="single" w:color="auto" w:sz="8" w:space="0"/>
              <w:tl2br w:val="nil"/>
              <w:tr2bl w:val="nil"/>
            </w:tcBorders>
            <w:vAlign w:val="center"/>
          </w:tcPr>
          <w:p w14:paraId="69A46FC7">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二甲苯</w:t>
            </w:r>
          </w:p>
        </w:tc>
        <w:tc>
          <w:tcPr>
            <w:tcW w:w="510" w:type="pct"/>
            <w:tcBorders>
              <w:top w:val="single" w:color="auto" w:sz="8" w:space="0"/>
              <w:bottom w:val="single" w:color="auto" w:sz="8" w:space="0"/>
              <w:tl2br w:val="nil"/>
              <w:tr2bl w:val="nil"/>
            </w:tcBorders>
            <w:vAlign w:val="center"/>
          </w:tcPr>
          <w:p w14:paraId="65898D6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&gt;99.9%</w:t>
            </w:r>
          </w:p>
        </w:tc>
        <w:tc>
          <w:tcPr>
            <w:tcW w:w="1288" w:type="pct"/>
            <w:tcBorders>
              <w:top w:val="single" w:color="auto" w:sz="8" w:space="0"/>
              <w:bottom w:val="single" w:color="auto" w:sz="8" w:space="0"/>
              <w:tl2br w:val="nil"/>
              <w:tr2bl w:val="nil"/>
            </w:tcBorders>
            <w:vAlign w:val="center"/>
          </w:tcPr>
          <w:p w14:paraId="4D9EF058">
            <w:pPr>
              <w:widowControl w:val="0"/>
              <w:spacing w:line="280" w:lineRule="exact"/>
              <w:jc w:val="center"/>
              <w:textAlignment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实验室防爆柜</w:t>
            </w:r>
          </w:p>
        </w:tc>
      </w:tr>
      <w:tr w14:paraId="59C88A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 w:hRule="atLeast"/>
          <w:jc w:val="center"/>
        </w:trPr>
        <w:tc>
          <w:tcPr>
            <w:tcW w:w="140" w:type="pct"/>
            <w:tcBorders>
              <w:top w:val="single" w:color="auto" w:sz="8" w:space="0"/>
              <w:tl2br w:val="nil"/>
              <w:tr2bl w:val="nil"/>
            </w:tcBorders>
            <w:vAlign w:val="center"/>
          </w:tcPr>
          <w:p w14:paraId="3CCD936B">
            <w:pPr>
              <w:widowControl w:val="0"/>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环保材料</w:t>
            </w:r>
          </w:p>
        </w:tc>
        <w:tc>
          <w:tcPr>
            <w:tcW w:w="254" w:type="pct"/>
            <w:tcBorders>
              <w:top w:val="single" w:color="auto" w:sz="8" w:space="0"/>
              <w:tl2br w:val="nil"/>
              <w:tr2bl w:val="nil"/>
            </w:tcBorders>
            <w:vAlign w:val="center"/>
          </w:tcPr>
          <w:p w14:paraId="623880A9">
            <w:pPr>
              <w:widowControl w:val="0"/>
              <w:jc w:val="center"/>
              <w:textAlignment w:val="center"/>
              <w:rPr>
                <w:rFonts w:hint="eastAsia"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val="en-US" w:eastAsia="zh-CN" w:bidi="ar"/>
              </w:rPr>
              <w:t>辅料</w:t>
            </w:r>
          </w:p>
        </w:tc>
        <w:tc>
          <w:tcPr>
            <w:tcW w:w="515" w:type="pct"/>
            <w:tcBorders>
              <w:top w:val="single" w:color="auto" w:sz="8" w:space="0"/>
              <w:tl2br w:val="nil"/>
              <w:tr2bl w:val="nil"/>
            </w:tcBorders>
            <w:vAlign w:val="center"/>
          </w:tcPr>
          <w:p w14:paraId="4F0938A6">
            <w:pPr>
              <w:widowControl w:val="0"/>
              <w:spacing w:line="280" w:lineRule="exact"/>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活性炭</w:t>
            </w:r>
          </w:p>
        </w:tc>
        <w:tc>
          <w:tcPr>
            <w:tcW w:w="222" w:type="pct"/>
            <w:tcBorders>
              <w:top w:val="single" w:color="auto" w:sz="8" w:space="0"/>
              <w:tl2br w:val="nil"/>
              <w:tr2bl w:val="nil"/>
            </w:tcBorders>
            <w:vAlign w:val="center"/>
          </w:tcPr>
          <w:p w14:paraId="28A30FB8">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t</w:t>
            </w:r>
          </w:p>
        </w:tc>
        <w:tc>
          <w:tcPr>
            <w:tcW w:w="352" w:type="pct"/>
            <w:tcBorders>
              <w:top w:val="single" w:color="auto" w:sz="8" w:space="0"/>
              <w:tl2br w:val="nil"/>
              <w:tr2bl w:val="nil"/>
            </w:tcBorders>
            <w:vAlign w:val="center"/>
          </w:tcPr>
          <w:p w14:paraId="3E36422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0.1</w:t>
            </w:r>
          </w:p>
        </w:tc>
        <w:tc>
          <w:tcPr>
            <w:tcW w:w="950" w:type="pct"/>
            <w:tcBorders>
              <w:top w:val="single" w:color="auto" w:sz="8" w:space="0"/>
              <w:tl2br w:val="nil"/>
              <w:tr2bl w:val="nil"/>
            </w:tcBorders>
            <w:vAlign w:val="center"/>
          </w:tcPr>
          <w:p w14:paraId="4E6A89C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0.1</w:t>
            </w:r>
          </w:p>
        </w:tc>
        <w:tc>
          <w:tcPr>
            <w:tcW w:w="765" w:type="pct"/>
            <w:tcBorders>
              <w:top w:val="single" w:color="auto" w:sz="8" w:space="0"/>
              <w:tl2br w:val="nil"/>
              <w:tr2bl w:val="nil"/>
            </w:tcBorders>
            <w:vAlign w:val="center"/>
          </w:tcPr>
          <w:p w14:paraId="2CAB17A2">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w:t>
            </w:r>
          </w:p>
        </w:tc>
        <w:tc>
          <w:tcPr>
            <w:tcW w:w="510" w:type="pct"/>
            <w:tcBorders>
              <w:top w:val="single" w:color="auto" w:sz="8" w:space="0"/>
              <w:tl2br w:val="nil"/>
              <w:tr2bl w:val="nil"/>
            </w:tcBorders>
            <w:vAlign w:val="center"/>
          </w:tcPr>
          <w:p w14:paraId="517D7274">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w:t>
            </w:r>
          </w:p>
        </w:tc>
        <w:tc>
          <w:tcPr>
            <w:tcW w:w="1288" w:type="pct"/>
            <w:tcBorders>
              <w:top w:val="single" w:color="auto" w:sz="8" w:space="0"/>
              <w:tl2br w:val="nil"/>
              <w:tr2bl w:val="nil"/>
            </w:tcBorders>
            <w:vAlign w:val="center"/>
          </w:tcPr>
          <w:p w14:paraId="0DB4E0C5">
            <w:pPr>
              <w:widowControl w:val="0"/>
              <w:spacing w:line="280" w:lineRule="exact"/>
              <w:jc w:val="center"/>
              <w:textAlignment w:val="center"/>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活性炭吸附装置中</w:t>
            </w:r>
          </w:p>
        </w:tc>
      </w:tr>
    </w:tbl>
    <w:p w14:paraId="67E5BFA2">
      <w:pPr>
        <w:widowControl w:val="0"/>
        <w:spacing w:before="175" w:line="223" w:lineRule="auto"/>
        <w:ind w:left="314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3.3-</w:t>
      </w:r>
      <w:r>
        <w:rPr>
          <w:rFonts w:hint="eastAsia" w:ascii="Times New Roman" w:hAnsi="Times New Roman" w:eastAsia="宋体" w:cs="Times New Roman"/>
          <w:b/>
          <w:bCs/>
          <w:caps w:val="0"/>
          <w:smallCaps w:val="0"/>
          <w:color w:val="auto"/>
          <w:spacing w:val="0"/>
          <w:szCs w:val="24"/>
          <w:highlight w:val="none"/>
        </w:rPr>
        <w:t>5</w:t>
      </w:r>
      <w:r>
        <w:rPr>
          <w:rFonts w:ascii="Times New Roman" w:hAnsi="Times New Roman" w:eastAsia="宋体" w:cs="Times New Roman"/>
          <w:b/>
          <w:bCs/>
          <w:caps w:val="0"/>
          <w:smallCaps w:val="0"/>
          <w:color w:val="auto"/>
          <w:spacing w:val="0"/>
          <w:szCs w:val="24"/>
          <w:highlight w:val="none"/>
        </w:rPr>
        <w:t>原辅材料理化性质一览表</w:t>
      </w:r>
    </w:p>
    <w:tbl>
      <w:tblPr>
        <w:tblStyle w:val="176"/>
        <w:tblW w:w="5000" w:type="pct"/>
        <w:tblInd w:w="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729"/>
        <w:gridCol w:w="4548"/>
        <w:gridCol w:w="3793"/>
      </w:tblGrid>
      <w:tr w14:paraId="69FE712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op w:val="single" w:color="auto" w:sz="8" w:space="0"/>
              <w:tl2br w:val="nil"/>
              <w:tr2bl w:val="nil"/>
            </w:tcBorders>
            <w:vAlign w:val="center"/>
          </w:tcPr>
          <w:p w14:paraId="2BA27157">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名称</w:t>
            </w:r>
          </w:p>
        </w:tc>
        <w:tc>
          <w:tcPr>
            <w:tcW w:w="4548" w:type="dxa"/>
            <w:tcBorders>
              <w:top w:val="single" w:color="auto" w:sz="8" w:space="0"/>
              <w:tl2br w:val="nil"/>
              <w:tr2bl w:val="nil"/>
            </w:tcBorders>
            <w:vAlign w:val="center"/>
          </w:tcPr>
          <w:p w14:paraId="52AF0BBF">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理化性质</w:t>
            </w:r>
          </w:p>
        </w:tc>
        <w:tc>
          <w:tcPr>
            <w:tcW w:w="3793" w:type="dxa"/>
            <w:tcBorders>
              <w:top w:val="single" w:color="auto" w:sz="8" w:space="0"/>
              <w:tl2br w:val="nil"/>
              <w:tr2bl w:val="nil"/>
            </w:tcBorders>
            <w:vAlign w:val="center"/>
          </w:tcPr>
          <w:p w14:paraId="5B062478">
            <w:pPr>
              <w:pStyle w:val="195"/>
              <w:widowControl w:val="0"/>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危险特性</w:t>
            </w:r>
          </w:p>
        </w:tc>
      </w:tr>
      <w:tr w14:paraId="1572B14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397" w:hRule="atLeast"/>
        </w:trPr>
        <w:tc>
          <w:tcPr>
            <w:tcW w:w="729" w:type="dxa"/>
            <w:tcBorders>
              <w:bottom w:val="single" w:color="auto" w:sz="8" w:space="0"/>
              <w:tl2br w:val="nil"/>
              <w:tr2bl w:val="nil"/>
            </w:tcBorders>
            <w:vAlign w:val="center"/>
          </w:tcPr>
          <w:p w14:paraId="22E01F0C">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硒</w:t>
            </w:r>
            <w:r>
              <w:rPr>
                <w:rFonts w:ascii="Times New Roman" w:hAnsi="Times New Roman" w:cs="Times New Roman"/>
                <w:caps w:val="0"/>
                <w:smallCaps w:val="0"/>
                <w:color w:val="auto"/>
                <w:spacing w:val="0"/>
                <w:sz w:val="21"/>
                <w:szCs w:val="21"/>
                <w:highlight w:val="none"/>
              </w:rPr>
              <w:t>化镉</w:t>
            </w:r>
          </w:p>
        </w:tc>
        <w:tc>
          <w:tcPr>
            <w:tcW w:w="4548" w:type="dxa"/>
            <w:tcBorders>
              <w:bottom w:val="single" w:color="auto" w:sz="8" w:space="0"/>
              <w:tl2br w:val="nil"/>
              <w:tr2bl w:val="nil"/>
            </w:tcBorders>
            <w:vAlign w:val="center"/>
          </w:tcPr>
          <w:p w14:paraId="04A258F0">
            <w:pPr>
              <w:widowControl w:val="0"/>
              <w:jc w:val="both"/>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分子式为CdSe，分子量191.36，是一种灰棕色或红色结晶体，熔点1350℃，密度5.81g/cm</w:t>
            </w:r>
            <w:r>
              <w:rPr>
                <w:rFonts w:ascii="Times New Roman" w:hAnsi="Times New Roman" w:eastAsia="宋体" w:cs="Times New Roman"/>
                <w:caps w:val="0"/>
                <w:smallCaps w:val="0"/>
                <w:color w:val="auto"/>
                <w:spacing w:val="0"/>
                <w:kern w:val="0"/>
                <w:sz w:val="21"/>
                <w:highlight w:val="none"/>
                <w:vertAlign w:val="superscript"/>
                <w:lang w:eastAsia="en-US" w:bidi="ar"/>
              </w:rPr>
              <w:t>3</w:t>
            </w:r>
            <w:r>
              <w:rPr>
                <w:rFonts w:ascii="Times New Roman" w:hAnsi="Times New Roman" w:eastAsia="宋体" w:cs="Times New Roman"/>
                <w:caps w:val="0"/>
                <w:smallCaps w:val="0"/>
                <w:color w:val="auto"/>
                <w:spacing w:val="0"/>
                <w:kern w:val="0"/>
                <w:sz w:val="21"/>
                <w:highlight w:val="none"/>
                <w:lang w:eastAsia="en-US" w:bidi="ar"/>
              </w:rPr>
              <w:t>，不溶于水，用于电子发射器和光谱分析、光导体、半导体、光敏元件等。</w:t>
            </w:r>
          </w:p>
        </w:tc>
        <w:tc>
          <w:tcPr>
            <w:tcW w:w="3793" w:type="dxa"/>
            <w:tcBorders>
              <w:bottom w:val="single" w:color="auto" w:sz="8" w:space="0"/>
              <w:tl2br w:val="nil"/>
              <w:tr2bl w:val="nil"/>
            </w:tcBorders>
            <w:vAlign w:val="center"/>
          </w:tcPr>
          <w:p w14:paraId="062A8EDE">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受热或遇酸能产生剧毒</w:t>
            </w:r>
            <w:r>
              <w:rPr>
                <w:rFonts w:hint="eastAsia" w:ascii="Times New Roman" w:hAnsi="Times New Roman" w:eastAsia="宋体" w:cs="Times New Roman"/>
                <w:caps w:val="0"/>
                <w:smallCaps w:val="0"/>
                <w:color w:val="auto"/>
                <w:spacing w:val="0"/>
                <w:kern w:val="0"/>
                <w:sz w:val="21"/>
                <w:highlight w:val="none"/>
                <w:lang w:eastAsia="en-US" w:bidi="ar"/>
              </w:rPr>
              <w:t>，燃烧产物为氧化硒。</w:t>
            </w:r>
          </w:p>
        </w:tc>
      </w:tr>
      <w:tr w14:paraId="2738BC1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op w:val="single" w:color="auto" w:sz="8" w:space="0"/>
              <w:tl2br w:val="nil"/>
              <w:tr2bl w:val="nil"/>
            </w:tcBorders>
            <w:vAlign w:val="center"/>
          </w:tcPr>
          <w:p w14:paraId="132102F8">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碲化镉</w:t>
            </w:r>
          </w:p>
        </w:tc>
        <w:tc>
          <w:tcPr>
            <w:tcW w:w="4548" w:type="dxa"/>
            <w:tcBorders>
              <w:top w:val="single" w:color="auto" w:sz="8" w:space="0"/>
              <w:tl2br w:val="nil"/>
              <w:tr2bl w:val="nil"/>
            </w:tcBorders>
            <w:vAlign w:val="center"/>
          </w:tcPr>
          <w:p w14:paraId="47F836FC">
            <w:pPr>
              <w:pStyle w:val="195"/>
              <w:widowControl w:val="0"/>
              <w:jc w:val="both"/>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分子式为CdTe，分子量为240.01。碲化镉属于周期表第II、IV族元素化合物半导体。由强离子性的共价键结合，</w:t>
            </w:r>
            <w:r>
              <w:rPr>
                <w:rFonts w:hint="eastAsia" w:ascii="Times New Roman" w:hAnsi="Times New Roman" w:cs="Times New Roman"/>
                <w:caps w:val="0"/>
                <w:smallCaps w:val="0"/>
                <w:color w:val="auto"/>
                <w:spacing w:val="0"/>
                <w:sz w:val="21"/>
                <w:szCs w:val="21"/>
                <w:highlight w:val="none"/>
                <w:lang w:eastAsia="zh-CN"/>
              </w:rPr>
              <w:t>晶体结构</w:t>
            </w:r>
            <w:r>
              <w:rPr>
                <w:rFonts w:ascii="Times New Roman" w:hAnsi="Times New Roman" w:cs="Times New Roman"/>
                <w:caps w:val="0"/>
                <w:smallCaps w:val="0"/>
                <w:color w:val="auto"/>
                <w:spacing w:val="0"/>
                <w:sz w:val="21"/>
                <w:szCs w:val="21"/>
                <w:highlight w:val="none"/>
                <w:lang w:eastAsia="zh-CN"/>
              </w:rPr>
              <w:t>为立方晶系闪锌矿型结构，晶格常数0.6477nm，为复式晶格。密度6.20g/cm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。熔点1041℃,为棕黑色晶体。室温禁带宽度1.50eV，电子和空穴迁移率分别为6×10</w:t>
            </w:r>
            <w:r>
              <w:rPr>
                <w:rFonts w:ascii="Times New Roman" w:hAnsi="Times New Roman" w:cs="Times New Roman"/>
                <w:caps w:val="0"/>
                <w:smallCaps w:val="0"/>
                <w:color w:val="auto"/>
                <w:spacing w:val="0"/>
                <w:sz w:val="21"/>
                <w:szCs w:val="21"/>
                <w:highlight w:val="none"/>
                <w:vertAlign w:val="superscript"/>
                <w:lang w:eastAsia="zh-CN"/>
              </w:rPr>
              <w:t>-2</w:t>
            </w:r>
            <w:r>
              <w:rPr>
                <w:rFonts w:ascii="Times New Roman" w:hAnsi="Times New Roman" w:cs="Times New Roman"/>
                <w:caps w:val="0"/>
                <w:smallCaps w:val="0"/>
                <w:color w:val="auto"/>
                <w:spacing w:val="0"/>
                <w:sz w:val="21"/>
                <w:szCs w:val="21"/>
                <w:highlight w:val="none"/>
                <w:lang w:eastAsia="zh-CN"/>
              </w:rPr>
              <w:t>和6.5×10</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/(V·s)。用于制作近红外光探测器、</w:t>
            </w:r>
            <w:r>
              <w:rPr>
                <w:rFonts w:ascii="Times New Roman" w:hAnsi="Times New Roman" w:cs="Times New Roman"/>
                <w:caps w:val="0"/>
                <w:smallCaps w:val="0"/>
                <w:color w:val="auto"/>
                <w:spacing w:val="0"/>
                <w:sz w:val="21"/>
                <w:szCs w:val="21"/>
                <w:highlight w:val="none"/>
              </w:rPr>
              <w:t>γ</w:t>
            </w:r>
            <w:r>
              <w:rPr>
                <w:rFonts w:ascii="Times New Roman" w:hAnsi="Times New Roman" w:cs="Times New Roman"/>
                <w:caps w:val="0"/>
                <w:smallCaps w:val="0"/>
                <w:color w:val="auto"/>
                <w:spacing w:val="0"/>
                <w:sz w:val="21"/>
                <w:szCs w:val="21"/>
                <w:highlight w:val="none"/>
                <w:lang w:eastAsia="zh-CN"/>
              </w:rPr>
              <w:t>和X射线谱仪、电光调制器等。</w:t>
            </w:r>
            <w:r>
              <w:rPr>
                <w:rFonts w:ascii="Times New Roman" w:hAnsi="Times New Roman" w:cs="Times New Roman"/>
                <w:caps w:val="0"/>
                <w:smallCaps w:val="0"/>
                <w:color w:val="auto"/>
                <w:spacing w:val="0"/>
                <w:sz w:val="21"/>
                <w:szCs w:val="21"/>
                <w:highlight w:val="none"/>
              </w:rPr>
              <w:t>CdTe不溶于水和酸，但能与硝酸作用而分解。</w:t>
            </w:r>
          </w:p>
        </w:tc>
        <w:tc>
          <w:tcPr>
            <w:tcW w:w="3793" w:type="dxa"/>
            <w:tcBorders>
              <w:top w:val="single" w:color="auto" w:sz="8" w:space="0"/>
              <w:tl2br w:val="nil"/>
              <w:tr2bl w:val="nil"/>
            </w:tcBorders>
            <w:vAlign w:val="center"/>
          </w:tcPr>
          <w:p w14:paraId="19CA8278">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kern w:val="0"/>
                <w:sz w:val="21"/>
                <w:szCs w:val="21"/>
                <w:highlight w:val="none"/>
                <w:lang w:eastAsia="zh-CN" w:bidi="ar"/>
              </w:rPr>
              <w:t>加热时，容器可能爆炸。暴露于火中的容器可能会通过压力安全阀泄漏出内容物。受热或接触火焰可能会</w:t>
            </w:r>
            <w:r>
              <w:rPr>
                <w:rFonts w:hint="eastAsia" w:ascii="Times New Roman" w:hAnsi="Times New Roman" w:cs="Times New Roman"/>
                <w:caps w:val="0"/>
                <w:smallCaps w:val="0"/>
                <w:color w:val="auto"/>
                <w:spacing w:val="0"/>
                <w:kern w:val="0"/>
                <w:sz w:val="21"/>
                <w:szCs w:val="21"/>
                <w:highlight w:val="none"/>
                <w:lang w:eastAsia="zh-CN" w:bidi="ar"/>
              </w:rPr>
              <w:t>产</w:t>
            </w:r>
            <w:r>
              <w:rPr>
                <w:rFonts w:ascii="Times New Roman" w:hAnsi="Times New Roman" w:cs="Times New Roman"/>
                <w:caps w:val="0"/>
                <w:smallCaps w:val="0"/>
                <w:color w:val="auto"/>
                <w:spacing w:val="0"/>
                <w:kern w:val="0"/>
                <w:sz w:val="21"/>
                <w:szCs w:val="21"/>
                <w:highlight w:val="none"/>
                <w:lang w:eastAsia="zh-CN" w:bidi="ar"/>
              </w:rPr>
              <w:t>生膨胀或爆炸性分解。</w:t>
            </w:r>
          </w:p>
        </w:tc>
      </w:tr>
      <w:tr w14:paraId="36BD5B1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7D8D2BD9">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氯化镉</w:t>
            </w:r>
          </w:p>
        </w:tc>
        <w:tc>
          <w:tcPr>
            <w:tcW w:w="4548" w:type="dxa"/>
            <w:tcBorders>
              <w:tl2br w:val="nil"/>
              <w:tr2bl w:val="nil"/>
            </w:tcBorders>
            <w:vAlign w:val="center"/>
          </w:tcPr>
          <w:p w14:paraId="4CCF577E">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分子式为CdCl</w:t>
            </w:r>
            <w:r>
              <w:rPr>
                <w:rFonts w:ascii="Times New Roman" w:hAnsi="Times New Roman" w:cs="Times New Roman"/>
                <w:caps w:val="0"/>
                <w:smallCaps w:val="0"/>
                <w:color w:val="auto"/>
                <w:spacing w:val="0"/>
                <w:sz w:val="21"/>
                <w:szCs w:val="21"/>
                <w:highlight w:val="none"/>
                <w:vertAlign w:val="subscript"/>
                <w:lang w:eastAsia="zh-CN"/>
              </w:rPr>
              <w:t>2</w:t>
            </w:r>
            <w:r>
              <w:rPr>
                <w:rFonts w:ascii="Times New Roman" w:hAnsi="Times New Roman" w:cs="Times New Roman"/>
                <w:caps w:val="0"/>
                <w:smallCaps w:val="0"/>
                <w:color w:val="auto"/>
                <w:spacing w:val="0"/>
                <w:sz w:val="21"/>
                <w:szCs w:val="21"/>
                <w:highlight w:val="none"/>
                <w:lang w:eastAsia="zh-CN"/>
              </w:rPr>
              <w:t>，分子量为183.31。氯化镉为无色单斜晶体，熔点为568℃,沸点为960℃,密度为4.05g/cm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，易溶于水，溶于甲醇、乙醇。主要用于照相术、印刷、电镀等工业，并用于制特殊镜子。受高热分解产生有毒的腐蚀性烟气，与强氧化剂、元素硫、硒和碲接触发生反应，与钾形成对</w:t>
            </w:r>
            <w:r>
              <w:rPr>
                <w:rFonts w:hint="eastAsia" w:ascii="Times New Roman" w:hAnsi="Times New Roman" w:cs="Times New Roman"/>
                <w:caps w:val="0"/>
                <w:smallCaps w:val="0"/>
                <w:color w:val="auto"/>
                <w:spacing w:val="0"/>
                <w:sz w:val="21"/>
                <w:szCs w:val="21"/>
                <w:highlight w:val="none"/>
                <w:lang w:eastAsia="zh-CN"/>
              </w:rPr>
              <w:t>撞击</w:t>
            </w:r>
            <w:r>
              <w:rPr>
                <w:rFonts w:ascii="Times New Roman" w:hAnsi="Times New Roman" w:cs="Times New Roman"/>
                <w:caps w:val="0"/>
                <w:smallCaps w:val="0"/>
                <w:color w:val="auto"/>
                <w:spacing w:val="0"/>
                <w:sz w:val="21"/>
                <w:szCs w:val="21"/>
                <w:highlight w:val="none"/>
                <w:lang w:eastAsia="zh-CN"/>
              </w:rPr>
              <w:t>敏感的爆炸物。</w:t>
            </w:r>
          </w:p>
        </w:tc>
        <w:tc>
          <w:tcPr>
            <w:tcW w:w="3793" w:type="dxa"/>
            <w:tcBorders>
              <w:tl2br w:val="nil"/>
              <w:tr2bl w:val="nil"/>
            </w:tcBorders>
            <w:vAlign w:val="center"/>
          </w:tcPr>
          <w:p w14:paraId="44A514F6">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受高热分解产生有毒的腐蚀性烟气。</w:t>
            </w:r>
            <w:r>
              <w:rPr>
                <w:rFonts w:hint="eastAsia" w:ascii="Times New Roman" w:hAnsi="Times New Roman" w:cs="Times New Roman"/>
                <w:caps w:val="0"/>
                <w:smallCaps w:val="0"/>
                <w:color w:val="auto"/>
                <w:spacing w:val="0"/>
                <w:sz w:val="21"/>
                <w:szCs w:val="21"/>
                <w:highlight w:val="none"/>
                <w:lang w:eastAsia="zh-CN"/>
              </w:rPr>
              <w:t>灭火时</w:t>
            </w:r>
            <w:r>
              <w:rPr>
                <w:rFonts w:ascii="Times New Roman" w:hAnsi="Times New Roman" w:cs="Times New Roman"/>
                <w:caps w:val="0"/>
                <w:smallCaps w:val="0"/>
                <w:color w:val="auto"/>
                <w:spacing w:val="0"/>
                <w:sz w:val="21"/>
                <w:szCs w:val="21"/>
                <w:highlight w:val="none"/>
                <w:lang w:eastAsia="zh-CN"/>
              </w:rPr>
              <w:t>消防人员必须穿全身防火防毒服，在上风向灭火。灭火剂</w:t>
            </w:r>
            <w:r>
              <w:rPr>
                <w:rFonts w:hint="eastAsia" w:ascii="Times New Roman" w:hAnsi="Times New Roman" w:cs="Times New Roman"/>
                <w:caps w:val="0"/>
                <w:smallCaps w:val="0"/>
                <w:color w:val="auto"/>
                <w:spacing w:val="0"/>
                <w:sz w:val="21"/>
                <w:szCs w:val="21"/>
                <w:highlight w:val="none"/>
                <w:lang w:eastAsia="zh-CN"/>
              </w:rPr>
              <w:t>：</w:t>
            </w:r>
            <w:r>
              <w:rPr>
                <w:rFonts w:ascii="Times New Roman" w:hAnsi="Times New Roman" w:cs="Times New Roman"/>
                <w:caps w:val="0"/>
                <w:smallCaps w:val="0"/>
                <w:color w:val="auto"/>
                <w:spacing w:val="0"/>
                <w:sz w:val="21"/>
                <w:szCs w:val="21"/>
                <w:highlight w:val="none"/>
                <w:lang w:eastAsia="zh-CN"/>
              </w:rPr>
              <w:t>水、泡沫、二氧化碳、干粉、砂土。</w:t>
            </w:r>
          </w:p>
          <w:p w14:paraId="6A7A2D41">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泄漏应急处理：隔离泄漏污染区，限制出入。建议应急处理人员戴防尘面具（全面罩），穿防毒服。不要直接接触泄漏物。小量泄漏：用洁净的铲子收集于干燥、洁净、有盖的容器中。大量泄漏：收集回收或运至废物处理场所处置。</w:t>
            </w:r>
          </w:p>
        </w:tc>
      </w:tr>
      <w:tr w14:paraId="1020453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3E777E83">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钼</w:t>
            </w:r>
          </w:p>
        </w:tc>
        <w:tc>
          <w:tcPr>
            <w:tcW w:w="4548" w:type="dxa"/>
            <w:tcBorders>
              <w:tl2br w:val="nil"/>
              <w:tr2bl w:val="nil"/>
            </w:tcBorders>
            <w:vAlign w:val="center"/>
          </w:tcPr>
          <w:p w14:paraId="2D726B49">
            <w:pPr>
              <w:pStyle w:val="195"/>
              <w:widowControl w:val="0"/>
              <w:jc w:val="both"/>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钼为银白色金属，密度为10.23g/cm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。熔点2622℃</w:t>
            </w:r>
            <w:r>
              <w:rPr>
                <w:rFonts w:hint="eastAsia" w:ascii="Times New Roman" w:hAnsi="Times New Roman" w:cs="Times New Roman"/>
                <w:caps w:val="0"/>
                <w:smallCaps w:val="0"/>
                <w:color w:val="auto"/>
                <w:spacing w:val="0"/>
                <w:sz w:val="21"/>
                <w:szCs w:val="21"/>
                <w:highlight w:val="none"/>
                <w:lang w:eastAsia="zh-CN"/>
              </w:rPr>
              <w:t>，</w:t>
            </w:r>
            <w:r>
              <w:rPr>
                <w:rFonts w:ascii="Times New Roman" w:hAnsi="Times New Roman" w:cs="Times New Roman"/>
                <w:caps w:val="0"/>
                <w:smallCaps w:val="0"/>
                <w:color w:val="auto"/>
                <w:spacing w:val="0"/>
                <w:sz w:val="21"/>
                <w:szCs w:val="21"/>
                <w:highlight w:val="none"/>
                <w:lang w:eastAsia="zh-CN"/>
              </w:rPr>
              <w:t>沸点5560℃。钼的化学性质比较稳定，常温或在不太高的温度下，钼在空气或水里是稳定的。</w:t>
            </w:r>
            <w:r>
              <w:rPr>
                <w:rFonts w:ascii="Times New Roman" w:hAnsi="Times New Roman" w:cs="Times New Roman"/>
                <w:caps w:val="0"/>
                <w:smallCaps w:val="0"/>
                <w:color w:val="auto"/>
                <w:spacing w:val="0"/>
                <w:sz w:val="21"/>
                <w:szCs w:val="21"/>
                <w:highlight w:val="none"/>
              </w:rPr>
              <w:t>钼也是动植物必不可少的微量元素。</w:t>
            </w:r>
          </w:p>
        </w:tc>
        <w:tc>
          <w:tcPr>
            <w:tcW w:w="3793" w:type="dxa"/>
            <w:tcBorders>
              <w:tl2br w:val="nil"/>
              <w:tr2bl w:val="nil"/>
            </w:tcBorders>
            <w:vAlign w:val="center"/>
          </w:tcPr>
          <w:p w14:paraId="431CE100">
            <w:pPr>
              <w:pStyle w:val="34"/>
              <w:widowControl/>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eastAsia="en-US" w:bidi="ar"/>
              </w:rPr>
            </w:pPr>
            <w:r>
              <w:rPr>
                <w:rFonts w:hint="eastAsia" w:ascii="Times New Roman" w:hAnsi="Times New Roman" w:cs="Times New Roman"/>
                <w:caps w:val="0"/>
                <w:smallCaps w:val="0"/>
                <w:color w:val="auto"/>
                <w:spacing w:val="0"/>
                <w:sz w:val="21"/>
                <w:szCs w:val="21"/>
                <w:highlight w:val="none"/>
                <w:lang w:eastAsia="en-US" w:bidi="ar"/>
              </w:rPr>
              <w:t>灭火剂：</w:t>
            </w:r>
            <w:r>
              <w:rPr>
                <w:rFonts w:ascii="Times New Roman" w:hAnsi="Times New Roman" w:cs="Times New Roman"/>
                <w:caps w:val="0"/>
                <w:smallCaps w:val="0"/>
                <w:color w:val="auto"/>
                <w:spacing w:val="0"/>
                <w:sz w:val="21"/>
                <w:szCs w:val="21"/>
                <w:highlight w:val="none"/>
                <w:lang w:eastAsia="en-US" w:bidi="ar"/>
              </w:rPr>
              <w:t>用水雾、干粉、泡沫或二氧化碳灭火剂灭火。避免使用直流水灭火，直流水可能导致可燃性液体的飞溅，使火势扩散。</w:t>
            </w:r>
          </w:p>
          <w:p w14:paraId="5A2AEBE7">
            <w:pPr>
              <w:pStyle w:val="34"/>
              <w:widowControl/>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eastAsia="en-US" w:bidi="ar"/>
              </w:rPr>
            </w:pPr>
            <w:r>
              <w:rPr>
                <w:rFonts w:hint="eastAsia" w:ascii="Times New Roman" w:hAnsi="Times New Roman" w:cs="Times New Roman"/>
                <w:caps w:val="0"/>
                <w:smallCaps w:val="0"/>
                <w:color w:val="auto"/>
                <w:spacing w:val="0"/>
                <w:sz w:val="21"/>
                <w:szCs w:val="21"/>
                <w:highlight w:val="none"/>
                <w:lang w:eastAsia="en-US" w:bidi="ar"/>
              </w:rPr>
              <w:t>灭火处理措施：</w:t>
            </w:r>
            <w:r>
              <w:rPr>
                <w:rFonts w:ascii="Times New Roman" w:hAnsi="Times New Roman" w:cs="Times New Roman"/>
                <w:caps w:val="0"/>
                <w:smallCaps w:val="0"/>
                <w:color w:val="auto"/>
                <w:spacing w:val="0"/>
                <w:sz w:val="21"/>
                <w:szCs w:val="21"/>
                <w:highlight w:val="none"/>
                <w:lang w:eastAsia="en-US" w:bidi="ar"/>
              </w:rPr>
              <w:t>消防人员须佩戴携气式呼吸器，穿全身消防服，在上风向灭火。</w:t>
            </w:r>
          </w:p>
          <w:p w14:paraId="5A263907">
            <w:pPr>
              <w:pStyle w:val="34"/>
              <w:widowControl/>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eastAsia="en-US" w:bidi="ar"/>
              </w:rPr>
            </w:pPr>
            <w:r>
              <w:rPr>
                <w:rFonts w:ascii="Times New Roman" w:hAnsi="Times New Roman" w:cs="Times New Roman"/>
                <w:caps w:val="0"/>
                <w:smallCaps w:val="0"/>
                <w:color w:val="auto"/>
                <w:spacing w:val="0"/>
                <w:sz w:val="21"/>
                <w:szCs w:val="21"/>
                <w:highlight w:val="none"/>
                <w:lang w:eastAsia="en-US" w:bidi="ar"/>
              </w:rPr>
              <w:t>尽可能将容器从火场移至空旷处。</w:t>
            </w:r>
          </w:p>
          <w:p w14:paraId="62E734AF">
            <w:pPr>
              <w:pStyle w:val="34"/>
              <w:widowControl/>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eastAsia="en-US" w:bidi="ar"/>
              </w:rPr>
            </w:pPr>
            <w:r>
              <w:rPr>
                <w:rFonts w:ascii="Times New Roman" w:hAnsi="Times New Roman" w:cs="Times New Roman"/>
                <w:caps w:val="0"/>
                <w:smallCaps w:val="0"/>
                <w:color w:val="auto"/>
                <w:spacing w:val="0"/>
                <w:sz w:val="21"/>
                <w:szCs w:val="21"/>
                <w:highlight w:val="none"/>
                <w:lang w:eastAsia="en-US" w:bidi="ar"/>
              </w:rPr>
              <w:t>处在火场中的容器若已变色或从安全泄压装置中发出声音，必须马上撤离。</w:t>
            </w:r>
          </w:p>
          <w:p w14:paraId="305E3B9B">
            <w:pPr>
              <w:pStyle w:val="34"/>
              <w:widowControl/>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eastAsia="en-US" w:bidi="ar"/>
              </w:rPr>
            </w:pPr>
            <w:r>
              <w:rPr>
                <w:rFonts w:ascii="Times New Roman" w:hAnsi="Times New Roman" w:cs="Times New Roman"/>
                <w:caps w:val="0"/>
                <w:smallCaps w:val="0"/>
                <w:color w:val="auto"/>
                <w:spacing w:val="0"/>
                <w:sz w:val="21"/>
                <w:szCs w:val="21"/>
                <w:highlight w:val="none"/>
                <w:lang w:eastAsia="en-US" w:bidi="ar"/>
              </w:rPr>
              <w:t>隔离事故现场，禁止无关人员进入。</w:t>
            </w:r>
            <w:r>
              <w:rPr>
                <w:rFonts w:hint="eastAsia" w:ascii="Times New Roman" w:hAnsi="Times New Roman" w:cs="Times New Roman"/>
                <w:caps w:val="0"/>
                <w:smallCaps w:val="0"/>
                <w:color w:val="auto"/>
                <w:spacing w:val="0"/>
                <w:sz w:val="21"/>
                <w:szCs w:val="21"/>
                <w:highlight w:val="none"/>
                <w:lang w:eastAsia="en-US" w:bidi="ar"/>
              </w:rPr>
              <w:t>收集</w:t>
            </w:r>
            <w:r>
              <w:rPr>
                <w:rFonts w:ascii="Times New Roman" w:hAnsi="Times New Roman" w:cs="Times New Roman"/>
                <w:caps w:val="0"/>
                <w:smallCaps w:val="0"/>
                <w:color w:val="auto"/>
                <w:spacing w:val="0"/>
                <w:sz w:val="21"/>
                <w:szCs w:val="21"/>
                <w:highlight w:val="none"/>
                <w:lang w:eastAsia="en-US" w:bidi="ar"/>
              </w:rPr>
              <w:t>和处理消防水，防止污染环境。</w:t>
            </w:r>
          </w:p>
        </w:tc>
      </w:tr>
      <w:tr w14:paraId="681B5D1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0E476B60">
            <w:pPr>
              <w:pStyle w:val="195"/>
              <w:widowControl w:val="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过氧</w:t>
            </w:r>
          </w:p>
          <w:p w14:paraId="0E96E3CC">
            <w:pPr>
              <w:pStyle w:val="195"/>
              <w:widowControl w:val="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化氢</w:t>
            </w:r>
          </w:p>
        </w:tc>
        <w:tc>
          <w:tcPr>
            <w:tcW w:w="4548" w:type="dxa"/>
            <w:tcBorders>
              <w:tl2br w:val="nil"/>
              <w:tr2bl w:val="nil"/>
            </w:tcBorders>
            <w:vAlign w:val="center"/>
          </w:tcPr>
          <w:p w14:paraId="794A6A1A">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过氧化氢，化学式H</w:t>
            </w:r>
            <w:r>
              <w:rPr>
                <w:rFonts w:ascii="Times New Roman" w:hAnsi="Times New Roman" w:cs="Times New Roman"/>
                <w:caps w:val="0"/>
                <w:smallCaps w:val="0"/>
                <w:color w:val="auto"/>
                <w:spacing w:val="0"/>
                <w:position w:val="-1"/>
                <w:sz w:val="21"/>
                <w:szCs w:val="21"/>
                <w:highlight w:val="none"/>
                <w:vertAlign w:val="subscript"/>
                <w:lang w:eastAsia="zh-CN"/>
              </w:rPr>
              <w:t>2</w:t>
            </w:r>
            <w:r>
              <w:rPr>
                <w:rFonts w:ascii="Times New Roman" w:hAnsi="Times New Roman" w:cs="Times New Roman"/>
                <w:caps w:val="0"/>
                <w:smallCaps w:val="0"/>
                <w:color w:val="auto"/>
                <w:spacing w:val="0"/>
                <w:sz w:val="21"/>
                <w:szCs w:val="21"/>
                <w:highlight w:val="none"/>
                <w:lang w:eastAsia="zh-CN"/>
              </w:rPr>
              <w:t>O</w:t>
            </w:r>
            <w:r>
              <w:rPr>
                <w:rFonts w:ascii="Times New Roman" w:hAnsi="Times New Roman" w:cs="Times New Roman"/>
                <w:caps w:val="0"/>
                <w:smallCaps w:val="0"/>
                <w:color w:val="auto"/>
                <w:spacing w:val="0"/>
                <w:position w:val="-1"/>
                <w:sz w:val="21"/>
                <w:szCs w:val="21"/>
                <w:highlight w:val="none"/>
                <w:vertAlign w:val="subscript"/>
                <w:lang w:eastAsia="zh-CN"/>
              </w:rPr>
              <w:t>2</w:t>
            </w:r>
            <w:r>
              <w:rPr>
                <w:rFonts w:ascii="Times New Roman" w:hAnsi="Times New Roman" w:cs="Times New Roman"/>
                <w:caps w:val="0"/>
                <w:smallCaps w:val="0"/>
                <w:color w:val="auto"/>
                <w:spacing w:val="0"/>
                <w:sz w:val="21"/>
                <w:szCs w:val="21"/>
                <w:highlight w:val="none"/>
                <w:lang w:eastAsia="zh-CN"/>
              </w:rPr>
              <w:t>，熔点-0.43℃</w:t>
            </w:r>
            <w:r>
              <w:rPr>
                <w:rFonts w:hint="eastAsia" w:ascii="Times New Roman" w:hAnsi="Times New Roman" w:cs="Times New Roman"/>
                <w:caps w:val="0"/>
                <w:smallCaps w:val="0"/>
                <w:color w:val="auto"/>
                <w:spacing w:val="0"/>
                <w:sz w:val="21"/>
                <w:szCs w:val="21"/>
                <w:highlight w:val="none"/>
                <w:lang w:eastAsia="zh-CN"/>
              </w:rPr>
              <w:t>，</w:t>
            </w:r>
            <w:r>
              <w:rPr>
                <w:rFonts w:ascii="Times New Roman" w:hAnsi="Times New Roman" w:cs="Times New Roman"/>
                <w:caps w:val="0"/>
                <w:smallCaps w:val="0"/>
                <w:color w:val="auto"/>
                <w:spacing w:val="0"/>
                <w:sz w:val="21"/>
                <w:szCs w:val="21"/>
                <w:highlight w:val="none"/>
                <w:lang w:eastAsia="zh-CN"/>
              </w:rPr>
              <w:t>沸点150.2℃</w:t>
            </w:r>
            <w:r>
              <w:rPr>
                <w:rFonts w:hint="eastAsia" w:ascii="Times New Roman" w:hAnsi="Times New Roman" w:cs="Times New Roman"/>
                <w:caps w:val="0"/>
                <w:smallCaps w:val="0"/>
                <w:color w:val="auto"/>
                <w:spacing w:val="0"/>
                <w:sz w:val="21"/>
                <w:szCs w:val="21"/>
                <w:highlight w:val="none"/>
                <w:lang w:eastAsia="zh-CN"/>
              </w:rPr>
              <w:t>，</w:t>
            </w:r>
            <w:r>
              <w:rPr>
                <w:rFonts w:ascii="Times New Roman" w:hAnsi="Times New Roman" w:cs="Times New Roman"/>
                <w:caps w:val="0"/>
                <w:smallCaps w:val="0"/>
                <w:color w:val="auto"/>
                <w:spacing w:val="0"/>
                <w:sz w:val="21"/>
                <w:szCs w:val="21"/>
                <w:highlight w:val="none"/>
                <w:lang w:eastAsia="zh-CN"/>
              </w:rPr>
              <w:t>密度1.13g/mL(20℃)，纯过氧化氢是淡蓝色的粘稠液体，可任意比例与水混合，是一种强氧化剂，水溶液俗称双氧水，为无色透明液体。</w:t>
            </w:r>
          </w:p>
        </w:tc>
        <w:tc>
          <w:tcPr>
            <w:tcW w:w="3793" w:type="dxa"/>
            <w:tcBorders>
              <w:tl2br w:val="nil"/>
              <w:tr2bl w:val="nil"/>
            </w:tcBorders>
            <w:vAlign w:val="center"/>
          </w:tcPr>
          <w:p w14:paraId="28A78A0C">
            <w:pPr>
              <w:pStyle w:val="195"/>
              <w:widowControl w:val="0"/>
              <w:jc w:val="both"/>
              <w:rPr>
                <w:rFonts w:ascii="Times New Roman" w:hAnsi="Times New Roman" w:cs="Times New Roman"/>
                <w:caps w:val="0"/>
                <w:smallCaps w:val="0"/>
                <w:color w:val="auto"/>
                <w:spacing w:val="0"/>
                <w:kern w:val="0"/>
                <w:sz w:val="21"/>
                <w:szCs w:val="21"/>
                <w:highlight w:val="none"/>
                <w:lang w:eastAsia="zh-CN" w:bidi="ar"/>
              </w:rPr>
            </w:pPr>
            <w:r>
              <w:rPr>
                <w:rFonts w:ascii="Times New Roman" w:hAnsi="Times New Roman" w:cs="Times New Roman"/>
                <w:caps w:val="0"/>
                <w:smallCaps w:val="0"/>
                <w:color w:val="auto"/>
                <w:spacing w:val="0"/>
                <w:kern w:val="0"/>
                <w:sz w:val="21"/>
                <w:szCs w:val="21"/>
                <w:highlight w:val="none"/>
                <w:lang w:eastAsia="zh-CN" w:bidi="ar"/>
              </w:rPr>
              <w:t>爆炸性强氧化剂。过氧化氢本身不燃，但能与可燃物反应放出大量热量和氧气而引起着火爆炸。过氧化氢在</w:t>
            </w:r>
            <w:r>
              <w:rPr>
                <w:rFonts w:hint="eastAsia" w:ascii="Times New Roman" w:hAnsi="Times New Roman" w:cs="Times New Roman"/>
                <w:caps w:val="0"/>
                <w:smallCaps w:val="0"/>
                <w:color w:val="auto"/>
                <w:spacing w:val="0"/>
                <w:kern w:val="0"/>
                <w:sz w:val="21"/>
                <w:szCs w:val="21"/>
                <w:highlight w:val="none"/>
                <w:lang w:eastAsia="zh-CN" w:bidi="ar"/>
              </w:rPr>
              <w:t>pH值</w:t>
            </w:r>
            <w:r>
              <w:rPr>
                <w:rFonts w:ascii="Times New Roman" w:hAnsi="Times New Roman" w:cs="Times New Roman"/>
                <w:caps w:val="0"/>
                <w:smallCaps w:val="0"/>
                <w:color w:val="auto"/>
                <w:spacing w:val="0"/>
                <w:kern w:val="0"/>
                <w:sz w:val="21"/>
                <w:szCs w:val="21"/>
                <w:highlight w:val="none"/>
                <w:lang w:eastAsia="zh-CN" w:bidi="ar"/>
              </w:rPr>
              <w:t>为3.5~4.5时最稳定，在碱性溶液中极易分解，在遇强光，特别是短波射线照射时也能发生分解。当加热到100℃以上时，开始急剧分解。它与许多有如糖、淀粉、醇类、石油产品等形成爆炸性混合物，在撞击、受热或电火花作用下能发生爆炸。过氧化氢与许多无机化合物或杂质接触后会迅速分解而导致爆炸，放出大量的热量、氧和水蒸气。大多数重金属(如铁、铜、银、铅、汞、锌、钴、镍、铬、锰等)及其氧化物和盐类都是活性催化剂，尘土、香烟灰、碳粉、铁锈等也能加速分解。浓度超过74%的过氧化氢，在具有适当的点火源或温度的密闭容器中，会产生气相爆炸。</w:t>
            </w:r>
          </w:p>
        </w:tc>
      </w:tr>
      <w:tr w14:paraId="79A0BA2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09027644">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氢氧</w:t>
            </w:r>
          </w:p>
          <w:p w14:paraId="4E8417DE">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化钠</w:t>
            </w:r>
          </w:p>
        </w:tc>
        <w:tc>
          <w:tcPr>
            <w:tcW w:w="4548" w:type="dxa"/>
            <w:tcBorders>
              <w:tl2br w:val="nil"/>
              <w:tr2bl w:val="nil"/>
            </w:tcBorders>
            <w:vAlign w:val="center"/>
          </w:tcPr>
          <w:p w14:paraId="491F851F">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氢氧化钠俗称烧碱、火碱、苛性钠，为一种具有强腐蚀性的强碱，一般为片状或块状形态，易溶于水(溶于水时放热)并形成碱性溶液，</w:t>
            </w:r>
            <w:r>
              <w:rPr>
                <w:rFonts w:hint="eastAsia" w:ascii="Times New Roman" w:hAnsi="Times New Roman" w:cs="Times New Roman"/>
                <w:caps w:val="0"/>
                <w:smallCaps w:val="0"/>
                <w:color w:val="auto"/>
                <w:spacing w:val="0"/>
                <w:sz w:val="21"/>
                <w:szCs w:val="21"/>
                <w:highlight w:val="none"/>
                <w:lang w:eastAsia="zh-CN"/>
              </w:rPr>
              <w:t>具有</w:t>
            </w:r>
            <w:r>
              <w:rPr>
                <w:rFonts w:ascii="Times New Roman" w:hAnsi="Times New Roman" w:cs="Times New Roman"/>
                <w:caps w:val="0"/>
                <w:smallCaps w:val="0"/>
                <w:color w:val="auto"/>
                <w:spacing w:val="0"/>
                <w:sz w:val="21"/>
                <w:szCs w:val="21"/>
                <w:highlight w:val="none"/>
                <w:lang w:eastAsia="zh-CN"/>
              </w:rPr>
              <w:t>潮解性，易吸取空气中的水蒸气和二氧化碳。纯</w:t>
            </w:r>
            <w:r>
              <w:rPr>
                <w:rFonts w:hint="eastAsia" w:ascii="Times New Roman" w:hAnsi="Times New Roman" w:cs="Times New Roman"/>
                <w:caps w:val="0"/>
                <w:smallCaps w:val="0"/>
                <w:color w:val="auto"/>
                <w:spacing w:val="0"/>
                <w:sz w:val="21"/>
                <w:szCs w:val="21"/>
                <w:highlight w:val="none"/>
                <w:lang w:eastAsia="zh-CN"/>
              </w:rPr>
              <w:t>晶</w:t>
            </w:r>
            <w:r>
              <w:rPr>
                <w:rFonts w:ascii="Times New Roman" w:hAnsi="Times New Roman" w:cs="Times New Roman"/>
                <w:caps w:val="0"/>
                <w:smallCaps w:val="0"/>
                <w:color w:val="auto"/>
                <w:spacing w:val="0"/>
                <w:sz w:val="21"/>
                <w:szCs w:val="21"/>
                <w:highlight w:val="none"/>
                <w:lang w:eastAsia="zh-CN"/>
              </w:rPr>
              <w:t>是无色透明的晶体。密度2.130g/cm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熔点318.4℃。沸点1390℃。工业品含有少量的氯化钠和碳酸钠，是白色不透明的晶体。有块状，片状，粒状和棒状等。氢氧化钠在水处理中可作为碱性清洗剂，溶于乙醇和甘油；不溶于丙醇、乙醚。与氯、溴、碘等卤素发生歧化反应。与酸类起中和作用而生成盐和水。</w:t>
            </w:r>
          </w:p>
        </w:tc>
        <w:tc>
          <w:tcPr>
            <w:tcW w:w="3793" w:type="dxa"/>
            <w:tcBorders>
              <w:tl2br w:val="nil"/>
              <w:tr2bl w:val="nil"/>
            </w:tcBorders>
            <w:vAlign w:val="center"/>
          </w:tcPr>
          <w:p w14:paraId="3FB7D750">
            <w:pPr>
              <w:pStyle w:val="195"/>
              <w:widowControl w:val="0"/>
              <w:jc w:val="both"/>
              <w:rPr>
                <w:rFonts w:ascii="Times New Roman" w:hAnsi="Times New Roman" w:cs="Times New Roman"/>
                <w:caps w:val="0"/>
                <w:smallCaps w:val="0"/>
                <w:color w:val="auto"/>
                <w:spacing w:val="0"/>
                <w:kern w:val="0"/>
                <w:sz w:val="21"/>
                <w:szCs w:val="21"/>
                <w:highlight w:val="none"/>
                <w:lang w:eastAsia="zh-CN" w:bidi="ar"/>
              </w:rPr>
            </w:pPr>
            <w:r>
              <w:rPr>
                <w:rFonts w:ascii="Times New Roman" w:hAnsi="Times New Roman" w:cs="Times New Roman"/>
                <w:caps w:val="0"/>
                <w:smallCaps w:val="0"/>
                <w:color w:val="auto"/>
                <w:spacing w:val="0"/>
                <w:kern w:val="0"/>
                <w:sz w:val="21"/>
                <w:szCs w:val="21"/>
                <w:highlight w:val="none"/>
                <w:lang w:eastAsia="zh-CN" w:bidi="ar"/>
              </w:rPr>
              <w:t>与酸发生中和反应并放热。遇潮时对铝、锌和锡有腐蚀性，并放出易燃易爆的氢气。本品不会燃烧</w:t>
            </w:r>
            <w:r>
              <w:rPr>
                <w:rFonts w:hint="eastAsia" w:ascii="Times New Roman" w:hAnsi="Times New Roman" w:cs="Times New Roman"/>
                <w:caps w:val="0"/>
                <w:smallCaps w:val="0"/>
                <w:color w:val="auto"/>
                <w:spacing w:val="0"/>
                <w:kern w:val="0"/>
                <w:sz w:val="21"/>
                <w:szCs w:val="21"/>
                <w:highlight w:val="none"/>
                <w:lang w:eastAsia="zh-CN" w:bidi="ar"/>
              </w:rPr>
              <w:t>，</w:t>
            </w:r>
            <w:r>
              <w:rPr>
                <w:rFonts w:ascii="Times New Roman" w:hAnsi="Times New Roman" w:cs="Times New Roman"/>
                <w:caps w:val="0"/>
                <w:smallCaps w:val="0"/>
                <w:color w:val="auto"/>
                <w:spacing w:val="0"/>
                <w:kern w:val="0"/>
                <w:sz w:val="21"/>
                <w:szCs w:val="21"/>
                <w:highlight w:val="none"/>
                <w:lang w:eastAsia="zh-CN" w:bidi="ar"/>
              </w:rPr>
              <w:t>遇水和水蒸气大量放热</w:t>
            </w:r>
            <w:r>
              <w:rPr>
                <w:rFonts w:hint="eastAsia" w:ascii="Times New Roman" w:hAnsi="Times New Roman" w:cs="Times New Roman"/>
                <w:caps w:val="0"/>
                <w:smallCaps w:val="0"/>
                <w:color w:val="auto"/>
                <w:spacing w:val="0"/>
                <w:kern w:val="0"/>
                <w:sz w:val="21"/>
                <w:szCs w:val="21"/>
                <w:highlight w:val="none"/>
                <w:lang w:eastAsia="zh-CN" w:bidi="ar"/>
              </w:rPr>
              <w:t>，</w:t>
            </w:r>
            <w:r>
              <w:rPr>
                <w:rFonts w:ascii="Times New Roman" w:hAnsi="Times New Roman" w:cs="Times New Roman"/>
                <w:caps w:val="0"/>
                <w:smallCaps w:val="0"/>
                <w:color w:val="auto"/>
                <w:spacing w:val="0"/>
                <w:kern w:val="0"/>
                <w:sz w:val="21"/>
                <w:szCs w:val="21"/>
                <w:highlight w:val="none"/>
                <w:lang w:eastAsia="zh-CN" w:bidi="ar"/>
              </w:rPr>
              <w:t>形成腐蚀性溶液。具有强腐蚀性。</w:t>
            </w:r>
          </w:p>
        </w:tc>
      </w:tr>
      <w:tr w14:paraId="6134423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69E78EC1">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硝酸</w:t>
            </w:r>
          </w:p>
        </w:tc>
        <w:tc>
          <w:tcPr>
            <w:tcW w:w="4548" w:type="dxa"/>
            <w:tcBorders>
              <w:tl2br w:val="nil"/>
              <w:tr2bl w:val="nil"/>
            </w:tcBorders>
            <w:vAlign w:val="center"/>
          </w:tcPr>
          <w:p w14:paraId="12FAD3E0">
            <w:pPr>
              <w:widowControl w:val="0"/>
              <w:jc w:val="both"/>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kern w:val="0"/>
                <w:sz w:val="21"/>
                <w:highlight w:val="none"/>
                <w:lang w:eastAsia="en-US" w:bidi="ar"/>
              </w:rPr>
              <w:t>酸酐是五氧化二氮（N2O5），属于一元无机强酸，是一种重要的化工原料。纯硝酸为无色透明液体，浓硝酸为淡黄色液体（溶有NO</w:t>
            </w:r>
            <w:r>
              <w:rPr>
                <w:rFonts w:ascii="Times New Roman" w:hAnsi="Times New Roman" w:eastAsia="宋体" w:cs="Times New Roman"/>
                <w:caps w:val="0"/>
                <w:smallCaps w:val="0"/>
                <w:color w:val="auto"/>
                <w:spacing w:val="0"/>
                <w:kern w:val="0"/>
                <w:sz w:val="21"/>
                <w:highlight w:val="none"/>
                <w:vertAlign w:val="subscript"/>
                <w:lang w:eastAsia="en-US" w:bidi="ar"/>
              </w:rPr>
              <w:t>2</w:t>
            </w:r>
            <w:r>
              <w:rPr>
                <w:rFonts w:ascii="Times New Roman" w:hAnsi="Times New Roman" w:eastAsia="宋体" w:cs="Times New Roman"/>
                <w:caps w:val="0"/>
                <w:smallCaps w:val="0"/>
                <w:color w:val="auto"/>
                <w:spacing w:val="0"/>
                <w:kern w:val="0"/>
                <w:sz w:val="21"/>
                <w:highlight w:val="none"/>
                <w:lang w:eastAsia="en-US" w:bidi="ar"/>
              </w:rPr>
              <w:t>），正常情况下为无色透明液体，有窒息性刺激气味，浓硝酸易挥发，能与水混溶，相对密度1.42g/cm</w:t>
            </w:r>
            <w:r>
              <w:rPr>
                <w:rFonts w:ascii="Times New Roman" w:hAnsi="Times New Roman" w:eastAsia="宋体" w:cs="Times New Roman"/>
                <w:caps w:val="0"/>
                <w:smallCaps w:val="0"/>
                <w:color w:val="auto"/>
                <w:spacing w:val="0"/>
                <w:kern w:val="0"/>
                <w:sz w:val="21"/>
                <w:highlight w:val="none"/>
                <w:vertAlign w:val="superscript"/>
                <w:lang w:eastAsia="en-US" w:bidi="ar"/>
              </w:rPr>
              <w:t>3</w:t>
            </w:r>
            <w:r>
              <w:rPr>
                <w:rFonts w:ascii="Times New Roman" w:hAnsi="Times New Roman" w:eastAsia="宋体" w:cs="Times New Roman"/>
                <w:caps w:val="0"/>
                <w:smallCaps w:val="0"/>
                <w:color w:val="auto"/>
                <w:spacing w:val="0"/>
                <w:kern w:val="0"/>
                <w:sz w:val="21"/>
                <w:highlight w:val="none"/>
                <w:lang w:eastAsia="en-US" w:bidi="ar"/>
              </w:rPr>
              <w:t>（69.2%），熔点-42℃，沸点122℃，不稳定，遇光或热会分解。</w:t>
            </w:r>
          </w:p>
        </w:tc>
        <w:tc>
          <w:tcPr>
            <w:tcW w:w="3793" w:type="dxa"/>
            <w:tcBorders>
              <w:tl2br w:val="nil"/>
              <w:tr2bl w:val="nil"/>
            </w:tcBorders>
            <w:vAlign w:val="center"/>
          </w:tcPr>
          <w:p w14:paraId="61AA793C">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强氧化剂。能与多种物质如金属粉末、电石、硫化氢、松节油等猛烈反应，甚至发生爆炸。与还原剂、可燃物如糖、纤维素、木屑、棉花、稻草或废纱头等接触，引起燃烧并散发出剧毒的棕色烟雾。具有强腐蚀性。</w:t>
            </w:r>
          </w:p>
        </w:tc>
      </w:tr>
      <w:tr w14:paraId="6C80A5C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5A7EE979">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氢氧</w:t>
            </w:r>
          </w:p>
          <w:p w14:paraId="76AEC422">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化钾</w:t>
            </w:r>
          </w:p>
        </w:tc>
        <w:tc>
          <w:tcPr>
            <w:tcW w:w="4548" w:type="dxa"/>
            <w:tcBorders>
              <w:tl2br w:val="nil"/>
              <w:tr2bl w:val="nil"/>
            </w:tcBorders>
            <w:vAlign w:val="center"/>
          </w:tcPr>
          <w:p w14:paraId="05A3A9CA">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氢氧化钾又称“苛性钾”，化学式KOH，相对密度1.450g/cm</w:t>
            </w:r>
            <w:r>
              <w:rPr>
                <w:rFonts w:ascii="Times New Roman" w:hAnsi="Times New Roman" w:eastAsia="宋体" w:cs="Times New Roman"/>
                <w:caps w:val="0"/>
                <w:smallCaps w:val="0"/>
                <w:color w:val="auto"/>
                <w:spacing w:val="0"/>
                <w:kern w:val="0"/>
                <w:sz w:val="21"/>
                <w:highlight w:val="none"/>
                <w:vertAlign w:val="superscript"/>
                <w:lang w:eastAsia="en-US" w:bidi="ar"/>
              </w:rPr>
              <w:t>3</w:t>
            </w:r>
            <w:r>
              <w:rPr>
                <w:rFonts w:ascii="Times New Roman" w:hAnsi="Times New Roman" w:eastAsia="宋体" w:cs="Times New Roman"/>
                <w:caps w:val="0"/>
                <w:smallCaps w:val="0"/>
                <w:color w:val="auto"/>
                <w:spacing w:val="0"/>
                <w:kern w:val="0"/>
                <w:sz w:val="21"/>
                <w:highlight w:val="none"/>
                <w:lang w:eastAsia="en-US" w:bidi="ar"/>
              </w:rPr>
              <w:t>（20℃），熔点361℃，沸点1320℃，是一种常见的强碱性无机化合物，常为白色片状。很易溶于水、乙醇，溶解时强烈放热，极易吸收空气中的水分及二氧化碳。在水中能够完全溶解，产生氢氧化钾溶液，其溶液呈碱性，能够中和酸性物质。不燃，具有强腐蚀性。遇水和水蒸气大量放热，形成腐蚀性溶液。与酸发生中和反应并放热。</w:t>
            </w:r>
          </w:p>
        </w:tc>
        <w:tc>
          <w:tcPr>
            <w:tcW w:w="3793" w:type="dxa"/>
            <w:tcBorders>
              <w:tl2br w:val="nil"/>
              <w:tr2bl w:val="nil"/>
            </w:tcBorders>
            <w:vAlign w:val="center"/>
          </w:tcPr>
          <w:p w14:paraId="727BFE49">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与酸发生中和反应并放热。本品不会燃烧，遇水和水蒸气大量放热，形成腐蚀性溶液。具有强腐蚀性。</w:t>
            </w:r>
          </w:p>
        </w:tc>
      </w:tr>
      <w:tr w14:paraId="57E9939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20FF7A77">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氯化氢</w:t>
            </w:r>
          </w:p>
        </w:tc>
        <w:tc>
          <w:tcPr>
            <w:tcW w:w="4548" w:type="dxa"/>
            <w:tcBorders>
              <w:tl2br w:val="nil"/>
              <w:tr2bl w:val="nil"/>
            </w:tcBorders>
            <w:vAlign w:val="center"/>
          </w:tcPr>
          <w:p w14:paraId="6B3D1A98">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盐酸（HCl）是一种无色液体，具有强腐蚀性和挥发性，是氯化氢气体的水溶液，盐酸通常为无色液体，工业用盐酸可能因杂质而略显黄色。具有刺激性气味，浓盐酸挥发时会形成酸雾。盐酸能与水、乙醇任意混溶，氯化氢也能溶于多种有机溶剂。相对密度约为1.20，蒸气密度约为1.26。熔点为-114.8℃，沸点为108.6℃(20%恒沸溶液</w:t>
            </w:r>
            <w:r>
              <w:rPr>
                <w:rFonts w:hint="eastAsia" w:ascii="Times New Roman" w:hAnsi="Times New Roman" w:eastAsia="宋体" w:cs="Times New Roman"/>
                <w:caps w:val="0"/>
                <w:smallCaps w:val="0"/>
                <w:color w:val="auto"/>
                <w:spacing w:val="0"/>
                <w:kern w:val="0"/>
                <w:sz w:val="21"/>
                <w:highlight w:val="none"/>
                <w:lang w:eastAsia="zh-CN" w:bidi="ar"/>
              </w:rPr>
              <w:t>）</w:t>
            </w:r>
            <w:r>
              <w:rPr>
                <w:rFonts w:ascii="Times New Roman" w:hAnsi="Times New Roman" w:eastAsia="宋体" w:cs="Times New Roman"/>
                <w:caps w:val="0"/>
                <w:smallCaps w:val="0"/>
                <w:color w:val="auto"/>
                <w:spacing w:val="0"/>
                <w:kern w:val="0"/>
                <w:sz w:val="21"/>
                <w:highlight w:val="none"/>
                <w:lang w:eastAsia="en-US" w:bidi="ar"/>
              </w:rPr>
              <w:t>。</w:t>
            </w:r>
          </w:p>
        </w:tc>
        <w:tc>
          <w:tcPr>
            <w:tcW w:w="3793" w:type="dxa"/>
            <w:tcBorders>
              <w:tl2br w:val="nil"/>
              <w:tr2bl w:val="nil"/>
            </w:tcBorders>
            <w:vAlign w:val="center"/>
          </w:tcPr>
          <w:p w14:paraId="10DC2C3F">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无水氯化氢无腐蚀性，但遇水时有强腐蚀性。能与一些活性金属粉末发生反应，放出氢气。遇氰化物能产生</w:t>
            </w:r>
            <w:r>
              <w:rPr>
                <w:rFonts w:hint="eastAsia" w:ascii="Times New Roman" w:hAnsi="Times New Roman" w:eastAsia="宋体" w:cs="Times New Roman"/>
                <w:caps w:val="0"/>
                <w:smallCaps w:val="0"/>
                <w:color w:val="auto"/>
                <w:spacing w:val="0"/>
                <w:kern w:val="0"/>
                <w:sz w:val="21"/>
                <w:highlight w:val="none"/>
                <w:lang w:eastAsia="en-US" w:bidi="ar"/>
              </w:rPr>
              <w:t>剧毒</w:t>
            </w:r>
            <w:r>
              <w:rPr>
                <w:rFonts w:ascii="Times New Roman" w:hAnsi="Times New Roman" w:eastAsia="宋体" w:cs="Times New Roman"/>
                <w:caps w:val="0"/>
                <w:smallCaps w:val="0"/>
                <w:color w:val="auto"/>
                <w:spacing w:val="0"/>
                <w:kern w:val="0"/>
                <w:sz w:val="21"/>
                <w:highlight w:val="none"/>
                <w:lang w:eastAsia="en-US" w:bidi="ar"/>
              </w:rPr>
              <w:t>的氰化氢气体。本品不燃，</w:t>
            </w:r>
            <w:r>
              <w:rPr>
                <w:rFonts w:hint="eastAsia" w:ascii="Times New Roman" w:hAnsi="Times New Roman" w:eastAsia="宋体" w:cs="Times New Roman"/>
                <w:caps w:val="0"/>
                <w:smallCaps w:val="0"/>
                <w:color w:val="auto"/>
                <w:spacing w:val="0"/>
                <w:kern w:val="0"/>
                <w:sz w:val="21"/>
                <w:highlight w:val="none"/>
                <w:lang w:eastAsia="en-US" w:bidi="ar"/>
              </w:rPr>
              <w:t>具有</w:t>
            </w:r>
            <w:r>
              <w:rPr>
                <w:rFonts w:ascii="Times New Roman" w:hAnsi="Times New Roman" w:eastAsia="宋体" w:cs="Times New Roman"/>
                <w:caps w:val="0"/>
                <w:smallCaps w:val="0"/>
                <w:color w:val="auto"/>
                <w:spacing w:val="0"/>
                <w:kern w:val="0"/>
                <w:sz w:val="21"/>
                <w:highlight w:val="none"/>
                <w:lang w:eastAsia="en-US" w:bidi="ar"/>
              </w:rPr>
              <w:t>强刺激性。</w:t>
            </w:r>
          </w:p>
        </w:tc>
      </w:tr>
      <w:tr w14:paraId="4619EF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447EBF97">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碲化锌</w:t>
            </w:r>
          </w:p>
        </w:tc>
        <w:tc>
          <w:tcPr>
            <w:tcW w:w="4548" w:type="dxa"/>
            <w:tcBorders>
              <w:tl2br w:val="nil"/>
              <w:tr2bl w:val="nil"/>
            </w:tcBorders>
            <w:vAlign w:val="center"/>
          </w:tcPr>
          <w:p w14:paraId="7ABA3602">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碲化锌（ZnTe）常温下为黑色固体，具有金属光泽；升华后可形成宝石红立方系晶体，与稀酸反应会释放剧毒的碲化氢（H</w:t>
            </w:r>
            <w:r>
              <w:rPr>
                <w:rFonts w:ascii="Times New Roman" w:hAnsi="Times New Roman" w:eastAsia="宋体" w:cs="Times New Roman"/>
                <w:caps w:val="0"/>
                <w:smallCaps w:val="0"/>
                <w:color w:val="auto"/>
                <w:spacing w:val="0"/>
                <w:kern w:val="0"/>
                <w:sz w:val="21"/>
                <w:highlight w:val="none"/>
                <w:vertAlign w:val="subscript"/>
                <w:lang w:eastAsia="en-US" w:bidi="ar"/>
              </w:rPr>
              <w:t>2</w:t>
            </w:r>
            <w:r>
              <w:rPr>
                <w:rFonts w:ascii="Times New Roman" w:hAnsi="Times New Roman" w:eastAsia="宋体" w:cs="Times New Roman"/>
                <w:caps w:val="0"/>
                <w:smallCaps w:val="0"/>
                <w:color w:val="auto"/>
                <w:spacing w:val="0"/>
                <w:kern w:val="0"/>
                <w:sz w:val="21"/>
                <w:highlight w:val="none"/>
                <w:lang w:eastAsia="en-US" w:bidi="ar"/>
              </w:rPr>
              <w:t>Te），在干燥空气中稳定，但长时间接触水或稀酸会分解，具有近红外电光效应、光导及荧光性能，其熔点1240℃，密度6.34g/cm³，折射率3.56，遇水分解生成有毒的碲化氢气体。‌</w:t>
            </w:r>
          </w:p>
        </w:tc>
        <w:tc>
          <w:tcPr>
            <w:tcW w:w="3793" w:type="dxa"/>
            <w:tcBorders>
              <w:tl2br w:val="nil"/>
              <w:tr2bl w:val="nil"/>
            </w:tcBorders>
            <w:vAlign w:val="center"/>
          </w:tcPr>
          <w:p w14:paraId="4796F92A">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泄漏时</w:t>
            </w:r>
            <w:r>
              <w:rPr>
                <w:rFonts w:ascii="Times New Roman" w:hAnsi="Times New Roman" w:eastAsia="宋体" w:cs="Times New Roman"/>
                <w:caps w:val="0"/>
                <w:smallCaps w:val="0"/>
                <w:color w:val="auto"/>
                <w:spacing w:val="0"/>
                <w:kern w:val="0"/>
                <w:sz w:val="21"/>
                <w:highlight w:val="none"/>
                <w:lang w:eastAsia="en-US" w:bidi="ar"/>
              </w:rPr>
              <w:t>戴呼吸罩。防止粉尘的生成。防止吸入蒸汽、气雾或气体。保证充分的通风。 将人员撤离到安全区域。避免吸入粉尘</w:t>
            </w:r>
          </w:p>
        </w:tc>
      </w:tr>
      <w:tr w14:paraId="78FFD0E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6461C9D1">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铝</w:t>
            </w:r>
          </w:p>
        </w:tc>
        <w:tc>
          <w:tcPr>
            <w:tcW w:w="4548" w:type="dxa"/>
            <w:tcBorders>
              <w:tl2br w:val="nil"/>
              <w:tr2bl w:val="nil"/>
            </w:tcBorders>
            <w:vAlign w:val="center"/>
          </w:tcPr>
          <w:p w14:paraId="15D7D273">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铝（Al）是一种具有独特性质的金属，银白色金属，硬度较小，质地较软‌，易加工成型，可形成致密的氧化铝膜‌，常温下表面形成致密氧化铝膜（钝化），加热时剧烈燃烧生成氧化铝‌，密度较低（轻金属），熔点约660℃，但氧化铝膜熔点高达2000℃以上‌，铝的活泼性使其在工业中广泛应用，如铝合金、铝热剂等‌。</w:t>
            </w:r>
          </w:p>
        </w:tc>
        <w:tc>
          <w:tcPr>
            <w:tcW w:w="3793" w:type="dxa"/>
            <w:tcBorders>
              <w:tl2br w:val="nil"/>
              <w:tr2bl w:val="nil"/>
            </w:tcBorders>
            <w:vAlign w:val="center"/>
          </w:tcPr>
          <w:p w14:paraId="0A48918F">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本品遇湿易燃，</w:t>
            </w:r>
            <w:r>
              <w:rPr>
                <w:rFonts w:hint="eastAsia" w:ascii="Times New Roman" w:hAnsi="Times New Roman" w:eastAsia="宋体" w:cs="Times New Roman"/>
                <w:caps w:val="0"/>
                <w:smallCaps w:val="0"/>
                <w:color w:val="auto"/>
                <w:spacing w:val="0"/>
                <w:kern w:val="0"/>
                <w:sz w:val="21"/>
                <w:highlight w:val="none"/>
                <w:lang w:eastAsia="en-US" w:bidi="ar"/>
              </w:rPr>
              <w:t>具有</w:t>
            </w:r>
            <w:r>
              <w:rPr>
                <w:rFonts w:ascii="Times New Roman" w:hAnsi="Times New Roman" w:eastAsia="宋体" w:cs="Times New Roman"/>
                <w:caps w:val="0"/>
                <w:smallCaps w:val="0"/>
                <w:color w:val="auto"/>
                <w:spacing w:val="0"/>
                <w:kern w:val="0"/>
                <w:sz w:val="21"/>
                <w:highlight w:val="none"/>
                <w:lang w:eastAsia="en-US" w:bidi="ar"/>
              </w:rPr>
              <w:t>刺激性。</w:t>
            </w:r>
          </w:p>
          <w:p w14:paraId="3B8BFAF9">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危险特性</w:t>
            </w:r>
            <w:r>
              <w:rPr>
                <w:rFonts w:hint="eastAsia" w:ascii="Times New Roman" w:hAnsi="Times New Roman" w:eastAsia="宋体" w:cs="Times New Roman"/>
                <w:caps w:val="0"/>
                <w:smallCaps w:val="0"/>
                <w:color w:val="auto"/>
                <w:spacing w:val="0"/>
                <w:kern w:val="0"/>
                <w:sz w:val="21"/>
                <w:highlight w:val="none"/>
                <w:lang w:eastAsia="en-US" w:bidi="ar"/>
              </w:rPr>
              <w:t>：</w:t>
            </w:r>
            <w:r>
              <w:rPr>
                <w:rFonts w:ascii="Times New Roman" w:hAnsi="Times New Roman" w:eastAsia="宋体" w:cs="Times New Roman"/>
                <w:caps w:val="0"/>
                <w:smallCaps w:val="0"/>
                <w:color w:val="auto"/>
                <w:spacing w:val="0"/>
                <w:kern w:val="0"/>
                <w:sz w:val="21"/>
                <w:highlight w:val="none"/>
                <w:lang w:eastAsia="en-US" w:bidi="ar"/>
              </w:rPr>
              <w:t>大量粉尘遇潮湿、水蒸气能自燃。与氧化剂混合能形成爆炸性混合物。与氟、氯等接触会发生剧烈的化学反应。与酸类或与强碱接触也能产生氢气，引起燃烧爆炸。粉体与空气可形成爆炸性混合物</w:t>
            </w:r>
            <w:r>
              <w:rPr>
                <w:rFonts w:hint="eastAsia" w:ascii="Times New Roman" w:hAnsi="Times New Roman" w:eastAsia="宋体" w:cs="Times New Roman"/>
                <w:caps w:val="0"/>
                <w:smallCaps w:val="0"/>
                <w:color w:val="auto"/>
                <w:spacing w:val="0"/>
                <w:kern w:val="0"/>
                <w:sz w:val="21"/>
                <w:highlight w:val="none"/>
                <w:lang w:eastAsia="zh-CN" w:bidi="ar"/>
              </w:rPr>
              <w:t>，</w:t>
            </w:r>
            <w:r>
              <w:rPr>
                <w:rFonts w:ascii="Times New Roman" w:hAnsi="Times New Roman" w:eastAsia="宋体" w:cs="Times New Roman"/>
                <w:caps w:val="0"/>
                <w:smallCaps w:val="0"/>
                <w:color w:val="auto"/>
                <w:spacing w:val="0"/>
                <w:kern w:val="0"/>
                <w:sz w:val="21"/>
                <w:highlight w:val="none"/>
                <w:lang w:eastAsia="en-US" w:bidi="ar"/>
              </w:rPr>
              <w:t>当达到一定浓度时</w:t>
            </w:r>
            <w:r>
              <w:rPr>
                <w:rFonts w:hint="eastAsia" w:ascii="Times New Roman" w:hAnsi="Times New Roman" w:eastAsia="宋体" w:cs="Times New Roman"/>
                <w:caps w:val="0"/>
                <w:smallCaps w:val="0"/>
                <w:color w:val="auto"/>
                <w:spacing w:val="0"/>
                <w:kern w:val="0"/>
                <w:sz w:val="21"/>
                <w:highlight w:val="none"/>
                <w:lang w:eastAsia="zh-CN" w:bidi="ar"/>
              </w:rPr>
              <w:t>，</w:t>
            </w:r>
            <w:r>
              <w:rPr>
                <w:rFonts w:ascii="Times New Roman" w:hAnsi="Times New Roman" w:eastAsia="宋体" w:cs="Times New Roman"/>
                <w:caps w:val="0"/>
                <w:smallCaps w:val="0"/>
                <w:color w:val="auto"/>
                <w:spacing w:val="0"/>
                <w:kern w:val="0"/>
                <w:sz w:val="21"/>
                <w:highlight w:val="none"/>
                <w:lang w:eastAsia="en-US" w:bidi="ar"/>
              </w:rPr>
              <w:t>遇火星会发生爆炸。</w:t>
            </w:r>
          </w:p>
          <w:p w14:paraId="126BE875">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有害燃烧产物</w:t>
            </w:r>
            <w:r>
              <w:rPr>
                <w:rFonts w:hint="eastAsia" w:ascii="Times New Roman" w:hAnsi="Times New Roman" w:eastAsia="宋体" w:cs="Times New Roman"/>
                <w:caps w:val="0"/>
                <w:smallCaps w:val="0"/>
                <w:color w:val="auto"/>
                <w:spacing w:val="0"/>
                <w:kern w:val="0"/>
                <w:sz w:val="21"/>
                <w:highlight w:val="none"/>
                <w:lang w:eastAsia="en-US" w:bidi="ar"/>
              </w:rPr>
              <w:t>：</w:t>
            </w:r>
            <w:r>
              <w:rPr>
                <w:rFonts w:ascii="Times New Roman" w:hAnsi="Times New Roman" w:eastAsia="宋体" w:cs="Times New Roman"/>
                <w:caps w:val="0"/>
                <w:smallCaps w:val="0"/>
                <w:color w:val="auto"/>
                <w:spacing w:val="0"/>
                <w:kern w:val="0"/>
                <w:sz w:val="21"/>
                <w:highlight w:val="none"/>
                <w:lang w:eastAsia="en-US" w:bidi="ar"/>
              </w:rPr>
              <w:t>氧化铝。</w:t>
            </w:r>
          </w:p>
          <w:p w14:paraId="2891F07F">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灭火方法</w:t>
            </w:r>
            <w:r>
              <w:rPr>
                <w:rFonts w:hint="eastAsia" w:ascii="Times New Roman" w:hAnsi="Times New Roman" w:eastAsia="宋体" w:cs="Times New Roman"/>
                <w:caps w:val="0"/>
                <w:smallCaps w:val="0"/>
                <w:color w:val="auto"/>
                <w:spacing w:val="0"/>
                <w:kern w:val="0"/>
                <w:sz w:val="21"/>
                <w:highlight w:val="none"/>
                <w:lang w:eastAsia="en-US" w:bidi="ar"/>
              </w:rPr>
              <w:t>：</w:t>
            </w:r>
            <w:r>
              <w:rPr>
                <w:rFonts w:ascii="Times New Roman" w:hAnsi="Times New Roman" w:eastAsia="宋体" w:cs="Times New Roman"/>
                <w:caps w:val="0"/>
                <w:smallCaps w:val="0"/>
                <w:color w:val="auto"/>
                <w:spacing w:val="0"/>
                <w:kern w:val="0"/>
                <w:sz w:val="21"/>
                <w:highlight w:val="none"/>
                <w:lang w:eastAsia="en-US" w:bidi="ar"/>
              </w:rPr>
              <w:t>严禁用水、泡沫、二氧化碳扑救。可用适当的干砂、石粉将火闷熄。</w:t>
            </w:r>
          </w:p>
        </w:tc>
      </w:tr>
      <w:tr w14:paraId="7D96A00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tl2br w:val="nil"/>
              <w:tr2bl w:val="nil"/>
            </w:tcBorders>
            <w:vAlign w:val="center"/>
          </w:tcPr>
          <w:p w14:paraId="78AA1AD5">
            <w:pPr>
              <w:widowControl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铬</w:t>
            </w:r>
          </w:p>
        </w:tc>
        <w:tc>
          <w:tcPr>
            <w:tcW w:w="4548" w:type="dxa"/>
            <w:tcBorders>
              <w:tl2br w:val="nil"/>
              <w:tr2bl w:val="nil"/>
            </w:tcBorders>
            <w:vAlign w:val="center"/>
          </w:tcPr>
          <w:p w14:paraId="407E1122">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铬（Cr）是一种过渡金属元素，银白色有光泽的金属，纯铬具有延展性，含杂质时硬而脆‌，抗腐蚀性强，表面易形成致密氧化膜‌，活泼性介于锌和锰之间，常温下耐腐蚀，不溶于水但可溶于稀酸‌，面三氧化二铬）膜赋予其优异耐腐蚀性‌，熔点1857℃，沸点2672℃（或2679℃，不同来源数据略有差异）‌，铬的工业应用主要基于其高硬度和耐腐蚀性，如不锈钢制造（占70%用量）和电镀防锈‌。</w:t>
            </w:r>
          </w:p>
        </w:tc>
        <w:tc>
          <w:tcPr>
            <w:tcW w:w="3793" w:type="dxa"/>
            <w:tcBorders>
              <w:tl2br w:val="nil"/>
              <w:tr2bl w:val="nil"/>
            </w:tcBorders>
            <w:vAlign w:val="center"/>
          </w:tcPr>
          <w:p w14:paraId="5FA5ABDC">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ascii="Times New Roman" w:hAnsi="Times New Roman" w:eastAsia="宋体" w:cs="Times New Roman"/>
                <w:caps w:val="0"/>
                <w:smallCaps w:val="0"/>
                <w:color w:val="auto"/>
                <w:spacing w:val="0"/>
                <w:kern w:val="0"/>
                <w:sz w:val="21"/>
                <w:highlight w:val="none"/>
                <w:lang w:eastAsia="en-US" w:bidi="ar"/>
              </w:rPr>
              <w:t>其粉体遇高温、明火能燃烧。</w:t>
            </w:r>
            <w:r>
              <w:rPr>
                <w:rFonts w:hint="eastAsia" w:ascii="Times New Roman" w:hAnsi="Times New Roman" w:eastAsia="宋体" w:cs="Times New Roman"/>
                <w:caps w:val="0"/>
                <w:smallCaps w:val="0"/>
                <w:color w:val="auto"/>
                <w:spacing w:val="0"/>
                <w:kern w:val="0"/>
                <w:sz w:val="21"/>
                <w:highlight w:val="none"/>
                <w:lang w:eastAsia="en-US" w:bidi="ar"/>
              </w:rPr>
              <w:t>灭火方法：</w:t>
            </w:r>
            <w:r>
              <w:rPr>
                <w:rFonts w:ascii="Times New Roman" w:hAnsi="Times New Roman" w:eastAsia="宋体" w:cs="Times New Roman"/>
                <w:caps w:val="0"/>
                <w:smallCaps w:val="0"/>
                <w:color w:val="auto"/>
                <w:spacing w:val="0"/>
                <w:kern w:val="0"/>
                <w:sz w:val="21"/>
                <w:highlight w:val="none"/>
                <w:lang w:eastAsia="en-US" w:bidi="ar"/>
              </w:rPr>
              <w:t>干粉、砂土。</w:t>
            </w:r>
          </w:p>
          <w:p w14:paraId="34789B88">
            <w:pPr>
              <w:widowControl/>
              <w:rPr>
                <w:caps w:val="0"/>
                <w:smallCaps w:val="0"/>
                <w:color w:val="auto"/>
                <w:spacing w:val="0"/>
                <w:highlight w:val="none"/>
                <w:lang w:eastAsia="en-US"/>
              </w:rPr>
            </w:pPr>
            <w:r>
              <w:rPr>
                <w:rFonts w:hint="eastAsia" w:ascii="Times New Roman" w:hAnsi="Times New Roman" w:eastAsia="宋体" w:cs="Times New Roman"/>
                <w:caps w:val="0"/>
                <w:smallCaps w:val="0"/>
                <w:color w:val="auto"/>
                <w:spacing w:val="0"/>
                <w:kern w:val="0"/>
                <w:sz w:val="21"/>
                <w:highlight w:val="none"/>
                <w:lang w:eastAsia="en-US" w:bidi="ar"/>
              </w:rPr>
              <w:t>保存</w:t>
            </w:r>
            <w:r>
              <w:rPr>
                <w:rFonts w:hint="eastAsia" w:ascii="Times New Roman" w:hAnsi="Times New Roman" w:eastAsia="宋体" w:cs="Times New Roman"/>
                <w:caps w:val="0"/>
                <w:smallCaps w:val="0"/>
                <w:color w:val="auto"/>
                <w:spacing w:val="0"/>
                <w:kern w:val="0"/>
                <w:sz w:val="21"/>
                <w:highlight w:val="none"/>
                <w:lang w:eastAsia="zh-CN" w:bidi="ar"/>
              </w:rPr>
              <w:t>：</w:t>
            </w:r>
            <w:r>
              <w:rPr>
                <w:rFonts w:hint="eastAsia" w:ascii="Times New Roman" w:hAnsi="Times New Roman" w:eastAsia="宋体" w:cs="Times New Roman"/>
                <w:caps w:val="0"/>
                <w:smallCaps w:val="0"/>
                <w:color w:val="auto"/>
                <w:spacing w:val="0"/>
                <w:kern w:val="0"/>
                <w:sz w:val="21"/>
                <w:highlight w:val="none"/>
                <w:lang w:eastAsia="en-US" w:bidi="ar"/>
              </w:rPr>
              <w:t>储存于</w:t>
            </w:r>
            <w:r>
              <w:rPr>
                <w:rFonts w:hint="eastAsia" w:ascii="宋体" w:hAnsi="宋体" w:eastAsia="宋体" w:cs="宋体"/>
                <w:caps w:val="0"/>
                <w:smallCaps w:val="0"/>
                <w:color w:val="auto"/>
                <w:spacing w:val="0"/>
                <w:kern w:val="0"/>
                <w:sz w:val="20"/>
                <w:szCs w:val="20"/>
                <w:highlight w:val="none"/>
                <w:lang w:eastAsia="en-US" w:bidi="ar"/>
              </w:rPr>
              <w:t>立刻大量用水冲洗眼睛至少</w:t>
            </w:r>
            <w:r>
              <w:rPr>
                <w:rFonts w:ascii="Times New Roman" w:hAnsi="Times New Roman" w:eastAsia="宋体" w:cs="Times New Roman"/>
                <w:caps w:val="0"/>
                <w:smallCaps w:val="0"/>
                <w:color w:val="auto"/>
                <w:spacing w:val="0"/>
                <w:kern w:val="0"/>
                <w:sz w:val="20"/>
                <w:szCs w:val="20"/>
                <w:highlight w:val="none"/>
                <w:lang w:eastAsia="en-US" w:bidi="ar"/>
              </w:rPr>
              <w:t>15</w:t>
            </w:r>
            <w:r>
              <w:rPr>
                <w:rFonts w:hint="eastAsia" w:ascii="宋体" w:hAnsi="宋体" w:eastAsia="宋体" w:cs="宋体"/>
                <w:caps w:val="0"/>
                <w:smallCaps w:val="0"/>
                <w:color w:val="auto"/>
                <w:spacing w:val="0"/>
                <w:kern w:val="0"/>
                <w:sz w:val="20"/>
                <w:szCs w:val="20"/>
                <w:highlight w:val="none"/>
                <w:lang w:eastAsia="en-US" w:bidi="ar"/>
              </w:rPr>
              <w:t>分钟，撑开眼睛。如果疼痛或发红不退，请就医。</w:t>
            </w:r>
          </w:p>
          <w:p w14:paraId="74CD3C86">
            <w:pPr>
              <w:widowControl w:val="0"/>
              <w:jc w:val="both"/>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分开存放。搬运时轻装轻卸，防止包装破损。</w:t>
            </w:r>
          </w:p>
        </w:tc>
      </w:tr>
      <w:tr w14:paraId="3B940BC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29" w:type="dxa"/>
            <w:tcBorders>
              <w:bottom w:val="single" w:color="auto" w:sz="8" w:space="0"/>
              <w:tl2br w:val="nil"/>
              <w:tr2bl w:val="nil"/>
            </w:tcBorders>
            <w:vAlign w:val="center"/>
          </w:tcPr>
          <w:p w14:paraId="61B60FC4">
            <w:pPr>
              <w:widowControl/>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光刻胶（水基光敏抗蚀剂）</w:t>
            </w:r>
          </w:p>
        </w:tc>
        <w:tc>
          <w:tcPr>
            <w:tcW w:w="4548" w:type="dxa"/>
            <w:tcBorders>
              <w:bottom w:val="single" w:color="auto" w:sz="8" w:space="0"/>
              <w:tl2br w:val="nil"/>
              <w:tr2bl w:val="nil"/>
            </w:tcBorders>
            <w:vAlign w:val="center"/>
          </w:tcPr>
          <w:p w14:paraId="06BA4301">
            <w:pPr>
              <w:widowControl/>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本品由水（含量80-85%）、明胶（分子量</w:t>
            </w:r>
            <w:r>
              <w:rPr>
                <w:rFonts w:ascii="Times New Roman" w:hAnsi="Times New Roman" w:eastAsia="宋体" w:cs="Times New Roman"/>
                <w:caps w:val="0"/>
                <w:smallCaps w:val="0"/>
                <w:color w:val="auto"/>
                <w:spacing w:val="0"/>
                <w:kern w:val="0"/>
                <w:sz w:val="21"/>
                <w:highlight w:val="none"/>
                <w:lang w:eastAsia="en-US" w:bidi="ar"/>
              </w:rPr>
              <w:t>&lt;</w:t>
            </w:r>
            <w:r>
              <w:rPr>
                <w:rFonts w:hint="eastAsia" w:ascii="Times New Roman" w:hAnsi="Times New Roman" w:eastAsia="宋体" w:cs="Times New Roman"/>
                <w:caps w:val="0"/>
                <w:smallCaps w:val="0"/>
                <w:color w:val="auto"/>
                <w:spacing w:val="0"/>
                <w:kern w:val="0"/>
                <w:sz w:val="21"/>
                <w:highlight w:val="none"/>
                <w:lang w:eastAsia="en-US" w:bidi="ar"/>
              </w:rPr>
              <w:t>5万，含量</w:t>
            </w:r>
            <w:r>
              <w:rPr>
                <w:rFonts w:ascii="Times New Roman" w:hAnsi="Times New Roman" w:eastAsia="宋体" w:cs="Times New Roman"/>
                <w:caps w:val="0"/>
                <w:smallCaps w:val="0"/>
                <w:color w:val="auto"/>
                <w:spacing w:val="0"/>
                <w:kern w:val="0"/>
                <w:sz w:val="21"/>
                <w:highlight w:val="none"/>
                <w:lang w:eastAsia="en-US" w:bidi="ar"/>
              </w:rPr>
              <w:t>&lt;</w:t>
            </w:r>
            <w:r>
              <w:rPr>
                <w:rFonts w:hint="eastAsia" w:ascii="Times New Roman" w:hAnsi="Times New Roman" w:eastAsia="宋体" w:cs="Times New Roman"/>
                <w:caps w:val="0"/>
                <w:smallCaps w:val="0"/>
                <w:color w:val="auto"/>
                <w:spacing w:val="0"/>
                <w:kern w:val="0"/>
                <w:sz w:val="21"/>
                <w:highlight w:val="none"/>
                <w:lang w:eastAsia="en-US" w:bidi="ar"/>
              </w:rPr>
              <w:t>20%）、N,N'-亚甲基双丙烯酰胺（含量1-3%，分子量154），为液体状，无色至墨绿色，pH值4.0-7.0，沸点、初沸点和沸程为100</w:t>
            </w:r>
            <w:r>
              <w:rPr>
                <w:rFonts w:ascii="Times New Roman" w:hAnsi="Times New Roman" w:eastAsia="宋体" w:cs="Times New Roman"/>
                <w:caps w:val="0"/>
                <w:smallCaps w:val="0"/>
                <w:color w:val="auto"/>
                <w:spacing w:val="0"/>
                <w:kern w:val="0"/>
                <w:sz w:val="21"/>
                <w:highlight w:val="none"/>
                <w:lang w:eastAsia="en-US" w:bidi="ar"/>
              </w:rPr>
              <w:t>℃</w:t>
            </w:r>
            <w:r>
              <w:rPr>
                <w:rFonts w:hint="eastAsia" w:ascii="Times New Roman" w:hAnsi="Times New Roman" w:eastAsia="宋体" w:cs="Times New Roman"/>
                <w:caps w:val="0"/>
                <w:smallCaps w:val="0"/>
                <w:color w:val="auto"/>
                <w:spacing w:val="0"/>
                <w:kern w:val="0"/>
                <w:sz w:val="21"/>
                <w:highlight w:val="none"/>
                <w:lang w:eastAsia="en-US" w:bidi="ar"/>
              </w:rPr>
              <w:t>，易溶于水、醇类、强酸碱类。</w:t>
            </w:r>
          </w:p>
        </w:tc>
        <w:tc>
          <w:tcPr>
            <w:tcW w:w="3793" w:type="dxa"/>
            <w:tcBorders>
              <w:bottom w:val="single" w:color="auto" w:sz="8" w:space="0"/>
              <w:tl2br w:val="nil"/>
              <w:tr2bl w:val="nil"/>
            </w:tcBorders>
            <w:vAlign w:val="center"/>
          </w:tcPr>
          <w:p w14:paraId="06889C2B">
            <w:pPr>
              <w:widowControl/>
              <w:rPr>
                <w:rFonts w:ascii="Times New Roman" w:hAnsi="Times New Roman" w:eastAsia="宋体" w:cs="Times New Roman"/>
                <w:caps w:val="0"/>
                <w:smallCaps w:val="0"/>
                <w:color w:val="auto"/>
                <w:spacing w:val="0"/>
                <w:kern w:val="0"/>
                <w:sz w:val="21"/>
                <w:highlight w:val="none"/>
                <w:lang w:eastAsia="en-US" w:bidi="ar"/>
              </w:rPr>
            </w:pPr>
            <w:r>
              <w:rPr>
                <w:rFonts w:hint="eastAsia" w:ascii="Times New Roman" w:hAnsi="Times New Roman" w:eastAsia="宋体" w:cs="Times New Roman"/>
                <w:caps w:val="0"/>
                <w:smallCaps w:val="0"/>
                <w:color w:val="auto"/>
                <w:spacing w:val="0"/>
                <w:kern w:val="0"/>
                <w:sz w:val="21"/>
                <w:highlight w:val="none"/>
                <w:lang w:eastAsia="en-US" w:bidi="ar"/>
              </w:rPr>
              <w:t>不可燃。皮肤接触后用水洗涤皮肤。持续洗涤至少15分钟。如果出现起泡或发红不退，请就医。眼睛接触后立刻大量用水冲洗眼睛至少15分钟，撑开眼睛。如果疼痛或发红不退，请就</w:t>
            </w:r>
            <w:r>
              <w:rPr>
                <w:rFonts w:hint="eastAsia" w:ascii="宋体" w:hAnsi="宋体" w:eastAsia="宋体" w:cs="宋体"/>
                <w:caps w:val="0"/>
                <w:smallCaps w:val="0"/>
                <w:color w:val="auto"/>
                <w:spacing w:val="0"/>
                <w:kern w:val="0"/>
                <w:sz w:val="20"/>
                <w:szCs w:val="20"/>
                <w:highlight w:val="none"/>
                <w:lang w:eastAsia="en-US" w:bidi="ar"/>
              </w:rPr>
              <w:t>医。</w:t>
            </w:r>
          </w:p>
        </w:tc>
      </w:tr>
    </w:tbl>
    <w:p w14:paraId="1ABBCFFB">
      <w:pPr>
        <w:pStyle w:val="5"/>
        <w:widowControl w:val="0"/>
        <w:rPr>
          <w:rFonts w:eastAsia="宋体"/>
          <w:caps w:val="0"/>
          <w:smallCaps w:val="0"/>
          <w:color w:val="auto"/>
          <w:spacing w:val="0"/>
          <w:sz w:val="30"/>
          <w:szCs w:val="30"/>
          <w:highlight w:val="none"/>
        </w:rPr>
      </w:pPr>
      <w:bookmarkStart w:id="85" w:name="_Toc24566"/>
      <w:r>
        <w:rPr>
          <w:rFonts w:eastAsia="宋体"/>
          <w:caps w:val="0"/>
          <w:smallCaps w:val="0"/>
          <w:color w:val="auto"/>
          <w:spacing w:val="0"/>
          <w:sz w:val="30"/>
          <w:szCs w:val="30"/>
          <w:highlight w:val="none"/>
        </w:rPr>
        <w:t>3.3.3生产设备</w:t>
      </w:r>
      <w:bookmarkEnd w:id="84"/>
      <w:bookmarkEnd w:id="85"/>
    </w:p>
    <w:p w14:paraId="3E64186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该企业主要生产设备和辅助生产设备组成情况详见下表。</w:t>
      </w:r>
    </w:p>
    <w:p w14:paraId="273D6082">
      <w:pPr>
        <w:pStyle w:val="66"/>
        <w:widowControl w:val="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表3.3-</w:t>
      </w:r>
      <w:r>
        <w:rPr>
          <w:rFonts w:hint="eastAsia" w:ascii="Times New Roman" w:hAnsi="Times New Roman" w:eastAsia="宋体" w:cs="Times New Roman"/>
          <w:b/>
          <w:bCs/>
          <w:caps w:val="0"/>
          <w:smallCaps w:val="0"/>
          <w:color w:val="auto"/>
          <w:spacing w:val="0"/>
          <w:sz w:val="24"/>
          <w:szCs w:val="24"/>
          <w:highlight w:val="none"/>
        </w:rPr>
        <w:t>6</w:t>
      </w:r>
      <w:r>
        <w:rPr>
          <w:rFonts w:ascii="Times New Roman" w:hAnsi="Times New Roman" w:eastAsia="宋体" w:cs="Times New Roman"/>
          <w:b/>
          <w:bCs/>
          <w:caps w:val="0"/>
          <w:smallCaps w:val="0"/>
          <w:color w:val="auto"/>
          <w:spacing w:val="0"/>
          <w:sz w:val="24"/>
          <w:szCs w:val="24"/>
          <w:highlight w:val="none"/>
        </w:rPr>
        <w:t>项目主要生产设备明细表</w:t>
      </w:r>
    </w:p>
    <w:p w14:paraId="4DA86326">
      <w:pPr>
        <w:widowControl w:val="0"/>
        <w:spacing w:before="11"/>
        <w:rPr>
          <w:rFonts w:ascii="Times New Roman" w:hAnsi="Times New Roman" w:eastAsia="宋体" w:cs="Times New Roman"/>
          <w:b/>
          <w:bCs/>
          <w:caps w:val="0"/>
          <w:smallCaps w:val="0"/>
          <w:color w:val="auto"/>
          <w:spacing w:val="0"/>
          <w:sz w:val="3"/>
          <w:szCs w:val="3"/>
          <w:highlight w:val="none"/>
        </w:rPr>
      </w:pPr>
    </w:p>
    <w:tbl>
      <w:tblPr>
        <w:tblStyle w:val="17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819"/>
        <w:gridCol w:w="800"/>
        <w:gridCol w:w="1601"/>
        <w:gridCol w:w="1601"/>
        <w:gridCol w:w="1142"/>
        <w:gridCol w:w="1477"/>
        <w:gridCol w:w="1630"/>
      </w:tblGrid>
      <w:tr w14:paraId="126E6E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jc w:val="center"/>
        </w:trPr>
        <w:tc>
          <w:tcPr>
            <w:tcW w:w="819" w:type="dxa"/>
            <w:tcBorders>
              <w:top w:val="single" w:color="auto" w:sz="8" w:space="0"/>
              <w:bottom w:val="single" w:color="auto" w:sz="8" w:space="0"/>
              <w:tl2br w:val="nil"/>
              <w:tr2bl w:val="nil"/>
            </w:tcBorders>
            <w:vAlign w:val="center"/>
          </w:tcPr>
          <w:p w14:paraId="31F5A66A">
            <w:pPr>
              <w:widowControl w:val="0"/>
              <w:spacing w:before="48" w:beforeLines="20" w:after="48" w:afterLines="20"/>
              <w:jc w:val="center"/>
              <w:textAlignment w:val="bottom"/>
              <w:rPr>
                <w:rFonts w:ascii="Times New Roman" w:hAnsi="Times New Roman" w:eastAsia="宋体" w:cs="Times New Roman"/>
                <w:b/>
                <w:bCs/>
                <w:caps w:val="0"/>
                <w:smallCaps w:val="0"/>
                <w:color w:val="auto"/>
                <w:spacing w:val="0"/>
                <w:sz w:val="21"/>
                <w:highlight w:val="none"/>
                <w:lang w:eastAsia="en-US"/>
              </w:rPr>
            </w:pPr>
            <w:r>
              <w:rPr>
                <w:rFonts w:ascii="Times New Roman" w:hAnsi="Times New Roman" w:eastAsia="宋体" w:cs="Times New Roman"/>
                <w:b/>
                <w:bCs/>
                <w:caps w:val="0"/>
                <w:smallCaps w:val="0"/>
                <w:color w:val="auto"/>
                <w:spacing w:val="0"/>
                <w:sz w:val="21"/>
                <w:highlight w:val="none"/>
                <w:lang w:eastAsia="en-US"/>
              </w:rPr>
              <w:t>序号</w:t>
            </w:r>
          </w:p>
        </w:tc>
        <w:tc>
          <w:tcPr>
            <w:tcW w:w="800" w:type="dxa"/>
            <w:tcBorders>
              <w:top w:val="single" w:color="auto" w:sz="8" w:space="0"/>
              <w:bottom w:val="single" w:color="auto" w:sz="8" w:space="0"/>
              <w:tl2br w:val="nil"/>
              <w:tr2bl w:val="nil"/>
            </w:tcBorders>
            <w:vAlign w:val="center"/>
          </w:tcPr>
          <w:p w14:paraId="4FA3FA34">
            <w:pPr>
              <w:widowControl w:val="0"/>
              <w:spacing w:before="48" w:beforeLines="20" w:after="48" w:afterLines="20"/>
              <w:jc w:val="center"/>
              <w:textAlignment w:val="bottom"/>
              <w:rPr>
                <w:rFonts w:hint="default" w:ascii="Times New Roman" w:hAnsi="Times New Roman" w:eastAsia="宋体" w:cs="Times New Roman"/>
                <w:b/>
                <w:bCs/>
                <w:caps w:val="0"/>
                <w:smallCaps w:val="0"/>
                <w:color w:val="auto"/>
                <w:spacing w:val="0"/>
                <w:sz w:val="21"/>
                <w:highlight w:val="none"/>
                <w:lang w:val="en-US" w:eastAsia="zh-CN"/>
              </w:rPr>
            </w:pPr>
            <w:r>
              <w:rPr>
                <w:rFonts w:hint="eastAsia" w:ascii="Times New Roman" w:hAnsi="Times New Roman" w:eastAsia="宋体" w:cs="Times New Roman"/>
                <w:b/>
                <w:bCs/>
                <w:caps w:val="0"/>
                <w:smallCaps w:val="0"/>
                <w:color w:val="auto"/>
                <w:spacing w:val="0"/>
                <w:sz w:val="21"/>
                <w:highlight w:val="none"/>
                <w:lang w:val="en-US" w:eastAsia="zh-CN"/>
              </w:rPr>
              <w:t>主要生产单元</w:t>
            </w:r>
          </w:p>
        </w:tc>
        <w:tc>
          <w:tcPr>
            <w:tcW w:w="1601" w:type="dxa"/>
            <w:tcBorders>
              <w:top w:val="single" w:color="auto" w:sz="8" w:space="0"/>
              <w:bottom w:val="single" w:color="auto" w:sz="8" w:space="0"/>
              <w:tl2br w:val="nil"/>
              <w:tr2bl w:val="nil"/>
            </w:tcBorders>
            <w:vAlign w:val="center"/>
          </w:tcPr>
          <w:p w14:paraId="70CE6993">
            <w:pPr>
              <w:widowControl w:val="0"/>
              <w:spacing w:before="48" w:beforeLines="20" w:after="48" w:afterLines="20"/>
              <w:jc w:val="center"/>
              <w:textAlignment w:val="bottom"/>
              <w:rPr>
                <w:rFonts w:hint="eastAsia" w:ascii="Times New Roman" w:hAnsi="Times New Roman" w:eastAsia="宋体" w:cs="Times New Roman"/>
                <w:b/>
                <w:bCs/>
                <w:caps w:val="0"/>
                <w:smallCaps w:val="0"/>
                <w:color w:val="auto"/>
                <w:spacing w:val="0"/>
                <w:sz w:val="21"/>
                <w:highlight w:val="none"/>
                <w:lang w:val="en-US" w:eastAsia="zh-CN"/>
              </w:rPr>
            </w:pPr>
            <w:r>
              <w:rPr>
                <w:rFonts w:hint="eastAsia" w:ascii="Times New Roman" w:hAnsi="Times New Roman" w:eastAsia="宋体" w:cs="Times New Roman"/>
                <w:b/>
                <w:bCs/>
                <w:caps w:val="0"/>
                <w:smallCaps w:val="0"/>
                <w:color w:val="auto"/>
                <w:spacing w:val="0"/>
                <w:sz w:val="21"/>
                <w:highlight w:val="none"/>
                <w:lang w:val="en-US" w:eastAsia="zh-CN"/>
              </w:rPr>
              <w:t>主要工艺</w:t>
            </w:r>
          </w:p>
        </w:tc>
        <w:tc>
          <w:tcPr>
            <w:tcW w:w="1601" w:type="dxa"/>
            <w:tcBorders>
              <w:top w:val="single" w:color="auto" w:sz="8" w:space="0"/>
              <w:bottom w:val="single" w:color="auto" w:sz="8" w:space="0"/>
              <w:tl2br w:val="nil"/>
              <w:tr2bl w:val="nil"/>
            </w:tcBorders>
            <w:vAlign w:val="center"/>
          </w:tcPr>
          <w:p w14:paraId="1499CD32">
            <w:pPr>
              <w:widowControl w:val="0"/>
              <w:spacing w:before="48" w:beforeLines="20" w:after="48" w:afterLines="20"/>
              <w:jc w:val="center"/>
              <w:textAlignment w:val="bottom"/>
              <w:rPr>
                <w:rFonts w:hint="eastAsia" w:ascii="Times New Roman" w:hAnsi="Times New Roman" w:eastAsia="宋体" w:cs="Times New Roman"/>
                <w:b/>
                <w:bCs/>
                <w:caps w:val="0"/>
                <w:smallCaps w:val="0"/>
                <w:color w:val="auto"/>
                <w:spacing w:val="0"/>
                <w:sz w:val="21"/>
                <w:highlight w:val="none"/>
                <w:lang w:eastAsia="zh-CN"/>
              </w:rPr>
            </w:pPr>
            <w:r>
              <w:rPr>
                <w:rFonts w:hint="eastAsia" w:ascii="Times New Roman" w:hAnsi="Times New Roman" w:eastAsia="宋体" w:cs="Times New Roman"/>
                <w:b/>
                <w:bCs/>
                <w:caps w:val="0"/>
                <w:smallCaps w:val="0"/>
                <w:color w:val="auto"/>
                <w:spacing w:val="0"/>
                <w:sz w:val="21"/>
                <w:highlight w:val="none"/>
                <w:lang w:val="en-US" w:eastAsia="zh-CN"/>
              </w:rPr>
              <w:t>生产设施</w:t>
            </w:r>
          </w:p>
        </w:tc>
        <w:tc>
          <w:tcPr>
            <w:tcW w:w="1142" w:type="dxa"/>
            <w:tcBorders>
              <w:top w:val="single" w:color="auto" w:sz="8" w:space="0"/>
              <w:bottom w:val="single" w:color="auto" w:sz="8" w:space="0"/>
              <w:tl2br w:val="nil"/>
              <w:tr2bl w:val="nil"/>
            </w:tcBorders>
            <w:vAlign w:val="center"/>
          </w:tcPr>
          <w:p w14:paraId="0B3D6A7B">
            <w:pPr>
              <w:widowControl w:val="0"/>
              <w:spacing w:before="48" w:beforeLines="20" w:after="48" w:afterLines="20"/>
              <w:jc w:val="center"/>
              <w:textAlignment w:val="bottom"/>
              <w:rPr>
                <w:rFonts w:ascii="Times New Roman" w:hAnsi="Times New Roman" w:eastAsia="宋体" w:cs="Times New Roman"/>
                <w:b/>
                <w:bCs/>
                <w:caps w:val="0"/>
                <w:smallCaps w:val="0"/>
                <w:color w:val="auto"/>
                <w:spacing w:val="0"/>
                <w:sz w:val="21"/>
                <w:highlight w:val="none"/>
                <w:lang w:eastAsia="en-US"/>
              </w:rPr>
            </w:pPr>
            <w:r>
              <w:rPr>
                <w:rFonts w:ascii="Times New Roman" w:hAnsi="Times New Roman" w:eastAsia="宋体" w:cs="Times New Roman"/>
                <w:b/>
                <w:bCs/>
                <w:caps w:val="0"/>
                <w:smallCaps w:val="0"/>
                <w:color w:val="auto"/>
                <w:spacing w:val="0"/>
                <w:sz w:val="21"/>
                <w:highlight w:val="none"/>
                <w:lang w:eastAsia="en-US"/>
              </w:rPr>
              <w:t>数量</w:t>
            </w:r>
          </w:p>
        </w:tc>
        <w:tc>
          <w:tcPr>
            <w:tcW w:w="1477" w:type="dxa"/>
            <w:tcBorders>
              <w:top w:val="single" w:color="auto" w:sz="8" w:space="0"/>
              <w:bottom w:val="single" w:color="auto" w:sz="8" w:space="0"/>
              <w:tl2br w:val="nil"/>
              <w:tr2bl w:val="nil"/>
            </w:tcBorders>
            <w:vAlign w:val="center"/>
          </w:tcPr>
          <w:p w14:paraId="117FA0C0">
            <w:pPr>
              <w:widowControl w:val="0"/>
              <w:spacing w:before="48" w:beforeLines="20" w:after="48" w:afterLines="20"/>
              <w:jc w:val="center"/>
              <w:textAlignment w:val="bottom"/>
              <w:rPr>
                <w:rFonts w:ascii="Times New Roman" w:hAnsi="Times New Roman" w:eastAsia="宋体" w:cs="Times New Roman"/>
                <w:b/>
                <w:bCs/>
                <w:caps w:val="0"/>
                <w:smallCaps w:val="0"/>
                <w:color w:val="auto"/>
                <w:spacing w:val="0"/>
                <w:sz w:val="21"/>
                <w:highlight w:val="none"/>
                <w:lang w:eastAsia="en-US"/>
              </w:rPr>
            </w:pPr>
            <w:r>
              <w:rPr>
                <w:rFonts w:ascii="Times New Roman" w:hAnsi="Times New Roman" w:eastAsia="宋体" w:cs="Times New Roman"/>
                <w:b/>
                <w:bCs/>
                <w:caps w:val="0"/>
                <w:smallCaps w:val="0"/>
                <w:color w:val="auto"/>
                <w:spacing w:val="0"/>
                <w:sz w:val="21"/>
                <w:highlight w:val="none"/>
                <w:lang w:eastAsia="en-US"/>
              </w:rPr>
              <w:t>单位</w:t>
            </w:r>
          </w:p>
        </w:tc>
        <w:tc>
          <w:tcPr>
            <w:tcW w:w="1630" w:type="dxa"/>
            <w:tcBorders>
              <w:top w:val="single" w:color="auto" w:sz="8" w:space="0"/>
              <w:bottom w:val="single" w:color="auto" w:sz="8" w:space="0"/>
              <w:tl2br w:val="nil"/>
              <w:tr2bl w:val="nil"/>
            </w:tcBorders>
            <w:vAlign w:val="center"/>
          </w:tcPr>
          <w:p w14:paraId="3DAA70A4">
            <w:pPr>
              <w:widowControl w:val="0"/>
              <w:spacing w:before="48" w:beforeLines="20" w:after="48" w:afterLines="20"/>
              <w:jc w:val="center"/>
              <w:textAlignment w:val="bottom"/>
              <w:rPr>
                <w:rFonts w:hint="eastAsia" w:ascii="Times New Roman" w:hAnsi="Times New Roman" w:eastAsia="宋体" w:cs="Times New Roman"/>
                <w:b/>
                <w:bCs/>
                <w:caps w:val="0"/>
                <w:smallCaps w:val="0"/>
                <w:color w:val="auto"/>
                <w:spacing w:val="0"/>
                <w:sz w:val="21"/>
                <w:highlight w:val="none"/>
                <w:lang w:eastAsia="zh-CN"/>
              </w:rPr>
            </w:pPr>
            <w:r>
              <w:rPr>
                <w:rFonts w:hint="eastAsia" w:ascii="Times New Roman" w:hAnsi="Times New Roman" w:eastAsia="宋体" w:cs="Times New Roman"/>
                <w:b/>
                <w:bCs/>
                <w:caps w:val="0"/>
                <w:smallCaps w:val="0"/>
                <w:color w:val="auto"/>
                <w:spacing w:val="0"/>
                <w:sz w:val="21"/>
                <w:highlight w:val="none"/>
                <w:lang w:val="en-US" w:eastAsia="zh-CN"/>
              </w:rPr>
              <w:t>设施参数</w:t>
            </w:r>
          </w:p>
        </w:tc>
      </w:tr>
      <w:tr w14:paraId="11F8B3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op w:val="single" w:color="auto" w:sz="8" w:space="0"/>
              <w:tl2br w:val="nil"/>
              <w:tr2bl w:val="nil"/>
            </w:tcBorders>
            <w:vAlign w:val="center"/>
          </w:tcPr>
          <w:p w14:paraId="00F9B2F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800" w:type="dxa"/>
            <w:vMerge w:val="restart"/>
            <w:tcBorders>
              <w:top w:val="single" w:color="auto" w:sz="8" w:space="0"/>
              <w:tl2br w:val="nil"/>
              <w:tr2bl w:val="nil"/>
            </w:tcBorders>
            <w:vAlign w:val="center"/>
          </w:tcPr>
          <w:p w14:paraId="0178B51B">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打标</w:t>
            </w:r>
          </w:p>
        </w:tc>
        <w:tc>
          <w:tcPr>
            <w:tcW w:w="1601" w:type="dxa"/>
            <w:vMerge w:val="restart"/>
            <w:tcBorders>
              <w:top w:val="single" w:color="auto" w:sz="8" w:space="0"/>
              <w:tl2br w:val="nil"/>
              <w:tr2bl w:val="nil"/>
            </w:tcBorders>
            <w:vAlign w:val="center"/>
          </w:tcPr>
          <w:p w14:paraId="67801C95">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打印编码</w:t>
            </w:r>
          </w:p>
        </w:tc>
        <w:tc>
          <w:tcPr>
            <w:tcW w:w="1601" w:type="dxa"/>
            <w:tcBorders>
              <w:top w:val="single" w:color="auto" w:sz="8" w:space="0"/>
              <w:tl2br w:val="nil"/>
              <w:tr2bl w:val="nil"/>
            </w:tcBorders>
            <w:vAlign w:val="center"/>
          </w:tcPr>
          <w:p w14:paraId="46543DB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TCO基片上片机器人</w:t>
            </w:r>
          </w:p>
        </w:tc>
        <w:tc>
          <w:tcPr>
            <w:tcW w:w="1142" w:type="dxa"/>
            <w:tcBorders>
              <w:top w:val="single" w:color="auto" w:sz="8" w:space="0"/>
              <w:tl2br w:val="nil"/>
              <w:tr2bl w:val="nil"/>
            </w:tcBorders>
            <w:vAlign w:val="center"/>
          </w:tcPr>
          <w:p w14:paraId="6066848F">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op w:val="single" w:color="auto" w:sz="8" w:space="0"/>
              <w:tl2br w:val="nil"/>
              <w:tr2bl w:val="nil"/>
            </w:tcBorders>
            <w:vAlign w:val="center"/>
          </w:tcPr>
          <w:p w14:paraId="053A96D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op w:val="single" w:color="auto" w:sz="8" w:space="0"/>
              <w:tl2br w:val="nil"/>
              <w:tr2bl w:val="nil"/>
            </w:tcBorders>
            <w:vAlign w:val="center"/>
          </w:tcPr>
          <w:p w14:paraId="78EF2CD0">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上片速度 55s/pcs</w:t>
            </w:r>
          </w:p>
        </w:tc>
      </w:tr>
      <w:tr w14:paraId="1999E0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6A12263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2</w:t>
            </w:r>
          </w:p>
        </w:tc>
        <w:tc>
          <w:tcPr>
            <w:tcW w:w="800" w:type="dxa"/>
            <w:vMerge w:val="continue"/>
            <w:tcBorders>
              <w:tl2br w:val="nil"/>
              <w:tr2bl w:val="nil"/>
            </w:tcBorders>
            <w:vAlign w:val="center"/>
          </w:tcPr>
          <w:p w14:paraId="20E0B3D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008C722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49EE622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打标机</w:t>
            </w:r>
          </w:p>
        </w:tc>
        <w:tc>
          <w:tcPr>
            <w:tcW w:w="1142" w:type="dxa"/>
            <w:tcBorders>
              <w:tl2br w:val="nil"/>
              <w:tr2bl w:val="nil"/>
            </w:tcBorders>
            <w:vAlign w:val="center"/>
          </w:tcPr>
          <w:p w14:paraId="2E15903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37FB698A">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4032FD5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打标速度 55s/pcs</w:t>
            </w:r>
          </w:p>
        </w:tc>
      </w:tr>
      <w:tr w14:paraId="648C71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5D7BC12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3</w:t>
            </w:r>
          </w:p>
        </w:tc>
        <w:tc>
          <w:tcPr>
            <w:tcW w:w="800" w:type="dxa"/>
            <w:tcBorders>
              <w:tl2br w:val="nil"/>
              <w:tr2bl w:val="nil"/>
            </w:tcBorders>
            <w:vAlign w:val="center"/>
          </w:tcPr>
          <w:p w14:paraId="1B04ED32">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基板清洗</w:t>
            </w:r>
          </w:p>
        </w:tc>
        <w:tc>
          <w:tcPr>
            <w:tcW w:w="1601" w:type="dxa"/>
            <w:tcBorders>
              <w:tl2br w:val="nil"/>
              <w:tr2bl w:val="nil"/>
            </w:tcBorders>
            <w:vAlign w:val="center"/>
          </w:tcPr>
          <w:p w14:paraId="30836D9B">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自动清洗工序</w:t>
            </w:r>
          </w:p>
        </w:tc>
        <w:tc>
          <w:tcPr>
            <w:tcW w:w="1601" w:type="dxa"/>
            <w:tcBorders>
              <w:tl2br w:val="nil"/>
              <w:tr2bl w:val="nil"/>
            </w:tcBorders>
            <w:vAlign w:val="center"/>
          </w:tcPr>
          <w:p w14:paraId="6ECAADD8">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基板清洗机</w:t>
            </w:r>
          </w:p>
        </w:tc>
        <w:tc>
          <w:tcPr>
            <w:tcW w:w="1142" w:type="dxa"/>
            <w:tcBorders>
              <w:tl2br w:val="nil"/>
              <w:tr2bl w:val="nil"/>
            </w:tcBorders>
            <w:vAlign w:val="center"/>
          </w:tcPr>
          <w:p w14:paraId="728DD82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7CCAABF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2677FAE4">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 xml:space="preserve">清洗用水量 </w:t>
            </w:r>
          </w:p>
          <w:p w14:paraId="0BA0E6AF">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0.5m³/h</w:t>
            </w:r>
          </w:p>
        </w:tc>
      </w:tr>
      <w:tr w14:paraId="2294FF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130B192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4</w:t>
            </w:r>
          </w:p>
        </w:tc>
        <w:tc>
          <w:tcPr>
            <w:tcW w:w="800" w:type="dxa"/>
            <w:vMerge w:val="restart"/>
            <w:tcBorders>
              <w:tl2br w:val="nil"/>
              <w:tr2bl w:val="nil"/>
            </w:tcBorders>
            <w:vAlign w:val="center"/>
          </w:tcPr>
          <w:p w14:paraId="0168657D">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检测</w:t>
            </w:r>
          </w:p>
        </w:tc>
        <w:tc>
          <w:tcPr>
            <w:tcW w:w="1601" w:type="dxa"/>
            <w:vMerge w:val="restart"/>
            <w:tcBorders>
              <w:tl2br w:val="nil"/>
              <w:tr2bl w:val="nil"/>
            </w:tcBorders>
            <w:vAlign w:val="center"/>
          </w:tcPr>
          <w:p w14:paraId="2B70B903">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自动检测</w:t>
            </w:r>
          </w:p>
        </w:tc>
        <w:tc>
          <w:tcPr>
            <w:tcW w:w="1601" w:type="dxa"/>
            <w:tcBorders>
              <w:tl2br w:val="nil"/>
              <w:tr2bl w:val="nil"/>
            </w:tcBorders>
            <w:vAlign w:val="center"/>
          </w:tcPr>
          <w:p w14:paraId="0BF70B2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膜层缺陷检测仪</w:t>
            </w:r>
          </w:p>
        </w:tc>
        <w:tc>
          <w:tcPr>
            <w:tcW w:w="1142" w:type="dxa"/>
            <w:tcBorders>
              <w:tl2br w:val="nil"/>
              <w:tr2bl w:val="nil"/>
            </w:tcBorders>
            <w:vAlign w:val="center"/>
          </w:tcPr>
          <w:p w14:paraId="4A546BD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7DBF976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04C194C1">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检测速度 55s/pcs</w:t>
            </w:r>
          </w:p>
        </w:tc>
      </w:tr>
      <w:tr w14:paraId="290B9D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523666F1">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5</w:t>
            </w:r>
          </w:p>
        </w:tc>
        <w:tc>
          <w:tcPr>
            <w:tcW w:w="800" w:type="dxa"/>
            <w:vMerge w:val="continue"/>
            <w:tcBorders>
              <w:tl2br w:val="nil"/>
              <w:tr2bl w:val="nil"/>
            </w:tcBorders>
            <w:vAlign w:val="center"/>
          </w:tcPr>
          <w:p w14:paraId="42CA97C9">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p>
        </w:tc>
        <w:tc>
          <w:tcPr>
            <w:tcW w:w="1601" w:type="dxa"/>
            <w:vMerge w:val="continue"/>
            <w:tcBorders>
              <w:tl2br w:val="nil"/>
              <w:tr2bl w:val="nil"/>
            </w:tcBorders>
            <w:vAlign w:val="center"/>
          </w:tcPr>
          <w:p w14:paraId="0E109EDC">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p>
        </w:tc>
        <w:tc>
          <w:tcPr>
            <w:tcW w:w="1601" w:type="dxa"/>
            <w:tcBorders>
              <w:tl2br w:val="nil"/>
              <w:tr2bl w:val="nil"/>
            </w:tcBorders>
            <w:vAlign w:val="center"/>
          </w:tcPr>
          <w:p w14:paraId="4D70D32C">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芯片缺陷检测仪</w:t>
            </w:r>
          </w:p>
        </w:tc>
        <w:tc>
          <w:tcPr>
            <w:tcW w:w="1142" w:type="dxa"/>
            <w:tcBorders>
              <w:tl2br w:val="nil"/>
              <w:tr2bl w:val="nil"/>
            </w:tcBorders>
            <w:shd w:val="clear" w:color="auto" w:fill="auto"/>
            <w:vAlign w:val="center"/>
          </w:tcPr>
          <w:p w14:paraId="7159FFA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kern w:val="2"/>
                <w:sz w:val="21"/>
                <w:szCs w:val="21"/>
                <w:highlight w:val="none"/>
                <w:lang w:val="en-US" w:eastAsia="en-US" w:bidi="ar-SA"/>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shd w:val="clear" w:color="auto" w:fill="auto"/>
            <w:vAlign w:val="center"/>
          </w:tcPr>
          <w:p w14:paraId="4C9657E2">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kern w:val="2"/>
                <w:sz w:val="21"/>
                <w:szCs w:val="21"/>
                <w:highlight w:val="none"/>
                <w:lang w:val="en-US" w:eastAsia="en-US" w:bidi="ar-SA"/>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shd w:val="clear" w:color="auto" w:fill="auto"/>
            <w:vAlign w:val="center"/>
          </w:tcPr>
          <w:p w14:paraId="376CF29B">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kern w:val="2"/>
                <w:sz w:val="21"/>
                <w:szCs w:val="21"/>
                <w:highlight w:val="none"/>
                <w:lang w:val="en-US" w:eastAsia="en-US" w:bidi="ar-SA"/>
              </w:rPr>
            </w:pPr>
            <w:r>
              <w:rPr>
                <w:rFonts w:hint="eastAsia" w:ascii="Times New Roman" w:hAnsi="Times New Roman" w:eastAsia="宋体" w:cs="Times New Roman"/>
                <w:bCs/>
                <w:caps w:val="0"/>
                <w:smallCaps w:val="0"/>
                <w:color w:val="auto"/>
                <w:spacing w:val="0"/>
                <w:sz w:val="21"/>
                <w:highlight w:val="none"/>
                <w:lang w:val="en-US" w:eastAsia="zh-CN"/>
              </w:rPr>
              <w:t>检测速度 55s/pcs</w:t>
            </w:r>
          </w:p>
        </w:tc>
      </w:tr>
      <w:tr w14:paraId="215118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7D83386F">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eastAsia="zh-CN"/>
              </w:rPr>
            </w:pPr>
            <w:r>
              <w:rPr>
                <w:rFonts w:hint="eastAsia" w:ascii="Times New Roman" w:hAnsi="Times New Roman" w:eastAsia="宋体" w:cs="Times New Roman"/>
                <w:bCs/>
                <w:caps w:val="0"/>
                <w:smallCaps w:val="0"/>
                <w:color w:val="auto"/>
                <w:spacing w:val="0"/>
                <w:sz w:val="21"/>
                <w:highlight w:val="none"/>
                <w:lang w:val="en-US" w:eastAsia="zh-CN"/>
              </w:rPr>
              <w:t>6</w:t>
            </w:r>
          </w:p>
        </w:tc>
        <w:tc>
          <w:tcPr>
            <w:tcW w:w="800" w:type="dxa"/>
            <w:vMerge w:val="restart"/>
            <w:tcBorders>
              <w:tl2br w:val="nil"/>
              <w:tr2bl w:val="nil"/>
            </w:tcBorders>
            <w:vAlign w:val="center"/>
          </w:tcPr>
          <w:p w14:paraId="1B8F44DA">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镀膜（沉积）</w:t>
            </w:r>
          </w:p>
        </w:tc>
        <w:tc>
          <w:tcPr>
            <w:tcW w:w="1601" w:type="dxa"/>
            <w:vMerge w:val="restart"/>
            <w:tcBorders>
              <w:tl2br w:val="nil"/>
              <w:tr2bl w:val="nil"/>
            </w:tcBorders>
            <w:vAlign w:val="center"/>
          </w:tcPr>
          <w:p w14:paraId="2C42314E">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镀膜沉积</w:t>
            </w:r>
          </w:p>
        </w:tc>
        <w:tc>
          <w:tcPr>
            <w:tcW w:w="1601" w:type="dxa"/>
            <w:tcBorders>
              <w:tl2br w:val="nil"/>
              <w:tr2bl w:val="nil"/>
            </w:tcBorders>
            <w:vAlign w:val="center"/>
          </w:tcPr>
          <w:p w14:paraId="0EDB0C2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CSS沉积镀膜设备</w:t>
            </w:r>
          </w:p>
        </w:tc>
        <w:tc>
          <w:tcPr>
            <w:tcW w:w="1142" w:type="dxa"/>
            <w:tcBorders>
              <w:tl2br w:val="nil"/>
              <w:tr2bl w:val="nil"/>
            </w:tcBorders>
            <w:vAlign w:val="center"/>
          </w:tcPr>
          <w:p w14:paraId="5D76B56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7A4DF6F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5D5326B1">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镀膜效率 55s/pcs</w:t>
            </w:r>
          </w:p>
        </w:tc>
      </w:tr>
      <w:tr w14:paraId="0814D9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4A7DD196">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ascii="Times New Roman" w:hAnsi="Times New Roman" w:eastAsia="宋体" w:cs="Times New Roman"/>
                <w:bCs/>
                <w:caps w:val="0"/>
                <w:smallCaps w:val="0"/>
                <w:color w:val="auto"/>
                <w:spacing w:val="0"/>
                <w:sz w:val="21"/>
                <w:highlight w:val="none"/>
                <w:lang w:eastAsia="en-US"/>
              </w:rPr>
              <w:t>7</w:t>
            </w:r>
          </w:p>
        </w:tc>
        <w:tc>
          <w:tcPr>
            <w:tcW w:w="800" w:type="dxa"/>
            <w:vMerge w:val="continue"/>
            <w:tcBorders>
              <w:tl2br w:val="nil"/>
              <w:tr2bl w:val="nil"/>
            </w:tcBorders>
            <w:vAlign w:val="center"/>
          </w:tcPr>
          <w:p w14:paraId="55B64D1C">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p>
        </w:tc>
        <w:tc>
          <w:tcPr>
            <w:tcW w:w="1601" w:type="dxa"/>
            <w:vMerge w:val="continue"/>
            <w:tcBorders>
              <w:tl2br w:val="nil"/>
              <w:tr2bl w:val="nil"/>
            </w:tcBorders>
            <w:vAlign w:val="center"/>
          </w:tcPr>
          <w:p w14:paraId="2936836D">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p>
        </w:tc>
        <w:tc>
          <w:tcPr>
            <w:tcW w:w="1601" w:type="dxa"/>
            <w:tcBorders>
              <w:tl2br w:val="nil"/>
              <w:tr2bl w:val="nil"/>
            </w:tcBorders>
            <w:vAlign w:val="center"/>
          </w:tcPr>
          <w:p w14:paraId="7308BF9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背电极磁控溅射设备</w:t>
            </w:r>
          </w:p>
        </w:tc>
        <w:tc>
          <w:tcPr>
            <w:tcW w:w="1142" w:type="dxa"/>
            <w:tcBorders>
              <w:tl2br w:val="nil"/>
              <w:tr2bl w:val="nil"/>
            </w:tcBorders>
            <w:vAlign w:val="center"/>
          </w:tcPr>
          <w:p w14:paraId="2969C538">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4B7F3EF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5F26A508">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en-US"/>
              </w:rPr>
            </w:pPr>
            <w:r>
              <w:rPr>
                <w:rFonts w:hint="eastAsia" w:ascii="Times New Roman" w:hAnsi="Times New Roman" w:eastAsia="宋体" w:cs="Times New Roman"/>
                <w:bCs/>
                <w:caps w:val="0"/>
                <w:smallCaps w:val="0"/>
                <w:color w:val="auto"/>
                <w:spacing w:val="0"/>
                <w:sz w:val="21"/>
                <w:highlight w:val="none"/>
                <w:lang w:val="en-US" w:eastAsia="zh-CN"/>
              </w:rPr>
              <w:t>镀膜效率 55s/pcs</w:t>
            </w:r>
          </w:p>
        </w:tc>
      </w:tr>
      <w:tr w14:paraId="7B3AB0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5FDF08E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8</w:t>
            </w:r>
          </w:p>
        </w:tc>
        <w:tc>
          <w:tcPr>
            <w:tcW w:w="800" w:type="dxa"/>
            <w:tcBorders>
              <w:tl2br w:val="nil"/>
              <w:tr2bl w:val="nil"/>
            </w:tcBorders>
            <w:vAlign w:val="center"/>
          </w:tcPr>
          <w:p w14:paraId="7061D432">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清洗</w:t>
            </w:r>
          </w:p>
        </w:tc>
        <w:tc>
          <w:tcPr>
            <w:tcW w:w="1601" w:type="dxa"/>
            <w:tcBorders>
              <w:tl2br w:val="nil"/>
              <w:tr2bl w:val="nil"/>
            </w:tcBorders>
            <w:vAlign w:val="center"/>
          </w:tcPr>
          <w:p w14:paraId="08A7D10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自动清洗工序</w:t>
            </w:r>
          </w:p>
        </w:tc>
        <w:tc>
          <w:tcPr>
            <w:tcW w:w="1601" w:type="dxa"/>
            <w:tcBorders>
              <w:tl2br w:val="nil"/>
              <w:tr2bl w:val="nil"/>
            </w:tcBorders>
            <w:vAlign w:val="center"/>
          </w:tcPr>
          <w:p w14:paraId="049C3C3F">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涂覆前预清洗设备</w:t>
            </w:r>
          </w:p>
        </w:tc>
        <w:tc>
          <w:tcPr>
            <w:tcW w:w="1142" w:type="dxa"/>
            <w:tcBorders>
              <w:tl2br w:val="nil"/>
              <w:tr2bl w:val="nil"/>
            </w:tcBorders>
            <w:vAlign w:val="center"/>
          </w:tcPr>
          <w:p w14:paraId="19EEDF9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0AC215F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3F84276A">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清洗用水量  1.8m³/h</w:t>
            </w:r>
          </w:p>
        </w:tc>
      </w:tr>
      <w:tr w14:paraId="5CB71E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260B749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9</w:t>
            </w:r>
          </w:p>
        </w:tc>
        <w:tc>
          <w:tcPr>
            <w:tcW w:w="800" w:type="dxa"/>
            <w:vMerge w:val="restart"/>
            <w:tcBorders>
              <w:tl2br w:val="nil"/>
              <w:tr2bl w:val="nil"/>
            </w:tcBorders>
            <w:vAlign w:val="center"/>
          </w:tcPr>
          <w:p w14:paraId="686A4FFA">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活化</w:t>
            </w:r>
          </w:p>
        </w:tc>
        <w:tc>
          <w:tcPr>
            <w:tcW w:w="1601" w:type="dxa"/>
            <w:vMerge w:val="restart"/>
            <w:tcBorders>
              <w:tl2br w:val="nil"/>
              <w:tr2bl w:val="nil"/>
            </w:tcBorders>
            <w:vAlign w:val="center"/>
          </w:tcPr>
          <w:p w14:paraId="3A8D3EFD">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高温活化</w:t>
            </w:r>
          </w:p>
        </w:tc>
        <w:tc>
          <w:tcPr>
            <w:tcW w:w="1601" w:type="dxa"/>
            <w:tcBorders>
              <w:tl2br w:val="nil"/>
              <w:tr2bl w:val="nil"/>
            </w:tcBorders>
            <w:vAlign w:val="center"/>
          </w:tcPr>
          <w:p w14:paraId="13FB514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氯化镉涂覆机</w:t>
            </w:r>
          </w:p>
        </w:tc>
        <w:tc>
          <w:tcPr>
            <w:tcW w:w="1142" w:type="dxa"/>
            <w:tcBorders>
              <w:tl2br w:val="nil"/>
              <w:tr2bl w:val="nil"/>
            </w:tcBorders>
            <w:vAlign w:val="center"/>
          </w:tcPr>
          <w:p w14:paraId="5F1F069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014D0A1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023EA4DB">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涂覆速度 55s/pcs</w:t>
            </w:r>
          </w:p>
        </w:tc>
      </w:tr>
      <w:tr w14:paraId="0734C1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3E92474C">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10</w:t>
            </w:r>
          </w:p>
        </w:tc>
        <w:tc>
          <w:tcPr>
            <w:tcW w:w="800" w:type="dxa"/>
            <w:vMerge w:val="continue"/>
            <w:tcBorders>
              <w:tl2br w:val="nil"/>
              <w:tr2bl w:val="nil"/>
            </w:tcBorders>
            <w:vAlign w:val="center"/>
          </w:tcPr>
          <w:p w14:paraId="701D940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130B705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6A67F1D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活化炉</w:t>
            </w:r>
          </w:p>
        </w:tc>
        <w:tc>
          <w:tcPr>
            <w:tcW w:w="1142" w:type="dxa"/>
            <w:tcBorders>
              <w:tl2br w:val="nil"/>
              <w:tr2bl w:val="nil"/>
            </w:tcBorders>
            <w:vAlign w:val="center"/>
          </w:tcPr>
          <w:p w14:paraId="2915B6D8">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45A9348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0AA6A164">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温度 420 ℃</w:t>
            </w:r>
          </w:p>
        </w:tc>
      </w:tr>
      <w:tr w14:paraId="28C88C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3ABA02BA">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11</w:t>
            </w:r>
          </w:p>
        </w:tc>
        <w:tc>
          <w:tcPr>
            <w:tcW w:w="800" w:type="dxa"/>
            <w:tcBorders>
              <w:tl2br w:val="nil"/>
              <w:tr2bl w:val="nil"/>
            </w:tcBorders>
            <w:vAlign w:val="center"/>
          </w:tcPr>
          <w:p w14:paraId="73C84766">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膜层清洗</w:t>
            </w:r>
          </w:p>
        </w:tc>
        <w:tc>
          <w:tcPr>
            <w:tcW w:w="1601" w:type="dxa"/>
            <w:tcBorders>
              <w:tl2br w:val="nil"/>
              <w:tr2bl w:val="nil"/>
            </w:tcBorders>
            <w:vAlign w:val="center"/>
          </w:tcPr>
          <w:p w14:paraId="160C35C8">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自动清洗工序</w:t>
            </w:r>
          </w:p>
        </w:tc>
        <w:tc>
          <w:tcPr>
            <w:tcW w:w="1601" w:type="dxa"/>
            <w:tcBorders>
              <w:tl2br w:val="nil"/>
              <w:tr2bl w:val="nil"/>
            </w:tcBorders>
            <w:vAlign w:val="center"/>
          </w:tcPr>
          <w:p w14:paraId="58F85F1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涂层清洗机</w:t>
            </w:r>
          </w:p>
        </w:tc>
        <w:tc>
          <w:tcPr>
            <w:tcW w:w="1142" w:type="dxa"/>
            <w:tcBorders>
              <w:tl2br w:val="nil"/>
              <w:tr2bl w:val="nil"/>
            </w:tcBorders>
            <w:vAlign w:val="center"/>
          </w:tcPr>
          <w:p w14:paraId="72C7DDE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52B5EBE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491EA0DF">
            <w:pPr>
              <w:widowControl w:val="0"/>
              <w:spacing w:before="48" w:beforeLines="20" w:after="48" w:afterLines="20" w:line="240" w:lineRule="auto"/>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清洗用水量</w:t>
            </w:r>
          </w:p>
          <w:p w14:paraId="7DA88A5B">
            <w:pPr>
              <w:widowControl w:val="0"/>
              <w:spacing w:before="48" w:beforeLines="20" w:after="48" w:afterLines="20" w:line="240" w:lineRule="auto"/>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0.55m³/h</w:t>
            </w:r>
          </w:p>
        </w:tc>
      </w:tr>
      <w:tr w14:paraId="6A7D23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5E59CA94">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12</w:t>
            </w:r>
          </w:p>
        </w:tc>
        <w:tc>
          <w:tcPr>
            <w:tcW w:w="800" w:type="dxa"/>
            <w:tcBorders>
              <w:tl2br w:val="nil"/>
              <w:tr2bl w:val="nil"/>
            </w:tcBorders>
            <w:vAlign w:val="center"/>
          </w:tcPr>
          <w:p w14:paraId="1AEC4B2F">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刻蚀</w:t>
            </w:r>
          </w:p>
        </w:tc>
        <w:tc>
          <w:tcPr>
            <w:tcW w:w="1601" w:type="dxa"/>
            <w:tcBorders>
              <w:tl2br w:val="nil"/>
              <w:tr2bl w:val="nil"/>
            </w:tcBorders>
            <w:vAlign w:val="center"/>
          </w:tcPr>
          <w:p w14:paraId="1A211C37">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湿法工艺</w:t>
            </w:r>
          </w:p>
        </w:tc>
        <w:tc>
          <w:tcPr>
            <w:tcW w:w="1601" w:type="dxa"/>
            <w:tcBorders>
              <w:tl2br w:val="nil"/>
              <w:tr2bl w:val="nil"/>
            </w:tcBorders>
            <w:vAlign w:val="center"/>
          </w:tcPr>
          <w:p w14:paraId="72121B5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蚀刻机</w:t>
            </w:r>
          </w:p>
        </w:tc>
        <w:tc>
          <w:tcPr>
            <w:tcW w:w="1142" w:type="dxa"/>
            <w:tcBorders>
              <w:tl2br w:val="nil"/>
              <w:tr2bl w:val="nil"/>
            </w:tcBorders>
            <w:vAlign w:val="center"/>
          </w:tcPr>
          <w:p w14:paraId="031C2F9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0F4669C6">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79105E01">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蚀刻速度 55s/pcs</w:t>
            </w:r>
          </w:p>
        </w:tc>
      </w:tr>
      <w:tr w14:paraId="4A9687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1E513EA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13</w:t>
            </w:r>
          </w:p>
        </w:tc>
        <w:tc>
          <w:tcPr>
            <w:tcW w:w="800" w:type="dxa"/>
            <w:vMerge w:val="restart"/>
            <w:tcBorders>
              <w:tl2br w:val="nil"/>
              <w:tr2bl w:val="nil"/>
            </w:tcBorders>
            <w:vAlign w:val="center"/>
          </w:tcPr>
          <w:p w14:paraId="6E7527F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刻划</w:t>
            </w:r>
          </w:p>
        </w:tc>
        <w:tc>
          <w:tcPr>
            <w:tcW w:w="1601" w:type="dxa"/>
            <w:vMerge w:val="restart"/>
            <w:tcBorders>
              <w:tl2br w:val="nil"/>
              <w:tr2bl w:val="nil"/>
            </w:tcBorders>
            <w:vAlign w:val="center"/>
          </w:tcPr>
          <w:p w14:paraId="7F089861">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自动</w:t>
            </w:r>
            <w:r>
              <w:rPr>
                <w:rFonts w:ascii="Times New Roman" w:hAnsi="Times New Roman" w:eastAsia="宋体" w:cs="Times New Roman"/>
                <w:bCs/>
                <w:caps w:val="0"/>
                <w:smallCaps w:val="0"/>
                <w:color w:val="auto"/>
                <w:spacing w:val="0"/>
                <w:sz w:val="21"/>
                <w:highlight w:val="none"/>
                <w:lang w:eastAsia="en-US"/>
              </w:rPr>
              <w:t>刻划</w:t>
            </w:r>
          </w:p>
        </w:tc>
        <w:tc>
          <w:tcPr>
            <w:tcW w:w="1601" w:type="dxa"/>
            <w:tcBorders>
              <w:tl2br w:val="nil"/>
              <w:tr2bl w:val="nil"/>
            </w:tcBorders>
            <w:vAlign w:val="center"/>
          </w:tcPr>
          <w:p w14:paraId="1A84848C">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激光刻划机P1</w:t>
            </w:r>
          </w:p>
        </w:tc>
        <w:tc>
          <w:tcPr>
            <w:tcW w:w="1142" w:type="dxa"/>
            <w:tcBorders>
              <w:tl2br w:val="nil"/>
              <w:tr2bl w:val="nil"/>
            </w:tcBorders>
            <w:vAlign w:val="center"/>
          </w:tcPr>
          <w:p w14:paraId="0D6D744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3DA18CF4">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138E0A0A">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ascii="Times New Roman" w:hAnsi="Times New Roman" w:eastAsia="宋体" w:cs="Times New Roman"/>
                <w:bCs/>
                <w:caps w:val="0"/>
                <w:smallCaps w:val="0"/>
                <w:color w:val="auto"/>
                <w:spacing w:val="0"/>
                <w:sz w:val="21"/>
                <w:highlight w:val="none"/>
                <w:lang w:eastAsia="en-US"/>
              </w:rPr>
              <w:t>刻划</w:t>
            </w:r>
            <w:r>
              <w:rPr>
                <w:rFonts w:hint="eastAsia" w:ascii="Times New Roman" w:hAnsi="Times New Roman" w:eastAsia="宋体" w:cs="Times New Roman"/>
                <w:bCs/>
                <w:caps w:val="0"/>
                <w:smallCaps w:val="0"/>
                <w:color w:val="auto"/>
                <w:spacing w:val="0"/>
                <w:sz w:val="21"/>
                <w:highlight w:val="none"/>
                <w:lang w:val="en-US" w:eastAsia="zh-CN"/>
              </w:rPr>
              <w:t>速度 55s/pcs</w:t>
            </w:r>
          </w:p>
        </w:tc>
      </w:tr>
      <w:tr w14:paraId="309691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10D0F38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14</w:t>
            </w:r>
          </w:p>
        </w:tc>
        <w:tc>
          <w:tcPr>
            <w:tcW w:w="800" w:type="dxa"/>
            <w:vMerge w:val="continue"/>
            <w:tcBorders>
              <w:tl2br w:val="nil"/>
              <w:tr2bl w:val="nil"/>
            </w:tcBorders>
            <w:vAlign w:val="center"/>
          </w:tcPr>
          <w:p w14:paraId="1895B86A">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0F91809A">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11574A6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激光刻划机P2</w:t>
            </w:r>
          </w:p>
        </w:tc>
        <w:tc>
          <w:tcPr>
            <w:tcW w:w="1142" w:type="dxa"/>
            <w:tcBorders>
              <w:tl2br w:val="nil"/>
              <w:tr2bl w:val="nil"/>
            </w:tcBorders>
            <w:vAlign w:val="center"/>
          </w:tcPr>
          <w:p w14:paraId="4B6BAEA6">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540B0DC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40219DA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刻划</w:t>
            </w:r>
            <w:r>
              <w:rPr>
                <w:rFonts w:hint="eastAsia" w:ascii="Times New Roman" w:hAnsi="Times New Roman" w:eastAsia="宋体" w:cs="Times New Roman"/>
                <w:bCs/>
                <w:caps w:val="0"/>
                <w:smallCaps w:val="0"/>
                <w:color w:val="auto"/>
                <w:spacing w:val="0"/>
                <w:sz w:val="21"/>
                <w:highlight w:val="none"/>
                <w:lang w:val="en-US" w:eastAsia="zh-CN"/>
              </w:rPr>
              <w:t>速度 55s/pcs</w:t>
            </w:r>
          </w:p>
        </w:tc>
      </w:tr>
      <w:tr w14:paraId="200B6F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440AA13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15</w:t>
            </w:r>
          </w:p>
        </w:tc>
        <w:tc>
          <w:tcPr>
            <w:tcW w:w="800" w:type="dxa"/>
            <w:vMerge w:val="continue"/>
            <w:tcBorders>
              <w:tl2br w:val="nil"/>
              <w:tr2bl w:val="nil"/>
            </w:tcBorders>
            <w:vAlign w:val="center"/>
          </w:tcPr>
          <w:p w14:paraId="41B24A9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316E0A6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7A432A52">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激光刻线机P3</w:t>
            </w:r>
          </w:p>
        </w:tc>
        <w:tc>
          <w:tcPr>
            <w:tcW w:w="1142" w:type="dxa"/>
            <w:tcBorders>
              <w:tl2br w:val="nil"/>
              <w:tr2bl w:val="nil"/>
            </w:tcBorders>
            <w:vAlign w:val="center"/>
          </w:tcPr>
          <w:p w14:paraId="2C76C4B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7382DE8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06E41372">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刻划</w:t>
            </w:r>
            <w:r>
              <w:rPr>
                <w:rFonts w:hint="eastAsia" w:ascii="Times New Roman" w:hAnsi="Times New Roman" w:eastAsia="宋体" w:cs="Times New Roman"/>
                <w:bCs/>
                <w:caps w:val="0"/>
                <w:smallCaps w:val="0"/>
                <w:color w:val="auto"/>
                <w:spacing w:val="0"/>
                <w:sz w:val="21"/>
                <w:highlight w:val="none"/>
                <w:lang w:val="en-US" w:eastAsia="zh-CN"/>
              </w:rPr>
              <w:t>速度 55s/pcs</w:t>
            </w:r>
          </w:p>
        </w:tc>
      </w:tr>
      <w:tr w14:paraId="32BC68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70334F5F">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ascii="Times New Roman" w:hAnsi="Times New Roman" w:eastAsia="宋体" w:cs="Times New Roman"/>
                <w:bCs/>
                <w:caps w:val="0"/>
                <w:smallCaps w:val="0"/>
                <w:color w:val="auto"/>
                <w:spacing w:val="0"/>
                <w:sz w:val="21"/>
                <w:highlight w:val="none"/>
                <w:lang w:eastAsia="en-US"/>
              </w:rPr>
              <w:t>16</w:t>
            </w:r>
          </w:p>
        </w:tc>
        <w:tc>
          <w:tcPr>
            <w:tcW w:w="800" w:type="dxa"/>
            <w:vMerge w:val="continue"/>
            <w:tcBorders>
              <w:tl2br w:val="nil"/>
              <w:tr2bl w:val="nil"/>
            </w:tcBorders>
            <w:vAlign w:val="center"/>
          </w:tcPr>
          <w:p w14:paraId="35DDCE26">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09ECFAF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7D7C4A5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激光清边机</w:t>
            </w:r>
          </w:p>
        </w:tc>
        <w:tc>
          <w:tcPr>
            <w:tcW w:w="1142" w:type="dxa"/>
            <w:tcBorders>
              <w:tl2br w:val="nil"/>
              <w:tr2bl w:val="nil"/>
            </w:tcBorders>
            <w:vAlign w:val="center"/>
          </w:tcPr>
          <w:p w14:paraId="1E6408D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556E62A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5674734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刻划</w:t>
            </w:r>
            <w:r>
              <w:rPr>
                <w:rFonts w:hint="eastAsia" w:ascii="Times New Roman" w:hAnsi="Times New Roman" w:eastAsia="宋体" w:cs="Times New Roman"/>
                <w:bCs/>
                <w:caps w:val="0"/>
                <w:smallCaps w:val="0"/>
                <w:color w:val="auto"/>
                <w:spacing w:val="0"/>
                <w:sz w:val="21"/>
                <w:highlight w:val="none"/>
                <w:lang w:val="en-US" w:eastAsia="zh-CN"/>
              </w:rPr>
              <w:t>速度 55s/pcs</w:t>
            </w:r>
          </w:p>
        </w:tc>
      </w:tr>
      <w:tr w14:paraId="544A83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819" w:type="dxa"/>
            <w:tcBorders>
              <w:tl2br w:val="nil"/>
              <w:tr2bl w:val="nil"/>
            </w:tcBorders>
            <w:shd w:val="clear" w:color="auto" w:fill="auto"/>
            <w:vAlign w:val="center"/>
          </w:tcPr>
          <w:p w14:paraId="16B917B6">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kern w:val="2"/>
                <w:sz w:val="21"/>
                <w:szCs w:val="21"/>
                <w:highlight w:val="none"/>
                <w:lang w:val="en-US" w:eastAsia="en-US" w:bidi="ar-SA"/>
              </w:rPr>
            </w:pPr>
            <w:r>
              <w:rPr>
                <w:rFonts w:hint="eastAsia" w:ascii="Times New Roman" w:hAnsi="Times New Roman" w:eastAsia="宋体" w:cs="Times New Roman"/>
                <w:bCs/>
                <w:caps w:val="0"/>
                <w:smallCaps w:val="0"/>
                <w:color w:val="auto"/>
                <w:spacing w:val="0"/>
                <w:sz w:val="21"/>
                <w:highlight w:val="none"/>
                <w:lang w:val="en-US" w:eastAsia="zh-CN"/>
              </w:rPr>
              <w:t>17</w:t>
            </w:r>
          </w:p>
        </w:tc>
        <w:tc>
          <w:tcPr>
            <w:tcW w:w="800" w:type="dxa"/>
            <w:vMerge w:val="continue"/>
            <w:tcBorders>
              <w:tl2br w:val="nil"/>
              <w:tr2bl w:val="nil"/>
            </w:tcBorders>
            <w:vAlign w:val="center"/>
          </w:tcPr>
          <w:p w14:paraId="20EFC97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067B310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741AFCC2">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激光刻划机P5</w:t>
            </w:r>
          </w:p>
        </w:tc>
        <w:tc>
          <w:tcPr>
            <w:tcW w:w="1142" w:type="dxa"/>
            <w:tcBorders>
              <w:tl2br w:val="nil"/>
              <w:tr2bl w:val="nil"/>
            </w:tcBorders>
            <w:vAlign w:val="center"/>
          </w:tcPr>
          <w:p w14:paraId="1B1D3EB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58F154FC">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7127F17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刻划</w:t>
            </w:r>
            <w:r>
              <w:rPr>
                <w:rFonts w:hint="eastAsia" w:ascii="Times New Roman" w:hAnsi="Times New Roman" w:eastAsia="宋体" w:cs="Times New Roman"/>
                <w:bCs/>
                <w:caps w:val="0"/>
                <w:smallCaps w:val="0"/>
                <w:color w:val="auto"/>
                <w:spacing w:val="0"/>
                <w:sz w:val="21"/>
                <w:highlight w:val="none"/>
                <w:lang w:val="en-US" w:eastAsia="zh-CN"/>
              </w:rPr>
              <w:t>速度55s/pcs</w:t>
            </w:r>
          </w:p>
        </w:tc>
      </w:tr>
      <w:tr w14:paraId="6D6A6D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shd w:val="clear" w:color="auto" w:fill="auto"/>
            <w:vAlign w:val="center"/>
          </w:tcPr>
          <w:p w14:paraId="5E9E03A2">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kern w:val="2"/>
                <w:sz w:val="21"/>
                <w:szCs w:val="21"/>
                <w:highlight w:val="none"/>
                <w:lang w:val="en-US" w:eastAsia="en-US" w:bidi="ar-SA"/>
              </w:rPr>
            </w:pPr>
            <w:r>
              <w:rPr>
                <w:rFonts w:ascii="Times New Roman" w:hAnsi="Times New Roman" w:eastAsia="宋体" w:cs="Times New Roman"/>
                <w:bCs/>
                <w:caps w:val="0"/>
                <w:smallCaps w:val="0"/>
                <w:color w:val="auto"/>
                <w:spacing w:val="0"/>
                <w:sz w:val="21"/>
                <w:highlight w:val="none"/>
                <w:lang w:eastAsia="en-US"/>
              </w:rPr>
              <w:t>18</w:t>
            </w:r>
          </w:p>
        </w:tc>
        <w:tc>
          <w:tcPr>
            <w:tcW w:w="800" w:type="dxa"/>
            <w:vMerge w:val="continue"/>
            <w:tcBorders>
              <w:tl2br w:val="nil"/>
              <w:tr2bl w:val="nil"/>
            </w:tcBorders>
            <w:vAlign w:val="center"/>
          </w:tcPr>
          <w:p w14:paraId="1DED3C4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377FFD86">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2AD89E98">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激光刻划机P6</w:t>
            </w:r>
          </w:p>
        </w:tc>
        <w:tc>
          <w:tcPr>
            <w:tcW w:w="1142" w:type="dxa"/>
            <w:tcBorders>
              <w:tl2br w:val="nil"/>
              <w:tr2bl w:val="nil"/>
            </w:tcBorders>
            <w:vAlign w:val="center"/>
          </w:tcPr>
          <w:p w14:paraId="7F59810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6A033E8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61F437A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刻划</w:t>
            </w:r>
            <w:r>
              <w:rPr>
                <w:rFonts w:hint="eastAsia" w:ascii="Times New Roman" w:hAnsi="Times New Roman" w:eastAsia="宋体" w:cs="Times New Roman"/>
                <w:bCs/>
                <w:caps w:val="0"/>
                <w:smallCaps w:val="0"/>
                <w:color w:val="auto"/>
                <w:spacing w:val="0"/>
                <w:sz w:val="21"/>
                <w:highlight w:val="none"/>
                <w:lang w:val="en-US" w:eastAsia="zh-CN"/>
              </w:rPr>
              <w:t>速度 55s/pcs</w:t>
            </w:r>
          </w:p>
        </w:tc>
      </w:tr>
      <w:tr w14:paraId="5A9EA6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shd w:val="clear" w:color="auto" w:fill="auto"/>
            <w:vAlign w:val="center"/>
          </w:tcPr>
          <w:p w14:paraId="72750BA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kern w:val="2"/>
                <w:sz w:val="21"/>
                <w:szCs w:val="21"/>
                <w:highlight w:val="none"/>
                <w:lang w:val="en-US" w:eastAsia="en-US" w:bidi="ar-SA"/>
              </w:rPr>
            </w:pPr>
            <w:r>
              <w:rPr>
                <w:rFonts w:ascii="Times New Roman" w:hAnsi="Times New Roman" w:eastAsia="宋体" w:cs="Times New Roman"/>
                <w:bCs/>
                <w:caps w:val="0"/>
                <w:smallCaps w:val="0"/>
                <w:color w:val="auto"/>
                <w:spacing w:val="0"/>
                <w:sz w:val="21"/>
                <w:highlight w:val="none"/>
                <w:lang w:eastAsia="en-US"/>
              </w:rPr>
              <w:t>19</w:t>
            </w:r>
          </w:p>
        </w:tc>
        <w:tc>
          <w:tcPr>
            <w:tcW w:w="800" w:type="dxa"/>
            <w:vMerge w:val="restart"/>
            <w:tcBorders>
              <w:tl2br w:val="nil"/>
              <w:tr2bl w:val="nil"/>
            </w:tcBorders>
            <w:vAlign w:val="center"/>
          </w:tcPr>
          <w:p w14:paraId="19CC2AA2">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刻胶</w:t>
            </w:r>
          </w:p>
        </w:tc>
        <w:tc>
          <w:tcPr>
            <w:tcW w:w="1601" w:type="dxa"/>
            <w:vMerge w:val="restart"/>
            <w:tcBorders>
              <w:tl2br w:val="nil"/>
              <w:tr2bl w:val="nil"/>
            </w:tcBorders>
            <w:vAlign w:val="center"/>
          </w:tcPr>
          <w:p w14:paraId="5954A752">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刻胶显影</w:t>
            </w:r>
          </w:p>
        </w:tc>
        <w:tc>
          <w:tcPr>
            <w:tcW w:w="1601" w:type="dxa"/>
            <w:tcBorders>
              <w:tl2br w:val="nil"/>
              <w:tr2bl w:val="nil"/>
            </w:tcBorders>
            <w:vAlign w:val="center"/>
          </w:tcPr>
          <w:p w14:paraId="09C1D6C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光刻胶处理系统</w:t>
            </w:r>
          </w:p>
        </w:tc>
        <w:tc>
          <w:tcPr>
            <w:tcW w:w="1142" w:type="dxa"/>
            <w:tcBorders>
              <w:tl2br w:val="nil"/>
              <w:tr2bl w:val="nil"/>
            </w:tcBorders>
            <w:vAlign w:val="center"/>
          </w:tcPr>
          <w:p w14:paraId="5C5546B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2E20D3E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24910119">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刻胶速度 55s/pcs</w:t>
            </w:r>
          </w:p>
        </w:tc>
      </w:tr>
      <w:tr w14:paraId="2123D9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shd w:val="clear" w:color="auto" w:fill="auto"/>
            <w:vAlign w:val="center"/>
          </w:tcPr>
          <w:p w14:paraId="22F15E66">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kern w:val="2"/>
                <w:sz w:val="21"/>
                <w:szCs w:val="21"/>
                <w:highlight w:val="none"/>
                <w:lang w:val="en-US" w:eastAsia="en-US" w:bidi="ar-SA"/>
              </w:rPr>
            </w:pPr>
            <w:r>
              <w:rPr>
                <w:rFonts w:ascii="Times New Roman" w:hAnsi="Times New Roman" w:eastAsia="宋体" w:cs="Times New Roman"/>
                <w:bCs/>
                <w:caps w:val="0"/>
                <w:smallCaps w:val="0"/>
                <w:color w:val="auto"/>
                <w:spacing w:val="0"/>
                <w:sz w:val="21"/>
                <w:highlight w:val="none"/>
                <w:lang w:eastAsia="en-US"/>
              </w:rPr>
              <w:t>20</w:t>
            </w:r>
          </w:p>
        </w:tc>
        <w:tc>
          <w:tcPr>
            <w:tcW w:w="800" w:type="dxa"/>
            <w:vMerge w:val="continue"/>
            <w:tcBorders>
              <w:tl2br w:val="nil"/>
              <w:tr2bl w:val="nil"/>
            </w:tcBorders>
            <w:vAlign w:val="center"/>
          </w:tcPr>
          <w:p w14:paraId="15F10ED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vMerge w:val="continue"/>
            <w:tcBorders>
              <w:tl2br w:val="nil"/>
              <w:tr2bl w:val="nil"/>
            </w:tcBorders>
            <w:vAlign w:val="center"/>
          </w:tcPr>
          <w:p w14:paraId="1F20A9DE">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45C9FC3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光刻胶显影机</w:t>
            </w:r>
          </w:p>
        </w:tc>
        <w:tc>
          <w:tcPr>
            <w:tcW w:w="1142" w:type="dxa"/>
            <w:tcBorders>
              <w:tl2br w:val="nil"/>
              <w:tr2bl w:val="nil"/>
            </w:tcBorders>
            <w:vAlign w:val="center"/>
          </w:tcPr>
          <w:p w14:paraId="16947E8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3522D27B">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1CF7C14C">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en-US"/>
              </w:rPr>
            </w:pPr>
            <w:r>
              <w:rPr>
                <w:rFonts w:hint="eastAsia" w:ascii="Times New Roman" w:hAnsi="Times New Roman" w:eastAsia="宋体" w:cs="Times New Roman"/>
                <w:bCs/>
                <w:caps w:val="0"/>
                <w:smallCaps w:val="0"/>
                <w:color w:val="auto"/>
                <w:spacing w:val="0"/>
                <w:sz w:val="21"/>
                <w:highlight w:val="none"/>
                <w:lang w:val="en-US" w:eastAsia="zh-CN"/>
              </w:rPr>
              <w:t>显影速度 55s/pcs</w:t>
            </w:r>
          </w:p>
        </w:tc>
      </w:tr>
      <w:tr w14:paraId="235611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2EF84BD7">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21</w:t>
            </w:r>
          </w:p>
        </w:tc>
        <w:tc>
          <w:tcPr>
            <w:tcW w:w="800" w:type="dxa"/>
            <w:tcBorders>
              <w:tl2br w:val="nil"/>
              <w:tr2bl w:val="nil"/>
            </w:tcBorders>
            <w:vAlign w:val="center"/>
          </w:tcPr>
          <w:p w14:paraId="3E619714">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退火</w:t>
            </w:r>
          </w:p>
        </w:tc>
        <w:tc>
          <w:tcPr>
            <w:tcW w:w="1601" w:type="dxa"/>
            <w:tcBorders>
              <w:tl2br w:val="nil"/>
              <w:tr2bl w:val="nil"/>
            </w:tcBorders>
            <w:vAlign w:val="center"/>
          </w:tcPr>
          <w:p w14:paraId="75465D80">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退火</w:t>
            </w:r>
          </w:p>
        </w:tc>
        <w:tc>
          <w:tcPr>
            <w:tcW w:w="1601" w:type="dxa"/>
            <w:tcBorders>
              <w:tl2br w:val="nil"/>
              <w:tr2bl w:val="nil"/>
            </w:tcBorders>
            <w:vAlign w:val="center"/>
          </w:tcPr>
          <w:p w14:paraId="0D90435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退火炉</w:t>
            </w:r>
          </w:p>
        </w:tc>
        <w:tc>
          <w:tcPr>
            <w:tcW w:w="1142" w:type="dxa"/>
            <w:tcBorders>
              <w:tl2br w:val="nil"/>
              <w:tr2bl w:val="nil"/>
            </w:tcBorders>
            <w:vAlign w:val="center"/>
          </w:tcPr>
          <w:p w14:paraId="7458E89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1318A60F">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2C7AAE6A">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温度240℃</w:t>
            </w:r>
          </w:p>
        </w:tc>
      </w:tr>
      <w:tr w14:paraId="3526DF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4B4B52A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22</w:t>
            </w:r>
          </w:p>
        </w:tc>
        <w:tc>
          <w:tcPr>
            <w:tcW w:w="800" w:type="dxa"/>
            <w:tcBorders>
              <w:tl2br w:val="nil"/>
              <w:tr2bl w:val="nil"/>
            </w:tcBorders>
            <w:vAlign w:val="center"/>
          </w:tcPr>
          <w:p w14:paraId="68D39F0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组装</w:t>
            </w:r>
          </w:p>
        </w:tc>
        <w:tc>
          <w:tcPr>
            <w:tcW w:w="1601" w:type="dxa"/>
            <w:tcBorders>
              <w:tl2br w:val="nil"/>
              <w:tr2bl w:val="nil"/>
            </w:tcBorders>
            <w:vAlign w:val="center"/>
          </w:tcPr>
          <w:p w14:paraId="3B7FBA98">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自动组装</w:t>
            </w:r>
          </w:p>
        </w:tc>
        <w:tc>
          <w:tcPr>
            <w:tcW w:w="1601" w:type="dxa"/>
            <w:tcBorders>
              <w:tl2br w:val="nil"/>
              <w:tr2bl w:val="nil"/>
            </w:tcBorders>
            <w:vAlign w:val="center"/>
          </w:tcPr>
          <w:p w14:paraId="399965BC">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eastAsia="en-US"/>
              </w:rPr>
              <w:t>组框机</w:t>
            </w:r>
          </w:p>
        </w:tc>
        <w:tc>
          <w:tcPr>
            <w:tcW w:w="1142" w:type="dxa"/>
            <w:tcBorders>
              <w:tl2br w:val="nil"/>
              <w:tr2bl w:val="nil"/>
            </w:tcBorders>
            <w:vAlign w:val="center"/>
          </w:tcPr>
          <w:p w14:paraId="3D7548BA">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7584A34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eastAsia="en-US"/>
              </w:rPr>
              <w:t>台</w:t>
            </w:r>
          </w:p>
        </w:tc>
        <w:tc>
          <w:tcPr>
            <w:tcW w:w="1630" w:type="dxa"/>
            <w:tcBorders>
              <w:tl2br w:val="nil"/>
              <w:tr2bl w:val="nil"/>
            </w:tcBorders>
            <w:vAlign w:val="center"/>
          </w:tcPr>
          <w:p w14:paraId="1C0CFD6F">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组装速度 55s/pcs</w:t>
            </w:r>
          </w:p>
        </w:tc>
      </w:tr>
      <w:tr w14:paraId="42EB92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024D46D5">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ascii="Times New Roman" w:hAnsi="Times New Roman" w:eastAsia="宋体" w:cs="Times New Roman"/>
                <w:bCs/>
                <w:caps w:val="0"/>
                <w:smallCaps w:val="0"/>
                <w:color w:val="auto"/>
                <w:spacing w:val="0"/>
                <w:sz w:val="21"/>
                <w:highlight w:val="none"/>
                <w:lang w:eastAsia="en-US"/>
              </w:rPr>
              <w:t>23</w:t>
            </w:r>
          </w:p>
        </w:tc>
        <w:tc>
          <w:tcPr>
            <w:tcW w:w="800" w:type="dxa"/>
            <w:vMerge w:val="restart"/>
            <w:tcBorders>
              <w:tl2br w:val="nil"/>
              <w:tr2bl w:val="nil"/>
            </w:tcBorders>
            <w:vAlign w:val="center"/>
          </w:tcPr>
          <w:p w14:paraId="7D216B51">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公用单元</w:t>
            </w:r>
          </w:p>
        </w:tc>
        <w:tc>
          <w:tcPr>
            <w:tcW w:w="1601" w:type="dxa"/>
            <w:vMerge w:val="restart"/>
            <w:tcBorders>
              <w:tl2br w:val="nil"/>
              <w:tr2bl w:val="nil"/>
            </w:tcBorders>
            <w:vAlign w:val="center"/>
          </w:tcPr>
          <w:p w14:paraId="6CC6E8E9">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贮存</w:t>
            </w:r>
          </w:p>
        </w:tc>
        <w:tc>
          <w:tcPr>
            <w:tcW w:w="1601" w:type="dxa"/>
            <w:tcBorders>
              <w:tl2br w:val="nil"/>
              <w:tr2bl w:val="nil"/>
            </w:tcBorders>
            <w:vAlign w:val="center"/>
          </w:tcPr>
          <w:p w14:paraId="44E00307">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eastAsia="zh-CN"/>
              </w:rPr>
            </w:pPr>
            <w:r>
              <w:rPr>
                <w:rFonts w:hint="eastAsia" w:ascii="Times New Roman" w:hAnsi="Times New Roman" w:eastAsia="宋体" w:cs="Times New Roman"/>
                <w:bCs/>
                <w:caps w:val="0"/>
                <w:smallCaps w:val="0"/>
                <w:color w:val="auto"/>
                <w:spacing w:val="0"/>
                <w:sz w:val="21"/>
                <w:highlight w:val="none"/>
                <w:lang w:val="en-US" w:eastAsia="zh-CN"/>
              </w:rPr>
              <w:t>硝酸桶</w:t>
            </w:r>
          </w:p>
        </w:tc>
        <w:tc>
          <w:tcPr>
            <w:tcW w:w="1142" w:type="dxa"/>
            <w:tcBorders>
              <w:tl2br w:val="nil"/>
              <w:tr2bl w:val="nil"/>
            </w:tcBorders>
            <w:vAlign w:val="center"/>
          </w:tcPr>
          <w:p w14:paraId="5912030D">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171FA62C">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eastAsia="zh-CN"/>
              </w:rPr>
            </w:pPr>
            <w:r>
              <w:rPr>
                <w:rFonts w:hint="eastAsia" w:ascii="Times New Roman" w:hAnsi="Times New Roman" w:eastAsia="宋体" w:cs="Times New Roman"/>
                <w:bCs/>
                <w:caps w:val="0"/>
                <w:smallCaps w:val="0"/>
                <w:color w:val="auto"/>
                <w:spacing w:val="0"/>
                <w:sz w:val="21"/>
                <w:highlight w:val="none"/>
                <w:lang w:val="en-US" w:eastAsia="zh-CN"/>
              </w:rPr>
              <w:t>个</w:t>
            </w:r>
          </w:p>
        </w:tc>
        <w:tc>
          <w:tcPr>
            <w:tcW w:w="1630" w:type="dxa"/>
            <w:tcBorders>
              <w:tl2br w:val="nil"/>
              <w:tr2bl w:val="nil"/>
            </w:tcBorders>
            <w:vAlign w:val="center"/>
          </w:tcPr>
          <w:p w14:paraId="27EA087C">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储存能力100L</w:t>
            </w:r>
          </w:p>
        </w:tc>
      </w:tr>
      <w:tr w14:paraId="2105A4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819" w:type="dxa"/>
            <w:tcBorders>
              <w:tl2br w:val="nil"/>
              <w:tr2bl w:val="nil"/>
            </w:tcBorders>
            <w:vAlign w:val="center"/>
          </w:tcPr>
          <w:p w14:paraId="148DD5CA">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24</w:t>
            </w:r>
          </w:p>
        </w:tc>
        <w:tc>
          <w:tcPr>
            <w:tcW w:w="800" w:type="dxa"/>
            <w:vMerge w:val="continue"/>
            <w:tcBorders>
              <w:tl2br w:val="nil"/>
              <w:tr2bl w:val="nil"/>
            </w:tcBorders>
            <w:vAlign w:val="center"/>
          </w:tcPr>
          <w:p w14:paraId="73A52C22">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p>
        </w:tc>
        <w:tc>
          <w:tcPr>
            <w:tcW w:w="1601" w:type="dxa"/>
            <w:vMerge w:val="continue"/>
            <w:tcBorders>
              <w:tl2br w:val="nil"/>
              <w:tr2bl w:val="nil"/>
            </w:tcBorders>
            <w:vAlign w:val="center"/>
          </w:tcPr>
          <w:p w14:paraId="04B0E2B3">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4F58FC09">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盐酸桶</w:t>
            </w:r>
          </w:p>
        </w:tc>
        <w:tc>
          <w:tcPr>
            <w:tcW w:w="1142" w:type="dxa"/>
            <w:tcBorders>
              <w:tl2br w:val="nil"/>
              <w:tr2bl w:val="nil"/>
            </w:tcBorders>
            <w:vAlign w:val="center"/>
          </w:tcPr>
          <w:p w14:paraId="2D6D022F">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1</w:t>
            </w:r>
          </w:p>
        </w:tc>
        <w:tc>
          <w:tcPr>
            <w:tcW w:w="1477" w:type="dxa"/>
            <w:tcBorders>
              <w:tl2br w:val="nil"/>
              <w:tr2bl w:val="nil"/>
            </w:tcBorders>
            <w:vAlign w:val="center"/>
          </w:tcPr>
          <w:p w14:paraId="5CA6DB5A">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个</w:t>
            </w:r>
          </w:p>
        </w:tc>
        <w:tc>
          <w:tcPr>
            <w:tcW w:w="1630" w:type="dxa"/>
            <w:tcBorders>
              <w:tl2br w:val="nil"/>
              <w:tr2bl w:val="nil"/>
            </w:tcBorders>
            <w:vAlign w:val="center"/>
          </w:tcPr>
          <w:p w14:paraId="6ED180C1">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储存能力100L</w:t>
            </w:r>
          </w:p>
        </w:tc>
      </w:tr>
      <w:tr w14:paraId="27BFED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71" w:hRule="atLeast"/>
          <w:jc w:val="center"/>
        </w:trPr>
        <w:tc>
          <w:tcPr>
            <w:tcW w:w="819" w:type="dxa"/>
            <w:tcBorders>
              <w:tl2br w:val="nil"/>
              <w:tr2bl w:val="nil"/>
            </w:tcBorders>
            <w:vAlign w:val="center"/>
          </w:tcPr>
          <w:p w14:paraId="46135112">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hint="eastAsia" w:ascii="Times New Roman" w:hAnsi="Times New Roman" w:eastAsia="宋体" w:cs="Times New Roman"/>
                <w:bCs/>
                <w:caps w:val="0"/>
                <w:smallCaps w:val="0"/>
                <w:color w:val="auto"/>
                <w:spacing w:val="0"/>
                <w:sz w:val="21"/>
                <w:highlight w:val="none"/>
                <w:lang w:val="en-US" w:eastAsia="zh-CN"/>
              </w:rPr>
              <w:t>25</w:t>
            </w:r>
          </w:p>
        </w:tc>
        <w:tc>
          <w:tcPr>
            <w:tcW w:w="800" w:type="dxa"/>
            <w:vMerge w:val="continue"/>
            <w:tcBorders>
              <w:tl2br w:val="nil"/>
              <w:tr2bl w:val="nil"/>
            </w:tcBorders>
            <w:vAlign w:val="center"/>
          </w:tcPr>
          <w:p w14:paraId="7FC004B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p>
        </w:tc>
        <w:tc>
          <w:tcPr>
            <w:tcW w:w="1601" w:type="dxa"/>
            <w:tcBorders>
              <w:tl2br w:val="nil"/>
              <w:tr2bl w:val="nil"/>
            </w:tcBorders>
            <w:vAlign w:val="center"/>
          </w:tcPr>
          <w:p w14:paraId="111516B4">
            <w:pPr>
              <w:widowControl w:val="0"/>
              <w:spacing w:before="48" w:beforeLines="20" w:after="48" w:afterLines="20"/>
              <w:jc w:val="center"/>
              <w:textAlignment w:val="bottom"/>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其他</w:t>
            </w:r>
          </w:p>
        </w:tc>
        <w:tc>
          <w:tcPr>
            <w:tcW w:w="1601" w:type="dxa"/>
            <w:tcBorders>
              <w:tl2br w:val="nil"/>
              <w:tr2bl w:val="nil"/>
            </w:tcBorders>
            <w:vAlign w:val="center"/>
          </w:tcPr>
          <w:p w14:paraId="50D92160">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污水处理站</w:t>
            </w:r>
          </w:p>
        </w:tc>
        <w:tc>
          <w:tcPr>
            <w:tcW w:w="1142" w:type="dxa"/>
            <w:tcBorders>
              <w:tl2br w:val="nil"/>
              <w:tr2bl w:val="nil"/>
            </w:tcBorders>
            <w:vAlign w:val="center"/>
          </w:tcPr>
          <w:p w14:paraId="24515EF5">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1</w:t>
            </w:r>
          </w:p>
        </w:tc>
        <w:tc>
          <w:tcPr>
            <w:tcW w:w="1477" w:type="dxa"/>
            <w:tcBorders>
              <w:tl2br w:val="nil"/>
              <w:tr2bl w:val="nil"/>
            </w:tcBorders>
            <w:vAlign w:val="center"/>
          </w:tcPr>
          <w:p w14:paraId="648D4E3C">
            <w:pPr>
              <w:widowControl w:val="0"/>
              <w:spacing w:before="48" w:beforeLines="20" w:after="48" w:afterLines="20"/>
              <w:jc w:val="center"/>
              <w:textAlignment w:val="bottom"/>
              <w:rPr>
                <w:rFonts w:ascii="Times New Roman" w:hAnsi="Times New Roman" w:eastAsia="宋体" w:cs="Times New Roman"/>
                <w:bCs/>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座</w:t>
            </w:r>
          </w:p>
        </w:tc>
        <w:tc>
          <w:tcPr>
            <w:tcW w:w="1630" w:type="dxa"/>
            <w:tcBorders>
              <w:tl2br w:val="nil"/>
              <w:tr2bl w:val="nil"/>
            </w:tcBorders>
            <w:vAlign w:val="center"/>
          </w:tcPr>
          <w:p w14:paraId="6ED74393">
            <w:pPr>
              <w:widowControl w:val="0"/>
              <w:spacing w:before="48" w:beforeLines="20" w:after="48" w:afterLines="20"/>
              <w:jc w:val="center"/>
              <w:textAlignment w:val="bottom"/>
              <w:rPr>
                <w:rFonts w:hint="default"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处理量180m</w:t>
            </w:r>
            <w:r>
              <w:rPr>
                <w:rFonts w:hint="eastAsia" w:ascii="Times New Roman" w:hAnsi="Times New Roman" w:eastAsia="宋体" w:cs="Times New Roman"/>
                <w:bCs/>
                <w:caps w:val="0"/>
                <w:smallCaps w:val="0"/>
                <w:color w:val="auto"/>
                <w:spacing w:val="0"/>
                <w:sz w:val="21"/>
                <w:highlight w:val="none"/>
                <w:vertAlign w:val="superscript"/>
                <w:lang w:val="en-US" w:eastAsia="zh-CN"/>
              </w:rPr>
              <w:t>3</w:t>
            </w:r>
            <w:r>
              <w:rPr>
                <w:rFonts w:hint="eastAsia" w:ascii="Times New Roman" w:hAnsi="Times New Roman" w:eastAsia="宋体" w:cs="Times New Roman"/>
                <w:bCs/>
                <w:caps w:val="0"/>
                <w:smallCaps w:val="0"/>
                <w:color w:val="auto"/>
                <w:spacing w:val="0"/>
                <w:sz w:val="21"/>
                <w:highlight w:val="none"/>
                <w:lang w:val="en-US" w:eastAsia="zh-CN"/>
              </w:rPr>
              <w:t>/d</w:t>
            </w:r>
          </w:p>
        </w:tc>
      </w:tr>
    </w:tbl>
    <w:p w14:paraId="0C16CBE8">
      <w:pPr>
        <w:pStyle w:val="5"/>
        <w:widowControl w:val="0"/>
        <w:rPr>
          <w:rFonts w:eastAsia="宋体"/>
          <w:caps w:val="0"/>
          <w:smallCaps w:val="0"/>
          <w:color w:val="auto"/>
          <w:spacing w:val="0"/>
          <w:sz w:val="30"/>
          <w:szCs w:val="30"/>
          <w:highlight w:val="none"/>
        </w:rPr>
      </w:pPr>
      <w:bookmarkStart w:id="86" w:name="_Toc477951951"/>
      <w:bookmarkStart w:id="87" w:name="_Toc6962"/>
      <w:r>
        <w:rPr>
          <w:rFonts w:eastAsia="宋体"/>
          <w:caps w:val="0"/>
          <w:smallCaps w:val="0"/>
          <w:color w:val="auto"/>
          <w:spacing w:val="0"/>
          <w:sz w:val="30"/>
          <w:szCs w:val="30"/>
          <w:highlight w:val="none"/>
        </w:rPr>
        <w:t>3.3.4公用工程</w:t>
      </w:r>
      <w:bookmarkEnd w:id="86"/>
      <w:bookmarkEnd w:id="87"/>
    </w:p>
    <w:p w14:paraId="41219534">
      <w:pPr>
        <w:pStyle w:val="65"/>
        <w:widowControl w:val="0"/>
        <w:numPr>
          <w:ilvl w:val="0"/>
          <w:numId w:val="8"/>
        </w:numPr>
        <w:ind w:firstLine="480"/>
        <w:rPr>
          <w:rFonts w:eastAsia="宋体"/>
          <w:caps w:val="0"/>
          <w:smallCaps w:val="0"/>
          <w:color w:val="auto"/>
          <w:spacing w:val="0"/>
          <w:highlight w:val="none"/>
        </w:rPr>
      </w:pPr>
      <w:r>
        <w:rPr>
          <w:rFonts w:eastAsia="宋体"/>
          <w:caps w:val="0"/>
          <w:smallCaps w:val="0"/>
          <w:color w:val="auto"/>
          <w:spacing w:val="0"/>
          <w:highlight w:val="none"/>
        </w:rPr>
        <w:t>给水</w:t>
      </w:r>
    </w:p>
    <w:p w14:paraId="51DE2AAA">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本工程用水来自供水管网统一供给，不新增生活用水，新增部分为生产用水。</w:t>
      </w:r>
    </w:p>
    <w:p w14:paraId="7813AB70">
      <w:pPr>
        <w:pStyle w:val="65"/>
        <w:widowControl w:val="0"/>
        <w:ind w:firstLine="480"/>
        <w:jc w:val="both"/>
        <w:rPr>
          <w:caps w:val="0"/>
          <w:smallCaps w:val="0"/>
          <w:color w:val="auto"/>
          <w:spacing w:val="0"/>
          <w:szCs w:val="24"/>
          <w:highlight w:val="none"/>
        </w:rPr>
      </w:pPr>
      <w:r>
        <w:rPr>
          <w:rFonts w:eastAsia="宋体"/>
          <w:caps w:val="0"/>
          <w:smallCaps w:val="0"/>
          <w:color w:val="auto"/>
          <w:spacing w:val="0"/>
          <w:highlight w:val="none"/>
        </w:rPr>
        <w:t>生产用水：项目工艺用水采用纯水，本项目涉及到两部分纯水制备工序，为不含镉新鲜水的纯水制备和含镉污水处理后回用水的纯水制备</w:t>
      </w:r>
      <w:r>
        <w:rPr>
          <w:rFonts w:hint="eastAsia" w:eastAsia="宋体"/>
          <w:caps w:val="0"/>
          <w:smallCaps w:val="0"/>
          <w:color w:val="auto"/>
          <w:spacing w:val="0"/>
          <w:highlight w:val="none"/>
        </w:rPr>
        <w:t>，</w:t>
      </w:r>
      <w:r>
        <w:rPr>
          <w:rFonts w:hint="eastAsia" w:eastAsia="宋体"/>
          <w:caps w:val="0"/>
          <w:smallCaps w:val="0"/>
          <w:color w:val="auto"/>
          <w:spacing w:val="0"/>
          <w:highlight w:val="none"/>
        </w:rPr>
        <w:t>两部分纯水制备均采用</w:t>
      </w:r>
      <w:r>
        <w:rPr>
          <w:caps w:val="0"/>
          <w:smallCaps w:val="0"/>
          <w:color w:val="auto"/>
          <w:spacing w:val="0"/>
          <w:szCs w:val="24"/>
          <w:highlight w:val="none"/>
        </w:rPr>
        <w:t>两级</w:t>
      </w:r>
      <w:r>
        <w:rPr>
          <w:rFonts w:eastAsia="Times New Roman"/>
          <w:caps w:val="0"/>
          <w:smallCaps w:val="0"/>
          <w:color w:val="auto"/>
          <w:spacing w:val="0"/>
          <w:szCs w:val="24"/>
          <w:highlight w:val="none"/>
        </w:rPr>
        <w:t>RO+EDI</w:t>
      </w:r>
      <w:r>
        <w:rPr>
          <w:caps w:val="0"/>
          <w:smallCaps w:val="0"/>
          <w:color w:val="auto"/>
          <w:spacing w:val="0"/>
          <w:szCs w:val="24"/>
          <w:highlight w:val="none"/>
        </w:rPr>
        <w:t>的工艺</w:t>
      </w:r>
      <w:r>
        <w:rPr>
          <w:rFonts w:hint="eastAsia"/>
          <w:caps w:val="0"/>
          <w:smallCaps w:val="0"/>
          <w:color w:val="auto"/>
          <w:spacing w:val="0"/>
          <w:szCs w:val="24"/>
          <w:highlight w:val="none"/>
        </w:rPr>
        <w:t>，设两个纯水水箱，分别装</w:t>
      </w:r>
      <w:r>
        <w:rPr>
          <w:rFonts w:eastAsia="宋体"/>
          <w:caps w:val="0"/>
          <w:smallCaps w:val="0"/>
          <w:color w:val="auto"/>
          <w:spacing w:val="0"/>
          <w:highlight w:val="none"/>
        </w:rPr>
        <w:t>新鲜水制备的纯水和含镉污水处理后回用</w:t>
      </w:r>
      <w:r>
        <w:rPr>
          <w:rFonts w:hint="eastAsia" w:eastAsia="宋体"/>
          <w:caps w:val="0"/>
          <w:smallCaps w:val="0"/>
          <w:color w:val="auto"/>
          <w:spacing w:val="0"/>
          <w:highlight w:val="none"/>
        </w:rPr>
        <w:t>的纯水</w:t>
      </w:r>
      <w:r>
        <w:rPr>
          <w:rFonts w:hint="eastAsia"/>
          <w:caps w:val="0"/>
          <w:smallCaps w:val="0"/>
          <w:color w:val="auto"/>
          <w:spacing w:val="0"/>
          <w:szCs w:val="24"/>
          <w:highlight w:val="none"/>
        </w:rPr>
        <w:t>。含镉废水处理后回用于</w:t>
      </w:r>
      <w:r>
        <w:rPr>
          <w:rFonts w:eastAsia="宋体"/>
          <w:caps w:val="0"/>
          <w:smallCaps w:val="0"/>
          <w:color w:val="auto"/>
          <w:spacing w:val="0"/>
          <w:kern w:val="0"/>
          <w:szCs w:val="24"/>
          <w:highlight w:val="none"/>
          <w:lang w:bidi="ar"/>
        </w:rPr>
        <w:t>涂覆前清洗用水</w:t>
      </w:r>
      <w:r>
        <w:rPr>
          <w:rFonts w:hint="eastAsia" w:eastAsia="宋体"/>
          <w:caps w:val="0"/>
          <w:smallCaps w:val="0"/>
          <w:color w:val="auto"/>
          <w:spacing w:val="0"/>
          <w:kern w:val="0"/>
          <w:szCs w:val="24"/>
          <w:highlight w:val="none"/>
          <w:lang w:bidi="ar"/>
        </w:rPr>
        <w:t>、</w:t>
      </w:r>
      <w:r>
        <w:rPr>
          <w:rFonts w:eastAsia="宋体"/>
          <w:caps w:val="0"/>
          <w:smallCaps w:val="0"/>
          <w:color w:val="auto"/>
          <w:spacing w:val="0"/>
          <w:kern w:val="0"/>
          <w:szCs w:val="24"/>
          <w:highlight w:val="none"/>
          <w:lang w:bidi="ar"/>
        </w:rPr>
        <w:t>活化层涂覆用水</w:t>
      </w:r>
      <w:r>
        <w:rPr>
          <w:rFonts w:hint="eastAsia" w:eastAsia="宋体"/>
          <w:caps w:val="0"/>
          <w:smallCaps w:val="0"/>
          <w:color w:val="auto"/>
          <w:spacing w:val="0"/>
          <w:kern w:val="0"/>
          <w:szCs w:val="24"/>
          <w:highlight w:val="none"/>
          <w:lang w:bidi="ar"/>
        </w:rPr>
        <w:t>、</w:t>
      </w:r>
      <w:r>
        <w:rPr>
          <w:rFonts w:eastAsia="宋体"/>
          <w:caps w:val="0"/>
          <w:smallCaps w:val="0"/>
          <w:color w:val="auto"/>
          <w:spacing w:val="0"/>
          <w:kern w:val="0"/>
          <w:szCs w:val="24"/>
          <w:highlight w:val="none"/>
          <w:lang w:bidi="ar"/>
        </w:rPr>
        <w:t>活化层清洗、蚀刻用水</w:t>
      </w:r>
      <w:r>
        <w:rPr>
          <w:rFonts w:hint="eastAsia" w:eastAsia="宋体"/>
          <w:caps w:val="0"/>
          <w:smallCaps w:val="0"/>
          <w:color w:val="auto"/>
          <w:spacing w:val="0"/>
          <w:kern w:val="0"/>
          <w:szCs w:val="24"/>
          <w:highlight w:val="none"/>
          <w:lang w:bidi="ar"/>
        </w:rPr>
        <w:t>、</w:t>
      </w:r>
      <w:r>
        <w:rPr>
          <w:rFonts w:eastAsia="宋体"/>
          <w:caps w:val="0"/>
          <w:smallCaps w:val="0"/>
          <w:color w:val="auto"/>
          <w:spacing w:val="0"/>
          <w:kern w:val="0"/>
          <w:szCs w:val="24"/>
          <w:highlight w:val="none"/>
          <w:lang w:bidi="ar"/>
        </w:rPr>
        <w:t>显影清洗用水</w:t>
      </w:r>
      <w:r>
        <w:rPr>
          <w:rFonts w:hint="eastAsia" w:eastAsia="宋体"/>
          <w:caps w:val="0"/>
          <w:smallCaps w:val="0"/>
          <w:color w:val="auto"/>
          <w:spacing w:val="0"/>
          <w:kern w:val="0"/>
          <w:szCs w:val="24"/>
          <w:highlight w:val="none"/>
          <w:lang w:bidi="ar"/>
        </w:rPr>
        <w:t>及</w:t>
      </w:r>
      <w:r>
        <w:rPr>
          <w:rFonts w:eastAsia="宋体"/>
          <w:caps w:val="0"/>
          <w:smallCaps w:val="0"/>
          <w:color w:val="auto"/>
          <w:spacing w:val="0"/>
          <w:kern w:val="0"/>
          <w:szCs w:val="24"/>
          <w:highlight w:val="none"/>
          <w:lang w:bidi="ar"/>
        </w:rPr>
        <w:t>背电极镀膜前清洗</w:t>
      </w:r>
      <w:r>
        <w:rPr>
          <w:rFonts w:hint="eastAsia" w:eastAsia="宋体"/>
          <w:caps w:val="0"/>
          <w:smallCaps w:val="0"/>
          <w:color w:val="auto"/>
          <w:spacing w:val="0"/>
          <w:kern w:val="0"/>
          <w:szCs w:val="24"/>
          <w:highlight w:val="none"/>
          <w:lang w:bidi="ar"/>
        </w:rPr>
        <w:t>（除</w:t>
      </w:r>
      <w:r>
        <w:rPr>
          <w:rFonts w:eastAsia="宋体"/>
          <w:caps w:val="0"/>
          <w:smallCaps w:val="0"/>
          <w:color w:val="auto"/>
          <w:spacing w:val="0"/>
          <w:kern w:val="0"/>
          <w:szCs w:val="24"/>
          <w:highlight w:val="none"/>
          <w:lang w:bidi="ar"/>
        </w:rPr>
        <w:t>基片清洗用水</w:t>
      </w:r>
      <w:r>
        <w:rPr>
          <w:rFonts w:hint="eastAsia" w:eastAsia="宋体"/>
          <w:caps w:val="0"/>
          <w:smallCaps w:val="0"/>
          <w:color w:val="auto"/>
          <w:spacing w:val="0"/>
          <w:kern w:val="0"/>
          <w:szCs w:val="24"/>
          <w:highlight w:val="none"/>
          <w:lang w:bidi="ar"/>
        </w:rPr>
        <w:t>及后端组装的背板清洗用水）。</w:t>
      </w:r>
    </w:p>
    <w:p w14:paraId="481EB6C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基片清洗用水：采用1%氢氧化钾溶液对玻璃进行机械清洗，企业采购氢氧化钾用于配置清洗剂，清洗过程中主要用1%氢氧化钾溶液。依据企业提供原料用量，氢氧化钾原料用量为3.7t/a，则配置1%氢氧化钾溶液需纯水366.3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/a，折合1.221m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w:t>
      </w:r>
    </w:p>
    <w:p w14:paraId="1B420FF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1%氢氧化钾清洗后需进行纯水冲洗，依据项目设计资料，水洗过程中纯水补充量为0.8m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/h，19.2m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/d，5760m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71F38EC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涂覆前清洗用水：为了满足喷涂所需的清洁度，避免粉尘，CSS镀膜冷却后的玻璃进入下一工序前需要进行清洗，本阶段清洗主要利用纯水进行喷淋冲洗，该过程补水主要来自玻璃带走水分及定期排水，依据项目设计资料，补充水量为2.2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/h，52.8m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/d，15840m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487A640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活化层涂覆用水：本项目涂覆工序需要用10%CdCl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溶液进行涂覆，企业外购五水氯化镉物料，涂覆前进行溶液配置，依据企业提供原料用量，五水氯化镉原料用量为1750kg/a，则配置10%溶液需纯水9.989m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/a，折合0.033m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w:t>
      </w:r>
    </w:p>
    <w:p w14:paraId="0A99DF8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活化层清洗、蚀刻用水：本项目活化层清洗、蚀刻工序需要用30%HNO</w:t>
      </w:r>
      <w:r>
        <w:rPr>
          <w:rFonts w:ascii="Times New Roman" w:hAnsi="Times New Roman" w:eastAsia="宋体" w:cs="Times New Roman"/>
          <w:caps w:val="0"/>
          <w:smallCaps w:val="0"/>
          <w:color w:val="auto"/>
          <w:spacing w:val="0"/>
          <w:kern w:val="0"/>
          <w:szCs w:val="24"/>
          <w:highlight w:val="none"/>
          <w:vertAlign w:val="subscript"/>
          <w:lang w:bidi="ar"/>
        </w:rPr>
        <w:t>3</w:t>
      </w:r>
      <w:r>
        <w:rPr>
          <w:rFonts w:ascii="Times New Roman" w:hAnsi="Times New Roman" w:eastAsia="宋体" w:cs="Times New Roman"/>
          <w:caps w:val="0"/>
          <w:smallCaps w:val="0"/>
          <w:color w:val="auto"/>
          <w:spacing w:val="0"/>
          <w:kern w:val="0"/>
          <w:szCs w:val="24"/>
          <w:highlight w:val="none"/>
          <w:lang w:bidi="ar"/>
        </w:rPr>
        <w:t>溶液及0.5%HCl溶液分别进行浸泡，企业外购65%HNO</w:t>
      </w:r>
      <w:r>
        <w:rPr>
          <w:rFonts w:ascii="Times New Roman" w:hAnsi="Times New Roman" w:eastAsia="宋体" w:cs="Times New Roman"/>
          <w:caps w:val="0"/>
          <w:smallCaps w:val="0"/>
          <w:color w:val="auto"/>
          <w:spacing w:val="0"/>
          <w:kern w:val="0"/>
          <w:szCs w:val="24"/>
          <w:highlight w:val="none"/>
          <w:vertAlign w:val="subscript"/>
          <w:lang w:bidi="ar"/>
        </w:rPr>
        <w:t>3</w:t>
      </w:r>
      <w:r>
        <w:rPr>
          <w:rFonts w:ascii="Times New Roman" w:hAnsi="Times New Roman" w:eastAsia="宋体" w:cs="Times New Roman"/>
          <w:caps w:val="0"/>
          <w:smallCaps w:val="0"/>
          <w:color w:val="auto"/>
          <w:spacing w:val="0"/>
          <w:kern w:val="0"/>
          <w:szCs w:val="24"/>
          <w:highlight w:val="none"/>
          <w:lang w:bidi="ar"/>
        </w:rPr>
        <w:t>溶液及30%HCl溶液，活化层清洗、蚀刻前进行溶液稀释，依据企业提供原料用量，65%HNO</w:t>
      </w:r>
      <w:r>
        <w:rPr>
          <w:rFonts w:ascii="Times New Roman" w:hAnsi="Times New Roman" w:eastAsia="宋体" w:cs="Times New Roman"/>
          <w:caps w:val="0"/>
          <w:smallCaps w:val="0"/>
          <w:color w:val="auto"/>
          <w:spacing w:val="0"/>
          <w:kern w:val="0"/>
          <w:szCs w:val="24"/>
          <w:highlight w:val="none"/>
          <w:vertAlign w:val="subscript"/>
          <w:lang w:bidi="ar"/>
        </w:rPr>
        <w:t>3</w:t>
      </w:r>
      <w:r>
        <w:rPr>
          <w:rFonts w:ascii="Times New Roman" w:hAnsi="Times New Roman" w:eastAsia="宋体" w:cs="Times New Roman"/>
          <w:caps w:val="0"/>
          <w:smallCaps w:val="0"/>
          <w:color w:val="auto"/>
          <w:spacing w:val="0"/>
          <w:kern w:val="0"/>
          <w:szCs w:val="24"/>
          <w:highlight w:val="none"/>
          <w:lang w:bidi="ar"/>
        </w:rPr>
        <w:t>溶液及30%HCl溶液用量均为952L/a，则配置30%HNO</w:t>
      </w:r>
      <w:r>
        <w:rPr>
          <w:rFonts w:ascii="Times New Roman" w:hAnsi="Times New Roman" w:eastAsia="宋体" w:cs="Times New Roman"/>
          <w:caps w:val="0"/>
          <w:smallCaps w:val="0"/>
          <w:color w:val="auto"/>
          <w:spacing w:val="0"/>
          <w:kern w:val="0"/>
          <w:szCs w:val="24"/>
          <w:highlight w:val="none"/>
          <w:vertAlign w:val="subscript"/>
          <w:lang w:bidi="ar"/>
        </w:rPr>
        <w:t>3</w:t>
      </w:r>
      <w:r>
        <w:rPr>
          <w:rFonts w:ascii="Times New Roman" w:hAnsi="Times New Roman" w:eastAsia="宋体" w:cs="Times New Roman"/>
          <w:caps w:val="0"/>
          <w:smallCaps w:val="0"/>
          <w:color w:val="auto"/>
          <w:spacing w:val="0"/>
          <w:kern w:val="0"/>
          <w:szCs w:val="24"/>
          <w:highlight w:val="none"/>
          <w:lang w:bidi="ar"/>
        </w:rPr>
        <w:t>溶液及0.5%HCl溶液分别需纯水1.545m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/a及56.17m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/a，折合0.00515m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/d及0.187m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/d。随后再</w:t>
      </w:r>
      <w:r>
        <w:rPr>
          <w:rFonts w:hint="eastAsia" w:ascii="Times New Roman" w:hAnsi="Times New Roman" w:eastAsia="宋体" w:cs="Times New Roman"/>
          <w:caps w:val="0"/>
          <w:smallCaps w:val="0"/>
          <w:color w:val="auto"/>
          <w:spacing w:val="0"/>
          <w:kern w:val="0"/>
          <w:szCs w:val="24"/>
          <w:highlight w:val="none"/>
          <w:lang w:eastAsia="zh-CN" w:bidi="ar"/>
        </w:rPr>
        <w:t>用</w:t>
      </w:r>
      <w:r>
        <w:rPr>
          <w:rFonts w:ascii="Times New Roman" w:hAnsi="Times New Roman" w:eastAsia="宋体" w:cs="Times New Roman"/>
          <w:caps w:val="0"/>
          <w:smallCaps w:val="0"/>
          <w:color w:val="auto"/>
          <w:spacing w:val="0"/>
          <w:kern w:val="0"/>
          <w:szCs w:val="24"/>
          <w:highlight w:val="none"/>
          <w:lang w:bidi="ar"/>
        </w:rPr>
        <w:t>纯水进行淋洗，该过程补水主要来自组件带走水分及定期排水，依据项目设计资料，水洗过程中纯水补充量为0.7m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/h，16.8m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/d，5040m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6B048ED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ZnTe膜层溅射后清洗用水：本阶段清洗主要利用纯水进行喷淋冲洗，该过程补水主要来自组件带走水分及定期排水，依据项目设计资料，水洗过程中纯水补充量为0.6m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/h，14.4m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/d，4320m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7BB0C57D">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显影清洗用水：本项目显影清洗工序需要用1%H</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溶液进行淋洗，企业外购30%H</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，淋洗前进行溶液配置，依据企业提供原料用量，30%H</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用量为12.7t/a，则配置1%溶液需纯水368.3m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/a，折合1.228m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/d。随后用纯水进行梯度洗，该过程补水主要来自组件带走水分及定期排水，依据项目设计资料，水洗过程中纯水补充量为0.6m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/h，14.4m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/d，4320m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62A57D1E">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背电极镀膜前清洗：背电极镀膜前需要对组件进行清洗，采用纯水进行清洗，该过程补水主要来自组件带走水分及定期排水，依据项目设计资料，水洗过程中纯水补充量为0.7m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/h，16.8m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/d，5040m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7DBF6128">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2、排水</w:t>
      </w:r>
    </w:p>
    <w:p w14:paraId="30FF1CFF">
      <w:pPr>
        <w:pStyle w:val="13"/>
        <w:widowControl w:val="0"/>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排水：</w:t>
      </w:r>
      <w:r>
        <w:rPr>
          <w:rFonts w:ascii="Times New Roman" w:hAnsi="Times New Roman" w:eastAsia="宋体" w:cs="Times New Roman"/>
          <w:caps w:val="0"/>
          <w:smallCaps w:val="0"/>
          <w:color w:val="auto"/>
          <w:spacing w:val="0"/>
          <w:highlight w:val="none"/>
        </w:rPr>
        <w:t>本工程产生的废水包括不含镉污水和含镉污水</w:t>
      </w:r>
      <w:r>
        <w:rPr>
          <w:rFonts w:hint="eastAsia" w:ascii="Times New Roman" w:hAnsi="Times New Roman" w:eastAsia="宋体" w:cs="Times New Roman"/>
          <w:caps w:val="0"/>
          <w:smallCaps w:val="0"/>
          <w:color w:val="auto"/>
          <w:spacing w:val="0"/>
          <w:highlight w:val="none"/>
        </w:rPr>
        <w:t>，其中参考中建材其他基地企业运行情况，及企业水设计文件综合考虑将高、低浓度含镉废水分界线定为3.25mg/L，根据含镉废水分为</w:t>
      </w:r>
      <w:r>
        <w:rPr>
          <w:rFonts w:hint="eastAsia" w:ascii="Times New Roman" w:hAnsi="Times New Roman" w:eastAsia="宋体" w:cs="Times New Roman"/>
          <w:caps w:val="0"/>
          <w:smallCaps w:val="0"/>
          <w:color w:val="auto"/>
          <w:spacing w:val="0"/>
          <w:highlight w:val="none"/>
        </w:rPr>
        <w:t>低浓度含镉废水</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lang w:val="en-US" w:eastAsia="zh-CN"/>
        </w:rPr>
        <w:t>涂覆前清洗废水、ZnTe膜层溅射后清洗废水、背电极镀膜前清洗废水、喷淋塔喷淋废水</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、高浓度含镉废水</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lang w:val="en-US" w:eastAsia="zh-CN"/>
        </w:rPr>
        <w:t>活化层喷涂废液、活化层清洗蚀刻废水</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以及显影废水</w:t>
      </w:r>
      <w:r>
        <w:rPr>
          <w:rFonts w:hint="eastAsia" w:ascii="Times New Roman" w:hAnsi="Times New Roman" w:eastAsia="宋体" w:cs="Times New Roman"/>
          <w:caps w:val="0"/>
          <w:smallCaps w:val="0"/>
          <w:color w:val="auto"/>
          <w:spacing w:val="0"/>
          <w:highlight w:val="none"/>
          <w:lang w:eastAsia="zh-CN"/>
        </w:rPr>
        <w:t>（显影及显影清洗废水）</w:t>
      </w:r>
      <w:r>
        <w:rPr>
          <w:rFonts w:hint="eastAsia" w:ascii="Times New Roman" w:hAnsi="Times New Roman" w:eastAsia="宋体" w:cs="Times New Roman"/>
          <w:caps w:val="0"/>
          <w:smallCaps w:val="0"/>
          <w:color w:val="auto"/>
          <w:spacing w:val="0"/>
          <w:highlight w:val="none"/>
        </w:rPr>
        <w:t>，上述废水均由管道收集进入各自废水处理系统。</w:t>
      </w:r>
    </w:p>
    <w:p w14:paraId="351AD91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（1）含镉废水</w:t>
      </w:r>
    </w:p>
    <w:p w14:paraId="58AC02E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①涂覆前清洗废水</w:t>
      </w:r>
    </w:p>
    <w:p w14:paraId="2EE3B6D9">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CSS镀膜冷却后的玻璃进入下一工序前需要进行清洗，本阶段清洗主要利用纯水进行喷淋冲洗，清洗补充水量为52.8m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/d，15840m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/a，清洗过程中水损耗主要为玻璃带走进入吹干工序，本项目按10%计，则废水产生量为47.52m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/d，14256m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6C96A54F">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②活化层涂覆废水</w:t>
      </w:r>
    </w:p>
    <w:p w14:paraId="2785B80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活化层涂覆用水量为9.989m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/a，0.033m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/d。根据企业提供约有90%废水产生，则废水产生量为0.030m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/d，9.000m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150DC0B0">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③CdCl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活化层清洗、蚀刻废水</w:t>
      </w:r>
    </w:p>
    <w:p w14:paraId="5BACA87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清洗过程采用两级酸洗+两级水洗的形式，先通过硝酸槽（30%硝酸溶液）浸泡，这个过程在衬底表面形成富Te层，在金属背接触之间提供一个低电阻的过渡层。然后采用纯水清洗衬底残留的硝酸、Cd盐溶液，再通过盐酸槽（0.5%盐酸溶液）浸泡，最后用纯水</w:t>
      </w:r>
      <w:r>
        <w:rPr>
          <w:rFonts w:hint="eastAsia" w:ascii="Times New Roman" w:hAnsi="Times New Roman" w:eastAsia="宋体" w:cs="Times New Roman"/>
          <w:caps w:val="0"/>
          <w:smallCaps w:val="0"/>
          <w:color w:val="auto"/>
          <w:spacing w:val="0"/>
          <w:kern w:val="0"/>
          <w:szCs w:val="24"/>
          <w:highlight w:val="none"/>
          <w:lang w:eastAsia="zh-CN" w:bidi="ar"/>
        </w:rPr>
        <w:t>清洗</w:t>
      </w:r>
      <w:r>
        <w:rPr>
          <w:rFonts w:ascii="Times New Roman" w:hAnsi="Times New Roman" w:eastAsia="宋体" w:cs="Times New Roman"/>
          <w:caps w:val="0"/>
          <w:smallCaps w:val="0"/>
          <w:color w:val="auto"/>
          <w:spacing w:val="0"/>
          <w:kern w:val="0"/>
          <w:szCs w:val="24"/>
          <w:highlight w:val="none"/>
          <w:lang w:bidi="ar"/>
        </w:rPr>
        <w:t>并风干。</w:t>
      </w:r>
    </w:p>
    <w:p w14:paraId="62052145">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酸清洗剂在使用过程中约有10%的损耗，剩余90%废酸槽定期更换，硝酸槽及盐酸槽废酸槽液合计产生量为0.173m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/d，全部进入高浓度含镉废水处理系统；纯水洗过程中纯水补充量为16.8m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/d，5040m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r>
        <w:rPr>
          <w:rFonts w:hint="eastAsia" w:ascii="Times New Roman" w:hAnsi="Times New Roman" w:eastAsia="宋体" w:cs="Times New Roman"/>
          <w:caps w:val="0"/>
          <w:smallCaps w:val="0"/>
          <w:color w:val="auto"/>
          <w:spacing w:val="0"/>
          <w:kern w:val="0"/>
          <w:szCs w:val="24"/>
          <w:highlight w:val="none"/>
          <w:lang w:bidi="ar"/>
        </w:rPr>
        <w:t>参考中建材其他基地损耗情况，</w:t>
      </w:r>
      <w:r>
        <w:rPr>
          <w:rFonts w:ascii="Times New Roman" w:hAnsi="Times New Roman" w:eastAsia="宋体" w:cs="Times New Roman"/>
          <w:caps w:val="0"/>
          <w:smallCaps w:val="0"/>
          <w:color w:val="auto"/>
          <w:spacing w:val="0"/>
          <w:kern w:val="0"/>
          <w:szCs w:val="24"/>
          <w:highlight w:val="none"/>
          <w:lang w:bidi="ar"/>
        </w:rPr>
        <w:t>水损耗按10%计，则废水产生量为15.12m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/d，4536m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/a，全部进入低浓度含镉废水处理系统。</w:t>
      </w:r>
    </w:p>
    <w:p w14:paraId="7B77EC4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④ZnTe膜层溅射后清洗废水</w:t>
      </w:r>
    </w:p>
    <w:p w14:paraId="3B3DB6F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清洗用水量为14.4m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/d，4320m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r>
        <w:rPr>
          <w:rFonts w:hint="eastAsia" w:ascii="Times New Roman" w:hAnsi="Times New Roman" w:eastAsia="宋体" w:cs="Times New Roman"/>
          <w:caps w:val="0"/>
          <w:smallCaps w:val="0"/>
          <w:color w:val="auto"/>
          <w:spacing w:val="0"/>
          <w:kern w:val="0"/>
          <w:szCs w:val="24"/>
          <w:highlight w:val="none"/>
          <w:lang w:bidi="ar"/>
        </w:rPr>
        <w:t>参考中建材其他基地损耗情况，</w:t>
      </w:r>
      <w:r>
        <w:rPr>
          <w:rFonts w:ascii="Times New Roman" w:hAnsi="Times New Roman" w:eastAsia="宋体" w:cs="Times New Roman"/>
          <w:caps w:val="0"/>
          <w:smallCaps w:val="0"/>
          <w:color w:val="auto"/>
          <w:spacing w:val="0"/>
          <w:kern w:val="0"/>
          <w:szCs w:val="24"/>
          <w:highlight w:val="none"/>
          <w:lang w:bidi="ar"/>
        </w:rPr>
        <w:t>水损耗按10%计，则废水产生量为12.96m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/d，3888m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562A0FF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⑤显影及清洗废水</w:t>
      </w:r>
    </w:p>
    <w:p w14:paraId="5FDB7B55">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显影用水及显影后清洗补水分别为368.3m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/a，1.228m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/d和4320m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/a，14.4m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/d，水损耗按10%计，则废水产生量分别为331.47m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/a，1.105m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/d和3888m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/a，12.96m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w:t>
      </w:r>
    </w:p>
    <w:p w14:paraId="0B8D956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fldChar w:fldCharType="begin"/>
      </w:r>
      <w:r>
        <w:rPr>
          <w:rFonts w:ascii="Times New Roman" w:hAnsi="Times New Roman" w:eastAsia="宋体" w:cs="Times New Roman"/>
          <w:caps w:val="0"/>
          <w:smallCaps w:val="0"/>
          <w:color w:val="auto"/>
          <w:spacing w:val="0"/>
          <w:kern w:val="0"/>
          <w:szCs w:val="24"/>
          <w:highlight w:val="none"/>
          <w:lang w:bidi="ar"/>
        </w:rPr>
        <w:instrText xml:space="preserve"> = 6 \* GB3 \* MERGEFORMAT </w:instrText>
      </w:r>
      <w:r>
        <w:rPr>
          <w:rFonts w:ascii="Times New Roman" w:hAnsi="Times New Roman" w:eastAsia="宋体" w:cs="Times New Roman"/>
          <w:caps w:val="0"/>
          <w:smallCaps w:val="0"/>
          <w:color w:val="auto"/>
          <w:spacing w:val="0"/>
          <w:kern w:val="0"/>
          <w:szCs w:val="24"/>
          <w:highlight w:val="none"/>
          <w:lang w:bidi="ar"/>
        </w:rPr>
        <w:fldChar w:fldCharType="separate"/>
      </w:r>
      <w:r>
        <w:rPr>
          <w:rFonts w:ascii="Times New Roman" w:hAnsi="Times New Roman" w:eastAsia="宋体" w:cs="Times New Roman"/>
          <w:caps w:val="0"/>
          <w:smallCaps w:val="0"/>
          <w:color w:val="auto"/>
          <w:spacing w:val="0"/>
          <w:kern w:val="0"/>
          <w:szCs w:val="24"/>
          <w:highlight w:val="none"/>
          <w:lang w:bidi="ar"/>
        </w:rPr>
        <w:t>⑥</w:t>
      </w:r>
      <w:r>
        <w:rPr>
          <w:rFonts w:ascii="Times New Roman" w:hAnsi="Times New Roman" w:eastAsia="宋体" w:cs="Times New Roman"/>
          <w:caps w:val="0"/>
          <w:smallCaps w:val="0"/>
          <w:color w:val="auto"/>
          <w:spacing w:val="0"/>
          <w:kern w:val="0"/>
          <w:szCs w:val="24"/>
          <w:highlight w:val="none"/>
          <w:lang w:bidi="ar"/>
        </w:rPr>
        <w:fldChar w:fldCharType="end"/>
      </w:r>
      <w:r>
        <w:rPr>
          <w:rFonts w:ascii="Times New Roman" w:hAnsi="Times New Roman" w:eastAsia="宋体" w:cs="Times New Roman"/>
          <w:caps w:val="0"/>
          <w:smallCaps w:val="0"/>
          <w:color w:val="auto"/>
          <w:spacing w:val="0"/>
          <w:kern w:val="0"/>
          <w:szCs w:val="24"/>
          <w:highlight w:val="none"/>
          <w:lang w:bidi="ar"/>
        </w:rPr>
        <w:t>背电极镀膜前清洗废水</w:t>
      </w:r>
    </w:p>
    <w:p w14:paraId="77BA7AE2">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背电极镀膜前清洗补水量为16.8m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/d，5040m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r>
        <w:rPr>
          <w:rFonts w:hint="eastAsia" w:ascii="Times New Roman" w:hAnsi="Times New Roman" w:eastAsia="宋体" w:cs="Times New Roman"/>
          <w:caps w:val="0"/>
          <w:smallCaps w:val="0"/>
          <w:color w:val="auto"/>
          <w:spacing w:val="0"/>
          <w:kern w:val="0"/>
          <w:szCs w:val="24"/>
          <w:highlight w:val="none"/>
          <w:lang w:bidi="ar"/>
        </w:rPr>
        <w:t>参考中建材其他基地损耗情况，</w:t>
      </w:r>
      <w:r>
        <w:rPr>
          <w:rFonts w:ascii="Times New Roman" w:hAnsi="Times New Roman" w:eastAsia="宋体" w:cs="Times New Roman"/>
          <w:caps w:val="0"/>
          <w:smallCaps w:val="0"/>
          <w:color w:val="auto"/>
          <w:spacing w:val="0"/>
          <w:kern w:val="0"/>
          <w:szCs w:val="24"/>
          <w:highlight w:val="none"/>
          <w:lang w:bidi="ar"/>
        </w:rPr>
        <w:t>水损耗按10%计，则废水产生量为15.12m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/d，4536m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1BF8C65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fldChar w:fldCharType="begin"/>
      </w:r>
      <w:r>
        <w:rPr>
          <w:rFonts w:ascii="Times New Roman" w:hAnsi="Times New Roman" w:eastAsia="宋体" w:cs="Times New Roman"/>
          <w:caps w:val="0"/>
          <w:smallCaps w:val="0"/>
          <w:color w:val="auto"/>
          <w:spacing w:val="0"/>
          <w:kern w:val="0"/>
          <w:szCs w:val="24"/>
          <w:highlight w:val="none"/>
          <w:lang w:bidi="ar"/>
        </w:rPr>
        <w:instrText xml:space="preserve"> = 7 \* GB3 \* MERGEFORMAT </w:instrText>
      </w:r>
      <w:r>
        <w:rPr>
          <w:rFonts w:ascii="Times New Roman" w:hAnsi="Times New Roman" w:eastAsia="宋体" w:cs="Times New Roman"/>
          <w:caps w:val="0"/>
          <w:smallCaps w:val="0"/>
          <w:color w:val="auto"/>
          <w:spacing w:val="0"/>
          <w:kern w:val="0"/>
          <w:szCs w:val="24"/>
          <w:highlight w:val="none"/>
          <w:lang w:bidi="ar"/>
        </w:rPr>
        <w:fldChar w:fldCharType="separate"/>
      </w:r>
      <w:r>
        <w:rPr>
          <w:rFonts w:ascii="Times New Roman" w:hAnsi="Times New Roman" w:eastAsia="宋体" w:cs="Times New Roman"/>
          <w:caps w:val="0"/>
          <w:smallCaps w:val="0"/>
          <w:color w:val="auto"/>
          <w:spacing w:val="0"/>
          <w:highlight w:val="none"/>
        </w:rPr>
        <w:t>⑦</w:t>
      </w:r>
      <w:r>
        <w:rPr>
          <w:rFonts w:ascii="Times New Roman" w:hAnsi="Times New Roman" w:eastAsia="宋体" w:cs="Times New Roman"/>
          <w:caps w:val="0"/>
          <w:smallCaps w:val="0"/>
          <w:color w:val="auto"/>
          <w:spacing w:val="0"/>
          <w:kern w:val="0"/>
          <w:szCs w:val="24"/>
          <w:highlight w:val="none"/>
          <w:lang w:bidi="ar"/>
        </w:rPr>
        <w:fldChar w:fldCharType="end"/>
      </w:r>
      <w:r>
        <w:rPr>
          <w:rFonts w:ascii="Times New Roman" w:hAnsi="Times New Roman" w:eastAsia="宋体" w:cs="Times New Roman"/>
          <w:caps w:val="0"/>
          <w:smallCaps w:val="0"/>
          <w:color w:val="auto"/>
          <w:spacing w:val="0"/>
          <w:kern w:val="0"/>
          <w:szCs w:val="24"/>
          <w:highlight w:val="none"/>
          <w:lang w:bidi="ar"/>
        </w:rPr>
        <w:t>碱性喷淋塔喷淋废水</w:t>
      </w:r>
    </w:p>
    <w:p w14:paraId="56934298">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本项目活化层清洗蚀刻工段产生的NO₂和HCl，采用碱性喷淋塔中和后排放，根据企业设计碱性喷淋塔废水排放量约为1m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/d，300m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258AAFFC">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（2）其他工艺废水</w:t>
      </w:r>
    </w:p>
    <w:p w14:paraId="17AC0777">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①基片清洗废水：</w:t>
      </w:r>
    </w:p>
    <w:p w14:paraId="0D372B57">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基片清洗补水量为19.2m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/d，5760m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/a。该过程还有废清洗剂产生，清洗剂补充量为1.221m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/d，366.3m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/a，该过程补水总产生量为20.421m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/d，6126.3m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r>
        <w:rPr>
          <w:rFonts w:hint="eastAsia" w:ascii="Times New Roman" w:hAnsi="Times New Roman" w:eastAsia="宋体" w:cs="Times New Roman"/>
          <w:caps w:val="0"/>
          <w:smallCaps w:val="0"/>
          <w:color w:val="auto"/>
          <w:spacing w:val="0"/>
          <w:kern w:val="0"/>
          <w:szCs w:val="24"/>
          <w:highlight w:val="none"/>
          <w:lang w:bidi="ar"/>
        </w:rPr>
        <w:t>参考中建材其他基地损耗情况，</w:t>
      </w:r>
      <w:r>
        <w:rPr>
          <w:rFonts w:ascii="Times New Roman" w:hAnsi="Times New Roman" w:eastAsia="宋体" w:cs="Times New Roman"/>
          <w:caps w:val="0"/>
          <w:smallCaps w:val="0"/>
          <w:color w:val="auto"/>
          <w:spacing w:val="0"/>
          <w:kern w:val="0"/>
          <w:szCs w:val="24"/>
          <w:highlight w:val="none"/>
          <w:lang w:bidi="ar"/>
        </w:rPr>
        <w:t>水损耗按10%计，则废水产生量为18.379m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/d，5513.67m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/a。</w:t>
      </w:r>
    </w:p>
    <w:p w14:paraId="55DA449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②</w:t>
      </w:r>
      <w:r>
        <w:rPr>
          <w:rFonts w:hint="eastAsia" w:ascii="Times New Roman" w:hAnsi="Times New Roman" w:eastAsia="宋体" w:cs="Times New Roman"/>
          <w:caps w:val="0"/>
          <w:smallCaps w:val="0"/>
          <w:color w:val="auto"/>
          <w:spacing w:val="0"/>
          <w:kern w:val="0"/>
          <w:szCs w:val="24"/>
          <w:highlight w:val="none"/>
          <w:lang w:bidi="ar"/>
        </w:rPr>
        <w:t>新鲜水</w:t>
      </w:r>
      <w:r>
        <w:rPr>
          <w:rFonts w:ascii="Times New Roman" w:hAnsi="Times New Roman" w:eastAsia="宋体" w:cs="Times New Roman"/>
          <w:caps w:val="0"/>
          <w:smallCaps w:val="0"/>
          <w:color w:val="auto"/>
          <w:spacing w:val="0"/>
          <w:kern w:val="0"/>
          <w:szCs w:val="24"/>
          <w:highlight w:val="none"/>
          <w:lang w:bidi="ar"/>
        </w:rPr>
        <w:t>纯水制备废水</w:t>
      </w:r>
    </w:p>
    <w:p w14:paraId="129D1C9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本项目所需纯水</w:t>
      </w:r>
      <w:r>
        <w:rPr>
          <w:rFonts w:hint="eastAsia" w:ascii="Times New Roman" w:hAnsi="Times New Roman" w:eastAsia="宋体" w:cs="Times New Roman"/>
          <w:caps w:val="0"/>
          <w:smallCaps w:val="0"/>
          <w:color w:val="auto"/>
          <w:spacing w:val="0"/>
          <w:kern w:val="0"/>
          <w:szCs w:val="24"/>
          <w:highlight w:val="none"/>
          <w:lang w:bidi="ar"/>
        </w:rPr>
        <w:t>60.563</w:t>
      </w:r>
      <w:r>
        <w:rPr>
          <w:rFonts w:ascii="Times New Roman" w:hAnsi="Times New Roman" w:eastAsia="宋体" w:cs="Times New Roman"/>
          <w:caps w:val="0"/>
          <w:smallCaps w:val="0"/>
          <w:color w:val="auto"/>
          <w:spacing w:val="0"/>
          <w:kern w:val="0"/>
          <w:szCs w:val="24"/>
          <w:highlight w:val="none"/>
          <w:lang w:bidi="ar"/>
        </w:rPr>
        <w:t>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/d，纯水制备效率为80%，所需新鲜水</w:t>
      </w:r>
      <w:r>
        <w:rPr>
          <w:rFonts w:hint="eastAsia" w:ascii="Times New Roman" w:hAnsi="Times New Roman" w:eastAsia="宋体" w:cs="Times New Roman"/>
          <w:caps w:val="0"/>
          <w:smallCaps w:val="0"/>
          <w:color w:val="auto"/>
          <w:spacing w:val="0"/>
          <w:kern w:val="0"/>
          <w:szCs w:val="24"/>
          <w:highlight w:val="none"/>
          <w:lang w:bidi="ar"/>
        </w:rPr>
        <w:t>75.704</w:t>
      </w:r>
      <w:r>
        <w:rPr>
          <w:rFonts w:ascii="Times New Roman" w:hAnsi="Times New Roman" w:eastAsia="宋体" w:cs="Times New Roman"/>
          <w:caps w:val="0"/>
          <w:smallCaps w:val="0"/>
          <w:color w:val="auto"/>
          <w:spacing w:val="0"/>
          <w:kern w:val="0"/>
          <w:szCs w:val="24"/>
          <w:highlight w:val="none"/>
          <w:lang w:bidi="ar"/>
        </w:rPr>
        <w:t>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/d，纯水制备废水为</w:t>
      </w:r>
      <w:r>
        <w:rPr>
          <w:rFonts w:hint="eastAsia" w:ascii="Times New Roman" w:hAnsi="Times New Roman" w:eastAsia="宋体" w:cs="Times New Roman"/>
          <w:caps w:val="0"/>
          <w:smallCaps w:val="0"/>
          <w:color w:val="auto"/>
          <w:spacing w:val="0"/>
          <w:kern w:val="0"/>
          <w:szCs w:val="24"/>
          <w:highlight w:val="none"/>
          <w:lang w:bidi="ar"/>
        </w:rPr>
        <w:t>15.141</w:t>
      </w:r>
      <w:r>
        <w:rPr>
          <w:rFonts w:ascii="Times New Roman" w:hAnsi="Times New Roman" w:eastAsia="宋体" w:cs="Times New Roman"/>
          <w:caps w:val="0"/>
          <w:smallCaps w:val="0"/>
          <w:color w:val="auto"/>
          <w:spacing w:val="0"/>
          <w:kern w:val="0"/>
          <w:szCs w:val="24"/>
          <w:highlight w:val="none"/>
          <w:lang w:bidi="ar"/>
        </w:rPr>
        <w:t>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/d。</w:t>
      </w:r>
    </w:p>
    <w:p w14:paraId="2EDCB9A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bidi="ar"/>
        </w:rPr>
        <w:t>基于以上排水量及企业水设计文件，本项目建设一座</w:t>
      </w:r>
      <w:r>
        <w:rPr>
          <w:rFonts w:hint="eastAsia" w:ascii="Times New Roman" w:hAnsi="Times New Roman" w:eastAsia="宋体" w:cs="Times New Roman"/>
          <w:caps w:val="0"/>
          <w:smallCaps w:val="0"/>
          <w:color w:val="auto"/>
          <w:spacing w:val="0"/>
          <w:kern w:val="0"/>
          <w:szCs w:val="24"/>
          <w:highlight w:val="none"/>
          <w:lang w:eastAsia="zh-CN" w:bidi="ar"/>
        </w:rPr>
        <w:t>180m</w:t>
      </w:r>
      <w:r>
        <w:rPr>
          <w:rFonts w:hint="eastAsia" w:ascii="Times New Roman" w:hAnsi="Times New Roman" w:eastAsia="宋体" w:cs="Times New Roman"/>
          <w:caps w:val="0"/>
          <w:smallCaps w:val="0"/>
          <w:color w:val="auto"/>
          <w:spacing w:val="0"/>
          <w:kern w:val="0"/>
          <w:szCs w:val="24"/>
          <w:highlight w:val="none"/>
          <w:vertAlign w:val="superscript"/>
          <w:lang w:eastAsia="zh-CN" w:bidi="ar"/>
        </w:rPr>
        <w:t>3</w:t>
      </w:r>
      <w:r>
        <w:rPr>
          <w:rFonts w:hint="eastAsia" w:ascii="Times New Roman" w:hAnsi="Times New Roman" w:eastAsia="宋体" w:cs="Times New Roman"/>
          <w:caps w:val="0"/>
          <w:smallCaps w:val="0"/>
          <w:color w:val="auto"/>
          <w:spacing w:val="0"/>
          <w:kern w:val="0"/>
          <w:szCs w:val="24"/>
          <w:highlight w:val="none"/>
          <w:lang w:eastAsia="zh-CN" w:bidi="ar"/>
        </w:rPr>
        <w:t>/d</w:t>
      </w:r>
      <w:r>
        <w:rPr>
          <w:rFonts w:hint="eastAsia" w:ascii="Times New Roman" w:hAnsi="Times New Roman" w:eastAsia="宋体" w:cs="Times New Roman"/>
          <w:caps w:val="0"/>
          <w:smallCaps w:val="0"/>
          <w:color w:val="auto"/>
          <w:spacing w:val="0"/>
          <w:kern w:val="0"/>
          <w:szCs w:val="24"/>
          <w:highlight w:val="none"/>
          <w:lang w:bidi="ar"/>
        </w:rPr>
        <w:t>污水处理站，站内设有高浓度含镉废水、低浓度含镉废水、显影废水及碱性废水处理设施，</w:t>
      </w:r>
      <w:r>
        <w:rPr>
          <w:rFonts w:ascii="Times New Roman" w:hAnsi="Times New Roman" w:eastAsia="宋体" w:cs="Times New Roman"/>
          <w:caps w:val="0"/>
          <w:smallCaps w:val="0"/>
          <w:color w:val="auto"/>
          <w:spacing w:val="0"/>
          <w:highlight w:val="none"/>
        </w:rPr>
        <w:t>处理能力分别为碱性废水20m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/d、显影废水20m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/d、高浓度含镉废水1</w:t>
      </w:r>
      <w:r>
        <w:rPr>
          <w:rFonts w:hint="eastAsia"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/d及低浓度含镉</w:t>
      </w:r>
      <w:r>
        <w:rPr>
          <w:rFonts w:hint="eastAsia" w:ascii="Times New Roman" w:hAnsi="Times New Roman" w:eastAsia="宋体" w:cs="Times New Roman"/>
          <w:caps w:val="0"/>
          <w:smallCaps w:val="0"/>
          <w:color w:val="auto"/>
          <w:spacing w:val="0"/>
          <w:highlight w:val="none"/>
        </w:rPr>
        <w:t>废水</w:t>
      </w:r>
      <w:r>
        <w:rPr>
          <w:rFonts w:ascii="Times New Roman" w:hAnsi="Times New Roman" w:eastAsia="宋体" w:cs="Times New Roman"/>
          <w:caps w:val="0"/>
          <w:smallCaps w:val="0"/>
          <w:color w:val="auto"/>
          <w:spacing w:val="0"/>
          <w:highlight w:val="none"/>
        </w:rPr>
        <w:t>12</w:t>
      </w:r>
      <w:r>
        <w:rPr>
          <w:rFonts w:hint="eastAsia" w:ascii="Times New Roman" w:hAnsi="Times New Roman" w:eastAsia="宋体" w:cs="Times New Roman"/>
          <w:caps w:val="0"/>
          <w:smallCaps w:val="0"/>
          <w:color w:val="auto"/>
          <w:spacing w:val="0"/>
          <w:highlight w:val="none"/>
          <w:lang w:val="en-US" w:eastAsia="zh-CN"/>
        </w:rPr>
        <w:t>9</w:t>
      </w:r>
      <w:r>
        <w:rPr>
          <w:rFonts w:ascii="Times New Roman" w:hAnsi="Times New Roman" w:eastAsia="宋体" w:cs="Times New Roman"/>
          <w:caps w:val="0"/>
          <w:smallCaps w:val="0"/>
          <w:color w:val="auto"/>
          <w:spacing w:val="0"/>
          <w:highlight w:val="none"/>
        </w:rPr>
        <w:t>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w:t>
      </w:r>
      <w:r>
        <w:rPr>
          <w:rFonts w:hint="eastAsia" w:ascii="Times New Roman" w:hAnsi="Times New Roman" w:eastAsia="宋体" w:cs="Times New Roman"/>
          <w:caps w:val="0"/>
          <w:smallCaps w:val="0"/>
          <w:color w:val="auto"/>
          <w:spacing w:val="0"/>
          <w:highlight w:val="none"/>
        </w:rPr>
        <w:t>。</w:t>
      </w:r>
    </w:p>
    <w:p w14:paraId="1007779D">
      <w:pPr>
        <w:widowControl w:val="0"/>
        <w:tabs>
          <w:tab w:val="left" w:pos="3092"/>
        </w:tabs>
        <w:spacing w:line="377" w:lineRule="auto"/>
        <w:jc w:val="center"/>
        <w:rPr>
          <w:rFonts w:ascii="Times New Roman" w:hAnsi="Times New Roman" w:eastAsia="宋体" w:cs="Times New Roman"/>
          <w:b/>
          <w:bCs/>
          <w:caps w:val="0"/>
          <w:smallCaps w:val="0"/>
          <w:color w:val="auto"/>
          <w:spacing w:val="0"/>
          <w:szCs w:val="24"/>
          <w:highlight w:val="none"/>
        </w:rPr>
      </w:pPr>
      <w:r>
        <w:rPr>
          <w:color w:val="auto"/>
          <w:highlight w:val="none"/>
        </w:rPr>
        <w:drawing>
          <wp:inline distT="0" distB="0" distL="114300" distR="114300">
            <wp:extent cx="5753100" cy="4000500"/>
            <wp:effectExtent l="0" t="0" r="0" b="0"/>
            <wp:docPr id="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pic:cNvPicPr>
                      <a:picLocks noChangeAspect="1"/>
                    </pic:cNvPicPr>
                  </pic:nvPicPr>
                  <pic:blipFill>
                    <a:blip r:embed="rId31"/>
                    <a:stretch>
                      <a:fillRect/>
                    </a:stretch>
                  </pic:blipFill>
                  <pic:spPr>
                    <a:xfrm>
                      <a:off x="0" y="0"/>
                      <a:ext cx="5753100" cy="4000500"/>
                    </a:xfrm>
                    <a:prstGeom prst="rect">
                      <a:avLst/>
                    </a:prstGeom>
                    <a:noFill/>
                    <a:ln>
                      <a:noFill/>
                    </a:ln>
                  </pic:spPr>
                </pic:pic>
              </a:graphicData>
            </a:graphic>
          </wp:inline>
        </w:drawing>
      </w:r>
    </w:p>
    <w:p w14:paraId="29744F7F">
      <w:pPr>
        <w:widowControl w:val="0"/>
        <w:tabs>
          <w:tab w:val="left" w:pos="3092"/>
        </w:tabs>
        <w:spacing w:line="377"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图3.3-1项目水平衡图（m</w:t>
      </w:r>
      <w:r>
        <w:rPr>
          <w:rFonts w:ascii="Times New Roman" w:hAnsi="Times New Roman" w:eastAsia="宋体" w:cs="Times New Roman"/>
          <w:b/>
          <w:bCs/>
          <w:caps w:val="0"/>
          <w:smallCaps w:val="0"/>
          <w:color w:val="auto"/>
          <w:spacing w:val="0"/>
          <w:szCs w:val="24"/>
          <w:highlight w:val="none"/>
          <w:vertAlign w:val="superscript"/>
        </w:rPr>
        <w:t>3</w:t>
      </w:r>
      <w:r>
        <w:rPr>
          <w:rFonts w:ascii="Times New Roman" w:hAnsi="Times New Roman" w:eastAsia="宋体" w:cs="Times New Roman"/>
          <w:b/>
          <w:bCs/>
          <w:caps w:val="0"/>
          <w:smallCaps w:val="0"/>
          <w:color w:val="auto"/>
          <w:spacing w:val="0"/>
          <w:szCs w:val="24"/>
          <w:highlight w:val="none"/>
        </w:rPr>
        <w:t>/d）</w:t>
      </w:r>
    </w:p>
    <w:p w14:paraId="5DFE828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3、供电</w:t>
      </w:r>
    </w:p>
    <w:p w14:paraId="401D4DCE">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本项目用电来自于电网供电。利用原有供电设施。</w:t>
      </w:r>
    </w:p>
    <w:p w14:paraId="3470AEE2">
      <w:pPr>
        <w:pStyle w:val="5"/>
        <w:widowControl w:val="0"/>
        <w:rPr>
          <w:rFonts w:eastAsia="宋体"/>
          <w:caps w:val="0"/>
          <w:smallCaps w:val="0"/>
          <w:color w:val="auto"/>
          <w:spacing w:val="0"/>
          <w:sz w:val="30"/>
          <w:szCs w:val="30"/>
          <w:highlight w:val="none"/>
        </w:rPr>
      </w:pPr>
      <w:bookmarkStart w:id="88" w:name="_Toc18232"/>
      <w:r>
        <w:rPr>
          <w:rFonts w:eastAsia="宋体"/>
          <w:caps w:val="0"/>
          <w:smallCaps w:val="0"/>
          <w:color w:val="auto"/>
          <w:spacing w:val="0"/>
          <w:sz w:val="30"/>
          <w:szCs w:val="30"/>
          <w:highlight w:val="none"/>
        </w:rPr>
        <w:t>3.3.5依托工程</w:t>
      </w:r>
      <w:bookmarkEnd w:id="88"/>
    </w:p>
    <w:p w14:paraId="47CFDF2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1、佳木斯高新区污水处理厂</w:t>
      </w:r>
    </w:p>
    <w:p w14:paraId="51039014">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生产工艺中不含镉污水经pH调节处理后，与处理后的食堂废水及其他生活污水排入化粪池内处理，最终全部排入高新技术开发区污水处理厂，项目污水可满足《电池工业污染物排放标准》（GB30484-2013）表2太阳电池标准，同时满足开发区污水处理厂进水水质指标要求，排入开发区污水管网，最终进入开发区处理厂处理。</w:t>
      </w:r>
    </w:p>
    <w:p w14:paraId="45EF6675">
      <w:pPr>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佳木斯高新区污水处理厂于2021年建设投产，排污许可证书编号：91230800MA7DEUDTXL001V；设计处理规模3.5万m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采用污水处理工艺为：进水→粗格栅及提升泵站→细格栅及曝气沉砂池→调节池→水解酸化池→EBIS生化反应池→絮凝反应池→斜管沉淀池→回转式精密过滤→臭氧催化氧化池→紫外消毒，入厂废水经处理达到一级A标准后</w:t>
      </w:r>
      <w:r>
        <w:rPr>
          <w:rFonts w:ascii="Times New Roman" w:hAnsi="Times New Roman" w:eastAsia="宋体" w:cs="Times New Roman"/>
          <w:caps w:val="0"/>
          <w:smallCaps w:val="0"/>
          <w:color w:val="auto"/>
          <w:spacing w:val="0"/>
          <w:kern w:val="0"/>
          <w:szCs w:val="24"/>
          <w:highlight w:val="none"/>
          <w:lang w:bidi="ar"/>
        </w:rPr>
        <w:t>排入</w:t>
      </w:r>
      <w:r>
        <w:rPr>
          <w:rFonts w:hint="eastAsia" w:ascii="Times New Roman" w:hAnsi="Times New Roman" w:eastAsia="宋体" w:cs="Times New Roman"/>
          <w:caps w:val="0"/>
          <w:smallCaps w:val="0"/>
          <w:color w:val="auto"/>
          <w:spacing w:val="0"/>
          <w:kern w:val="0"/>
          <w:szCs w:val="24"/>
          <w:highlight w:val="none"/>
          <w:lang w:eastAsia="zh-CN" w:bidi="ar"/>
        </w:rPr>
        <w:t>铃铛</w:t>
      </w:r>
      <w:r>
        <w:rPr>
          <w:rFonts w:hint="eastAsia" w:ascii="Times New Roman" w:hAnsi="Times New Roman" w:eastAsia="宋体" w:cs="Times New Roman"/>
          <w:caps w:val="0"/>
          <w:smallCaps w:val="0"/>
          <w:color w:val="auto"/>
          <w:spacing w:val="0"/>
          <w:kern w:val="0"/>
          <w:szCs w:val="24"/>
          <w:highlight w:val="none"/>
          <w:lang w:bidi="ar"/>
        </w:rPr>
        <w:t>麦河</w:t>
      </w:r>
      <w:r>
        <w:rPr>
          <w:rFonts w:ascii="Times New Roman" w:hAnsi="Times New Roman" w:eastAsia="宋体" w:cs="Times New Roman"/>
          <w:caps w:val="0"/>
          <w:smallCaps w:val="0"/>
          <w:color w:val="auto"/>
          <w:spacing w:val="0"/>
          <w:kern w:val="0"/>
          <w:szCs w:val="24"/>
          <w:highlight w:val="none"/>
          <w:lang w:bidi="ar"/>
        </w:rPr>
        <w:t>，最终汇入松花江。</w:t>
      </w:r>
      <w:r>
        <w:rPr>
          <w:rFonts w:ascii="Times New Roman" w:hAnsi="Times New Roman" w:eastAsia="宋体" w:cs="Times New Roman"/>
          <w:caps w:val="0"/>
          <w:smallCaps w:val="0"/>
          <w:color w:val="auto"/>
          <w:spacing w:val="0"/>
          <w:highlight w:val="none"/>
        </w:rPr>
        <w:t>佳木斯高新区污水处理厂设计进水水质：pH6-9、COD：500mg/L、BOD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200mg/L、SS：400mg/L、氨氮：45mg/L、总磷：8mg/L、总氮：70mg/L。本项目平均排水量较小，且水质不复杂，本项目排水水质符合佳木斯高新区污水处理厂进水水质要求。因此，本项目污水进入佳木斯高新区污水处理厂处理是可行的。</w:t>
      </w:r>
    </w:p>
    <w:p w14:paraId="211A7184">
      <w:pPr>
        <w:widowControl w:val="0"/>
        <w:adjustRightInd w:val="0"/>
        <w:snapToGrid w:val="0"/>
        <w:spacing w:line="360" w:lineRule="auto"/>
        <w:ind w:left="480" w:left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2、危险废物贮存库</w:t>
      </w:r>
    </w:p>
    <w:p w14:paraId="44E7D32A">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危险废物贮存库位于厂区西侧库房内，建筑面积270m</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主要</w:t>
      </w:r>
      <w:r>
        <w:rPr>
          <w:rFonts w:hint="eastAsia" w:ascii="Times New Roman" w:hAnsi="Times New Roman" w:eastAsia="宋体" w:cs="Times New Roman"/>
          <w:caps w:val="0"/>
          <w:smallCaps w:val="0"/>
          <w:color w:val="auto"/>
          <w:spacing w:val="0"/>
          <w:szCs w:val="24"/>
          <w:highlight w:val="none"/>
          <w:lang w:val="en-US" w:eastAsia="zh-CN"/>
        </w:rPr>
        <w:t>存储</w:t>
      </w:r>
      <w:r>
        <w:rPr>
          <w:rFonts w:ascii="Times New Roman" w:hAnsi="Times New Roman" w:eastAsia="宋体" w:cs="Times New Roman"/>
          <w:caps w:val="0"/>
          <w:smallCaps w:val="0"/>
          <w:color w:val="auto"/>
          <w:spacing w:val="0"/>
          <w:szCs w:val="24"/>
          <w:highlight w:val="none"/>
        </w:rPr>
        <w:t>不合格品</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危险废物代码384-002-26</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aps w:val="0"/>
          <w:smallCaps w:val="0"/>
          <w:color w:val="auto"/>
          <w:spacing w:val="0"/>
          <w:szCs w:val="24"/>
          <w:highlight w:val="none"/>
          <w:lang w:eastAsia="zh-CN"/>
        </w:rPr>
        <w:t>、破碎玻璃电池</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危险废物代码384-002-26</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及废胶桶</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危险废物代码900-047-49</w:t>
      </w:r>
      <w:r>
        <w:rPr>
          <w:rFonts w:hint="default" w:ascii="Times New Roman" w:hAnsi="Times New Roman" w:eastAsia="宋体" w:cs="Times New Roman"/>
          <w:color w:val="auto"/>
          <w:highlight w:val="none"/>
          <w:lang w:eastAsia="zh-CN"/>
        </w:rPr>
        <w:t>）</w:t>
      </w:r>
      <w:r>
        <w:rPr>
          <w:rFonts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现实际最大储存为2t，</w:t>
      </w:r>
      <w:r>
        <w:rPr>
          <w:rFonts w:hint="eastAsia" w:ascii="Times New Roman" w:hAnsi="Times New Roman" w:eastAsia="宋体" w:cs="Times New Roman"/>
          <w:caps w:val="0"/>
          <w:smallCaps w:val="0"/>
          <w:color w:val="auto"/>
          <w:spacing w:val="0"/>
          <w:szCs w:val="24"/>
          <w:highlight w:val="none"/>
          <w:lang w:val="en-US" w:eastAsia="zh-CN"/>
        </w:rPr>
        <w:t>危废库</w:t>
      </w:r>
      <w:r>
        <w:rPr>
          <w:rFonts w:ascii="Times New Roman" w:hAnsi="Times New Roman" w:eastAsia="宋体" w:cs="Times New Roman"/>
          <w:caps w:val="0"/>
          <w:smallCaps w:val="0"/>
          <w:color w:val="auto"/>
          <w:spacing w:val="0"/>
          <w:szCs w:val="24"/>
          <w:highlight w:val="none"/>
        </w:rPr>
        <w:t>最大储存能力为200t，本项目危险废物最大产生量为</w:t>
      </w:r>
      <w:r>
        <w:rPr>
          <w:rFonts w:hint="eastAsia" w:ascii="Times New Roman" w:hAnsi="Times New Roman" w:eastAsia="宋体" w:cs="Times New Roman"/>
          <w:caps w:val="0"/>
          <w:smallCaps w:val="0"/>
          <w:color w:val="auto"/>
          <w:spacing w:val="0"/>
          <w:szCs w:val="24"/>
          <w:highlight w:val="none"/>
        </w:rPr>
        <w:t>83.</w:t>
      </w:r>
      <w:r>
        <w:rPr>
          <w:rFonts w:hint="eastAsia" w:ascii="Times New Roman" w:hAnsi="Times New Roman" w:eastAsia="宋体" w:cs="Times New Roman"/>
          <w:caps w:val="0"/>
          <w:smallCaps w:val="0"/>
          <w:color w:val="auto"/>
          <w:spacing w:val="0"/>
          <w:szCs w:val="24"/>
          <w:highlight w:val="none"/>
          <w:lang w:val="en-US" w:eastAsia="zh-CN"/>
        </w:rPr>
        <w:t>43</w:t>
      </w:r>
      <w:r>
        <w:rPr>
          <w:rFonts w:ascii="Times New Roman" w:hAnsi="Times New Roman" w:eastAsia="宋体" w:cs="Times New Roman"/>
          <w:caps w:val="0"/>
          <w:smallCaps w:val="0"/>
          <w:color w:val="auto"/>
          <w:spacing w:val="0"/>
          <w:szCs w:val="24"/>
          <w:highlight w:val="none"/>
        </w:rPr>
        <w:t>t/a，剩余能力可满足本项目危险废物储存量。</w:t>
      </w:r>
      <w:r>
        <w:rPr>
          <w:rFonts w:ascii="Times New Roman" w:hAnsi="Times New Roman" w:eastAsia="宋体" w:cs="Times New Roman"/>
          <w:caps w:val="0"/>
          <w:smallCaps w:val="0"/>
          <w:color w:val="auto"/>
          <w:spacing w:val="0"/>
          <w:szCs w:val="24"/>
          <w:highlight w:val="none"/>
        </w:rPr>
        <w:t>危废贮存库按照《危险废物贮存污染控制标准》（GB18597-2023）相关规定进行设置，对危废贮存库贮存区进行坡度设计；贮存区地面用坚固、防渗的材料建造</w:t>
      </w:r>
      <w:r>
        <w:rPr>
          <w:rFonts w:hint="eastAsia" w:ascii="Times New Roman" w:hAnsi="Times New Roman" w:eastAsia="宋体" w:cs="Times New Roman"/>
          <w:caps w:val="0"/>
          <w:smallCaps w:val="0"/>
          <w:color w:val="auto"/>
          <w:spacing w:val="0"/>
          <w:szCs w:val="24"/>
          <w:highlight w:val="none"/>
          <w:lang w:eastAsia="zh-CN"/>
        </w:rPr>
        <w:t>，</w:t>
      </w:r>
      <w:r>
        <w:rPr>
          <w:rFonts w:ascii="Times New Roman" w:hAnsi="Times New Roman" w:eastAsia="宋体" w:cs="Times New Roman"/>
          <w:caps w:val="0"/>
          <w:smallCaps w:val="0"/>
          <w:color w:val="auto"/>
          <w:spacing w:val="0"/>
          <w:szCs w:val="24"/>
          <w:highlight w:val="none"/>
        </w:rPr>
        <w:t>贮存区有耐腐蚀的硬化地面，</w:t>
      </w:r>
      <w:r>
        <w:rPr>
          <w:rFonts w:hint="eastAsia" w:ascii="Times New Roman" w:hAnsi="Times New Roman" w:eastAsia="宋体" w:cs="Times New Roman"/>
          <w:caps w:val="0"/>
          <w:smallCaps w:val="0"/>
          <w:color w:val="auto"/>
          <w:spacing w:val="0"/>
          <w:szCs w:val="24"/>
          <w:highlight w:val="none"/>
          <w:lang w:val="en-US" w:eastAsia="zh-CN"/>
        </w:rPr>
        <w:t>危险废物贮存库</w:t>
      </w:r>
      <w:r>
        <w:rPr>
          <w:rFonts w:hint="eastAsia" w:ascii="Times New Roman" w:hAnsi="Times New Roman" w:eastAsia="宋体" w:cs="Times New Roman"/>
          <w:caps w:val="0"/>
          <w:smallCaps w:val="0"/>
          <w:color w:val="auto"/>
          <w:spacing w:val="0"/>
          <w:szCs w:val="24"/>
          <w:highlight w:val="none"/>
        </w:rPr>
        <w:t>整体加铺一层5mmPDHE膜抗渗层，沿墙上卷200mm，上部50mm厚C25细石混凝土保护层</w:t>
      </w:r>
      <w:r>
        <w:rPr>
          <w:rFonts w:hint="eastAsia" w:ascii="Times New Roman" w:hAnsi="Times New Roman" w:eastAsia="宋体" w:cs="Times New Roman"/>
          <w:caps w:val="0"/>
          <w:smallCaps w:val="0"/>
          <w:color w:val="auto"/>
          <w:spacing w:val="0"/>
          <w:szCs w:val="24"/>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贮存区设有围堰，</w:t>
      </w:r>
      <w:r>
        <w:rPr>
          <w:rFonts w:ascii="Times New Roman" w:hAnsi="Times New Roman" w:eastAsia="宋体" w:cs="Times New Roman"/>
          <w:caps w:val="0"/>
          <w:smallCaps w:val="0"/>
          <w:color w:val="auto"/>
          <w:spacing w:val="0"/>
          <w:szCs w:val="24"/>
          <w:highlight w:val="none"/>
        </w:rPr>
        <w:t>渗透系数≤10</w:t>
      </w:r>
      <w:r>
        <w:rPr>
          <w:rFonts w:ascii="Times New Roman" w:hAnsi="Times New Roman" w:eastAsia="宋体" w:cs="Times New Roman"/>
          <w:caps w:val="0"/>
          <w:smallCaps w:val="0"/>
          <w:color w:val="auto"/>
          <w:spacing w:val="0"/>
          <w:szCs w:val="24"/>
          <w:highlight w:val="none"/>
          <w:vertAlign w:val="superscript"/>
        </w:rPr>
        <w:t>-10</w:t>
      </w:r>
      <w:r>
        <w:rPr>
          <w:rFonts w:ascii="Times New Roman" w:hAnsi="Times New Roman" w:eastAsia="宋体" w:cs="Times New Roman"/>
          <w:caps w:val="0"/>
          <w:smallCaps w:val="0"/>
          <w:color w:val="auto"/>
          <w:spacing w:val="0"/>
          <w:szCs w:val="24"/>
          <w:highlight w:val="none"/>
        </w:rPr>
        <w:t>cm/s，</w:t>
      </w:r>
      <w:r>
        <w:rPr>
          <w:rFonts w:hint="eastAsia" w:ascii="Times New Roman" w:hAnsi="Times New Roman" w:eastAsia="宋体" w:cs="Times New Roman"/>
          <w:caps w:val="0"/>
          <w:smallCaps w:val="0"/>
          <w:color w:val="auto"/>
          <w:spacing w:val="0"/>
          <w:szCs w:val="24"/>
          <w:highlight w:val="none"/>
          <w:lang w:val="en-US" w:eastAsia="zh-CN"/>
        </w:rPr>
        <w:t>并已</w:t>
      </w:r>
      <w:r>
        <w:rPr>
          <w:rFonts w:ascii="Times New Roman" w:hAnsi="Times New Roman" w:eastAsia="宋体" w:cs="Times New Roman"/>
          <w:caps w:val="0"/>
          <w:smallCaps w:val="0"/>
          <w:color w:val="auto"/>
          <w:spacing w:val="0"/>
          <w:szCs w:val="24"/>
          <w:highlight w:val="none"/>
        </w:rPr>
        <w:t>按照GB15562的规定设置警示标志</w:t>
      </w:r>
      <w:r>
        <w:rPr>
          <w:rFonts w:hint="eastAsia" w:ascii="Times New Roman" w:hAnsi="Times New Roman" w:eastAsia="宋体" w:cs="Times New Roman"/>
          <w:caps w:val="0"/>
          <w:smallCaps w:val="0"/>
          <w:color w:val="auto"/>
          <w:spacing w:val="0"/>
          <w:szCs w:val="24"/>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危险废物贮存库照片见附件</w:t>
      </w:r>
      <w:r>
        <w:rPr>
          <w:rFonts w:ascii="Times New Roman" w:hAnsi="Times New Roman" w:eastAsia="宋体" w:cs="Times New Roman"/>
          <w:caps w:val="0"/>
          <w:smallCaps w:val="0"/>
          <w:color w:val="auto"/>
          <w:spacing w:val="0"/>
          <w:szCs w:val="24"/>
          <w:highlight w:val="none"/>
        </w:rPr>
        <w:t>。</w:t>
      </w:r>
    </w:p>
    <w:p w14:paraId="3FB2622F">
      <w:pPr>
        <w:pStyle w:val="5"/>
        <w:widowControl w:val="0"/>
        <w:rPr>
          <w:rFonts w:eastAsia="宋体"/>
          <w:caps w:val="0"/>
          <w:smallCaps w:val="0"/>
          <w:color w:val="auto"/>
          <w:spacing w:val="0"/>
          <w:sz w:val="30"/>
          <w:szCs w:val="30"/>
          <w:highlight w:val="none"/>
        </w:rPr>
      </w:pPr>
      <w:bookmarkStart w:id="89" w:name="_Toc26663"/>
      <w:r>
        <w:rPr>
          <w:rFonts w:eastAsia="宋体"/>
          <w:caps w:val="0"/>
          <w:smallCaps w:val="0"/>
          <w:color w:val="auto"/>
          <w:spacing w:val="0"/>
          <w:sz w:val="30"/>
          <w:szCs w:val="30"/>
          <w:highlight w:val="none"/>
        </w:rPr>
        <w:t>3.3.6厂址</w:t>
      </w:r>
      <w:bookmarkEnd w:id="89"/>
    </w:p>
    <w:p w14:paraId="56A9462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本项目位于佳木斯市高新技术产业开发区中的</w:t>
      </w:r>
      <w:r>
        <w:rPr>
          <w:rFonts w:ascii="Times New Roman" w:hAnsi="Times New Roman" w:eastAsia="宋体" w:cs="Times New Roman"/>
          <w:caps w:val="0"/>
          <w:smallCaps w:val="0"/>
          <w:color w:val="auto"/>
          <w:spacing w:val="0"/>
          <w:szCs w:val="22"/>
          <w:highlight w:val="none"/>
        </w:rPr>
        <w:t>轻工产业园（含新材料）</w:t>
      </w:r>
      <w:r>
        <w:rPr>
          <w:rFonts w:ascii="Times New Roman" w:hAnsi="Times New Roman" w:eastAsia="宋体" w:cs="Times New Roman"/>
          <w:caps w:val="0"/>
          <w:smallCaps w:val="0"/>
          <w:color w:val="auto"/>
          <w:spacing w:val="0"/>
          <w:highlight w:val="none"/>
        </w:rPr>
        <w:t>内，中华路与乌苏里江街交叉口西北角，厂址中心坐标为：东经130.460748°、北纬46.814809°。厂址四周都为园区内部用地，</w:t>
      </w:r>
      <w:r>
        <w:rPr>
          <w:rFonts w:hint="eastAsia" w:ascii="Times New Roman" w:hAnsi="Times New Roman" w:eastAsia="宋体" w:cs="Times New Roman"/>
          <w:caps w:val="0"/>
          <w:smallCaps w:val="0"/>
          <w:color w:val="auto"/>
          <w:spacing w:val="0"/>
          <w:highlight w:val="none"/>
          <w:lang w:val="en-US" w:eastAsia="zh-CN"/>
        </w:rPr>
        <w:t>西侧为</w:t>
      </w:r>
      <w:r>
        <w:rPr>
          <w:rFonts w:ascii="Times New Roman" w:hAnsi="Times New Roman" w:eastAsia="宋体" w:cs="Times New Roman"/>
          <w:caps w:val="0"/>
          <w:smallCaps w:val="0"/>
          <w:color w:val="auto"/>
          <w:spacing w:val="0"/>
          <w:highlight w:val="none"/>
        </w:rPr>
        <w:t>百威英博</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南侧隔</w:t>
      </w:r>
      <w:r>
        <w:rPr>
          <w:rFonts w:hint="eastAsia" w:ascii="Times New Roman" w:hAnsi="Times New Roman" w:eastAsia="宋体" w:cs="Times New Roman"/>
          <w:caps w:val="0"/>
          <w:smallCaps w:val="0"/>
          <w:color w:val="auto"/>
          <w:spacing w:val="0"/>
          <w:highlight w:val="none"/>
          <w:lang w:val="en-US" w:eastAsia="zh-CN"/>
        </w:rPr>
        <w:t>中华</w:t>
      </w:r>
      <w:r>
        <w:rPr>
          <w:rFonts w:ascii="Times New Roman" w:hAnsi="Times New Roman" w:eastAsia="宋体" w:cs="Times New Roman"/>
          <w:caps w:val="0"/>
          <w:smallCaps w:val="0"/>
          <w:color w:val="auto"/>
          <w:spacing w:val="0"/>
          <w:highlight w:val="none"/>
        </w:rPr>
        <w:t>路为百威英博</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东侧隔</w:t>
      </w:r>
      <w:r>
        <w:rPr>
          <w:rFonts w:hint="eastAsia" w:ascii="Times New Roman" w:hAnsi="Times New Roman" w:eastAsia="宋体" w:cs="Times New Roman"/>
          <w:caps w:val="0"/>
          <w:smallCaps w:val="0"/>
          <w:color w:val="auto"/>
          <w:spacing w:val="0"/>
          <w:highlight w:val="none"/>
          <w:lang w:val="en-US" w:eastAsia="zh-CN"/>
        </w:rPr>
        <w:t>乌苏里江街</w:t>
      </w:r>
      <w:r>
        <w:rPr>
          <w:rFonts w:ascii="Times New Roman" w:hAnsi="Times New Roman" w:eastAsia="宋体" w:cs="Times New Roman"/>
          <w:caps w:val="0"/>
          <w:smallCaps w:val="0"/>
          <w:color w:val="auto"/>
          <w:spacing w:val="0"/>
          <w:highlight w:val="none"/>
        </w:rPr>
        <w:t>为金鼎建材和龙江机械，北侧为园区规划工业用地</w:t>
      </w:r>
      <w:r>
        <w:rPr>
          <w:rFonts w:ascii="Times New Roman" w:hAnsi="Times New Roman" w:eastAsia="宋体" w:cs="Times New Roman"/>
          <w:caps w:val="0"/>
          <w:smallCaps w:val="0"/>
          <w:color w:val="auto"/>
          <w:spacing w:val="0"/>
          <w:highlight w:val="none"/>
        </w:rPr>
        <w:t>。建设项目地理位置见附图1。</w:t>
      </w:r>
    </w:p>
    <w:p w14:paraId="48B4F1DA">
      <w:pPr>
        <w:pStyle w:val="5"/>
        <w:widowControl w:val="0"/>
        <w:rPr>
          <w:rFonts w:eastAsia="宋体"/>
          <w:caps w:val="0"/>
          <w:smallCaps w:val="0"/>
          <w:color w:val="auto"/>
          <w:spacing w:val="0"/>
          <w:sz w:val="30"/>
          <w:szCs w:val="30"/>
          <w:highlight w:val="none"/>
        </w:rPr>
      </w:pPr>
      <w:bookmarkStart w:id="90" w:name="_Toc7108"/>
      <w:r>
        <w:rPr>
          <w:rFonts w:eastAsia="宋体"/>
          <w:caps w:val="0"/>
          <w:smallCaps w:val="0"/>
          <w:color w:val="auto"/>
          <w:spacing w:val="0"/>
          <w:sz w:val="30"/>
          <w:szCs w:val="30"/>
          <w:highlight w:val="none"/>
        </w:rPr>
        <w:t>3.3.7总图布置</w:t>
      </w:r>
      <w:bookmarkEnd w:id="90"/>
    </w:p>
    <w:p w14:paraId="07E77886">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原则：根据建筑法规及设计规范、本项目特点，按照消防、环保、卫生、土地、交通、安全、绿化等方面规范要求，将厂区分成两个区域，分别是：办公生活区及联合生产车间。另外，为了实现人车分流，方便生产管理，厂区内设置了货物出入口和人流出入口。</w:t>
      </w:r>
    </w:p>
    <w:p w14:paraId="17DB50F1">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2、总平面布置方案说明</w:t>
      </w:r>
    </w:p>
    <w:p w14:paraId="5EC6D50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办公区：将办公区布置在厂区的南侧，主要包括办公楼、食堂和员工宿舍等生活设施。</w:t>
      </w:r>
    </w:p>
    <w:p w14:paraId="69CEBDFD">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联合车间：发电玻璃联合车间布置在厂区中间，办公区的北部。在联合车间的四周设置辅房，生产所需的动力设施均布置在辅房内，包括空压站、液氮贮存及</w:t>
      </w:r>
      <w:r>
        <w:rPr>
          <w:rFonts w:hint="eastAsia" w:ascii="Times New Roman" w:hAnsi="Times New Roman" w:eastAsia="宋体" w:cs="Times New Roman"/>
          <w:caps w:val="0"/>
          <w:smallCaps w:val="0"/>
          <w:color w:val="auto"/>
          <w:spacing w:val="0"/>
          <w:highlight w:val="none"/>
        </w:rPr>
        <w:t>气化</w:t>
      </w:r>
      <w:r>
        <w:rPr>
          <w:rFonts w:ascii="Times New Roman" w:hAnsi="Times New Roman" w:eastAsia="宋体" w:cs="Times New Roman"/>
          <w:caps w:val="0"/>
          <w:smallCaps w:val="0"/>
          <w:color w:val="auto"/>
          <w:spacing w:val="0"/>
          <w:highlight w:val="none"/>
        </w:rPr>
        <w:t>系统。</w:t>
      </w:r>
      <w:r>
        <w:rPr>
          <w:rFonts w:hint="eastAsia" w:ascii="Times New Roman" w:hAnsi="Times New Roman" w:eastAsia="宋体" w:cs="Times New Roman"/>
          <w:caps w:val="0"/>
          <w:smallCaps w:val="0"/>
          <w:color w:val="auto"/>
          <w:spacing w:val="0"/>
          <w:highlight w:val="none"/>
        </w:rPr>
        <w:t>危险废物贮存库位于厂区北侧，污水处理站位于联合车间内西南侧，离线实验室位于联合车间内的东北侧。</w:t>
      </w:r>
    </w:p>
    <w:p w14:paraId="6A52DC04">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出入口：根据厂区外市政道路分布的特点，在厂区的南侧设一个出入口，为人流出入口，在厂区东北角设备货物出入口可直接</w:t>
      </w:r>
      <w:r>
        <w:rPr>
          <w:rFonts w:hint="eastAsia" w:ascii="Times New Roman" w:hAnsi="Times New Roman" w:eastAsia="宋体" w:cs="Times New Roman"/>
          <w:caps w:val="0"/>
          <w:smallCaps w:val="0"/>
          <w:color w:val="auto"/>
          <w:spacing w:val="0"/>
          <w:highlight w:val="none"/>
        </w:rPr>
        <w:t>进入</w:t>
      </w:r>
      <w:r>
        <w:rPr>
          <w:rFonts w:ascii="Times New Roman" w:hAnsi="Times New Roman" w:eastAsia="宋体" w:cs="Times New Roman"/>
          <w:caps w:val="0"/>
          <w:smallCaps w:val="0"/>
          <w:color w:val="auto"/>
          <w:spacing w:val="0"/>
          <w:highlight w:val="none"/>
        </w:rPr>
        <w:t>生产区，人流出入口可直接进入办公生活区。</w:t>
      </w:r>
    </w:p>
    <w:p w14:paraId="1E17572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交通运输：为了满足厂区运输及消防车辆的作业安全及交通顺畅，在建筑物布置时，考虑建筑物与道路之间留有一定的安全距离；在物料堆放时，不得占用道路或消防通道；设计采用环状布置，主要道路宽10m和8m，次要道路宽4m，转弯半径不得小于9m。路面采用混凝土路面。</w:t>
      </w:r>
    </w:p>
    <w:p w14:paraId="29C2546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绿化：厂区绿化设计与开发区绿化规划保持一致，所种植的草坪与树种与开发区的现状环境相互协调。以点、线、面相结合，在主、次干道两侧以乔、灌木相结合的方式进行绿化；厂前区</w:t>
      </w:r>
      <w:r>
        <w:rPr>
          <w:rFonts w:hint="eastAsia" w:ascii="Times New Roman" w:hAnsi="Times New Roman" w:eastAsia="宋体" w:cs="Times New Roman"/>
          <w:caps w:val="0"/>
          <w:smallCaps w:val="0"/>
          <w:color w:val="auto"/>
          <w:spacing w:val="0"/>
          <w:highlight w:val="none"/>
        </w:rPr>
        <w:t>种植</w:t>
      </w:r>
      <w:r>
        <w:rPr>
          <w:rFonts w:ascii="Times New Roman" w:hAnsi="Times New Roman" w:eastAsia="宋体" w:cs="Times New Roman"/>
          <w:caps w:val="0"/>
          <w:smallCaps w:val="0"/>
          <w:color w:val="auto"/>
          <w:spacing w:val="0"/>
          <w:highlight w:val="none"/>
        </w:rPr>
        <w:t>四季常青的树木、花卉；联合车间周围</w:t>
      </w:r>
      <w:r>
        <w:rPr>
          <w:rFonts w:hint="eastAsia" w:ascii="Times New Roman" w:hAnsi="Times New Roman" w:eastAsia="宋体" w:cs="Times New Roman"/>
          <w:caps w:val="0"/>
          <w:smallCaps w:val="0"/>
          <w:color w:val="auto"/>
          <w:spacing w:val="0"/>
          <w:highlight w:val="none"/>
        </w:rPr>
        <w:t>种植</w:t>
      </w:r>
      <w:r>
        <w:rPr>
          <w:rFonts w:ascii="Times New Roman" w:hAnsi="Times New Roman" w:eastAsia="宋体" w:cs="Times New Roman"/>
          <w:caps w:val="0"/>
          <w:smallCaps w:val="0"/>
          <w:color w:val="auto"/>
          <w:spacing w:val="0"/>
          <w:highlight w:val="none"/>
        </w:rPr>
        <w:t>除尘抗噪性较强的树种、植被，以改善厂区环境；</w:t>
      </w:r>
      <w:r>
        <w:rPr>
          <w:rFonts w:hint="eastAsia" w:ascii="Times New Roman" w:hAnsi="Times New Roman" w:eastAsia="宋体" w:cs="Times New Roman"/>
          <w:caps w:val="0"/>
          <w:smallCaps w:val="0"/>
          <w:color w:val="auto"/>
          <w:spacing w:val="0"/>
          <w:highlight w:val="none"/>
        </w:rPr>
        <w:t>其他</w:t>
      </w:r>
      <w:r>
        <w:rPr>
          <w:rFonts w:ascii="Times New Roman" w:hAnsi="Times New Roman" w:eastAsia="宋体" w:cs="Times New Roman"/>
          <w:caps w:val="0"/>
          <w:smallCaps w:val="0"/>
          <w:color w:val="auto"/>
          <w:spacing w:val="0"/>
          <w:highlight w:val="none"/>
        </w:rPr>
        <w:t>空地种植草坪，以增加厂区绿化面积。</w:t>
      </w:r>
    </w:p>
    <w:p w14:paraId="4C6187D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项目在生产环节会有一定量的重金属镉以大气污染物形式排放，在总图布置环节项目将主体生产车间布置在厂区中北部，在办公生活区的常年主导风向的侧风向，同时也远离百威英博，一定量的减少了项目排放污染物对周围环境和内部办公生活区的影响，同时在项目北侧为二期预留了发展空间。因此，从厂区布置合理性角度看，厂区布局基本合理。总平面</w:t>
      </w:r>
      <w:r>
        <w:rPr>
          <w:rFonts w:hint="eastAsia" w:eastAsia="宋体"/>
          <w:caps w:val="0"/>
          <w:smallCaps w:val="0"/>
          <w:color w:val="auto"/>
          <w:spacing w:val="0"/>
          <w:highlight w:val="none"/>
        </w:rPr>
        <w:t>布置</w:t>
      </w:r>
      <w:r>
        <w:rPr>
          <w:rFonts w:eastAsia="宋体"/>
          <w:caps w:val="0"/>
          <w:smallCaps w:val="0"/>
          <w:color w:val="auto"/>
          <w:spacing w:val="0"/>
          <w:highlight w:val="none"/>
        </w:rPr>
        <w:t>情况附图</w:t>
      </w:r>
      <w:r>
        <w:rPr>
          <w:rFonts w:hint="eastAsia" w:eastAsia="宋体"/>
          <w:caps w:val="0"/>
          <w:smallCaps w:val="0"/>
          <w:color w:val="auto"/>
          <w:spacing w:val="0"/>
          <w:highlight w:val="none"/>
          <w:lang w:val="en-US" w:eastAsia="zh-CN"/>
        </w:rPr>
        <w:t>4</w:t>
      </w:r>
      <w:r>
        <w:rPr>
          <w:rFonts w:eastAsia="宋体"/>
          <w:caps w:val="0"/>
          <w:smallCaps w:val="0"/>
          <w:color w:val="auto"/>
          <w:spacing w:val="0"/>
          <w:highlight w:val="none"/>
        </w:rPr>
        <w:t>。</w:t>
      </w:r>
    </w:p>
    <w:p w14:paraId="4CA21DCA">
      <w:pPr>
        <w:pStyle w:val="4"/>
        <w:widowControl w:val="0"/>
        <w:rPr>
          <w:rFonts w:eastAsia="宋体"/>
          <w:caps w:val="0"/>
          <w:smallCaps w:val="0"/>
          <w:color w:val="auto"/>
          <w:spacing w:val="0"/>
          <w:highlight w:val="none"/>
        </w:rPr>
      </w:pPr>
      <w:bookmarkStart w:id="91" w:name="_Toc28003"/>
      <w:r>
        <w:rPr>
          <w:rFonts w:eastAsia="宋体"/>
          <w:caps w:val="0"/>
          <w:smallCaps w:val="0"/>
          <w:color w:val="auto"/>
          <w:spacing w:val="0"/>
          <w:highlight w:val="none"/>
        </w:rPr>
        <w:t>3.4生产工艺流程</w:t>
      </w:r>
      <w:bookmarkEnd w:id="91"/>
    </w:p>
    <w:p w14:paraId="0FC3160E">
      <w:pPr>
        <w:pStyle w:val="65"/>
        <w:widowControl w:val="0"/>
        <w:ind w:firstLine="480"/>
        <w:jc w:val="both"/>
        <w:rPr>
          <w:rFonts w:eastAsia="宋体"/>
          <w:caps w:val="0"/>
          <w:smallCaps w:val="0"/>
          <w:color w:val="auto"/>
          <w:spacing w:val="0"/>
          <w:highlight w:val="none"/>
        </w:rPr>
      </w:pPr>
      <w:r>
        <w:rPr>
          <w:rFonts w:eastAsia="宋体"/>
          <w:bCs/>
          <w:caps w:val="0"/>
          <w:smallCaps w:val="0"/>
          <w:color w:val="auto"/>
          <w:spacing w:val="0"/>
          <w:highlight w:val="none"/>
        </w:rPr>
        <w:t>太阳能电池基本工作原理：</w:t>
      </w:r>
      <w:r>
        <w:rPr>
          <w:rFonts w:eastAsia="宋体"/>
          <w:caps w:val="0"/>
          <w:smallCaps w:val="0"/>
          <w:color w:val="auto"/>
          <w:spacing w:val="0"/>
          <w:highlight w:val="none"/>
        </w:rPr>
        <w:t>太阳能电池是将光能直接转化成电能的半导体功能器件。</w:t>
      </w:r>
    </w:p>
    <w:p w14:paraId="13E43AE9">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太阳能电池发电的原理：基于光伏效应，即由太阳光子与半导体互相作用而产生电势，从而输出电流对外做功。p-n结型太阳能电池的基本工作原理是：p型半导体（空穴浓度远大于自由电子浓度的杂质半导体，主要靠空穴导电）与n型半导体（自由电子浓度远大于空穴浓度的杂质半导体，主要靠自由电子导电）结合在一起形成p-n结，由于多数载流子的扩散形成空间电荷区，同时形成一个不断增强的从n型到p型半导体的内建电场，导致多数载流子反向漂移。当这一过程达到平衡时，扩散电流就和漂移电流相等。当有光照射p-n结，且光子能量大于p-n结的禁带宽度（即被束缚的电子成为自由电子需要获取的最少能量）时，吸收层的电子获得能量跃迁到导带（即固体结构内自由运动的电子所具有的能量范围），同时在价带（被电子占满的最高能带）中产生空穴，在p-n结附近就会产生电子-空穴对，产生的非平衡载流子由于内建电场的作用将向空间电荷区两端漂移从而产生光生电势。将p-n结与外电路导通，电路中会出现电流。这一现象称为光生伏特效应，简称光伏效应。碲化镉薄膜太阳能电池是在玻璃或</w:t>
      </w:r>
      <w:r>
        <w:rPr>
          <w:rFonts w:hint="eastAsia" w:eastAsia="宋体"/>
          <w:caps w:val="0"/>
          <w:smallCaps w:val="0"/>
          <w:color w:val="auto"/>
          <w:spacing w:val="0"/>
          <w:highlight w:val="none"/>
        </w:rPr>
        <w:t>其他</w:t>
      </w:r>
      <w:r>
        <w:rPr>
          <w:rFonts w:eastAsia="宋体"/>
          <w:caps w:val="0"/>
          <w:smallCaps w:val="0"/>
          <w:color w:val="auto"/>
          <w:spacing w:val="0"/>
          <w:highlight w:val="none"/>
        </w:rPr>
        <w:t>柔性衬底上依次沉积多层薄膜而构成的光伏器件，其异质结由p型的CdTe和n型的CdSe构成。CdTe的禁带宽度为1.45eV，CdTe的光谱响应和太阳光谱非常匹配。该种电池由六层结构组成，即玻璃衬底、透明导电氧化层(TCO层)、硒化镉(CdSe)窗口层、碲化镉(CdTe)吸收层、背接触层、背电极层。各层结构的作用如下：</w:t>
      </w:r>
    </w:p>
    <w:p w14:paraId="0FB5420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（1）玻璃衬底：主要对电池起到支架、防止污染和入射太阳光的作用。</w:t>
      </w:r>
    </w:p>
    <w:p w14:paraId="519E1FB4">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（2）透明导电氧化层(TCO层)：起到透光、导电、薄膜电池电极的作用。</w:t>
      </w:r>
    </w:p>
    <w:p w14:paraId="03BC2D1B">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（3）硒化镉(CdSe)窗口层：为n型半导体，几乎所有的可见光都可以透过。</w:t>
      </w:r>
    </w:p>
    <w:p w14:paraId="259D27B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（4）碲化镉(CdTe)吸收层：为p型半导体，是电池的主吸光层，与n型CdSe组成p-n结构，p-n结构是整个电池的最核心部分。</w:t>
      </w:r>
    </w:p>
    <w:p w14:paraId="3C7454E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（5）背接触层：起到降低CdTe与金属电极的电极势垒，引出电流。</w:t>
      </w:r>
    </w:p>
    <w:p w14:paraId="65C3EF6C">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（6）背电极层：作为薄膜电池的一个电极。</w:t>
      </w:r>
    </w:p>
    <w:p w14:paraId="118F26BC">
      <w:pPr>
        <w:pStyle w:val="65"/>
        <w:widowControl w:val="0"/>
        <w:ind w:firstLine="0" w:firstLineChars="0"/>
        <w:rPr>
          <w:rFonts w:eastAsia="宋体"/>
          <w:caps w:val="0"/>
          <w:smallCaps w:val="0"/>
          <w:color w:val="auto"/>
          <w:spacing w:val="0"/>
          <w:highlight w:val="none"/>
        </w:rPr>
      </w:pPr>
    </w:p>
    <w:p w14:paraId="5DE8CDAF">
      <w:pPr>
        <w:widowControl w:val="0"/>
        <w:rPr>
          <w:rFonts w:ascii="Times New Roman" w:hAnsi="Times New Roman" w:eastAsia="宋体" w:cs="Times New Roman"/>
          <w:caps w:val="0"/>
          <w:smallCaps w:val="0"/>
          <w:color w:val="auto"/>
          <w:spacing w:val="0"/>
          <w:sz w:val="4"/>
          <w:szCs w:val="4"/>
          <w:highlight w:val="none"/>
        </w:rPr>
      </w:pPr>
    </w:p>
    <w:p w14:paraId="1C774BF3">
      <w:pPr>
        <w:widowControl w:val="0"/>
        <w:spacing w:line="3234" w:lineRule="exact"/>
        <w:ind w:left="553"/>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highlight w:val="none"/>
        </w:rPr>
        <w:drawing>
          <wp:inline distT="0" distB="0" distL="114300" distR="114300">
            <wp:extent cx="4314825" cy="2676525"/>
            <wp:effectExtent l="0" t="0" r="9525" b="9525"/>
            <wp:docPr id="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7"/>
                    <pic:cNvPicPr>
                      <a:picLocks noChangeAspect="1"/>
                    </pic:cNvPicPr>
                  </pic:nvPicPr>
                  <pic:blipFill>
                    <a:blip r:embed="rId32"/>
                    <a:stretch>
                      <a:fillRect/>
                    </a:stretch>
                  </pic:blipFill>
                  <pic:spPr>
                    <a:xfrm>
                      <a:off x="0" y="0"/>
                      <a:ext cx="4314825" cy="2676525"/>
                    </a:xfrm>
                    <a:prstGeom prst="rect">
                      <a:avLst/>
                    </a:prstGeom>
                    <a:noFill/>
                    <a:ln>
                      <a:noFill/>
                    </a:ln>
                  </pic:spPr>
                </pic:pic>
              </a:graphicData>
            </a:graphic>
          </wp:inline>
        </w:drawing>
      </w:r>
    </w:p>
    <w:p w14:paraId="325CE896">
      <w:pPr>
        <w:widowControl w:val="0"/>
        <w:tabs>
          <w:tab w:val="left" w:pos="3092"/>
        </w:tabs>
        <w:spacing w:line="377" w:lineRule="auto"/>
        <w:jc w:val="center"/>
        <w:rPr>
          <w:rFonts w:ascii="Times New Roman" w:hAnsi="Times New Roman" w:eastAsia="宋体" w:cs="Times New Roman"/>
          <w:b/>
          <w:bCs/>
          <w:caps w:val="0"/>
          <w:smallCaps w:val="0"/>
          <w:color w:val="auto"/>
          <w:spacing w:val="0"/>
          <w:w w:val="99"/>
          <w:szCs w:val="24"/>
          <w:highlight w:val="none"/>
        </w:rPr>
      </w:pPr>
      <w:r>
        <w:rPr>
          <w:rFonts w:ascii="Times New Roman" w:hAnsi="Times New Roman" w:eastAsia="宋体" w:cs="Times New Roman"/>
          <w:b/>
          <w:bCs/>
          <w:caps w:val="0"/>
          <w:smallCaps w:val="0"/>
          <w:color w:val="auto"/>
          <w:spacing w:val="0"/>
          <w:szCs w:val="24"/>
          <w:highlight w:val="none"/>
        </w:rPr>
        <w:t>图3.4-1高效碲化镉太阳能电池组件结构示意图</w:t>
      </w:r>
    </w:p>
    <w:p w14:paraId="093489A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当光从玻璃面入射时，电池吸收光能产生光生电子—空穴对，在电池内建电场的作用下，光生电子和空穴被分离，空穴漂移到P侧，电子漂移到N侧，形成光生电势，外电路接通时，产生电流，从透明导电膜和铝引出。</w:t>
      </w:r>
    </w:p>
    <w:p w14:paraId="682BED0B">
      <w:pPr>
        <w:pStyle w:val="65"/>
        <w:widowControl w:val="0"/>
        <w:ind w:firstLine="480"/>
        <w:rPr>
          <w:rFonts w:eastAsia="宋体"/>
          <w:caps w:val="0"/>
          <w:smallCaps w:val="0"/>
          <w:color w:val="auto"/>
          <w:spacing w:val="0"/>
          <w:highlight w:val="none"/>
        </w:rPr>
      </w:pPr>
      <w:bookmarkStart w:id="92" w:name="3.2.5.2_反应原理"/>
      <w:bookmarkEnd w:id="92"/>
      <w:r>
        <w:rPr>
          <w:rFonts w:eastAsia="宋体"/>
          <w:bCs/>
          <w:caps w:val="0"/>
          <w:smallCaps w:val="0"/>
          <w:color w:val="auto"/>
          <w:spacing w:val="0"/>
          <w:highlight w:val="none"/>
        </w:rPr>
        <w:t>反应原理：</w:t>
      </w:r>
      <w:r>
        <w:rPr>
          <w:rFonts w:eastAsia="宋体"/>
          <w:caps w:val="0"/>
          <w:smallCaps w:val="0"/>
          <w:color w:val="auto"/>
          <w:spacing w:val="0"/>
          <w:highlight w:val="none"/>
        </w:rPr>
        <w:t>本项目外购的TCO玻璃（即透明导电氧化物镀膜玻璃）是已经在玻璃衬底上镀上导电氧化物薄膜的玻璃，本项目只需在TCO玻璃上镀上其余结构，主要通过高温沉积CdSe薄膜和CdTe薄膜、活化退火、激光划线、背电极溅镀、固化层压等工序来生产碲化镉薄膜太阳能电池，整个生产工艺为连续生产。</w:t>
      </w:r>
    </w:p>
    <w:p w14:paraId="6EA47D0C">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（一）技术路线</w:t>
      </w:r>
    </w:p>
    <w:p w14:paraId="61A8609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本项目采用CdTe薄膜发电玻璃核心技术，从生产线的角度分析，发电玻璃板生产线是一条工作机组相互协调、连续生产的链条，主要有前端镀膜线和后段组装线两部分组成。</w:t>
      </w:r>
    </w:p>
    <w:p w14:paraId="4AE5542C">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前段镀膜线分为四个工段：1、玻璃预处理；2、CdSe/CdTe沉积；3、PN结退火；4、背电极制备。</w:t>
      </w:r>
    </w:p>
    <w:p w14:paraId="738C09C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后段组装线主要包括封装和测试两个工段。</w:t>
      </w:r>
    </w:p>
    <w:p w14:paraId="14C36B6A">
      <w:pPr>
        <w:pStyle w:val="65"/>
        <w:widowControl w:val="0"/>
        <w:ind w:firstLine="0" w:firstLineChars="0"/>
        <w:rPr>
          <w:rFonts w:eastAsia="宋体"/>
          <w:caps w:val="0"/>
          <w:smallCaps w:val="0"/>
          <w:color w:val="auto"/>
          <w:spacing w:val="0"/>
          <w:sz w:val="23"/>
          <w:szCs w:val="23"/>
          <w:highlight w:val="none"/>
        </w:rPr>
      </w:pPr>
      <w:r>
        <w:rPr>
          <w:rFonts w:eastAsia="宋体"/>
          <w:caps w:val="0"/>
          <w:smallCaps w:val="0"/>
          <w:color w:val="auto"/>
          <w:spacing w:val="0"/>
          <w:highlight w:val="none"/>
        </w:rPr>
        <w:drawing>
          <wp:inline distT="0" distB="0" distL="114300" distR="114300">
            <wp:extent cx="5753735" cy="1448435"/>
            <wp:effectExtent l="0" t="0" r="18415" b="18415"/>
            <wp:docPr id="3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8"/>
                    <pic:cNvPicPr>
                      <a:picLocks noChangeAspect="1"/>
                    </pic:cNvPicPr>
                  </pic:nvPicPr>
                  <pic:blipFill>
                    <a:blip r:embed="rId33"/>
                    <a:stretch>
                      <a:fillRect/>
                    </a:stretch>
                  </pic:blipFill>
                  <pic:spPr>
                    <a:xfrm>
                      <a:off x="0" y="0"/>
                      <a:ext cx="5753735" cy="1448435"/>
                    </a:xfrm>
                    <a:prstGeom prst="rect">
                      <a:avLst/>
                    </a:prstGeom>
                    <a:noFill/>
                    <a:ln>
                      <a:noFill/>
                    </a:ln>
                  </pic:spPr>
                </pic:pic>
              </a:graphicData>
            </a:graphic>
          </wp:inline>
        </w:drawing>
      </w:r>
    </w:p>
    <w:p w14:paraId="31755090">
      <w:pPr>
        <w:widowControl w:val="0"/>
        <w:tabs>
          <w:tab w:val="left" w:pos="3092"/>
        </w:tabs>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图3.4-2工艺技术路线图</w:t>
      </w:r>
    </w:p>
    <w:p w14:paraId="059D60F0">
      <w:pPr>
        <w:pStyle w:val="65"/>
        <w:widowControl w:val="0"/>
        <w:numPr>
          <w:ilvl w:val="0"/>
          <w:numId w:val="9"/>
        </w:numPr>
        <w:ind w:firstLine="480"/>
        <w:rPr>
          <w:rFonts w:eastAsia="宋体"/>
          <w:caps w:val="0"/>
          <w:smallCaps w:val="0"/>
          <w:color w:val="auto"/>
          <w:spacing w:val="0"/>
          <w:highlight w:val="none"/>
        </w:rPr>
      </w:pPr>
      <w:r>
        <w:rPr>
          <w:rFonts w:eastAsia="宋体"/>
          <w:caps w:val="0"/>
          <w:smallCaps w:val="0"/>
          <w:color w:val="auto"/>
          <w:spacing w:val="0"/>
          <w:highlight w:val="none"/>
        </w:rPr>
        <w:t>原材料工段</w:t>
      </w:r>
    </w:p>
    <w:p w14:paraId="522D535A">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本生产线所要使用的各种原料直接由市场采购，进厂原料有序堆放于原材料存储工段，对于靶材和高纯原材料采用特殊存储方式存储，并安排专人负责独立存取。</w:t>
      </w:r>
    </w:p>
    <w:p w14:paraId="3CA16BDC">
      <w:pPr>
        <w:pStyle w:val="5"/>
        <w:widowControl w:val="0"/>
        <w:rPr>
          <w:rFonts w:eastAsia="宋体"/>
          <w:caps w:val="0"/>
          <w:smallCaps w:val="0"/>
          <w:color w:val="auto"/>
          <w:spacing w:val="0"/>
          <w:sz w:val="30"/>
          <w:szCs w:val="30"/>
          <w:highlight w:val="none"/>
        </w:rPr>
      </w:pPr>
      <w:bookmarkStart w:id="93" w:name="3.2.5.3_工艺流程及产污节点"/>
      <w:bookmarkEnd w:id="93"/>
      <w:bookmarkStart w:id="94" w:name="_Toc25615"/>
      <w:r>
        <w:rPr>
          <w:rFonts w:eastAsia="宋体"/>
          <w:caps w:val="0"/>
          <w:smallCaps w:val="0"/>
          <w:color w:val="auto"/>
          <w:spacing w:val="0"/>
          <w:sz w:val="30"/>
          <w:szCs w:val="30"/>
          <w:highlight w:val="none"/>
        </w:rPr>
        <w:t>3.4.1工艺流程及产污节点</w:t>
      </w:r>
      <w:bookmarkEnd w:id="94"/>
    </w:p>
    <w:p w14:paraId="437A6765">
      <w:pPr>
        <w:widowControl w:val="0"/>
        <w:spacing w:line="360" w:lineRule="auto"/>
        <w:jc w:val="both"/>
        <w:outlineLvl w:val="3"/>
        <w:rPr>
          <w:rFonts w:ascii="Times New Roman" w:hAnsi="Times New Roman" w:eastAsia="宋体" w:cs="Times New Roman"/>
          <w:caps w:val="0"/>
          <w:smallCaps w:val="0"/>
          <w:color w:val="auto"/>
          <w:spacing w:val="0"/>
          <w:sz w:val="28"/>
          <w:szCs w:val="28"/>
          <w:highlight w:val="none"/>
        </w:rPr>
      </w:pPr>
      <w:r>
        <w:rPr>
          <w:rFonts w:ascii="Times New Roman" w:hAnsi="Times New Roman" w:eastAsia="宋体" w:cs="Times New Roman"/>
          <w:b/>
          <w:bCs/>
          <w:caps w:val="0"/>
          <w:smallCaps w:val="0"/>
          <w:color w:val="auto"/>
          <w:spacing w:val="0"/>
          <w:sz w:val="28"/>
          <w:szCs w:val="28"/>
          <w:highlight w:val="none"/>
        </w:rPr>
        <w:t>3.4.1.1常规组件工艺流程</w:t>
      </w:r>
    </w:p>
    <w:p w14:paraId="5520598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1、基片预处理</w:t>
      </w:r>
    </w:p>
    <w:p w14:paraId="1035307B">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外购的玻璃基片（基底为普通浮法玻璃，单面镀有SnO</w:t>
      </w:r>
      <w:r>
        <w:rPr>
          <w:rFonts w:eastAsia="宋体"/>
          <w:caps w:val="0"/>
          <w:smallCaps w:val="0"/>
          <w:color w:val="auto"/>
          <w:spacing w:val="0"/>
          <w:highlight w:val="none"/>
          <w:vertAlign w:val="subscript"/>
        </w:rPr>
        <w:t>2</w:t>
      </w:r>
      <w:r>
        <w:rPr>
          <w:rFonts w:eastAsia="宋体"/>
          <w:caps w:val="0"/>
          <w:smallCaps w:val="0"/>
          <w:color w:val="auto"/>
          <w:spacing w:val="0"/>
          <w:highlight w:val="none"/>
        </w:rPr>
        <w:t>导电薄膜，俗称TCO层，用作发电玻璃的前衬底，见下图）经目检后，放入清洗槽中，清洗采用氢氧化钾溶液机械清洗的方式，采用转动的软毛刷清除基片表面浮尘，并同步使用去离子水冲洗，最后用风刀吹干。</w:t>
      </w:r>
    </w:p>
    <w:p w14:paraId="57E9B60C">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清洗后的玻璃基片利用打标机将一组编码印在基板上，方便后续跟踪。利用在线检测装置检测基板上SnO</w:t>
      </w:r>
      <w:r>
        <w:rPr>
          <w:rFonts w:eastAsia="宋体"/>
          <w:caps w:val="0"/>
          <w:smallCaps w:val="0"/>
          <w:color w:val="auto"/>
          <w:spacing w:val="0"/>
          <w:highlight w:val="none"/>
          <w:vertAlign w:val="subscript"/>
        </w:rPr>
        <w:t>2</w:t>
      </w:r>
      <w:r>
        <w:rPr>
          <w:rFonts w:eastAsia="宋体"/>
          <w:caps w:val="0"/>
          <w:smallCaps w:val="0"/>
          <w:color w:val="auto"/>
          <w:spacing w:val="0"/>
          <w:highlight w:val="none"/>
        </w:rPr>
        <w:t>导电薄膜及导电性能是否合格。</w:t>
      </w:r>
    </w:p>
    <w:p w14:paraId="1910297E">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此工序产生基片清洗废水W1和废玻璃基板S1。</w:t>
      </w:r>
    </w:p>
    <w:p w14:paraId="0061AF26">
      <w:pPr>
        <w:widowControl w:val="0"/>
        <w:tabs>
          <w:tab w:val="left" w:pos="3092"/>
        </w:tabs>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5268595" cy="967105"/>
            <wp:effectExtent l="0" t="0" r="8255" b="4445"/>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34"/>
                    <a:stretch>
                      <a:fillRect/>
                    </a:stretch>
                  </pic:blipFill>
                  <pic:spPr>
                    <a:xfrm>
                      <a:off x="0" y="0"/>
                      <a:ext cx="5268595" cy="967105"/>
                    </a:xfrm>
                    <a:prstGeom prst="rect">
                      <a:avLst/>
                    </a:prstGeom>
                    <a:noFill/>
                    <a:ln>
                      <a:noFill/>
                    </a:ln>
                  </pic:spPr>
                </pic:pic>
              </a:graphicData>
            </a:graphic>
          </wp:inline>
        </w:drawing>
      </w:r>
    </w:p>
    <w:p w14:paraId="68A640FB">
      <w:pPr>
        <w:widowControl w:val="0"/>
        <w:tabs>
          <w:tab w:val="left" w:pos="3092"/>
        </w:tabs>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图3.4-3外购玻璃基片结构示意图</w:t>
      </w:r>
    </w:p>
    <w:p w14:paraId="1B432B33">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2、CSS沉积镀膜</w:t>
      </w:r>
    </w:p>
    <w:p w14:paraId="1EB69944">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本项目采用近空间升华法（CSS法）沉积CdSe和CdTe半导体层。进空间升华法示意图见下图。</w:t>
      </w:r>
    </w:p>
    <w:p w14:paraId="2BEAEB87">
      <w:pPr>
        <w:pStyle w:val="65"/>
        <w:widowControl w:val="0"/>
        <w:ind w:firstLine="0" w:firstLineChars="0"/>
        <w:jc w:val="center"/>
        <w:rPr>
          <w:rFonts w:eastAsia="宋体"/>
          <w:caps w:val="0"/>
          <w:smallCaps w:val="0"/>
          <w:color w:val="auto"/>
          <w:spacing w:val="0"/>
          <w:highlight w:val="none"/>
        </w:rPr>
      </w:pPr>
      <w:r>
        <w:rPr>
          <w:rFonts w:eastAsia="宋体"/>
          <w:caps w:val="0"/>
          <w:smallCaps w:val="0"/>
          <w:color w:val="auto"/>
          <w:spacing w:val="0"/>
          <w:highlight w:val="none"/>
        </w:rPr>
        <w:drawing>
          <wp:inline distT="0" distB="0" distL="114300" distR="114300">
            <wp:extent cx="4205605" cy="2176145"/>
            <wp:effectExtent l="0" t="0" r="4445" b="1460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35"/>
                    <a:stretch>
                      <a:fillRect/>
                    </a:stretch>
                  </pic:blipFill>
                  <pic:spPr>
                    <a:xfrm>
                      <a:off x="0" y="0"/>
                      <a:ext cx="4205605" cy="2176145"/>
                    </a:xfrm>
                    <a:prstGeom prst="rect">
                      <a:avLst/>
                    </a:prstGeom>
                    <a:noFill/>
                    <a:ln>
                      <a:noFill/>
                    </a:ln>
                  </pic:spPr>
                </pic:pic>
              </a:graphicData>
            </a:graphic>
          </wp:inline>
        </w:drawing>
      </w:r>
    </w:p>
    <w:p w14:paraId="472CE40F">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图3.4-4CSS法镀膜示意图</w:t>
      </w:r>
    </w:p>
    <w:p w14:paraId="5BC03C1B">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近空间升华法主要设备为预热室、沉积室和降温室。预热室首先将基片预加热至250℃。沉积室主要有衬底传输系统、蒸发源系统和真空系统组成，衬底（玻璃基片）导电层SnO</w:t>
      </w:r>
      <w:r>
        <w:rPr>
          <w:rFonts w:eastAsia="宋体"/>
          <w:caps w:val="0"/>
          <w:smallCaps w:val="0"/>
          <w:color w:val="auto"/>
          <w:spacing w:val="0"/>
          <w:highlight w:val="none"/>
          <w:vertAlign w:val="subscript"/>
        </w:rPr>
        <w:t>2</w:t>
      </w:r>
      <w:r>
        <w:rPr>
          <w:rFonts w:eastAsia="宋体"/>
          <w:caps w:val="0"/>
          <w:smallCaps w:val="0"/>
          <w:color w:val="auto"/>
          <w:spacing w:val="0"/>
          <w:highlight w:val="none"/>
        </w:rPr>
        <w:t>朝下，衬底传输系统具有衬底加热和保温功能，采用电加热，通过PID控制的方法保持衬底在镀膜的过程中处于一定的温度；蒸发源系统采用石墨舟存储蒸发料（CdSe、CdTe），</w:t>
      </w:r>
      <w:r>
        <w:rPr>
          <w:rFonts w:hint="eastAsia" w:eastAsia="宋体"/>
          <w:caps w:val="0"/>
          <w:smallCaps w:val="0"/>
          <w:color w:val="auto"/>
          <w:spacing w:val="0"/>
          <w:highlight w:val="none"/>
        </w:rPr>
        <w:t>使用</w:t>
      </w:r>
      <w:r>
        <w:rPr>
          <w:rFonts w:eastAsia="宋体"/>
          <w:caps w:val="0"/>
          <w:smallCaps w:val="0"/>
          <w:color w:val="auto"/>
          <w:spacing w:val="0"/>
          <w:highlight w:val="none"/>
        </w:rPr>
        <w:t>电加热和温度控制器保持蒸发源的温度约650℃，衬底和蒸发源的距离控制在2~5mm，通过衬底和蒸发源上下两面辐射，先沉积约0.12μm的CdSe层，然后沉积大约3.2μm的CdTe层。真空系统采用氩氮混合气作为保护气体，保证沉积的过程中维持一定的气压。</w:t>
      </w:r>
    </w:p>
    <w:p w14:paraId="36505A20">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反应过程中CdSe、CdTe先后进行升华分解，生成的Cd、Se</w:t>
      </w:r>
      <w:r>
        <w:rPr>
          <w:rFonts w:eastAsia="宋体"/>
          <w:caps w:val="0"/>
          <w:smallCaps w:val="0"/>
          <w:color w:val="auto"/>
          <w:spacing w:val="0"/>
          <w:highlight w:val="none"/>
          <w:vertAlign w:val="subscript"/>
        </w:rPr>
        <w:t>6</w:t>
      </w:r>
      <w:r>
        <w:rPr>
          <w:rFonts w:eastAsia="宋体"/>
          <w:caps w:val="0"/>
          <w:smallCaps w:val="0"/>
          <w:color w:val="auto"/>
          <w:spacing w:val="0"/>
          <w:highlight w:val="none"/>
        </w:rPr>
        <w:t>和Te</w:t>
      </w:r>
      <w:r>
        <w:rPr>
          <w:rFonts w:eastAsia="宋体"/>
          <w:caps w:val="0"/>
          <w:smallCaps w:val="0"/>
          <w:color w:val="auto"/>
          <w:spacing w:val="0"/>
          <w:highlight w:val="none"/>
          <w:vertAlign w:val="subscript"/>
        </w:rPr>
        <w:t>2</w:t>
      </w:r>
      <w:r>
        <w:rPr>
          <w:rFonts w:eastAsia="宋体"/>
          <w:caps w:val="0"/>
          <w:smallCaps w:val="0"/>
          <w:color w:val="auto"/>
          <w:spacing w:val="0"/>
          <w:highlight w:val="none"/>
        </w:rPr>
        <w:t>，然后在温度较低的衬底上化合形成薄膜，整个过程反应方程式如下：</w:t>
      </w:r>
    </w:p>
    <w:p w14:paraId="3040AB2C">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drawing>
          <wp:inline distT="0" distB="0" distL="114300" distR="114300">
            <wp:extent cx="3204210" cy="1727835"/>
            <wp:effectExtent l="0" t="0" r="8890" b="12065"/>
            <wp:docPr id="56" name="图片 213"/>
            <wp:cNvGraphicFramePr/>
            <a:graphic xmlns:a="http://schemas.openxmlformats.org/drawingml/2006/main">
              <a:graphicData uri="http://schemas.openxmlformats.org/drawingml/2006/picture">
                <pic:pic xmlns:pic="http://schemas.openxmlformats.org/drawingml/2006/picture">
                  <pic:nvPicPr>
                    <pic:cNvPr id="56" name="图片 213"/>
                    <pic:cNvPicPr/>
                  </pic:nvPicPr>
                  <pic:blipFill>
                    <a:blip r:embed="rId36"/>
                    <a:stretch>
                      <a:fillRect/>
                    </a:stretch>
                  </pic:blipFill>
                  <pic:spPr>
                    <a:xfrm>
                      <a:off x="0" y="0"/>
                      <a:ext cx="3204210" cy="1727835"/>
                    </a:xfrm>
                    <a:prstGeom prst="rect">
                      <a:avLst/>
                    </a:prstGeom>
                    <a:noFill/>
                    <a:ln>
                      <a:noFill/>
                    </a:ln>
                  </pic:spPr>
                </pic:pic>
              </a:graphicData>
            </a:graphic>
          </wp:inline>
        </w:drawing>
      </w:r>
    </w:p>
    <w:p w14:paraId="36953987">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反应室中使用惰性气体（N</w:t>
      </w:r>
      <w:r>
        <w:rPr>
          <w:rFonts w:eastAsia="宋体"/>
          <w:caps w:val="0"/>
          <w:smallCaps w:val="0"/>
          <w:color w:val="auto"/>
          <w:spacing w:val="0"/>
          <w:highlight w:val="none"/>
          <w:vertAlign w:val="subscript"/>
        </w:rPr>
        <w:t>2</w:t>
      </w:r>
      <w:r>
        <w:rPr>
          <w:rFonts w:eastAsia="宋体"/>
          <w:caps w:val="0"/>
          <w:smallCaps w:val="0"/>
          <w:color w:val="auto"/>
          <w:spacing w:val="0"/>
          <w:highlight w:val="none"/>
        </w:rPr>
        <w:t>、Ar），可使Cd、Se</w:t>
      </w:r>
      <w:r>
        <w:rPr>
          <w:rFonts w:eastAsia="宋体"/>
          <w:caps w:val="0"/>
          <w:smallCaps w:val="0"/>
          <w:color w:val="auto"/>
          <w:spacing w:val="0"/>
          <w:highlight w:val="none"/>
          <w:vertAlign w:val="subscript"/>
        </w:rPr>
        <w:t>6</w:t>
      </w:r>
      <w:r>
        <w:rPr>
          <w:rFonts w:eastAsia="宋体"/>
          <w:caps w:val="0"/>
          <w:smallCaps w:val="0"/>
          <w:color w:val="auto"/>
          <w:spacing w:val="0"/>
          <w:highlight w:val="none"/>
        </w:rPr>
        <w:t>和Te</w:t>
      </w:r>
      <w:r>
        <w:rPr>
          <w:rFonts w:eastAsia="宋体"/>
          <w:caps w:val="0"/>
          <w:smallCaps w:val="0"/>
          <w:color w:val="auto"/>
          <w:spacing w:val="0"/>
          <w:highlight w:val="none"/>
          <w:vertAlign w:val="subscript"/>
        </w:rPr>
        <w:t>2</w:t>
      </w:r>
      <w:r>
        <w:rPr>
          <w:rFonts w:eastAsia="宋体"/>
          <w:caps w:val="0"/>
          <w:smallCaps w:val="0"/>
          <w:color w:val="auto"/>
          <w:spacing w:val="0"/>
          <w:highlight w:val="none"/>
        </w:rPr>
        <w:t>不直接蒸发到衬底上，而是先与惰性气体分子碰撞数次后才到达衬底表面，这样可获得厚度均匀、晶粒尺寸合适的致密薄膜。由于CSS镀膜前后温差变化较大，部分基板因玻璃基片内部结构存在缺陷、受热不均等问题出现破碎现象，这部分基片经传送装置送至碎玻璃系统，其他完好品最后利用在线检测装置对半成品材料进行检测，检测密度和厚度的均匀性。</w:t>
      </w:r>
    </w:p>
    <w:p w14:paraId="0A5C0CDA">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CSS镀膜过程连续抽真空，产生CSS镀膜废气G1；真空罩、石墨舟定期进行更换，产生废真空罩S2和废石墨舟S3；碎玻璃S4；在线检测不合格品产生废电池组件S5。</w:t>
      </w:r>
    </w:p>
    <w:p w14:paraId="0F1A3F2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3、涂覆、退火、刻划</w:t>
      </w:r>
    </w:p>
    <w:p w14:paraId="42483236">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（1）涂覆前清洗</w:t>
      </w:r>
    </w:p>
    <w:p w14:paraId="0E75DD1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为了满足喷涂所需的清洁度，避免粉尘，CSS镀膜冷却后的玻璃进入下一工序前需要进行清洗，本阶段清洗主要利用纯水进行喷淋冲洗，清洗过后利用设备自带风刀进行吹干，该过程有涂覆前清洗废水W2产生。</w:t>
      </w:r>
    </w:p>
    <w:p w14:paraId="4FCD00A0">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（2）CdCl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涂覆</w:t>
      </w:r>
    </w:p>
    <w:p w14:paraId="5686ECB4">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采用自动化的滚轴涂覆系统，在CdTe表面均匀地涂覆一层精确厚度的CdCl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溶液（浓度10%的CdCl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溶液），滚涂过程中未涂覆上的多余CdCl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溶液从玻璃两侧进入收集槽收集后回用。</w:t>
      </w:r>
      <w:r>
        <w:rPr>
          <w:rFonts w:ascii="Times New Roman" w:hAnsi="Times New Roman" w:eastAsia="宋体" w:cs="Times New Roman"/>
          <w:caps w:val="0"/>
          <w:smallCaps w:val="0"/>
          <w:color w:val="auto"/>
          <w:spacing w:val="0"/>
          <w:highlight w:val="none"/>
        </w:rPr>
        <w:t>本工序在滚涂过</w:t>
      </w:r>
      <w:r>
        <w:rPr>
          <w:rFonts w:hint="eastAsia" w:ascii="Times New Roman" w:hAnsi="Times New Roman" w:eastAsia="宋体" w:cs="Times New Roman"/>
          <w:caps w:val="0"/>
          <w:smallCaps w:val="0"/>
          <w:color w:val="auto"/>
          <w:spacing w:val="0"/>
          <w:highlight w:val="none"/>
        </w:rPr>
        <w:t>程中</w:t>
      </w:r>
      <w:r>
        <w:rPr>
          <w:rFonts w:ascii="Times New Roman" w:hAnsi="Times New Roman" w:eastAsia="宋体" w:cs="Times New Roman"/>
          <w:caps w:val="0"/>
          <w:smallCaps w:val="0"/>
          <w:color w:val="auto"/>
          <w:spacing w:val="0"/>
          <w:highlight w:val="none"/>
        </w:rPr>
        <w:t>会产生废水W3。</w:t>
      </w:r>
    </w:p>
    <w:p w14:paraId="435C62C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（3）高温活化</w:t>
      </w:r>
    </w:p>
    <w:p w14:paraId="02A0EAE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涂覆以后的玻璃基板进入活化炉，衬底将采用电加热至约400℃，并且按一定的速度通过退火炉。此过程在CdTe表面留下CdCl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晶体，减少电池的串联电阻，钝化晶界缺陷，降低晶界势垒；同时CdTe薄膜中的小晶粒开始重结晶，呈现出更加有序的晶格结构，有序的晶格结构能够改善吸收层的晶体质量，促进晶格常数不匹配的CdSe、CdTe之间互相扩散，形成CdSexTe1-X三元界面层，增加了窗口层的透过率，使电池光谱响应向长波方向拓展，从而提高CdSe/CdTe异质结薄膜发电玻璃的转换效率。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熔点相对较低，</w:t>
      </w:r>
      <w:r>
        <w:rPr>
          <w:rFonts w:ascii="Times New Roman" w:hAnsi="Times New Roman" w:eastAsia="宋体" w:cs="Times New Roman"/>
          <w:caps w:val="0"/>
          <w:smallCaps w:val="0"/>
          <w:color w:val="auto"/>
          <w:spacing w:val="0"/>
          <w:highlight w:val="none"/>
        </w:rPr>
        <w:t>活化</w:t>
      </w:r>
      <w:r>
        <w:rPr>
          <w:rFonts w:ascii="Times New Roman" w:hAnsi="Times New Roman" w:eastAsia="宋体" w:cs="Times New Roman"/>
          <w:caps w:val="0"/>
          <w:smallCaps w:val="0"/>
          <w:color w:val="auto"/>
          <w:spacing w:val="0"/>
          <w:kern w:val="0"/>
          <w:szCs w:val="24"/>
          <w:highlight w:val="none"/>
          <w:lang w:bidi="ar"/>
        </w:rPr>
        <w:t>过程产生含有CdCl</w:t>
      </w:r>
      <w:r>
        <w:rPr>
          <w:rFonts w:ascii="Times New Roman" w:hAnsi="Times New Roman" w:eastAsia="宋体" w:cs="Times New Roman"/>
          <w:caps w:val="0"/>
          <w:smallCaps w:val="0"/>
          <w:color w:val="auto"/>
          <w:spacing w:val="0"/>
          <w:kern w:val="0"/>
          <w:sz w:val="16"/>
          <w:szCs w:val="16"/>
          <w:highlight w:val="none"/>
          <w:lang w:bidi="ar"/>
        </w:rPr>
        <w:t>2</w:t>
      </w:r>
      <w:r>
        <w:rPr>
          <w:rFonts w:ascii="Times New Roman" w:hAnsi="Times New Roman" w:eastAsia="宋体" w:cs="Times New Roman"/>
          <w:caps w:val="0"/>
          <w:smallCaps w:val="0"/>
          <w:color w:val="auto"/>
          <w:spacing w:val="0"/>
          <w:kern w:val="0"/>
          <w:szCs w:val="24"/>
          <w:highlight w:val="none"/>
          <w:lang w:bidi="ar"/>
        </w:rPr>
        <w:t>的活化层活化废气G2。</w:t>
      </w:r>
    </w:p>
    <w:p w14:paraId="723D018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（4）活化层清洗、</w:t>
      </w:r>
      <w:r>
        <w:rPr>
          <w:rFonts w:hint="eastAsia" w:ascii="Times New Roman" w:hAnsi="Times New Roman" w:eastAsia="宋体" w:cs="Times New Roman"/>
          <w:caps w:val="0"/>
          <w:smallCaps w:val="0"/>
          <w:color w:val="auto"/>
          <w:spacing w:val="0"/>
          <w:kern w:val="0"/>
          <w:szCs w:val="24"/>
          <w:highlight w:val="none"/>
          <w:lang w:bidi="ar"/>
        </w:rPr>
        <w:t>蚀刻</w:t>
      </w:r>
      <w:r>
        <w:rPr>
          <w:rFonts w:ascii="Times New Roman" w:hAnsi="Times New Roman" w:eastAsia="宋体" w:cs="Times New Roman"/>
          <w:caps w:val="0"/>
          <w:smallCaps w:val="0"/>
          <w:color w:val="auto"/>
          <w:spacing w:val="0"/>
          <w:kern w:val="0"/>
          <w:szCs w:val="24"/>
          <w:highlight w:val="none"/>
          <w:lang w:bidi="ar"/>
        </w:rPr>
        <w:t>处理</w:t>
      </w:r>
    </w:p>
    <w:p w14:paraId="595791D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涂覆过程中会出现绕镀，本工序作用为将电池片受光面的绕镀膜层在酸性液体中清洗去除绕镀膜层。</w:t>
      </w:r>
    </w:p>
    <w:p w14:paraId="4313E66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衬底传输至涂层清洗机，清洗过程采用两级酸洗+两级水洗的形式，先通过硝酸槽（30%硝酸溶液）浸泡，然后采用纯水清洗衬底残留的硝酸、Cd盐溶液，再通过盐酸槽（0.5%盐酸溶液）浸泡，这个过程在衬底表面形成富Te层，在金属背接触之间提供一个低电阻的过渡层，最后用纯水清洗后并风干。清洗过程发生的主要化学反应如下：</w:t>
      </w:r>
    </w:p>
    <w:p w14:paraId="6C7B1DF6">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CdTe+4HNO</w:t>
      </w:r>
      <w:r>
        <w:rPr>
          <w:rFonts w:ascii="Times New Roman" w:hAnsi="Times New Roman" w:eastAsia="宋体" w:cs="Times New Roman"/>
          <w:caps w:val="0"/>
          <w:smallCaps w:val="0"/>
          <w:color w:val="auto"/>
          <w:spacing w:val="0"/>
          <w:kern w:val="0"/>
          <w:szCs w:val="24"/>
          <w:highlight w:val="none"/>
          <w:vertAlign w:val="subscript"/>
          <w:lang w:bidi="ar"/>
        </w:rPr>
        <w:t>3</w:t>
      </w:r>
      <w:r>
        <w:rPr>
          <w:rFonts w:ascii="Times New Roman" w:hAnsi="Times New Roman" w:eastAsia="宋体" w:cs="Times New Roman"/>
          <w:caps w:val="0"/>
          <w:smallCaps w:val="0"/>
          <w:color w:val="auto"/>
          <w:spacing w:val="0"/>
          <w:kern w:val="0"/>
          <w:szCs w:val="24"/>
          <w:highlight w:val="none"/>
          <w:lang w:bidi="ar"/>
        </w:rPr>
        <w:t>=Cd(NO</w:t>
      </w:r>
      <w:r>
        <w:rPr>
          <w:rFonts w:ascii="Times New Roman" w:hAnsi="Times New Roman" w:eastAsia="宋体" w:cs="Times New Roman"/>
          <w:caps w:val="0"/>
          <w:smallCaps w:val="0"/>
          <w:color w:val="auto"/>
          <w:spacing w:val="0"/>
          <w:kern w:val="0"/>
          <w:szCs w:val="24"/>
          <w:highlight w:val="none"/>
          <w:vertAlign w:val="subscript"/>
          <w:lang w:bidi="ar"/>
        </w:rPr>
        <w:t>3</w:t>
      </w:r>
      <w:r>
        <w:rPr>
          <w:rFonts w:ascii="Times New Roman" w:hAnsi="Times New Roman" w:eastAsia="宋体" w:cs="Times New Roman"/>
          <w:caps w:val="0"/>
          <w:smallCaps w:val="0"/>
          <w:color w:val="auto"/>
          <w:spacing w:val="0"/>
          <w:kern w:val="0"/>
          <w:szCs w:val="24"/>
          <w:highlight w:val="none"/>
          <w:lang w:bidi="ar"/>
        </w:rPr>
        <w:t>)</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+Te↓+2NO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↑+2H</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O</w:t>
      </w:r>
    </w:p>
    <w:p w14:paraId="642480A9">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纯水清洗采用梯流式水洗工艺。</w:t>
      </w:r>
    </w:p>
    <w:p w14:paraId="43B71B0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盐酸和硝酸均易挥发，且清洗反应生成微量NO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，产生活化层清洗废气G3，纯水清洗产生活化层清洗废水W4，酸洗槽液定期更换，更换时产生废酸槽液全部进入高浓度含镉废水处理系统。</w:t>
      </w:r>
    </w:p>
    <w:p w14:paraId="69DFC3C6">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4、ZnTe膜层溅射</w:t>
      </w:r>
    </w:p>
    <w:p w14:paraId="1729C926">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采用直流磁控溅射的方法，在真空中沉积ZnTe多晶膜层。磁控溅射工作原理是电子在电场E的作用下，加速飞向基片过程中与氩原子发生碰撞，使氩原子电离产生Ar+和新的电子。新电子飞向基片，Ar+在电场作用下加速飞向阴极靶并以高能量轰击靶表面，使靶材发生溅射。在溅射粒子中，中性的靶原子或分子沉积在基片上形成薄膜；二次电子受到电场和磁场作用，以摆线和螺旋线状的复合形式在靶表面做圆周运动，二次电子的运动路径不仅很长，而且被束缚在靠近靶表面的等离子体区域内。在该区域中电离出大量的Ar+来轰击靶材，因此磁控溅射具有沉积速率高的特点。随着碰撞次数的增加，二次电子的能量消耗殆尽，逐渐远离靶表面，并在电场E的作用下最终沉积在基片上。由于该电子的能量很低，传递给基片的能量很小，致使基片温升较低。磁控溅射示意图见下图。</w:t>
      </w:r>
    </w:p>
    <w:p w14:paraId="109CF1DF">
      <w:pPr>
        <w:widowControl w:val="0"/>
        <w:spacing w:line="36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4836160" cy="2043430"/>
            <wp:effectExtent l="0" t="0" r="2540" b="13970"/>
            <wp:docPr id="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
                    <pic:cNvPicPr>
                      <a:picLocks noChangeAspect="1"/>
                    </pic:cNvPicPr>
                  </pic:nvPicPr>
                  <pic:blipFill>
                    <a:blip r:embed="rId37"/>
                    <a:stretch>
                      <a:fillRect/>
                    </a:stretch>
                  </pic:blipFill>
                  <pic:spPr>
                    <a:xfrm>
                      <a:off x="0" y="0"/>
                      <a:ext cx="4836160" cy="2043430"/>
                    </a:xfrm>
                    <a:prstGeom prst="rect">
                      <a:avLst/>
                    </a:prstGeom>
                    <a:noFill/>
                    <a:ln>
                      <a:noFill/>
                    </a:ln>
                  </pic:spPr>
                </pic:pic>
              </a:graphicData>
            </a:graphic>
          </wp:inline>
        </w:drawing>
      </w:r>
    </w:p>
    <w:p w14:paraId="7F9F6474">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图3.4-5磁控溅射示意图</w:t>
      </w:r>
    </w:p>
    <w:p w14:paraId="27D171B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活化层清洗风干后，送入磁控溅射设备真空腔室内，先用真空泵抽至真空（4×10</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Pa），再通入氩气，对ZnTe靶材进行溅射，溅射完成后衬底分别形成40nmZnTe膜层。这层ZnTe薄膜层作为p型半导体CdTe和背电极间的接触层，其与p-CdTe形成的势垒能阻挡电子向背电极扩散，从而提高电池的性能。磁控溅射过程，少量离子态Zn随氩气抽出，产生膜层溅射废气G4；考虑靶材利用率和部分溅射离子沉积至真空腔室的防溅射板表面上，因此产生废靶材S6。</w:t>
      </w:r>
    </w:p>
    <w:p w14:paraId="68EE99B5">
      <w:pPr>
        <w:widowControl w:val="0"/>
        <w:spacing w:line="36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4900930" cy="1906270"/>
            <wp:effectExtent l="0" t="0" r="13970" b="17780"/>
            <wp:docPr id="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
                    <pic:cNvPicPr>
                      <a:picLocks noChangeAspect="1"/>
                    </pic:cNvPicPr>
                  </pic:nvPicPr>
                  <pic:blipFill>
                    <a:blip r:embed="rId38"/>
                    <a:stretch>
                      <a:fillRect/>
                    </a:stretch>
                  </pic:blipFill>
                  <pic:spPr>
                    <a:xfrm>
                      <a:off x="0" y="0"/>
                      <a:ext cx="4900930" cy="1906270"/>
                    </a:xfrm>
                    <a:prstGeom prst="rect">
                      <a:avLst/>
                    </a:prstGeom>
                    <a:noFill/>
                    <a:ln>
                      <a:noFill/>
                    </a:ln>
                  </pic:spPr>
                </pic:pic>
              </a:graphicData>
            </a:graphic>
          </wp:inline>
        </w:drawing>
      </w:r>
    </w:p>
    <w:p w14:paraId="08BCB211">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图3.4-6溅射完成后示意图</w:t>
      </w:r>
    </w:p>
    <w:p w14:paraId="75B16340">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5、ZnTe膜层溅射后清洗</w:t>
      </w:r>
    </w:p>
    <w:p w14:paraId="3669B02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本阶段清洗主要利用纯水进行喷淋冲洗，清洗过后利用设备自带风刀进行吹干，该过程有清洗废水W5产生。</w:t>
      </w:r>
    </w:p>
    <w:p w14:paraId="1464D9B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6、刻划处理</w:t>
      </w:r>
    </w:p>
    <w:p w14:paraId="3DC1E97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（1）P1激光刻线</w:t>
      </w:r>
    </w:p>
    <w:p w14:paraId="351E983D">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将衬底放置在激光刻线机上，导电膜面朝上，沿平行于短边的方向，采用基频YAG激光器(45J/cm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，3kHz，0.25m/s)把导电层分割成平行的小单元，以便能在一块玻璃板上制作出多个太阳能单体电池，并在随后工序中实现串联和并联为成品电池板，而分割开的SnO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薄膜则作为各单体电池的负极接触层。第一次激光刻线宽度为50μm，每条线之间的</w:t>
      </w:r>
      <w:r>
        <w:rPr>
          <w:rFonts w:hint="eastAsia" w:ascii="Times New Roman" w:hAnsi="Times New Roman" w:eastAsia="宋体" w:cs="Times New Roman"/>
          <w:caps w:val="0"/>
          <w:smallCaps w:val="0"/>
          <w:color w:val="auto"/>
          <w:spacing w:val="0"/>
          <w:kern w:val="0"/>
          <w:szCs w:val="24"/>
          <w:highlight w:val="none"/>
          <w:lang w:eastAsia="zh-CN" w:bidi="ar"/>
        </w:rPr>
        <w:t>距离</w:t>
      </w:r>
      <w:r>
        <w:rPr>
          <w:rFonts w:ascii="Times New Roman" w:hAnsi="Times New Roman" w:eastAsia="宋体" w:cs="Times New Roman"/>
          <w:caps w:val="0"/>
          <w:smallCaps w:val="0"/>
          <w:color w:val="auto"/>
          <w:spacing w:val="0"/>
          <w:kern w:val="0"/>
          <w:szCs w:val="24"/>
          <w:highlight w:val="none"/>
          <w:lang w:bidi="ar"/>
        </w:rPr>
        <w:t>约7mm，共计214个小单元。</w:t>
      </w:r>
    </w:p>
    <w:p w14:paraId="3869B22F">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此工段产生P1刻线废气G5。</w:t>
      </w:r>
    </w:p>
    <w:p w14:paraId="4FEAA6B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激光刻线示意图见下图。</w:t>
      </w:r>
    </w:p>
    <w:p w14:paraId="4323E7C5">
      <w:pPr>
        <w:pStyle w:val="65"/>
        <w:widowControl w:val="0"/>
        <w:ind w:firstLine="0" w:firstLineChars="0"/>
        <w:jc w:val="center"/>
        <w:rPr>
          <w:rFonts w:eastAsia="宋体"/>
          <w:caps w:val="0"/>
          <w:smallCaps w:val="0"/>
          <w:color w:val="auto"/>
          <w:spacing w:val="0"/>
          <w:highlight w:val="none"/>
        </w:rPr>
      </w:pPr>
      <w:r>
        <w:rPr>
          <w:rFonts w:eastAsia="宋体"/>
          <w:caps w:val="0"/>
          <w:smallCaps w:val="0"/>
          <w:color w:val="auto"/>
          <w:spacing w:val="0"/>
          <w:highlight w:val="none"/>
        </w:rPr>
        <w:drawing>
          <wp:inline distT="0" distB="0" distL="114300" distR="114300">
            <wp:extent cx="4822825" cy="2536825"/>
            <wp:effectExtent l="0" t="0" r="15875" b="15875"/>
            <wp:docPr id="82" name="图片 82" descr="1726204750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1726204750596"/>
                    <pic:cNvPicPr>
                      <a:picLocks noChangeAspect="1"/>
                    </pic:cNvPicPr>
                  </pic:nvPicPr>
                  <pic:blipFill>
                    <a:blip r:embed="rId39"/>
                    <a:stretch>
                      <a:fillRect/>
                    </a:stretch>
                  </pic:blipFill>
                  <pic:spPr>
                    <a:xfrm>
                      <a:off x="0" y="0"/>
                      <a:ext cx="4822825" cy="2536825"/>
                    </a:xfrm>
                    <a:prstGeom prst="rect">
                      <a:avLst/>
                    </a:prstGeom>
                  </pic:spPr>
                </pic:pic>
              </a:graphicData>
            </a:graphic>
          </wp:inline>
        </w:drawing>
      </w:r>
    </w:p>
    <w:p w14:paraId="7EB13493">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图3.4-7激光刻线示意图</w:t>
      </w:r>
    </w:p>
    <w:p w14:paraId="5908D8E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P1激光刻线后发电玻璃示意图见下图。</w:t>
      </w:r>
    </w:p>
    <w:p w14:paraId="31F008B0">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4843145" cy="1871980"/>
            <wp:effectExtent l="0" t="0" r="3175" b="2540"/>
            <wp:docPr id="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
                    <pic:cNvPicPr>
                      <a:picLocks noChangeAspect="1"/>
                    </pic:cNvPicPr>
                  </pic:nvPicPr>
                  <pic:blipFill>
                    <a:blip r:embed="rId40"/>
                    <a:stretch>
                      <a:fillRect/>
                    </a:stretch>
                  </pic:blipFill>
                  <pic:spPr>
                    <a:xfrm>
                      <a:off x="0" y="0"/>
                      <a:ext cx="4843145" cy="1871980"/>
                    </a:xfrm>
                    <a:prstGeom prst="rect">
                      <a:avLst/>
                    </a:prstGeom>
                    <a:noFill/>
                    <a:ln>
                      <a:noFill/>
                    </a:ln>
                  </pic:spPr>
                </pic:pic>
              </a:graphicData>
            </a:graphic>
          </wp:inline>
        </w:drawing>
      </w:r>
    </w:p>
    <w:p w14:paraId="11290E98">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图3.4-8P1激光刻线后示意图</w:t>
      </w:r>
    </w:p>
    <w:p w14:paraId="5C06E82F">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（2）光刻胶填充</w:t>
      </w:r>
    </w:p>
    <w:p w14:paraId="3506B5E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在激光刻线完毕后，必须使相邻的长条单元格绝缘才能实现最终的电池串联要求。因此必须在P1刻线中填充入具有绝缘性的高分子物质。采用反向双辊设备在刻划后的薄膜上涂敷光刻胶。</w:t>
      </w:r>
    </w:p>
    <w:p w14:paraId="2CB5F4D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（3）光刻胶干燥曝光</w:t>
      </w:r>
    </w:p>
    <w:p w14:paraId="0A6D6E7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干燥系统采用红外炉加热方式，涂敷好光刻胶的薄膜经过红外加热炉的烘烤，加热温度95℃左右，去除掉其中含有的水。本项目光刻胶主要成分为明胶、聚乙烯醇、丙烯酰胺、亚甲基双丙烯酰胺、柠檬酸铵和十二烷基磺酸钠，溶剂为水。</w:t>
      </w:r>
    </w:p>
    <w:p w14:paraId="0F8778E5">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绝缘后采用紫外光曝光，曝光系统采用长寿命的UV灯管，干燥后的薄膜从玻璃面用UV灯进行曝光处理，曝光时间控制在5~10s，使曝光的光刻胶固化。</w:t>
      </w:r>
    </w:p>
    <w:p w14:paraId="2BD7866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光刻胶涂覆、固化及曝光过程中有光刻胶废气G6产生，废UV灯管S7。</w:t>
      </w:r>
    </w:p>
    <w:p w14:paraId="07FA673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（4）光刻胶显影清洗</w:t>
      </w:r>
    </w:p>
    <w:p w14:paraId="0B9B27EF">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经过曝光后，基板经过水溶性显影液（1%双氧水）淋洗，以去除未曝光多余的光刻胶。然后采用梯度水洗工艺，使用去离子水去除掉残留的显影液。UV灯管定期产生废UV灯管S8；水洗过程产生显影液及显影清洗废水W6。</w:t>
      </w:r>
    </w:p>
    <w:p w14:paraId="501C727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光刻胶填充后发电玻璃结构示意图见下图。</w:t>
      </w:r>
    </w:p>
    <w:p w14:paraId="6B52AF7E">
      <w:pPr>
        <w:widowControl w:val="0"/>
        <w:spacing w:line="360" w:lineRule="auto"/>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highlight w:val="none"/>
        </w:rPr>
        <w:drawing>
          <wp:inline distT="0" distB="0" distL="114300" distR="114300">
            <wp:extent cx="5019675" cy="1727835"/>
            <wp:effectExtent l="0" t="0" r="9525" b="9525"/>
            <wp:docPr id="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
                    <pic:cNvPicPr>
                      <a:picLocks noChangeAspect="1"/>
                    </pic:cNvPicPr>
                  </pic:nvPicPr>
                  <pic:blipFill>
                    <a:blip r:embed="rId41"/>
                    <a:stretch>
                      <a:fillRect/>
                    </a:stretch>
                  </pic:blipFill>
                  <pic:spPr>
                    <a:xfrm>
                      <a:off x="0" y="0"/>
                      <a:ext cx="5019675" cy="1727835"/>
                    </a:xfrm>
                    <a:prstGeom prst="rect">
                      <a:avLst/>
                    </a:prstGeom>
                    <a:noFill/>
                    <a:ln>
                      <a:noFill/>
                    </a:ln>
                  </pic:spPr>
                </pic:pic>
              </a:graphicData>
            </a:graphic>
          </wp:inline>
        </w:drawing>
      </w:r>
    </w:p>
    <w:p w14:paraId="127E9072">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图3.4-9光刻胶填充后结构示意图</w:t>
      </w:r>
    </w:p>
    <w:p w14:paraId="50CDFD67">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（5）P2激光刻线</w:t>
      </w:r>
    </w:p>
    <w:p w14:paraId="1DE87FBD">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将清洗吹干的衬底再一次放入激光刻线机上，沿着衬底的短边方向，紧邻第一条刻线的位置，采用YAG激光器(5J/cm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，40kHz，0.25m/s)进行第二次刻划，把基板上已沉积的CdSe层和CdTe层刻断，但不伤及SnO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薄膜，将CdSe/CdTe半导体层刻划成平行的214个小单元，为下一步将背接触层（电池正极）与TCO层（电池负极）直接连接，并在电池板上形成单体电池间集成串联做好准备。</w:t>
      </w:r>
    </w:p>
    <w:p w14:paraId="1AFA3EEC">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此工段产生P2刻线废气G7。</w:t>
      </w:r>
    </w:p>
    <w:p w14:paraId="1697330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P2激光刻线后发电玻璃示意图见下图。</w:t>
      </w:r>
    </w:p>
    <w:p w14:paraId="51548C71">
      <w:pPr>
        <w:widowControl w:val="0"/>
        <w:spacing w:line="360" w:lineRule="auto"/>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highlight w:val="none"/>
        </w:rPr>
        <w:drawing>
          <wp:inline distT="0" distB="0" distL="114300" distR="114300">
            <wp:extent cx="5269865" cy="2108835"/>
            <wp:effectExtent l="0" t="0" r="6985" b="5715"/>
            <wp:docPr id="8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
                    <pic:cNvPicPr>
                      <a:picLocks noChangeAspect="1"/>
                    </pic:cNvPicPr>
                  </pic:nvPicPr>
                  <pic:blipFill>
                    <a:blip r:embed="rId42"/>
                    <a:stretch>
                      <a:fillRect/>
                    </a:stretch>
                  </pic:blipFill>
                  <pic:spPr>
                    <a:xfrm>
                      <a:off x="0" y="0"/>
                      <a:ext cx="5269865" cy="2108835"/>
                    </a:xfrm>
                    <a:prstGeom prst="rect">
                      <a:avLst/>
                    </a:prstGeom>
                    <a:noFill/>
                    <a:ln>
                      <a:noFill/>
                    </a:ln>
                  </pic:spPr>
                </pic:pic>
              </a:graphicData>
            </a:graphic>
          </wp:inline>
        </w:drawing>
      </w:r>
    </w:p>
    <w:p w14:paraId="2B10F5D4">
      <w:pPr>
        <w:widowControl w:val="0"/>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b/>
          <w:bCs/>
          <w:caps w:val="0"/>
          <w:smallCaps w:val="0"/>
          <w:color w:val="auto"/>
          <w:spacing w:val="0"/>
          <w:szCs w:val="24"/>
          <w:highlight w:val="none"/>
        </w:rPr>
        <w:t>图3.4-10P2激光刻线后示意图</w:t>
      </w:r>
    </w:p>
    <w:p w14:paraId="10EF669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7、背电极制备</w:t>
      </w:r>
    </w:p>
    <w:p w14:paraId="50353C8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（1）背电极镀膜前清洗</w:t>
      </w:r>
    </w:p>
    <w:p w14:paraId="6425E62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背电极镀膜前需要对组件进行清洗，采用纯水进行清洗，此过程有背电极镀膜前清洗废水产生W7。</w:t>
      </w:r>
    </w:p>
    <w:p w14:paraId="663F388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（2）背电极镀膜</w:t>
      </w:r>
    </w:p>
    <w:p w14:paraId="1A6A359C">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衬底采用直流磁控溅射工艺，在真空中沉积Mo、Al、Cr背电极层。衬底送入磁控溅射设备真空腔室内，先用真空泵抽至真空（4×10</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Pa），再通入氩气，将工作气压调至0.5Pa，溅射功率调至100W，溅射55s。溅射完成后，形成约400nm的Mo、Al、Cr背电极层。</w:t>
      </w:r>
    </w:p>
    <w:p w14:paraId="2E8F8F5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此工段产生背电极镀膜废气G8和废靶材（Mo、Al、Cr靶材）S6。</w:t>
      </w:r>
    </w:p>
    <w:p w14:paraId="14C78A9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磁控溅射完成后太阳能发电玻璃结构示意图见下图。</w:t>
      </w:r>
    </w:p>
    <w:p w14:paraId="690E5D19">
      <w:pPr>
        <w:widowControl w:val="0"/>
        <w:spacing w:line="36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5753735" cy="1854835"/>
            <wp:effectExtent l="0" t="0" r="18415" b="12065"/>
            <wp:docPr id="9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0"/>
                    <pic:cNvPicPr>
                      <a:picLocks noChangeAspect="1"/>
                    </pic:cNvPicPr>
                  </pic:nvPicPr>
                  <pic:blipFill>
                    <a:blip r:embed="rId43"/>
                    <a:stretch>
                      <a:fillRect/>
                    </a:stretch>
                  </pic:blipFill>
                  <pic:spPr>
                    <a:xfrm>
                      <a:off x="0" y="0"/>
                      <a:ext cx="5753735" cy="1854835"/>
                    </a:xfrm>
                    <a:prstGeom prst="rect">
                      <a:avLst/>
                    </a:prstGeom>
                    <a:noFill/>
                    <a:ln>
                      <a:noFill/>
                    </a:ln>
                  </pic:spPr>
                </pic:pic>
              </a:graphicData>
            </a:graphic>
          </wp:inline>
        </w:drawing>
      </w:r>
    </w:p>
    <w:p w14:paraId="22DF48CB">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图3.4-11Mo、Al、Cr溅射后结构示意图</w:t>
      </w:r>
    </w:p>
    <w:p w14:paraId="6BA720B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（2）P3激光刻线</w:t>
      </w:r>
    </w:p>
    <w:p w14:paraId="10428C17">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背接触层制作完成后，再将衬底放入激光刻线机上，膜面朝上，沿着衬底的短边方向，紧邻第二条刻线的位置，采用YAG激光器(7J/cm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，70kHz，0.8m/s)进行第三次刻划，其目的是切断背接触层，将除TCO玻璃基板外的其他层刻划成平行的214小单元，形成单个电池的独立正极。</w:t>
      </w:r>
    </w:p>
    <w:p w14:paraId="7DA60E3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P3激光刻线后发电玻璃示意图见下图，此工段产生P3刻线废气G9。</w:t>
      </w:r>
    </w:p>
    <w:p w14:paraId="7B15436A">
      <w:pPr>
        <w:widowControl w:val="0"/>
        <w:spacing w:line="360" w:lineRule="auto"/>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highlight w:val="none"/>
        </w:rPr>
        <w:drawing>
          <wp:inline distT="0" distB="0" distL="114300" distR="114300">
            <wp:extent cx="5753735" cy="2147570"/>
            <wp:effectExtent l="0" t="0" r="18415" b="5080"/>
            <wp:docPr id="9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1"/>
                    <pic:cNvPicPr>
                      <a:picLocks noChangeAspect="1"/>
                    </pic:cNvPicPr>
                  </pic:nvPicPr>
                  <pic:blipFill>
                    <a:blip r:embed="rId44"/>
                    <a:stretch>
                      <a:fillRect/>
                    </a:stretch>
                  </pic:blipFill>
                  <pic:spPr>
                    <a:xfrm>
                      <a:off x="0" y="0"/>
                      <a:ext cx="5753735" cy="2147570"/>
                    </a:xfrm>
                    <a:prstGeom prst="rect">
                      <a:avLst/>
                    </a:prstGeom>
                    <a:noFill/>
                    <a:ln>
                      <a:noFill/>
                    </a:ln>
                  </pic:spPr>
                </pic:pic>
              </a:graphicData>
            </a:graphic>
          </wp:inline>
        </w:drawing>
      </w:r>
    </w:p>
    <w:p w14:paraId="3BE5CB29">
      <w:pPr>
        <w:widowControl w:val="0"/>
        <w:spacing w:line="360" w:lineRule="auto"/>
        <w:ind w:firstLine="482" w:firstLineChars="200"/>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b/>
          <w:bCs/>
          <w:caps w:val="0"/>
          <w:smallCaps w:val="0"/>
          <w:color w:val="auto"/>
          <w:spacing w:val="0"/>
          <w:szCs w:val="24"/>
          <w:highlight w:val="none"/>
        </w:rPr>
        <w:t>图3.4-12P3激光刻线后示意图</w:t>
      </w:r>
    </w:p>
    <w:p w14:paraId="6A50598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（3）背电极退火</w:t>
      </w:r>
    </w:p>
    <w:p w14:paraId="69CA111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发电玻璃被送入200℃的退火炉内进行退火处理，以改善背电极导电性及钼、铝、铬离子的扩散效果，修复膜层结构，降低膜层间界面态。此过程不产生废气。</w:t>
      </w:r>
    </w:p>
    <w:p w14:paraId="416A37C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（4）激光清边</w:t>
      </w:r>
    </w:p>
    <w:p w14:paraId="6E43227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采用激光清边机，将衬底边缘部分及滚轴与衬底的接触区域的所有沉积层去除，去边的宽度可以根据要求调节（约10mm）。</w:t>
      </w:r>
    </w:p>
    <w:p w14:paraId="45FAAAD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此工段产生边缘处理废气G10。</w:t>
      </w:r>
    </w:p>
    <w:p w14:paraId="04799A3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清边后的发电玻璃基板示意图见下图。</w:t>
      </w:r>
    </w:p>
    <w:p w14:paraId="79AFD0D9">
      <w:pPr>
        <w:widowControl w:val="0"/>
        <w:spacing w:line="360" w:lineRule="auto"/>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highlight w:val="none"/>
        </w:rPr>
        <w:drawing>
          <wp:inline distT="0" distB="0" distL="114300" distR="114300">
            <wp:extent cx="5271135" cy="1816100"/>
            <wp:effectExtent l="0" t="0" r="5715" b="12700"/>
            <wp:docPr id="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0"/>
                    <pic:cNvPicPr>
                      <a:picLocks noChangeAspect="1"/>
                    </pic:cNvPicPr>
                  </pic:nvPicPr>
                  <pic:blipFill>
                    <a:blip r:embed="rId45"/>
                    <a:stretch>
                      <a:fillRect/>
                    </a:stretch>
                  </pic:blipFill>
                  <pic:spPr>
                    <a:xfrm>
                      <a:off x="0" y="0"/>
                      <a:ext cx="5271135" cy="1816100"/>
                    </a:xfrm>
                    <a:prstGeom prst="rect">
                      <a:avLst/>
                    </a:prstGeom>
                    <a:noFill/>
                    <a:ln>
                      <a:noFill/>
                    </a:ln>
                  </pic:spPr>
                </pic:pic>
              </a:graphicData>
            </a:graphic>
          </wp:inline>
        </w:drawing>
      </w:r>
    </w:p>
    <w:p w14:paraId="302811E0">
      <w:pPr>
        <w:widowControl w:val="0"/>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b/>
          <w:bCs/>
          <w:caps w:val="0"/>
          <w:smallCaps w:val="0"/>
          <w:color w:val="auto"/>
          <w:spacing w:val="0"/>
          <w:szCs w:val="24"/>
          <w:highlight w:val="none"/>
        </w:rPr>
        <w:t>图3.4-13清边后发电玻璃基板示意图</w:t>
      </w:r>
    </w:p>
    <w:p w14:paraId="02A1BDC5">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（5）性能检测</w:t>
      </w:r>
    </w:p>
    <w:p w14:paraId="6DA4D11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通过测试去边区域电阻值等检测工序，判定发电玻璃是否合格。至此，电池组件已基本成型，再经过后续封装工序，即可得到完整的成品电池。</w:t>
      </w:r>
    </w:p>
    <w:p w14:paraId="1631F859">
      <w:pPr>
        <w:widowControl w:val="0"/>
        <w:spacing w:line="360" w:lineRule="auto"/>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在线检测产生废电池组件S5。</w:t>
      </w:r>
    </w:p>
    <w:p w14:paraId="4212ABBB">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后期进行接组装流程，依托厂区现有生产线。</w:t>
      </w:r>
    </w:p>
    <w:p w14:paraId="4753848F">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生产工艺流程及产污环节见下图。</w:t>
      </w:r>
    </w:p>
    <w:p w14:paraId="7B4DF596">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drawing>
          <wp:inline distT="0" distB="0" distL="114300" distR="114300">
            <wp:extent cx="5756910" cy="3836035"/>
            <wp:effectExtent l="0" t="0" r="15240" b="12065"/>
            <wp:docPr id="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8"/>
                    <pic:cNvPicPr>
                      <a:picLocks noChangeAspect="1"/>
                    </pic:cNvPicPr>
                  </pic:nvPicPr>
                  <pic:blipFill>
                    <a:blip r:embed="rId46"/>
                    <a:stretch>
                      <a:fillRect/>
                    </a:stretch>
                  </pic:blipFill>
                  <pic:spPr>
                    <a:xfrm>
                      <a:off x="0" y="0"/>
                      <a:ext cx="5756910" cy="3836035"/>
                    </a:xfrm>
                    <a:prstGeom prst="rect">
                      <a:avLst/>
                    </a:prstGeom>
                    <a:noFill/>
                    <a:ln>
                      <a:noFill/>
                    </a:ln>
                  </pic:spPr>
                </pic:pic>
              </a:graphicData>
            </a:graphic>
          </wp:inline>
        </w:drawing>
      </w:r>
    </w:p>
    <w:p w14:paraId="57C00805">
      <w:pPr>
        <w:widowControl w:val="0"/>
        <w:jc w:val="center"/>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b/>
          <w:bCs/>
          <w:caps w:val="0"/>
          <w:smallCaps w:val="0"/>
          <w:color w:val="auto"/>
          <w:spacing w:val="0"/>
          <w:szCs w:val="24"/>
          <w:highlight w:val="none"/>
        </w:rPr>
        <w:t>图3.4-14工艺流程与产污环节图</w:t>
      </w:r>
    </w:p>
    <w:p w14:paraId="267E70AE">
      <w:pPr>
        <w:widowControl w:val="0"/>
        <w:spacing w:line="360" w:lineRule="auto"/>
        <w:jc w:val="both"/>
        <w:outlineLvl w:val="3"/>
        <w:rPr>
          <w:rFonts w:ascii="Times New Roman" w:hAnsi="Times New Roman" w:eastAsia="宋体" w:cs="Times New Roman"/>
          <w:b/>
          <w:bCs/>
          <w:caps w:val="0"/>
          <w:smallCaps w:val="0"/>
          <w:color w:val="auto"/>
          <w:spacing w:val="0"/>
          <w:sz w:val="28"/>
          <w:szCs w:val="28"/>
          <w:highlight w:val="none"/>
        </w:rPr>
      </w:pPr>
      <w:r>
        <w:rPr>
          <w:rFonts w:ascii="Times New Roman" w:hAnsi="Times New Roman" w:eastAsia="宋体" w:cs="Times New Roman"/>
          <w:b/>
          <w:bCs/>
          <w:caps w:val="0"/>
          <w:smallCaps w:val="0"/>
          <w:color w:val="auto"/>
          <w:spacing w:val="0"/>
          <w:sz w:val="28"/>
          <w:szCs w:val="28"/>
          <w:highlight w:val="none"/>
        </w:rPr>
        <w:t>3.3.1.2透光组件工艺流程</w:t>
      </w:r>
    </w:p>
    <w:p w14:paraId="0AD4252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透光组件工艺与常规组件工艺基本相同，区别之处在于在激光清边后增加P5激光工序，此过程用于增加组件的透光度。后续工序同常规组件。</w:t>
      </w:r>
    </w:p>
    <w:p w14:paraId="1BCAD20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此过程有激光废气G11产生。</w:t>
      </w:r>
    </w:p>
    <w:p w14:paraId="3163BE8D">
      <w:pPr>
        <w:widowControl w:val="0"/>
        <w:spacing w:line="360" w:lineRule="auto"/>
        <w:jc w:val="both"/>
        <w:outlineLvl w:val="3"/>
        <w:rPr>
          <w:rFonts w:ascii="Times New Roman" w:hAnsi="Times New Roman" w:eastAsia="宋体" w:cs="Times New Roman"/>
          <w:b/>
          <w:bCs/>
          <w:caps w:val="0"/>
          <w:smallCaps w:val="0"/>
          <w:color w:val="auto"/>
          <w:spacing w:val="0"/>
          <w:sz w:val="28"/>
          <w:szCs w:val="28"/>
          <w:highlight w:val="none"/>
        </w:rPr>
      </w:pPr>
      <w:r>
        <w:rPr>
          <w:rFonts w:ascii="Times New Roman" w:hAnsi="Times New Roman" w:eastAsia="宋体" w:cs="Times New Roman"/>
          <w:b/>
          <w:bCs/>
          <w:caps w:val="0"/>
          <w:smallCaps w:val="0"/>
          <w:color w:val="auto"/>
          <w:spacing w:val="0"/>
          <w:sz w:val="28"/>
          <w:szCs w:val="28"/>
          <w:highlight w:val="none"/>
        </w:rPr>
        <w:t>3.4.1.3异型件工艺流程</w:t>
      </w:r>
    </w:p>
    <w:p w14:paraId="2C52F59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异型组件工艺与常规组件工艺基本相同，区别之处在于在激光清边后增加P6激光切割工序，根据市场定制化异型组件进行切割制作，切割不同形状或需求的产品。后续工序同常规组件。</w:t>
      </w:r>
    </w:p>
    <w:p w14:paraId="2235194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此过程有激光废气G12产生。</w:t>
      </w:r>
      <w:bookmarkStart w:id="95" w:name="_Toc477951955"/>
    </w:p>
    <w:p w14:paraId="75EF9B3E">
      <w:pPr>
        <w:widowControl w:val="0"/>
        <w:spacing w:line="360" w:lineRule="auto"/>
        <w:jc w:val="both"/>
        <w:outlineLvl w:val="3"/>
        <w:rPr>
          <w:rFonts w:ascii="Times New Roman" w:hAnsi="Times New Roman" w:eastAsia="宋体" w:cs="Times New Roman"/>
          <w:b/>
          <w:bCs/>
          <w:caps w:val="0"/>
          <w:smallCaps w:val="0"/>
          <w:color w:val="auto"/>
          <w:spacing w:val="0"/>
          <w:sz w:val="28"/>
          <w:szCs w:val="28"/>
          <w:highlight w:val="none"/>
        </w:rPr>
      </w:pPr>
      <w:r>
        <w:rPr>
          <w:rFonts w:ascii="Times New Roman" w:hAnsi="Times New Roman" w:eastAsia="宋体" w:cs="Times New Roman"/>
          <w:b/>
          <w:bCs/>
          <w:caps w:val="0"/>
          <w:smallCaps w:val="0"/>
          <w:color w:val="auto"/>
          <w:spacing w:val="0"/>
          <w:sz w:val="28"/>
          <w:szCs w:val="28"/>
          <w:highlight w:val="none"/>
        </w:rPr>
        <w:t>3.4.1.</w:t>
      </w:r>
      <w:r>
        <w:rPr>
          <w:rFonts w:hint="eastAsia" w:ascii="Times New Roman" w:hAnsi="Times New Roman" w:eastAsia="宋体" w:cs="Times New Roman"/>
          <w:b/>
          <w:bCs/>
          <w:caps w:val="0"/>
          <w:smallCaps w:val="0"/>
          <w:color w:val="auto"/>
          <w:spacing w:val="0"/>
          <w:sz w:val="28"/>
          <w:szCs w:val="28"/>
          <w:highlight w:val="none"/>
        </w:rPr>
        <w:t>4后端组装</w:t>
      </w:r>
      <w:r>
        <w:rPr>
          <w:rFonts w:ascii="Times New Roman" w:hAnsi="Times New Roman" w:eastAsia="宋体" w:cs="Times New Roman"/>
          <w:b/>
          <w:bCs/>
          <w:caps w:val="0"/>
          <w:smallCaps w:val="0"/>
          <w:color w:val="auto"/>
          <w:spacing w:val="0"/>
          <w:sz w:val="28"/>
          <w:szCs w:val="28"/>
          <w:highlight w:val="none"/>
        </w:rPr>
        <w:t>工艺流程</w:t>
      </w:r>
    </w:p>
    <w:p w14:paraId="63660312">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bidi="ar"/>
        </w:rPr>
        <w:t>企业对已验收的后端组装工艺进行工艺改进，变动部分为接线盒配置工段由原来的</w:t>
      </w:r>
      <w:r>
        <w:rPr>
          <w:rFonts w:ascii="Times New Roman" w:hAnsi="Times New Roman" w:eastAsia="宋体" w:cs="Times New Roman"/>
          <w:caps w:val="0"/>
          <w:smallCaps w:val="0"/>
          <w:color w:val="auto"/>
          <w:spacing w:val="0"/>
          <w:kern w:val="0"/>
          <w:szCs w:val="24"/>
          <w:highlight w:val="none"/>
          <w:lang w:bidi="ar"/>
        </w:rPr>
        <w:t>粘合剂</w:t>
      </w:r>
      <w:r>
        <w:rPr>
          <w:rFonts w:hint="eastAsia" w:ascii="Times New Roman" w:hAnsi="Times New Roman" w:eastAsia="宋体" w:cs="Times New Roman"/>
          <w:caps w:val="0"/>
          <w:smallCaps w:val="0"/>
          <w:color w:val="auto"/>
          <w:spacing w:val="0"/>
          <w:kern w:val="0"/>
          <w:szCs w:val="24"/>
          <w:highlight w:val="none"/>
          <w:lang w:bidi="ar"/>
        </w:rPr>
        <w:t>配置，改为焊接工艺，同时新增组框机工段，其余部分不改变，变化工艺流程具体如下：</w:t>
      </w:r>
    </w:p>
    <w:p w14:paraId="1938B1EF">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bidi="ar"/>
        </w:rPr>
        <w:t>（1）接线盒配置：首先清理安装区域并对准接线盒与汇流条，随后直接采用焊接实现机械固定与电气连接，最后进行焊点检验与必要后处理。</w:t>
      </w:r>
    </w:p>
    <w:p w14:paraId="2C64B98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bidi="ar"/>
        </w:rPr>
        <w:t>本项目采用对焊机也称为电流焊机或电阻碰焊机，属于电阻焊，是利用两工件接触面之间的电阻，瞬间通过低电压大电流，使两个互相对接的金属的接触面瞬间发热至熔化并融合。施焊过程是首先使用CCD系统识别到焊点，随后电极对被焊接金属施压并通电，电流通过金属件紧贴的接触部位时，其电阻较大，发热并熔融接触点，在电极压力作用下，接触点处焊为一体，焊接完成后CCD系统会再次拍照识别焊接质量。</w:t>
      </w:r>
    </w:p>
    <w:p w14:paraId="6660F382">
      <w:pPr>
        <w:widowControl w:val="0"/>
        <w:spacing w:line="360" w:lineRule="auto"/>
        <w:ind w:firstLine="480" w:firstLineChars="200"/>
        <w:jc w:val="both"/>
        <w:rPr>
          <w:caps w:val="0"/>
          <w:smallCaps w:val="0"/>
          <w:color w:val="auto"/>
          <w:spacing w:val="0"/>
          <w:highlight w:val="none"/>
        </w:rPr>
      </w:pPr>
      <w:r>
        <w:rPr>
          <w:rFonts w:hint="eastAsia" w:ascii="Times New Roman" w:hAnsi="Times New Roman" w:eastAsia="宋体" w:cs="Times New Roman"/>
          <w:caps w:val="0"/>
          <w:smallCaps w:val="0"/>
          <w:color w:val="auto"/>
          <w:spacing w:val="0"/>
          <w:kern w:val="0"/>
          <w:szCs w:val="24"/>
          <w:highlight w:val="none"/>
          <w:lang w:bidi="ar"/>
        </w:rPr>
        <w:t>电阻焊无需焊材、焊剂，当被焊接材料焊接部位表面处理洁净时，基本没有焊接烟尘产生，该工序主要产生噪声。</w:t>
      </w:r>
    </w:p>
    <w:p w14:paraId="5120303A">
      <w:pPr>
        <w:pStyle w:val="36"/>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hint="eastAsia"/>
          <w:caps w:val="0"/>
          <w:smallCaps w:val="0"/>
          <w:color w:val="auto"/>
          <w:spacing w:val="0"/>
          <w:highlight w:val="none"/>
        </w:rPr>
        <w:t>焊接工艺后进入到灌胶工艺</w:t>
      </w:r>
      <w:r>
        <w:rPr>
          <w:rFonts w:hint="eastAsia" w:ascii="Times New Roman" w:hAnsi="Times New Roman" w:eastAsia="宋体" w:cs="Times New Roman"/>
          <w:caps w:val="0"/>
          <w:smallCaps w:val="0"/>
          <w:color w:val="auto"/>
          <w:spacing w:val="0"/>
          <w:kern w:val="0"/>
          <w:szCs w:val="24"/>
          <w:highlight w:val="none"/>
          <w:lang w:bidi="ar"/>
        </w:rPr>
        <w:t>：其加工动作始于将安装好接线盒的组件精准定位至灌胶工位，随后灌胶机使用A，B胶混合的静态混合胶管进行注胶。</w:t>
      </w:r>
      <w:r>
        <w:rPr>
          <w:rFonts w:ascii="Times New Roman" w:hAnsi="Times New Roman" w:eastAsia="宋体" w:cs="Times New Roman"/>
          <w:caps w:val="0"/>
          <w:smallCaps w:val="0"/>
          <w:color w:val="auto"/>
          <w:spacing w:val="0"/>
          <w:kern w:val="0"/>
          <w:szCs w:val="24"/>
          <w:highlight w:val="none"/>
          <w:lang w:bidi="ar"/>
        </w:rPr>
        <w:t>系统首先抽真空，排出腔体内的空气，防止胶体内部产生气泡；随后</w:t>
      </w:r>
      <w:r>
        <w:rPr>
          <w:rFonts w:hint="eastAsia" w:ascii="Times New Roman" w:hAnsi="Times New Roman" w:eastAsia="宋体" w:cs="Times New Roman"/>
          <w:caps w:val="0"/>
          <w:smallCaps w:val="0"/>
          <w:color w:val="auto"/>
          <w:spacing w:val="0"/>
          <w:kern w:val="0"/>
          <w:szCs w:val="24"/>
          <w:highlight w:val="none"/>
          <w:lang w:bidi="ar"/>
        </w:rPr>
        <w:t>在</w:t>
      </w:r>
      <w:r>
        <w:rPr>
          <w:rFonts w:ascii="Times New Roman" w:hAnsi="Times New Roman" w:eastAsia="宋体" w:cs="Times New Roman"/>
          <w:caps w:val="0"/>
          <w:smallCaps w:val="0"/>
          <w:color w:val="auto"/>
          <w:spacing w:val="0"/>
          <w:kern w:val="0"/>
          <w:szCs w:val="24"/>
          <w:highlight w:val="none"/>
          <w:lang w:bidi="ar"/>
        </w:rPr>
        <w:t>常压下，通过精密计量泵将预先混合脱泡的双组分封装胶匀速注入接线盒内，胶液自下而上平稳上升，直至完全浸没内部的电缆接头、二极管等所有电气连接部件。注胶完成后，胶料进入保压固化阶段，在常温条件下进行充分的化学反应，交联固化为富有弹性的固体。</w:t>
      </w:r>
    </w:p>
    <w:p w14:paraId="603E3921">
      <w:pPr>
        <w:widowControl w:val="0"/>
        <w:spacing w:line="360" w:lineRule="auto"/>
        <w:ind w:firstLine="480" w:firstLineChars="200"/>
        <w:jc w:val="both"/>
        <w:rPr>
          <w:rFonts w:ascii="Times New Roman" w:hAnsi="Times New Roman" w:cs="Times New Roman" w:eastAsiaTheme="minorEastAsia"/>
          <w:caps w:val="0"/>
          <w:smallCaps w:val="0"/>
          <w:color w:val="auto"/>
          <w:spacing w:val="0"/>
          <w:kern w:val="0"/>
          <w:szCs w:val="24"/>
          <w:highlight w:val="none"/>
          <w:lang w:bidi="ar"/>
        </w:rPr>
      </w:pPr>
      <w:r>
        <w:rPr>
          <w:rFonts w:hint="eastAsia" w:ascii="Times New Roman" w:hAnsi="Times New Roman" w:cs="Times New Roman" w:eastAsiaTheme="minorEastAsia"/>
          <w:caps w:val="0"/>
          <w:smallCaps w:val="0"/>
          <w:color w:val="auto"/>
          <w:spacing w:val="0"/>
          <w:highlight w:val="none"/>
        </w:rPr>
        <w:t>灌胶过程中使用的AB胶主要成分基本不挥发，不会产生废气，该工序主要产生噪声</w:t>
      </w:r>
      <w:r>
        <w:rPr>
          <w:rFonts w:ascii="Times New Roman" w:hAnsi="Times New Roman" w:cs="Times New Roman" w:eastAsiaTheme="minorEastAsia"/>
          <w:caps w:val="0"/>
          <w:smallCaps w:val="0"/>
          <w:color w:val="auto"/>
          <w:spacing w:val="0"/>
          <w:highlight w:val="none"/>
        </w:rPr>
        <w:t>。</w:t>
      </w:r>
    </w:p>
    <w:p w14:paraId="320A1F81">
      <w:pPr>
        <w:widowControl w:val="0"/>
        <w:spacing w:line="360" w:lineRule="auto"/>
        <w:ind w:firstLine="480" w:firstLineChars="200"/>
        <w:jc w:val="both"/>
        <w:rPr>
          <w:rFonts w:ascii="Times New Roman" w:hAnsi="Times New Roman" w:cs="Times New Roman" w:eastAsiaTheme="minorEastAsia"/>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bidi="ar"/>
        </w:rPr>
        <w:t>（2）组框机组框：组框机是产线后段的关键设备，负责为发电玻璃安装保护性金属边框。其工作过程全自动进行：首先，定位夹具将玻璃基板精确定位，并将AB混合胶涂入铝框的槽内；随后，另一系统将铝合金边框抓取并压合到玻璃四周；最后，通过四角联动的气压或液压装置施加巨大压力，并将角码铆固，使边框与玻璃牢固结合成一个整体，从而起到保护边缘、增强强度、便于安装和密封防潮的核心作用。完成后，组件被自动传送至下一工位。</w:t>
      </w:r>
      <w:r>
        <w:rPr>
          <w:rFonts w:ascii="Times New Roman" w:hAnsi="Times New Roman" w:cs="Times New Roman" w:eastAsiaTheme="minorEastAsia"/>
          <w:caps w:val="0"/>
          <w:smallCaps w:val="0"/>
          <w:color w:val="auto"/>
          <w:spacing w:val="0"/>
          <w:highlight w:val="none"/>
        </w:rPr>
        <w:t>此部分</w:t>
      </w:r>
      <w:r>
        <w:rPr>
          <w:rFonts w:hint="eastAsia" w:ascii="Times New Roman" w:hAnsi="Times New Roman" w:cs="Times New Roman" w:eastAsiaTheme="minorEastAsia"/>
          <w:caps w:val="0"/>
          <w:smallCaps w:val="0"/>
          <w:color w:val="auto"/>
          <w:spacing w:val="0"/>
          <w:highlight w:val="none"/>
        </w:rPr>
        <w:t>AB胶主要成分基本不挥发，不会产生废气，该工序主要产生噪声</w:t>
      </w:r>
      <w:r>
        <w:rPr>
          <w:rFonts w:ascii="Times New Roman" w:hAnsi="Times New Roman" w:cs="Times New Roman" w:eastAsiaTheme="minorEastAsia"/>
          <w:caps w:val="0"/>
          <w:smallCaps w:val="0"/>
          <w:color w:val="auto"/>
          <w:spacing w:val="0"/>
          <w:highlight w:val="none"/>
        </w:rPr>
        <w:t>。</w:t>
      </w:r>
    </w:p>
    <w:p w14:paraId="54DBDED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p>
    <w:p w14:paraId="700E58F0">
      <w:pPr>
        <w:widowControl w:val="0"/>
        <w:spacing w:line="360" w:lineRule="auto"/>
        <w:jc w:val="both"/>
        <w:rPr>
          <w:caps w:val="0"/>
          <w:smallCaps w:val="0"/>
          <w:color w:val="auto"/>
          <w:spacing w:val="0"/>
          <w:highlight w:val="none"/>
        </w:rPr>
      </w:pPr>
      <w:r>
        <w:rPr>
          <w:caps w:val="0"/>
          <w:smallCaps w:val="0"/>
          <w:color w:val="auto"/>
          <w:spacing w:val="0"/>
          <w:highlight w:val="none"/>
        </w:rPr>
        <w:drawing>
          <wp:inline distT="0" distB="0" distL="114300" distR="114300">
            <wp:extent cx="5757545" cy="1884680"/>
            <wp:effectExtent l="0" t="0" r="14605" b="1270"/>
            <wp:docPr id="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0"/>
                    <pic:cNvPicPr>
                      <a:picLocks noChangeAspect="1"/>
                    </pic:cNvPicPr>
                  </pic:nvPicPr>
                  <pic:blipFill>
                    <a:blip r:embed="rId47"/>
                    <a:stretch>
                      <a:fillRect/>
                    </a:stretch>
                  </pic:blipFill>
                  <pic:spPr>
                    <a:xfrm>
                      <a:off x="0" y="0"/>
                      <a:ext cx="5757545" cy="1884680"/>
                    </a:xfrm>
                    <a:prstGeom prst="rect">
                      <a:avLst/>
                    </a:prstGeom>
                    <a:noFill/>
                    <a:ln>
                      <a:noFill/>
                    </a:ln>
                  </pic:spPr>
                </pic:pic>
              </a:graphicData>
            </a:graphic>
          </wp:inline>
        </w:drawing>
      </w:r>
    </w:p>
    <w:p w14:paraId="735D32F6">
      <w:pPr>
        <w:widowControl w:val="0"/>
        <w:jc w:val="center"/>
        <w:rPr>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图3.4-1</w:t>
      </w:r>
      <w:r>
        <w:rPr>
          <w:rFonts w:hint="eastAsia" w:ascii="Times New Roman" w:hAnsi="Times New Roman" w:eastAsia="宋体" w:cs="Times New Roman"/>
          <w:b/>
          <w:bCs/>
          <w:caps w:val="0"/>
          <w:smallCaps w:val="0"/>
          <w:color w:val="auto"/>
          <w:spacing w:val="0"/>
          <w:szCs w:val="24"/>
          <w:highlight w:val="none"/>
        </w:rPr>
        <w:t>5后端组装</w:t>
      </w:r>
      <w:r>
        <w:rPr>
          <w:rFonts w:ascii="Times New Roman" w:hAnsi="Times New Roman" w:eastAsia="宋体" w:cs="Times New Roman"/>
          <w:b/>
          <w:bCs/>
          <w:caps w:val="0"/>
          <w:smallCaps w:val="0"/>
          <w:color w:val="auto"/>
          <w:spacing w:val="0"/>
          <w:szCs w:val="24"/>
          <w:highlight w:val="none"/>
        </w:rPr>
        <w:t>工艺流程与产污环节图</w:t>
      </w:r>
      <w:r>
        <w:rPr>
          <w:rFonts w:hint="eastAsia" w:ascii="Times New Roman" w:hAnsi="Times New Roman" w:eastAsia="宋体" w:cs="Times New Roman"/>
          <w:b/>
          <w:bCs/>
          <w:caps w:val="0"/>
          <w:smallCaps w:val="0"/>
          <w:color w:val="auto"/>
          <w:spacing w:val="0"/>
          <w:szCs w:val="24"/>
          <w:highlight w:val="none"/>
        </w:rPr>
        <w:t>（红色框围边变化部分）</w:t>
      </w:r>
    </w:p>
    <w:p w14:paraId="6A2DB182">
      <w:pPr>
        <w:pStyle w:val="5"/>
        <w:widowControl w:val="0"/>
        <w:rPr>
          <w:rFonts w:eastAsia="宋体"/>
          <w:caps w:val="0"/>
          <w:smallCaps w:val="0"/>
          <w:color w:val="auto"/>
          <w:spacing w:val="0"/>
          <w:sz w:val="30"/>
          <w:szCs w:val="30"/>
          <w:highlight w:val="none"/>
        </w:rPr>
      </w:pPr>
      <w:bookmarkStart w:id="96" w:name="_Toc27296"/>
      <w:r>
        <w:rPr>
          <w:rFonts w:eastAsia="宋体"/>
          <w:caps w:val="0"/>
          <w:smallCaps w:val="0"/>
          <w:color w:val="auto"/>
          <w:spacing w:val="0"/>
          <w:sz w:val="30"/>
          <w:szCs w:val="30"/>
          <w:highlight w:val="none"/>
        </w:rPr>
        <w:t>3.4.2物料衡算</w:t>
      </w:r>
      <w:bookmarkEnd w:id="96"/>
    </w:p>
    <w:p w14:paraId="51D8BBE9">
      <w:pPr>
        <w:pStyle w:val="6"/>
        <w:widowControl w:val="0"/>
        <w:rPr>
          <w:rFonts w:eastAsia="宋体"/>
          <w:caps w:val="0"/>
          <w:smallCaps w:val="0"/>
          <w:color w:val="auto"/>
          <w:spacing w:val="0"/>
          <w:highlight w:val="none"/>
        </w:rPr>
      </w:pPr>
      <w:r>
        <w:rPr>
          <w:rFonts w:eastAsia="宋体"/>
          <w:caps w:val="0"/>
          <w:smallCaps w:val="0"/>
          <w:color w:val="auto"/>
          <w:spacing w:val="0"/>
          <w:highlight w:val="none"/>
        </w:rPr>
        <w:t>3.4.2.1镉平衡</w:t>
      </w:r>
    </w:p>
    <w:p w14:paraId="6C50F5FF">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eastAsia" w:ascii="Times New Roman" w:hAnsi="Times New Roman" w:eastAsia="宋体" w:cs="Times New Roman"/>
          <w:caps w:val="0"/>
          <w:smallCaps w:val="0"/>
          <w:color w:val="auto"/>
          <w:spacing w:val="0"/>
          <w:kern w:val="0"/>
          <w:szCs w:val="24"/>
          <w:highlight w:val="none"/>
          <w:lang w:val="en-US" w:eastAsia="zh-CN" w:bidi="ar"/>
        </w:rPr>
        <w:t>镉来自原料</w:t>
      </w:r>
      <w:r>
        <w:rPr>
          <w:rFonts w:hint="default" w:ascii="Times New Roman" w:hAnsi="Times New Roman" w:eastAsia="宋体" w:cs="Times New Roman"/>
          <w:caps w:val="0"/>
          <w:smallCaps w:val="0"/>
          <w:color w:val="auto"/>
          <w:spacing w:val="0"/>
          <w:kern w:val="0"/>
          <w:szCs w:val="24"/>
          <w:highlight w:val="none"/>
          <w:lang w:val="en-US" w:eastAsia="zh-CN" w:bidi="ar"/>
        </w:rPr>
        <w:t>CdSe</w:t>
      </w:r>
      <w:r>
        <w:rPr>
          <w:rFonts w:hint="eastAsia" w:ascii="Times New Roman" w:hAnsi="Times New Roman" w:eastAsia="宋体" w:cs="Times New Roman"/>
          <w:caps w:val="0"/>
          <w:smallCaps w:val="0"/>
          <w:color w:val="auto"/>
          <w:spacing w:val="0"/>
          <w:kern w:val="0"/>
          <w:szCs w:val="24"/>
          <w:highlight w:val="none"/>
          <w:lang w:val="en-US" w:eastAsia="zh-CN" w:bidi="ar"/>
        </w:rPr>
        <w:t>、</w:t>
      </w:r>
      <w:r>
        <w:rPr>
          <w:rFonts w:hint="default" w:ascii="Times New Roman" w:hAnsi="Times New Roman" w:eastAsia="宋体" w:cs="Times New Roman"/>
          <w:caps w:val="0"/>
          <w:smallCaps w:val="0"/>
          <w:color w:val="auto"/>
          <w:spacing w:val="0"/>
          <w:kern w:val="0"/>
          <w:szCs w:val="24"/>
          <w:highlight w:val="none"/>
          <w:lang w:val="en-US" w:eastAsia="zh-CN" w:bidi="ar"/>
        </w:rPr>
        <w:t>CdTe</w:t>
      </w:r>
      <w:r>
        <w:rPr>
          <w:rFonts w:hint="eastAsia" w:ascii="Times New Roman" w:hAnsi="Times New Roman" w:eastAsia="宋体" w:cs="Times New Roman"/>
          <w:caps w:val="0"/>
          <w:smallCaps w:val="0"/>
          <w:color w:val="auto"/>
          <w:spacing w:val="0"/>
          <w:kern w:val="0"/>
          <w:szCs w:val="24"/>
          <w:highlight w:val="none"/>
          <w:lang w:val="en-US" w:eastAsia="zh-CN" w:bidi="ar"/>
        </w:rPr>
        <w:t>和</w:t>
      </w:r>
      <w:r>
        <w:rPr>
          <w:rFonts w:hint="default" w:ascii="Times New Roman" w:hAnsi="Times New Roman" w:eastAsia="宋体" w:cs="Times New Roman"/>
          <w:caps w:val="0"/>
          <w:smallCaps w:val="0"/>
          <w:color w:val="auto"/>
          <w:spacing w:val="0"/>
          <w:kern w:val="0"/>
          <w:szCs w:val="24"/>
          <w:highlight w:val="none"/>
          <w:lang w:val="en-US" w:eastAsia="zh-CN" w:bidi="ar"/>
        </w:rPr>
        <w:t>CdCl</w:t>
      </w:r>
      <w:r>
        <w:rPr>
          <w:rFonts w:hint="default" w:ascii="Times New Roman" w:hAnsi="Times New Roman" w:eastAsia="宋体" w:cs="Times New Roman"/>
          <w:caps w:val="0"/>
          <w:smallCaps w:val="0"/>
          <w:color w:val="auto"/>
          <w:spacing w:val="0"/>
          <w:kern w:val="0"/>
          <w:szCs w:val="24"/>
          <w:highlight w:val="none"/>
          <w:vertAlign w:val="subscript"/>
          <w:lang w:val="en-US" w:eastAsia="zh-CN" w:bidi="ar"/>
        </w:rPr>
        <w:t>2</w:t>
      </w:r>
      <w:r>
        <w:rPr>
          <w:rFonts w:hint="eastAsia" w:ascii="Times New Roman" w:hAnsi="Times New Roman" w:eastAsia="宋体" w:cs="Times New Roman"/>
          <w:caps w:val="0"/>
          <w:smallCaps w:val="0"/>
          <w:color w:val="auto"/>
          <w:spacing w:val="0"/>
          <w:kern w:val="0"/>
          <w:szCs w:val="24"/>
          <w:highlight w:val="none"/>
          <w:lang w:val="en-US" w:eastAsia="zh-CN" w:bidi="ar"/>
        </w:rPr>
        <w:t>，生产过程中大部分进入产品，少量镉在</w:t>
      </w:r>
      <w:r>
        <w:rPr>
          <w:rFonts w:hint="default" w:ascii="Times New Roman" w:hAnsi="Times New Roman" w:eastAsia="宋体" w:cs="Times New Roman"/>
          <w:caps w:val="0"/>
          <w:smallCaps w:val="0"/>
          <w:color w:val="auto"/>
          <w:spacing w:val="0"/>
          <w:kern w:val="0"/>
          <w:szCs w:val="24"/>
          <w:highlight w:val="none"/>
          <w:lang w:val="en-US" w:eastAsia="zh-CN" w:bidi="ar"/>
        </w:rPr>
        <w:t>CSS</w:t>
      </w:r>
      <w:r>
        <w:rPr>
          <w:rFonts w:hint="eastAsia" w:ascii="Times New Roman" w:hAnsi="Times New Roman" w:eastAsia="宋体" w:cs="Times New Roman"/>
          <w:caps w:val="0"/>
          <w:smallCaps w:val="0"/>
          <w:color w:val="auto"/>
          <w:spacing w:val="0"/>
          <w:kern w:val="0"/>
          <w:szCs w:val="24"/>
          <w:highlight w:val="none"/>
          <w:lang w:val="en-US" w:eastAsia="zh-CN" w:bidi="ar"/>
        </w:rPr>
        <w:t>沉积镀膜、活化层退火、激光刻线和边缘处理等工序进入废气，涂覆前清洗及</w:t>
      </w:r>
      <w:r>
        <w:rPr>
          <w:rFonts w:ascii="Times New Roman" w:hAnsi="Times New Roman" w:eastAsia="宋体" w:cs="Times New Roman"/>
          <w:caps w:val="0"/>
          <w:smallCaps w:val="0"/>
          <w:color w:val="auto"/>
          <w:spacing w:val="0"/>
          <w:kern w:val="0"/>
          <w:szCs w:val="24"/>
          <w:highlight w:val="none"/>
          <w:lang w:bidi="ar"/>
        </w:rPr>
        <w:t>活化层活化、清洗蚀刻</w:t>
      </w:r>
      <w:r>
        <w:rPr>
          <w:rFonts w:hint="eastAsia" w:ascii="Times New Roman" w:hAnsi="Times New Roman" w:eastAsia="宋体" w:cs="Times New Roman"/>
          <w:caps w:val="0"/>
          <w:smallCaps w:val="0"/>
          <w:color w:val="auto"/>
          <w:spacing w:val="0"/>
          <w:kern w:val="0"/>
          <w:szCs w:val="24"/>
          <w:highlight w:val="none"/>
          <w:lang w:val="en-US" w:eastAsia="zh-CN" w:bidi="ar"/>
        </w:rPr>
        <w:t>等工序会有少量镉进入废水，其余全部以固废形式存在。</w:t>
      </w:r>
    </w:p>
    <w:p w14:paraId="07CF868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val="en-US" w:eastAsia="zh-CN" w:bidi="ar"/>
        </w:rPr>
        <w:t>根据建设单位提供技术资料和类比同类型生产企业，本工程物料平衡相关参数如下：</w:t>
      </w:r>
    </w:p>
    <w:p w14:paraId="210538A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（1）CSS镀膜</w:t>
      </w:r>
    </w:p>
    <w:p w14:paraId="1480F4A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CSS镀膜过程先后沉积120nmCdSe层和3.2</w:t>
      </w:r>
      <w:r>
        <w:rPr>
          <w:rFonts w:ascii="Times New Roman" w:hAnsi="Times New Roman" w:eastAsia="宋体" w:cs="Times New Roman"/>
          <w:caps w:val="0"/>
          <w:smallCaps w:val="0"/>
          <w:color w:val="auto"/>
          <w:spacing w:val="0"/>
          <w:highlight w:val="none"/>
        </w:rPr>
        <w:t>μ</w:t>
      </w:r>
      <w:r>
        <w:rPr>
          <w:rFonts w:ascii="Times New Roman" w:hAnsi="Times New Roman" w:eastAsia="宋体" w:cs="Times New Roman"/>
          <w:caps w:val="0"/>
          <w:smallCaps w:val="0"/>
          <w:color w:val="auto"/>
          <w:spacing w:val="0"/>
          <w:kern w:val="0"/>
          <w:szCs w:val="24"/>
          <w:highlight w:val="none"/>
          <w:lang w:bidi="ar"/>
        </w:rPr>
        <w:t>mCdTe层，外购TCO玻璃基片约412000片/年，单片沉积面积1.92m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，CdSe和CdTe密度分别为5810kg/m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、6201kg/m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。因此CdSe沉积量为551.51kg/a，沉积率59.70%</w:t>
      </w:r>
      <w:r>
        <w:rPr>
          <w:rFonts w:hint="eastAsia" w:ascii="Times New Roman" w:hAnsi="Times New Roman" w:eastAsia="宋体" w:cs="Times New Roman"/>
          <w:caps w:val="0"/>
          <w:smallCaps w:val="0"/>
          <w:color w:val="auto"/>
          <w:spacing w:val="0"/>
          <w:kern w:val="0"/>
          <w:szCs w:val="24"/>
          <w:highlight w:val="none"/>
          <w:lang w:bidi="ar"/>
        </w:rPr>
        <w:t>（</w:t>
      </w:r>
      <w:r>
        <w:rPr>
          <w:rFonts w:hint="eastAsia" w:ascii="Times New Roman" w:hAnsi="Times New Roman" w:eastAsia="宋体" w:cs="Times New Roman"/>
          <w:caps w:val="0"/>
          <w:smallCaps w:val="0"/>
          <w:color w:val="auto"/>
          <w:spacing w:val="0"/>
          <w:kern w:val="0"/>
          <w:szCs w:val="24"/>
          <w:highlight w:val="none"/>
          <w:lang w:bidi="ar"/>
        </w:rPr>
        <w:t>下述各沉积效率均为参考其他中建材基地数据本企业工艺设计文件得来）</w:t>
      </w:r>
      <w:r>
        <w:rPr>
          <w:rFonts w:ascii="Times New Roman" w:hAnsi="Times New Roman" w:eastAsia="宋体" w:cs="Times New Roman"/>
          <w:caps w:val="0"/>
          <w:smallCaps w:val="0"/>
          <w:color w:val="auto"/>
          <w:spacing w:val="0"/>
          <w:kern w:val="0"/>
          <w:szCs w:val="24"/>
          <w:highlight w:val="none"/>
          <w:lang w:bidi="ar"/>
        </w:rPr>
        <w:t>；CdTe沉积量为15696.76kg/a，沉积率68.77%。考虑95%的成品率，合格电池组件中含CdSe523.94kg/a、CdTe14911.93kg/a；产生的废电池组件和碎玻璃中含CdSe27.57kg/a、CdTe784.84kg/a（废电池组件与碎玻璃比值6:4）。</w:t>
      </w:r>
    </w:p>
    <w:p w14:paraId="36A61949">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未沉积的CdSe和CdTe部分随氮气抽出</w:t>
      </w:r>
      <w:r>
        <w:rPr>
          <w:rFonts w:hint="eastAsia" w:ascii="Times New Roman" w:hAnsi="Times New Roman" w:eastAsia="宋体" w:cs="Times New Roman"/>
          <w:caps w:val="0"/>
          <w:smallCaps w:val="0"/>
          <w:color w:val="auto"/>
          <w:spacing w:val="0"/>
          <w:kern w:val="0"/>
          <w:szCs w:val="24"/>
          <w:highlight w:val="none"/>
          <w:lang w:bidi="ar"/>
        </w:rPr>
        <w:t>进入</w:t>
      </w:r>
      <w:r>
        <w:rPr>
          <w:rFonts w:hint="eastAsia" w:ascii="Times New Roman" w:hAnsi="Times New Roman" w:eastAsia="宋体" w:cs="Times New Roman"/>
          <w:caps w:val="0"/>
          <w:smallCaps w:val="0"/>
          <w:color w:val="auto"/>
          <w:spacing w:val="0"/>
          <w:kern w:val="0"/>
          <w:szCs w:val="24"/>
          <w:highlight w:val="none"/>
          <w:lang w:val="en-US" w:eastAsia="zh-CN" w:bidi="ar"/>
        </w:rPr>
        <w:t>E12级高效离子过滤器+</w:t>
      </w:r>
      <w:r>
        <w:rPr>
          <w:rFonts w:hint="eastAsia" w:ascii="Times New Roman" w:hAnsi="Times New Roman" w:eastAsia="宋体" w:cs="Times New Roman"/>
          <w:caps w:val="0"/>
          <w:smallCaps w:val="0"/>
          <w:color w:val="auto"/>
          <w:spacing w:val="0"/>
          <w:kern w:val="0"/>
          <w:szCs w:val="24"/>
          <w:highlight w:val="none"/>
          <w:lang w:bidi="ar"/>
        </w:rPr>
        <w:t>H14</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w:t>
      </w:r>
      <w:r>
        <w:rPr>
          <w:rFonts w:hint="eastAsia" w:ascii="Times New Roman" w:hAnsi="Times New Roman" w:eastAsia="宋体" w:cs="Times New Roman"/>
          <w:caps w:val="0"/>
          <w:smallCaps w:val="0"/>
          <w:color w:val="auto"/>
          <w:spacing w:val="0"/>
          <w:kern w:val="0"/>
          <w:szCs w:val="24"/>
          <w:highlight w:val="none"/>
          <w:lang w:bidi="ar"/>
        </w:rPr>
        <w:t>收集过滤</w:t>
      </w:r>
      <w:r>
        <w:rPr>
          <w:rFonts w:ascii="Times New Roman" w:hAnsi="Times New Roman" w:eastAsia="宋体" w:cs="Times New Roman"/>
          <w:caps w:val="0"/>
          <w:smallCaps w:val="0"/>
          <w:color w:val="auto"/>
          <w:spacing w:val="0"/>
          <w:kern w:val="0"/>
          <w:szCs w:val="24"/>
          <w:highlight w:val="none"/>
          <w:lang w:bidi="ar"/>
        </w:rPr>
        <w:t>，约占未沉积材料的40%，含CdSe148.92kg/a和CdTe2851.30kg/a；部分沉积在真空罩内表面，约占未沉积材料的50%，含CdSe186.15kg/a和CdTe3564.13kg/a；部分残留在石墨坩埚表面，约占未沉积材料的10%，含CdSe37.23kg/a和CdTe712.83kg/a。根据物料平衡分析可知，有一部分CdSe和CdTe材料并未成功沉积在TCO玻璃基片上，而是以颗粒形态散落并附着于基片表面，CdSe和CdTe附着量分别为26.19kg/a（其中Cd含量为15.38kg/a）及174.97kg/a（其中Cd含量为81.95kg/a）。</w:t>
      </w:r>
    </w:p>
    <w:p w14:paraId="7ACB9A2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（2）涂覆前清洗</w:t>
      </w:r>
    </w:p>
    <w:p w14:paraId="439ED733">
      <w:pPr>
        <w:pStyle w:val="13"/>
        <w:widowControl w:val="0"/>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涂覆前进行喷淋冲洗，带走以颗粒形态散落并附着于基片表面的CdSe和CdTe，清洗废水进入低浓度含镉废水，CdSe和CdTe清洗带走量分别为26.19kg/a（其中Cd含量为15.38kg/a）及174.97kg/a（其中Cd含量为81.95kg/a）。</w:t>
      </w:r>
    </w:p>
    <w:p w14:paraId="26409894">
      <w:pPr>
        <w:widowControl w:val="0"/>
        <w:numPr>
          <w:ilvl w:val="0"/>
          <w:numId w:val="10"/>
        </w:numPr>
        <w:adjustRightInd w:val="0"/>
        <w:snapToGrid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活化层活化、清洗蚀刻</w:t>
      </w:r>
    </w:p>
    <w:p w14:paraId="6629FE65">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活化层活化目的是改善CdSe、CdTe的扩散途径，并未在衬底表面形成CdCl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层，因此除退火过程除部分CdCl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以废气形式排出，其余CdCl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则在活化层清洗工段清洗进入废水和废槽液中。</w:t>
      </w:r>
    </w:p>
    <w:p w14:paraId="366BBAD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·5H</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O使用量为1750kg/a，则CdCl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含量为1173.73kg/a，活化层活化过程5.87kg/aCdCl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（占比0.5%）以颗粒物形式进入到废气，</w:t>
      </w:r>
      <w:r>
        <w:rPr>
          <w:rFonts w:ascii="Times New Roman" w:hAnsi="Times New Roman" w:eastAsia="宋体" w:cs="Times New Roman"/>
          <w:caps w:val="0"/>
          <w:smallCaps w:val="0"/>
          <w:color w:val="auto"/>
          <w:spacing w:val="0"/>
          <w:kern w:val="0"/>
          <w:szCs w:val="24"/>
          <w:highlight w:val="none"/>
          <w:lang w:bidi="ar"/>
        </w:rPr>
        <w:t>废气经设备</w:t>
      </w:r>
      <w:r>
        <w:rPr>
          <w:rFonts w:hint="eastAsia" w:ascii="Times New Roman" w:hAnsi="Times New Roman" w:eastAsia="宋体" w:cs="Times New Roman"/>
          <w:caps w:val="0"/>
          <w:smallCaps w:val="0"/>
          <w:color w:val="auto"/>
          <w:spacing w:val="0"/>
          <w:kern w:val="0"/>
          <w:szCs w:val="24"/>
          <w:highlight w:val="none"/>
          <w:lang w:val="en-US" w:eastAsia="zh-CN" w:bidi="ar"/>
        </w:rPr>
        <w:t>F7</w:t>
      </w:r>
      <w:r>
        <w:rPr>
          <w:rFonts w:ascii="Times New Roman" w:hAnsi="Times New Roman" w:eastAsia="宋体" w:cs="Times New Roman"/>
          <w:caps w:val="0"/>
          <w:smallCaps w:val="0"/>
          <w:color w:val="auto"/>
          <w:spacing w:val="0"/>
          <w:kern w:val="0"/>
          <w:szCs w:val="24"/>
          <w:highlight w:val="none"/>
          <w:lang w:bidi="ar"/>
        </w:rPr>
        <w:t>级过滤器</w:t>
      </w:r>
      <w:r>
        <w:rPr>
          <w:rFonts w:hint="eastAsia" w:ascii="Times New Roman" w:hAnsi="Times New Roman" w:eastAsia="宋体" w:cs="Times New Roman"/>
          <w:caps w:val="0"/>
          <w:smallCaps w:val="0"/>
          <w:color w:val="auto"/>
          <w:spacing w:val="0"/>
          <w:kern w:val="0"/>
          <w:szCs w:val="24"/>
          <w:highlight w:val="none"/>
          <w:lang w:val="en-US" w:eastAsia="zh-CN" w:bidi="ar"/>
        </w:rPr>
        <w:t>+E10</w:t>
      </w:r>
      <w:r>
        <w:rPr>
          <w:rFonts w:ascii="Times New Roman" w:hAnsi="Times New Roman" w:eastAsia="宋体" w:cs="Times New Roman"/>
          <w:caps w:val="0"/>
          <w:smallCaps w:val="0"/>
          <w:color w:val="auto"/>
          <w:spacing w:val="0"/>
          <w:kern w:val="0"/>
          <w:szCs w:val="24"/>
          <w:highlight w:val="none"/>
          <w:lang w:bidi="ar"/>
        </w:rPr>
        <w:t>级高效</w:t>
      </w:r>
      <w:r>
        <w:rPr>
          <w:rFonts w:hint="eastAsia" w:ascii="Times New Roman" w:hAnsi="Times New Roman" w:eastAsia="宋体" w:cs="Times New Roman"/>
          <w:caps w:val="0"/>
          <w:smallCaps w:val="0"/>
          <w:color w:val="auto"/>
          <w:spacing w:val="0"/>
          <w:kern w:val="0"/>
          <w:szCs w:val="24"/>
          <w:highlight w:val="none"/>
          <w:lang w:val="en-US" w:eastAsia="zh-CN" w:bidi="ar"/>
        </w:rPr>
        <w:t>离子</w:t>
      </w:r>
      <w:r>
        <w:rPr>
          <w:rFonts w:ascii="Times New Roman" w:hAnsi="Times New Roman" w:eastAsia="宋体" w:cs="Times New Roman"/>
          <w:caps w:val="0"/>
          <w:smallCaps w:val="0"/>
          <w:color w:val="auto"/>
          <w:spacing w:val="0"/>
          <w:kern w:val="0"/>
          <w:szCs w:val="24"/>
          <w:highlight w:val="none"/>
          <w:lang w:bidi="ar"/>
        </w:rPr>
        <w:t>过滤器</w:t>
      </w:r>
      <w:r>
        <w:rPr>
          <w:rFonts w:hint="eastAsia" w:ascii="Times New Roman" w:hAnsi="Times New Roman" w:eastAsia="宋体" w:cs="Times New Roman"/>
          <w:caps w:val="0"/>
          <w:smallCaps w:val="0"/>
          <w:color w:val="auto"/>
          <w:spacing w:val="0"/>
          <w:kern w:val="0"/>
          <w:szCs w:val="24"/>
          <w:highlight w:val="none"/>
          <w:lang w:val="en-US" w:eastAsia="zh-CN" w:bidi="ar"/>
        </w:rPr>
        <w:t>+</w:t>
      </w:r>
      <w:r>
        <w:rPr>
          <w:rFonts w:ascii="Times New Roman" w:hAnsi="Times New Roman" w:eastAsia="宋体" w:cs="Times New Roman"/>
          <w:caps w:val="0"/>
          <w:smallCaps w:val="0"/>
          <w:color w:val="auto"/>
          <w:spacing w:val="0"/>
          <w:kern w:val="0"/>
          <w:szCs w:val="24"/>
          <w:highlight w:val="none"/>
          <w:lang w:bidi="ar"/>
        </w:rPr>
        <w:t>H14级高效</w:t>
      </w:r>
      <w:r>
        <w:rPr>
          <w:rFonts w:hint="eastAsia" w:ascii="Times New Roman" w:hAnsi="Times New Roman" w:eastAsia="宋体" w:cs="Times New Roman"/>
          <w:caps w:val="0"/>
          <w:smallCaps w:val="0"/>
          <w:color w:val="auto"/>
          <w:spacing w:val="0"/>
          <w:kern w:val="0"/>
          <w:szCs w:val="24"/>
          <w:highlight w:val="none"/>
          <w:lang w:val="en-US" w:eastAsia="zh-CN" w:bidi="ar"/>
        </w:rPr>
        <w:t>离子</w:t>
      </w:r>
      <w:r>
        <w:rPr>
          <w:rFonts w:ascii="Times New Roman" w:hAnsi="Times New Roman" w:eastAsia="宋体" w:cs="Times New Roman"/>
          <w:caps w:val="0"/>
          <w:smallCaps w:val="0"/>
          <w:color w:val="auto"/>
          <w:spacing w:val="0"/>
          <w:kern w:val="0"/>
          <w:szCs w:val="24"/>
          <w:highlight w:val="none"/>
          <w:lang w:bidi="ar"/>
        </w:rPr>
        <w:t>过滤器过滤处理+21m高排气筒(DA001)排放。H14级的高效过滤器处理效率99.9%计</w:t>
      </w:r>
      <w:r>
        <w:rPr>
          <w:rFonts w:hint="eastAsia" w:ascii="Times New Roman" w:hAnsi="Times New Roman" w:eastAsia="宋体" w:cs="Times New Roman"/>
          <w:caps w:val="0"/>
          <w:smallCaps w:val="0"/>
          <w:color w:val="auto"/>
          <w:spacing w:val="0"/>
          <w:kern w:val="0"/>
          <w:szCs w:val="24"/>
          <w:highlight w:val="none"/>
          <w:lang w:bidi="ar"/>
        </w:rPr>
        <w:t>，</w:t>
      </w:r>
      <w:r>
        <w:rPr>
          <w:rFonts w:ascii="Times New Roman" w:hAnsi="Times New Roman" w:eastAsia="宋体" w:cs="Times New Roman"/>
          <w:caps w:val="0"/>
          <w:smallCaps w:val="0"/>
          <w:color w:val="auto"/>
          <w:spacing w:val="0"/>
          <w:highlight w:val="none"/>
        </w:rPr>
        <w:t>活化层清洗过程1167.86kg/aCdCl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（占比99.5%）和372.80kg/aCdTe（占比2.5%）以离子态进入活化层清洗废水和废槽液中，活化层清洗废水和废槽液全部进入高浓度含镉废水。</w:t>
      </w:r>
    </w:p>
    <w:p w14:paraId="3E38DE1F">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（4）P1激光刻线废气</w:t>
      </w:r>
    </w:p>
    <w:p w14:paraId="08C1C92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P1激光刻线沿平行于短边的方向分割214个小单元刻线宽度为50</w:t>
      </w:r>
      <w:r>
        <w:rPr>
          <w:rFonts w:ascii="Times New Roman" w:hAnsi="Times New Roman" w:eastAsia="宋体" w:cs="Times New Roman"/>
          <w:caps w:val="0"/>
          <w:smallCaps w:val="0"/>
          <w:color w:val="auto"/>
          <w:spacing w:val="0"/>
          <w:highlight w:val="none"/>
        </w:rPr>
        <w:t>μm</w:t>
      </w:r>
      <w:r>
        <w:rPr>
          <w:rFonts w:ascii="Times New Roman" w:hAnsi="Times New Roman" w:eastAsia="宋体" w:cs="Times New Roman"/>
          <w:caps w:val="0"/>
          <w:smallCaps w:val="0"/>
          <w:color w:val="auto"/>
          <w:spacing w:val="0"/>
          <w:kern w:val="0"/>
          <w:szCs w:val="24"/>
          <w:highlight w:val="none"/>
          <w:lang w:bidi="ar"/>
        </w:rPr>
        <w:t>，总刻划面积5265.36m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。CdSe涂层厚度为120nm，CdTe涂层厚度为3.2</w:t>
      </w:r>
      <w:r>
        <w:rPr>
          <w:rFonts w:ascii="Times New Roman" w:hAnsi="Times New Roman" w:eastAsia="宋体" w:cs="Times New Roman"/>
          <w:caps w:val="0"/>
          <w:smallCaps w:val="0"/>
          <w:color w:val="auto"/>
          <w:spacing w:val="0"/>
          <w:highlight w:val="none"/>
        </w:rPr>
        <w:t>μm</w:t>
      </w:r>
      <w:r>
        <w:rPr>
          <w:rFonts w:ascii="Times New Roman" w:hAnsi="Times New Roman" w:eastAsia="宋体" w:cs="Times New Roman"/>
          <w:caps w:val="0"/>
          <w:smallCaps w:val="0"/>
          <w:color w:val="auto"/>
          <w:spacing w:val="0"/>
          <w:kern w:val="0"/>
          <w:szCs w:val="24"/>
          <w:highlight w:val="none"/>
          <w:lang w:bidi="ar"/>
        </w:rPr>
        <w:t>，P1激光刻线过程中粉尘产生量包括CdSe产生量为3.67kg/a，CdTe产生量为104.48kg/a。</w:t>
      </w:r>
    </w:p>
    <w:p w14:paraId="7BE34EC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（5）P2激光刻线废气</w:t>
      </w:r>
    </w:p>
    <w:p w14:paraId="766565C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P2激光刻线沿平行于短边的方向分割214个小单元刻线宽度为60</w:t>
      </w:r>
      <w:r>
        <w:rPr>
          <w:rFonts w:ascii="Times New Roman" w:hAnsi="Times New Roman" w:eastAsia="宋体" w:cs="Times New Roman"/>
          <w:caps w:val="0"/>
          <w:smallCaps w:val="0"/>
          <w:color w:val="auto"/>
          <w:spacing w:val="0"/>
          <w:highlight w:val="none"/>
        </w:rPr>
        <w:t>μm</w:t>
      </w:r>
      <w:r>
        <w:rPr>
          <w:rFonts w:ascii="Times New Roman" w:hAnsi="Times New Roman" w:eastAsia="宋体" w:cs="Times New Roman"/>
          <w:caps w:val="0"/>
          <w:smallCaps w:val="0"/>
          <w:color w:val="auto"/>
          <w:spacing w:val="0"/>
          <w:kern w:val="0"/>
          <w:szCs w:val="24"/>
          <w:highlight w:val="none"/>
          <w:lang w:bidi="ar"/>
        </w:rPr>
        <w:t>，总刻划面积6318.43m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。玻璃基片含CdSe涂层厚度为120nm，CdTe涂层厚度为3200</w:t>
      </w:r>
      <w:r>
        <w:rPr>
          <w:rFonts w:ascii="Times New Roman" w:hAnsi="Times New Roman" w:eastAsia="宋体" w:cs="Times New Roman"/>
          <w:caps w:val="0"/>
          <w:smallCaps w:val="0"/>
          <w:color w:val="auto"/>
          <w:spacing w:val="0"/>
          <w:highlight w:val="none"/>
        </w:rPr>
        <w:t>nm</w:t>
      </w:r>
      <w:r>
        <w:rPr>
          <w:rFonts w:ascii="Times New Roman" w:hAnsi="Times New Roman" w:eastAsia="宋体" w:cs="Times New Roman"/>
          <w:caps w:val="0"/>
          <w:smallCaps w:val="0"/>
          <w:color w:val="auto"/>
          <w:spacing w:val="0"/>
          <w:kern w:val="0"/>
          <w:szCs w:val="24"/>
          <w:highlight w:val="none"/>
          <w:lang w:bidi="ar"/>
        </w:rPr>
        <w:t>。P2激光刻线过程中粉尘产生量包括CdSe产生量为4.41kg/a，CdTe产生量为125.38kg/a。</w:t>
      </w:r>
    </w:p>
    <w:p w14:paraId="7CA85EFE">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（6）P3激光刻线废气</w:t>
      </w:r>
    </w:p>
    <w:p w14:paraId="50D99252">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P3激光刻线沿平行于短边的方向分割214个小单元刻线宽度为60</w:t>
      </w:r>
      <w:r>
        <w:rPr>
          <w:rFonts w:ascii="Times New Roman" w:hAnsi="Times New Roman" w:eastAsia="宋体" w:cs="Times New Roman"/>
          <w:caps w:val="0"/>
          <w:smallCaps w:val="0"/>
          <w:color w:val="auto"/>
          <w:spacing w:val="0"/>
          <w:highlight w:val="none"/>
        </w:rPr>
        <w:t>μm</w:t>
      </w:r>
      <w:r>
        <w:rPr>
          <w:rFonts w:ascii="Times New Roman" w:hAnsi="Times New Roman" w:eastAsia="宋体" w:cs="Times New Roman"/>
          <w:caps w:val="0"/>
          <w:smallCaps w:val="0"/>
          <w:color w:val="auto"/>
          <w:spacing w:val="0"/>
          <w:kern w:val="0"/>
          <w:szCs w:val="24"/>
          <w:highlight w:val="none"/>
          <w:lang w:bidi="ar"/>
        </w:rPr>
        <w:t>，总刻划面积6318.43m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。玻璃基片含CdSe涂层厚度为50nm，CdTe涂层厚度为3200</w:t>
      </w:r>
      <w:r>
        <w:rPr>
          <w:rFonts w:ascii="Times New Roman" w:hAnsi="Times New Roman" w:eastAsia="宋体" w:cs="Times New Roman"/>
          <w:caps w:val="0"/>
          <w:smallCaps w:val="0"/>
          <w:color w:val="auto"/>
          <w:spacing w:val="0"/>
          <w:highlight w:val="none"/>
        </w:rPr>
        <w:t>nm</w:t>
      </w:r>
      <w:r>
        <w:rPr>
          <w:rFonts w:ascii="Times New Roman" w:hAnsi="Times New Roman" w:eastAsia="宋体" w:cs="Times New Roman"/>
          <w:caps w:val="0"/>
          <w:smallCaps w:val="0"/>
          <w:color w:val="auto"/>
          <w:spacing w:val="0"/>
          <w:kern w:val="0"/>
          <w:szCs w:val="24"/>
          <w:highlight w:val="none"/>
          <w:lang w:bidi="ar"/>
        </w:rPr>
        <w:t>。P3激光刻线过程粉尘产生量包括CdSe产生量为4.41kg/a，CdTe产生量为125.38kg/a。</w:t>
      </w:r>
    </w:p>
    <w:p w14:paraId="1CFF10C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（7）P4激光清边废气</w:t>
      </w:r>
    </w:p>
    <w:p w14:paraId="380FF08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激光清边主要对玻璃基板边缘部分所有沉积层去除，去边宽度约10mm，总去边面积14749.6m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，TCO玻璃基片约412000片/年)。玻璃基片含CdSe涂层厚度为50nm，CdTe涂层厚度为3200</w:t>
      </w:r>
      <w:r>
        <w:rPr>
          <w:rFonts w:ascii="Times New Roman" w:hAnsi="Times New Roman" w:eastAsia="宋体" w:cs="Times New Roman"/>
          <w:caps w:val="0"/>
          <w:smallCaps w:val="0"/>
          <w:color w:val="auto"/>
          <w:spacing w:val="0"/>
          <w:highlight w:val="none"/>
        </w:rPr>
        <w:t>nm</w:t>
      </w:r>
      <w:r>
        <w:rPr>
          <w:rFonts w:ascii="Times New Roman" w:hAnsi="Times New Roman" w:eastAsia="宋体" w:cs="Times New Roman"/>
          <w:caps w:val="0"/>
          <w:smallCaps w:val="0"/>
          <w:color w:val="auto"/>
          <w:spacing w:val="0"/>
          <w:kern w:val="0"/>
          <w:szCs w:val="24"/>
          <w:highlight w:val="none"/>
          <w:lang w:bidi="ar"/>
        </w:rPr>
        <w:t>。则激光清边过程中粉尘产生量包括CdSe产生量为10.28kg/a、CdTe产生量为292.68kg/a。</w:t>
      </w:r>
    </w:p>
    <w:p w14:paraId="04735DFE">
      <w:pPr>
        <w:widowControl w:val="0"/>
        <w:tabs>
          <w:tab w:val="left" w:pos="447"/>
          <w:tab w:val="left" w:pos="459"/>
        </w:tabs>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（8）透光组件P5激光废气</w:t>
      </w:r>
    </w:p>
    <w:p w14:paraId="4CCA2269">
      <w:pPr>
        <w:widowControl w:val="0"/>
        <w:spacing w:line="360" w:lineRule="auto"/>
        <w:ind w:firstLine="480" w:firstLineChars="200"/>
        <w:jc w:val="both"/>
        <w:rPr>
          <w:rFonts w:hint="eastAsia" w:ascii="Times New Roman" w:hAnsi="Times New Roman" w:eastAsia="宋体" w:cs="Times New Roman"/>
          <w:caps w:val="0"/>
          <w:smallCaps w:val="0"/>
          <w:color w:val="auto"/>
          <w:spacing w:val="0"/>
          <w:szCs w:val="24"/>
          <w:highlight w:val="none"/>
          <w:lang w:val="en-US" w:eastAsia="zh-CN"/>
        </w:rPr>
      </w:pPr>
      <w:r>
        <w:rPr>
          <w:rFonts w:ascii="Times New Roman" w:hAnsi="Times New Roman" w:eastAsia="宋体" w:cs="Times New Roman"/>
          <w:caps w:val="0"/>
          <w:smallCaps w:val="0"/>
          <w:color w:val="auto"/>
          <w:spacing w:val="0"/>
          <w:kern w:val="0"/>
          <w:szCs w:val="24"/>
          <w:highlight w:val="none"/>
          <w:lang w:bidi="ar"/>
        </w:rPr>
        <w:t>P5激光刻线过程中会有激光废气产生，此次刻线面积为组件面积的20%，刻线深度达到TCO层；玻璃基片含CdSe涂层厚度为50nm，CdTe涂层厚度为3200</w:t>
      </w:r>
      <w:r>
        <w:rPr>
          <w:rFonts w:ascii="Times New Roman" w:hAnsi="Times New Roman" w:eastAsia="宋体" w:cs="Times New Roman"/>
          <w:caps w:val="0"/>
          <w:smallCaps w:val="0"/>
          <w:color w:val="auto"/>
          <w:spacing w:val="0"/>
          <w:highlight w:val="none"/>
        </w:rPr>
        <w:t>nm</w:t>
      </w:r>
      <w:r>
        <w:rPr>
          <w:rFonts w:ascii="Times New Roman" w:hAnsi="Times New Roman" w:eastAsia="宋体" w:cs="Times New Roman"/>
          <w:caps w:val="0"/>
          <w:smallCaps w:val="0"/>
          <w:color w:val="auto"/>
          <w:spacing w:val="0"/>
          <w:kern w:val="0"/>
          <w:szCs w:val="24"/>
          <w:highlight w:val="none"/>
          <w:lang w:bidi="ar"/>
        </w:rPr>
        <w:t>，P5激光刻线过程中包括CdSe</w:t>
      </w:r>
      <w:r>
        <w:rPr>
          <w:rFonts w:hint="eastAsia" w:ascii="Times New Roman" w:hAnsi="Times New Roman" w:eastAsia="宋体" w:cs="Times New Roman"/>
          <w:caps w:val="0"/>
          <w:smallCaps w:val="0"/>
          <w:color w:val="auto"/>
          <w:spacing w:val="0"/>
          <w:kern w:val="0"/>
          <w:szCs w:val="24"/>
          <w:highlight w:val="none"/>
          <w:lang w:val="en-US" w:eastAsia="zh-CN" w:bidi="ar"/>
        </w:rPr>
        <w:t>0</w:t>
      </w:r>
    </w:p>
    <w:p w14:paraId="091FEF3B">
      <w:pPr>
        <w:widowControl w:val="0"/>
        <w:tabs>
          <w:tab w:val="left" w:pos="447"/>
          <w:tab w:val="left" w:pos="459"/>
        </w:tabs>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（9）异型组件P6激光废气</w:t>
      </w:r>
    </w:p>
    <w:p w14:paraId="299C43E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P6激光刻线过程中会有激光废气产生，此次刻线面积为组件面积的10%，刻线深度达到TCO层，玻璃基片含CdSe涂层厚度为50nm，CdTe涂层厚度为3200</w:t>
      </w:r>
      <w:r>
        <w:rPr>
          <w:rFonts w:ascii="Times New Roman" w:hAnsi="Times New Roman" w:eastAsia="宋体" w:cs="Times New Roman"/>
          <w:caps w:val="0"/>
          <w:smallCaps w:val="0"/>
          <w:color w:val="auto"/>
          <w:spacing w:val="0"/>
          <w:highlight w:val="none"/>
        </w:rPr>
        <w:t>nm，</w:t>
      </w:r>
      <w:r>
        <w:rPr>
          <w:rFonts w:ascii="Times New Roman" w:hAnsi="Times New Roman" w:eastAsia="宋体" w:cs="Times New Roman"/>
          <w:caps w:val="0"/>
          <w:smallCaps w:val="0"/>
          <w:color w:val="auto"/>
          <w:spacing w:val="0"/>
          <w:kern w:val="0"/>
          <w:szCs w:val="24"/>
          <w:highlight w:val="none"/>
          <w:lang w:bidi="ar"/>
        </w:rPr>
        <w:t>P5激光刻线过程中包括CdSe粉尘产生量为1.10kg/a、CdTe粉尘产生量为31.39kg/a。</w:t>
      </w:r>
    </w:p>
    <w:p w14:paraId="519DD8A7">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本项目的镉元素物料平衡情况详见表3.4-1。</w:t>
      </w:r>
    </w:p>
    <w:p w14:paraId="4244E69E">
      <w:pPr>
        <w:pStyle w:val="65"/>
        <w:widowControl w:val="0"/>
        <w:snapToGrid w:val="0"/>
        <w:spacing w:line="240" w:lineRule="auto"/>
        <w:ind w:firstLine="0" w:firstLineChars="0"/>
        <w:jc w:val="center"/>
        <w:rPr>
          <w:rFonts w:eastAsia="宋体"/>
          <w:caps w:val="0"/>
          <w:smallCaps w:val="0"/>
          <w:color w:val="auto"/>
          <w:spacing w:val="0"/>
          <w:highlight w:val="none"/>
        </w:rPr>
      </w:pPr>
      <w:r>
        <w:rPr>
          <w:rFonts w:eastAsia="宋体"/>
          <w:b/>
          <w:bCs/>
          <w:caps w:val="0"/>
          <w:smallCaps w:val="0"/>
          <w:color w:val="auto"/>
          <w:spacing w:val="0"/>
          <w:highlight w:val="none"/>
        </w:rPr>
        <w:t>表3.4-1镉元素物料平衡情况</w:t>
      </w:r>
    </w:p>
    <w:tbl>
      <w:tblPr>
        <w:tblStyle w:val="37"/>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207"/>
        <w:gridCol w:w="1204"/>
        <w:gridCol w:w="967"/>
        <w:gridCol w:w="1288"/>
        <w:gridCol w:w="848"/>
        <w:gridCol w:w="939"/>
        <w:gridCol w:w="1414"/>
        <w:gridCol w:w="1419"/>
      </w:tblGrid>
      <w:tr w14:paraId="699311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op w:val="single" w:color="auto" w:sz="8" w:space="0"/>
              <w:tl2br w:val="nil"/>
              <w:tr2bl w:val="nil"/>
            </w:tcBorders>
            <w:shd w:val="clear" w:color="auto" w:fill="auto"/>
            <w:vAlign w:val="center"/>
          </w:tcPr>
          <w:p w14:paraId="66DB90A7">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工序</w:t>
            </w:r>
          </w:p>
        </w:tc>
        <w:tc>
          <w:tcPr>
            <w:tcW w:w="3459" w:type="dxa"/>
            <w:gridSpan w:val="3"/>
            <w:tcBorders>
              <w:top w:val="single" w:color="auto" w:sz="8" w:space="0"/>
              <w:tl2br w:val="nil"/>
              <w:tr2bl w:val="nil"/>
            </w:tcBorders>
            <w:shd w:val="clear" w:color="auto" w:fill="auto"/>
            <w:vAlign w:val="center"/>
          </w:tcPr>
          <w:p w14:paraId="10D4C29B">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投入</w:t>
            </w:r>
          </w:p>
        </w:tc>
        <w:tc>
          <w:tcPr>
            <w:tcW w:w="4620" w:type="dxa"/>
            <w:gridSpan w:val="4"/>
            <w:tcBorders>
              <w:top w:val="single" w:color="auto" w:sz="8" w:space="0"/>
              <w:tl2br w:val="nil"/>
              <w:tr2bl w:val="nil"/>
            </w:tcBorders>
            <w:shd w:val="clear" w:color="auto" w:fill="auto"/>
            <w:vAlign w:val="center"/>
          </w:tcPr>
          <w:p w14:paraId="12C30C4C">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产出</w:t>
            </w:r>
          </w:p>
        </w:tc>
      </w:tr>
      <w:tr w14:paraId="5905DC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bottom w:val="single" w:color="auto" w:sz="8" w:space="0"/>
              <w:tl2br w:val="nil"/>
              <w:tr2bl w:val="nil"/>
            </w:tcBorders>
            <w:shd w:val="clear" w:color="auto" w:fill="auto"/>
            <w:vAlign w:val="center"/>
          </w:tcPr>
          <w:p w14:paraId="4123B0ED">
            <w:pPr>
              <w:widowControl w:val="0"/>
              <w:jc w:val="center"/>
              <w:rPr>
                <w:rFonts w:ascii="Times New Roman" w:hAnsi="Times New Roman" w:eastAsia="宋体" w:cs="Times New Roman"/>
                <w:b/>
                <w:bCs/>
                <w:caps w:val="0"/>
                <w:smallCaps w:val="0"/>
                <w:color w:val="auto"/>
                <w:spacing w:val="0"/>
                <w:sz w:val="21"/>
                <w:highlight w:val="none"/>
              </w:rPr>
            </w:pPr>
          </w:p>
        </w:tc>
        <w:tc>
          <w:tcPr>
            <w:tcW w:w="1204" w:type="dxa"/>
            <w:tcBorders>
              <w:bottom w:val="single" w:color="auto" w:sz="8" w:space="0"/>
              <w:tl2br w:val="nil"/>
              <w:tr2bl w:val="nil"/>
            </w:tcBorders>
            <w:shd w:val="clear" w:color="auto" w:fill="auto"/>
            <w:vAlign w:val="center"/>
          </w:tcPr>
          <w:p w14:paraId="710F63BD">
            <w:pPr>
              <w:widowControl w:val="0"/>
              <w:jc w:val="center"/>
              <w:textAlignment w:val="center"/>
              <w:rPr>
                <w:rFonts w:ascii="Times New Roman" w:hAnsi="Times New Roman" w:eastAsia="宋体" w:cs="Times New Roman"/>
                <w:b/>
                <w:bCs/>
                <w:caps w:val="0"/>
                <w:smallCaps w:val="0"/>
                <w:color w:val="auto"/>
                <w:spacing w:val="0"/>
                <w:kern w:val="0"/>
                <w:sz w:val="21"/>
                <w:highlight w:val="none"/>
                <w:lang w:bidi="ar"/>
              </w:rPr>
            </w:pPr>
            <w:r>
              <w:rPr>
                <w:rFonts w:ascii="Times New Roman" w:hAnsi="Times New Roman" w:eastAsia="宋体" w:cs="Times New Roman"/>
                <w:b/>
                <w:bCs/>
                <w:caps w:val="0"/>
                <w:smallCaps w:val="0"/>
                <w:color w:val="auto"/>
                <w:spacing w:val="0"/>
                <w:kern w:val="0"/>
                <w:sz w:val="21"/>
                <w:highlight w:val="none"/>
                <w:lang w:bidi="ar"/>
              </w:rPr>
              <w:t>物料</w:t>
            </w:r>
          </w:p>
          <w:p w14:paraId="7A05831A">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名称</w:t>
            </w:r>
          </w:p>
        </w:tc>
        <w:tc>
          <w:tcPr>
            <w:tcW w:w="967" w:type="dxa"/>
            <w:tcBorders>
              <w:bottom w:val="single" w:color="auto" w:sz="8" w:space="0"/>
              <w:tl2br w:val="nil"/>
              <w:tr2bl w:val="nil"/>
            </w:tcBorders>
            <w:shd w:val="clear" w:color="auto" w:fill="auto"/>
            <w:vAlign w:val="center"/>
          </w:tcPr>
          <w:p w14:paraId="783E472D">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数量（kg/a）</w:t>
            </w:r>
          </w:p>
        </w:tc>
        <w:tc>
          <w:tcPr>
            <w:tcW w:w="1288" w:type="dxa"/>
            <w:tcBorders>
              <w:bottom w:val="single" w:color="auto" w:sz="8" w:space="0"/>
              <w:tl2br w:val="nil"/>
              <w:tr2bl w:val="nil"/>
            </w:tcBorders>
            <w:shd w:val="clear" w:color="auto" w:fill="auto"/>
            <w:vAlign w:val="center"/>
          </w:tcPr>
          <w:p w14:paraId="6483FB1B">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折Cd（kg/a）</w:t>
            </w:r>
          </w:p>
        </w:tc>
        <w:tc>
          <w:tcPr>
            <w:tcW w:w="1787" w:type="dxa"/>
            <w:gridSpan w:val="2"/>
            <w:tcBorders>
              <w:bottom w:val="single" w:color="auto" w:sz="8" w:space="0"/>
              <w:tl2br w:val="nil"/>
              <w:tr2bl w:val="nil"/>
            </w:tcBorders>
            <w:shd w:val="clear" w:color="auto" w:fill="auto"/>
            <w:vAlign w:val="center"/>
          </w:tcPr>
          <w:p w14:paraId="24C5532B">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物料名称</w:t>
            </w:r>
          </w:p>
        </w:tc>
        <w:tc>
          <w:tcPr>
            <w:tcW w:w="1414" w:type="dxa"/>
            <w:tcBorders>
              <w:bottom w:val="single" w:color="auto" w:sz="8" w:space="0"/>
              <w:tl2br w:val="nil"/>
              <w:tr2bl w:val="nil"/>
            </w:tcBorders>
            <w:shd w:val="clear" w:color="auto" w:fill="auto"/>
            <w:vAlign w:val="center"/>
          </w:tcPr>
          <w:p w14:paraId="041A311A">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数量（kg/a）</w:t>
            </w:r>
          </w:p>
        </w:tc>
        <w:tc>
          <w:tcPr>
            <w:tcW w:w="1419" w:type="dxa"/>
            <w:tcBorders>
              <w:bottom w:val="single" w:color="auto" w:sz="8" w:space="0"/>
              <w:tl2br w:val="nil"/>
              <w:tr2bl w:val="nil"/>
            </w:tcBorders>
            <w:shd w:val="clear" w:color="auto" w:fill="auto"/>
            <w:vAlign w:val="center"/>
          </w:tcPr>
          <w:p w14:paraId="0FEC85B2">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折Cd（kg/a）</w:t>
            </w:r>
          </w:p>
        </w:tc>
      </w:tr>
      <w:tr w14:paraId="6458EE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op w:val="single" w:color="auto" w:sz="8" w:space="0"/>
              <w:tl2br w:val="nil"/>
              <w:tr2bl w:val="nil"/>
            </w:tcBorders>
            <w:shd w:val="clear" w:color="auto" w:fill="auto"/>
            <w:vAlign w:val="center"/>
          </w:tcPr>
          <w:p w14:paraId="05B5CB8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CdSe/CdTe沉积</w:t>
            </w:r>
          </w:p>
        </w:tc>
        <w:tc>
          <w:tcPr>
            <w:tcW w:w="1204" w:type="dxa"/>
            <w:tcBorders>
              <w:top w:val="single" w:color="auto" w:sz="8" w:space="0"/>
              <w:tl2br w:val="nil"/>
              <w:tr2bl w:val="nil"/>
            </w:tcBorders>
            <w:shd w:val="clear" w:color="auto" w:fill="auto"/>
            <w:vAlign w:val="center"/>
          </w:tcPr>
          <w:p w14:paraId="0001723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967" w:type="dxa"/>
            <w:tcBorders>
              <w:top w:val="single" w:color="auto" w:sz="8" w:space="0"/>
              <w:tl2br w:val="nil"/>
              <w:tr2bl w:val="nil"/>
            </w:tcBorders>
            <w:shd w:val="clear" w:color="auto" w:fill="auto"/>
            <w:vAlign w:val="center"/>
          </w:tcPr>
          <w:p w14:paraId="744D7BA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950</w:t>
            </w:r>
          </w:p>
        </w:tc>
        <w:tc>
          <w:tcPr>
            <w:tcW w:w="1288" w:type="dxa"/>
            <w:tcBorders>
              <w:top w:val="single" w:color="auto" w:sz="8" w:space="0"/>
              <w:tl2br w:val="nil"/>
              <w:tr2bl w:val="nil"/>
            </w:tcBorders>
            <w:shd w:val="clear" w:color="auto" w:fill="auto"/>
            <w:vAlign w:val="center"/>
          </w:tcPr>
          <w:p w14:paraId="6B36CB5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558.03</w:t>
            </w:r>
          </w:p>
        </w:tc>
        <w:tc>
          <w:tcPr>
            <w:tcW w:w="848" w:type="dxa"/>
            <w:vMerge w:val="restart"/>
            <w:tcBorders>
              <w:top w:val="single" w:color="auto" w:sz="8" w:space="0"/>
              <w:tl2br w:val="nil"/>
              <w:tr2bl w:val="nil"/>
            </w:tcBorders>
            <w:shd w:val="clear" w:color="auto" w:fill="auto"/>
            <w:vAlign w:val="center"/>
          </w:tcPr>
          <w:p w14:paraId="0E85882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939" w:type="dxa"/>
            <w:tcBorders>
              <w:top w:val="single" w:color="auto" w:sz="8" w:space="0"/>
              <w:tl2br w:val="nil"/>
              <w:tr2bl w:val="nil"/>
            </w:tcBorders>
            <w:shd w:val="clear" w:color="auto" w:fill="auto"/>
            <w:vAlign w:val="center"/>
          </w:tcPr>
          <w:p w14:paraId="0C78D27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op w:val="single" w:color="auto" w:sz="8" w:space="0"/>
              <w:tl2br w:val="nil"/>
              <w:tr2bl w:val="nil"/>
            </w:tcBorders>
            <w:shd w:val="clear" w:color="auto" w:fill="auto"/>
            <w:vAlign w:val="center"/>
          </w:tcPr>
          <w:p w14:paraId="0DD5CFA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523.94</w:t>
            </w:r>
          </w:p>
        </w:tc>
        <w:tc>
          <w:tcPr>
            <w:tcW w:w="1419" w:type="dxa"/>
            <w:tcBorders>
              <w:top w:val="single" w:color="auto" w:sz="8" w:space="0"/>
              <w:tl2br w:val="nil"/>
              <w:tr2bl w:val="nil"/>
            </w:tcBorders>
            <w:shd w:val="clear" w:color="auto" w:fill="auto"/>
            <w:vAlign w:val="center"/>
          </w:tcPr>
          <w:p w14:paraId="01AF6B3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307.76</w:t>
            </w:r>
          </w:p>
        </w:tc>
      </w:tr>
      <w:tr w14:paraId="0B6354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22474C9">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30651DF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967" w:type="dxa"/>
            <w:tcBorders>
              <w:tl2br w:val="nil"/>
              <w:tr2bl w:val="nil"/>
            </w:tcBorders>
            <w:shd w:val="clear" w:color="auto" w:fill="auto"/>
            <w:vAlign w:val="center"/>
          </w:tcPr>
          <w:p w14:paraId="2497A35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23000</w:t>
            </w:r>
          </w:p>
        </w:tc>
        <w:tc>
          <w:tcPr>
            <w:tcW w:w="1288" w:type="dxa"/>
            <w:tcBorders>
              <w:tl2br w:val="nil"/>
              <w:tr2bl w:val="nil"/>
            </w:tcBorders>
            <w:shd w:val="clear" w:color="auto" w:fill="auto"/>
            <w:vAlign w:val="center"/>
          </w:tcPr>
          <w:p w14:paraId="43C858A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10772.18</w:t>
            </w:r>
          </w:p>
        </w:tc>
        <w:tc>
          <w:tcPr>
            <w:tcW w:w="848" w:type="dxa"/>
            <w:vMerge w:val="continue"/>
            <w:tcBorders>
              <w:tl2br w:val="nil"/>
              <w:tr2bl w:val="nil"/>
            </w:tcBorders>
            <w:shd w:val="clear" w:color="auto" w:fill="auto"/>
            <w:vAlign w:val="center"/>
          </w:tcPr>
          <w:p w14:paraId="56D35CD0">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7A45F43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2BB4AB5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14911.93</w:t>
            </w:r>
          </w:p>
        </w:tc>
        <w:tc>
          <w:tcPr>
            <w:tcW w:w="1419" w:type="dxa"/>
            <w:tcBorders>
              <w:tl2br w:val="nil"/>
              <w:tr2bl w:val="nil"/>
            </w:tcBorders>
            <w:shd w:val="clear" w:color="auto" w:fill="auto"/>
            <w:vAlign w:val="center"/>
          </w:tcPr>
          <w:p w14:paraId="7586C50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6984.08</w:t>
            </w:r>
          </w:p>
        </w:tc>
      </w:tr>
      <w:tr w14:paraId="59E2E1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644363D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1B558B4C">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38E721A3">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EDDCB06">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2B4F4CB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附着</w:t>
            </w:r>
          </w:p>
        </w:tc>
        <w:tc>
          <w:tcPr>
            <w:tcW w:w="939" w:type="dxa"/>
            <w:tcBorders>
              <w:tl2br w:val="nil"/>
              <w:tr2bl w:val="nil"/>
            </w:tcBorders>
            <w:shd w:val="clear" w:color="auto" w:fill="auto"/>
            <w:vAlign w:val="center"/>
          </w:tcPr>
          <w:p w14:paraId="0590950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35767F9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26.19</w:t>
            </w:r>
          </w:p>
        </w:tc>
        <w:tc>
          <w:tcPr>
            <w:tcW w:w="1419" w:type="dxa"/>
            <w:tcBorders>
              <w:tl2br w:val="nil"/>
              <w:tr2bl w:val="nil"/>
            </w:tcBorders>
            <w:shd w:val="clear" w:color="auto" w:fill="auto"/>
            <w:vAlign w:val="center"/>
          </w:tcPr>
          <w:p w14:paraId="3A6978F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15.38</w:t>
            </w:r>
          </w:p>
        </w:tc>
      </w:tr>
      <w:tr w14:paraId="138DE8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4713E2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709578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225252C">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E6D64CE">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EFDC2B1">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900BC2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noWrap/>
            <w:vAlign w:val="center"/>
          </w:tcPr>
          <w:p w14:paraId="61794F9B">
            <w:pPr>
              <w:widowControl w:val="0"/>
              <w:jc w:val="center"/>
              <w:textAlignment w:val="center"/>
              <w:rPr>
                <w:rFonts w:ascii="Times New Roman" w:hAnsi="Times New Roman" w:eastAsia="宋体" w:cs="Times New Roman"/>
                <w:caps w:val="0"/>
                <w:smallCaps w:val="0"/>
                <w:color w:val="auto"/>
                <w:spacing w:val="0"/>
                <w:sz w:val="22"/>
                <w:szCs w:val="22"/>
                <w:highlight w:val="none"/>
              </w:rPr>
            </w:pPr>
            <w:r>
              <w:rPr>
                <w:rFonts w:ascii="Times New Roman" w:hAnsi="Times New Roman" w:eastAsia="宋体" w:cs="Times New Roman"/>
                <w:caps w:val="0"/>
                <w:smallCaps w:val="0"/>
                <w:color w:val="auto"/>
                <w:spacing w:val="0"/>
                <w:kern w:val="0"/>
                <w:sz w:val="22"/>
                <w:szCs w:val="22"/>
                <w:highlight w:val="none"/>
                <w:lang w:bidi="ar"/>
              </w:rPr>
              <w:t>174.97</w:t>
            </w:r>
          </w:p>
        </w:tc>
        <w:tc>
          <w:tcPr>
            <w:tcW w:w="1419" w:type="dxa"/>
            <w:tcBorders>
              <w:tl2br w:val="nil"/>
              <w:tr2bl w:val="nil"/>
            </w:tcBorders>
            <w:shd w:val="clear" w:color="auto" w:fill="auto"/>
            <w:vAlign w:val="center"/>
          </w:tcPr>
          <w:p w14:paraId="293910A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81.95</w:t>
            </w:r>
          </w:p>
        </w:tc>
      </w:tr>
      <w:tr w14:paraId="0B3C51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368C91D">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1EFEA404">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19748F50">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A3D573B">
            <w:pPr>
              <w:widowControl w:val="0"/>
              <w:jc w:val="center"/>
              <w:rPr>
                <w:rFonts w:ascii="Times New Roman" w:hAnsi="Times New Roman" w:eastAsia="宋体" w:cs="Times New Roman"/>
                <w:caps w:val="0"/>
                <w:smallCaps w:val="0"/>
                <w:color w:val="auto"/>
                <w:spacing w:val="0"/>
                <w:sz w:val="21"/>
                <w:highlight w:val="none"/>
              </w:rPr>
            </w:pPr>
          </w:p>
        </w:tc>
        <w:tc>
          <w:tcPr>
            <w:tcW w:w="848" w:type="dxa"/>
            <w:tcBorders>
              <w:tl2br w:val="nil"/>
              <w:tr2bl w:val="nil"/>
            </w:tcBorders>
            <w:shd w:val="clear" w:color="auto" w:fill="auto"/>
            <w:vAlign w:val="center"/>
          </w:tcPr>
          <w:p w14:paraId="5E876433">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3EB4E4C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4E7B47C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18CF3CB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7389.17</w:t>
            </w:r>
          </w:p>
        </w:tc>
      </w:tr>
      <w:tr w14:paraId="624B57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DDDEB35">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3946D25">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3839AB1">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325F3C82">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4752626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废电池组件+碎玻璃</w:t>
            </w:r>
          </w:p>
        </w:tc>
        <w:tc>
          <w:tcPr>
            <w:tcW w:w="939" w:type="dxa"/>
            <w:tcBorders>
              <w:tl2br w:val="nil"/>
              <w:tr2bl w:val="nil"/>
            </w:tcBorders>
            <w:shd w:val="clear" w:color="auto" w:fill="auto"/>
            <w:vAlign w:val="center"/>
          </w:tcPr>
          <w:p w14:paraId="3DFADDE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6F3A988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27.57</w:t>
            </w:r>
          </w:p>
        </w:tc>
        <w:tc>
          <w:tcPr>
            <w:tcW w:w="1419" w:type="dxa"/>
            <w:tcBorders>
              <w:tl2br w:val="nil"/>
              <w:tr2bl w:val="nil"/>
            </w:tcBorders>
            <w:shd w:val="clear" w:color="auto" w:fill="auto"/>
            <w:vAlign w:val="center"/>
          </w:tcPr>
          <w:p w14:paraId="5169DF2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16.19</w:t>
            </w:r>
          </w:p>
        </w:tc>
      </w:tr>
      <w:tr w14:paraId="3CECF5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50E78E67">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9B27928">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CF03637">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C85082A">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5804B8D1">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36802F1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5CF1EB8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784.84</w:t>
            </w:r>
          </w:p>
        </w:tc>
        <w:tc>
          <w:tcPr>
            <w:tcW w:w="1419" w:type="dxa"/>
            <w:tcBorders>
              <w:tl2br w:val="nil"/>
              <w:tr2bl w:val="nil"/>
            </w:tcBorders>
            <w:shd w:val="clear" w:color="auto" w:fill="auto"/>
            <w:vAlign w:val="center"/>
          </w:tcPr>
          <w:p w14:paraId="2069D3E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367.58</w:t>
            </w:r>
          </w:p>
        </w:tc>
      </w:tr>
      <w:tr w14:paraId="43A397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F6047D6">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47332432">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2D3B83B8">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281BBC4C">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53CAB46F">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663E028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379608F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4446A77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383.77</w:t>
            </w:r>
          </w:p>
        </w:tc>
      </w:tr>
      <w:tr w14:paraId="3F306A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500CFE2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458F5F8">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B4F9F5B">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0B2BC9C">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4295653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废真空罩</w:t>
            </w:r>
          </w:p>
        </w:tc>
        <w:tc>
          <w:tcPr>
            <w:tcW w:w="939" w:type="dxa"/>
            <w:tcBorders>
              <w:tl2br w:val="nil"/>
              <w:tr2bl w:val="nil"/>
            </w:tcBorders>
            <w:shd w:val="clear" w:color="auto" w:fill="auto"/>
            <w:vAlign w:val="center"/>
          </w:tcPr>
          <w:p w14:paraId="5E23FC0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101C846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186.15</w:t>
            </w:r>
          </w:p>
        </w:tc>
        <w:tc>
          <w:tcPr>
            <w:tcW w:w="1419" w:type="dxa"/>
            <w:tcBorders>
              <w:tl2br w:val="nil"/>
              <w:tr2bl w:val="nil"/>
            </w:tcBorders>
            <w:shd w:val="clear" w:color="auto" w:fill="auto"/>
            <w:vAlign w:val="center"/>
          </w:tcPr>
          <w:p w14:paraId="543B775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109.34</w:t>
            </w:r>
          </w:p>
        </w:tc>
      </w:tr>
      <w:tr w14:paraId="53D0F1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52CFDD61">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6AC7E096">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D6CB2E0">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3CB4059E">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ECE94FE">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19EEE8F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18677A8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3564.13</w:t>
            </w:r>
          </w:p>
        </w:tc>
        <w:tc>
          <w:tcPr>
            <w:tcW w:w="1419" w:type="dxa"/>
            <w:tcBorders>
              <w:tl2br w:val="nil"/>
              <w:tr2bl w:val="nil"/>
            </w:tcBorders>
            <w:shd w:val="clear" w:color="auto" w:fill="auto"/>
            <w:vAlign w:val="center"/>
          </w:tcPr>
          <w:p w14:paraId="168EA13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1669.28</w:t>
            </w:r>
          </w:p>
        </w:tc>
      </w:tr>
      <w:tr w14:paraId="5C832F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013C26A4">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3CB23C3">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53169ECD">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77BFAEA4">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24E8BA17">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7188B86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5E508A8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0DBC379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1778.62</w:t>
            </w:r>
          </w:p>
        </w:tc>
      </w:tr>
      <w:tr w14:paraId="0F4F9E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B2F3E3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F112216">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1EA2B77">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38C9916">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4168DE0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废石墨舟</w:t>
            </w:r>
          </w:p>
        </w:tc>
        <w:tc>
          <w:tcPr>
            <w:tcW w:w="939" w:type="dxa"/>
            <w:tcBorders>
              <w:tl2br w:val="nil"/>
              <w:tr2bl w:val="nil"/>
            </w:tcBorders>
            <w:shd w:val="clear" w:color="auto" w:fill="auto"/>
            <w:vAlign w:val="center"/>
          </w:tcPr>
          <w:p w14:paraId="555FF3B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28396EE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37.23</w:t>
            </w:r>
          </w:p>
        </w:tc>
        <w:tc>
          <w:tcPr>
            <w:tcW w:w="1419" w:type="dxa"/>
            <w:tcBorders>
              <w:tl2br w:val="nil"/>
              <w:tr2bl w:val="nil"/>
            </w:tcBorders>
            <w:shd w:val="clear" w:color="auto" w:fill="auto"/>
            <w:vAlign w:val="center"/>
          </w:tcPr>
          <w:p w14:paraId="1B15376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21.87</w:t>
            </w:r>
          </w:p>
        </w:tc>
      </w:tr>
      <w:tr w14:paraId="1F10BF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8FAB941">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14EEC79">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6A14CA4">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26663B8F">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4D565838">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655FF23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5AB6DAB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712.83</w:t>
            </w:r>
          </w:p>
        </w:tc>
        <w:tc>
          <w:tcPr>
            <w:tcW w:w="1419" w:type="dxa"/>
            <w:tcBorders>
              <w:tl2br w:val="nil"/>
              <w:tr2bl w:val="nil"/>
            </w:tcBorders>
            <w:shd w:val="clear" w:color="auto" w:fill="auto"/>
            <w:vAlign w:val="center"/>
          </w:tcPr>
          <w:p w14:paraId="0B1606D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333.88</w:t>
            </w:r>
          </w:p>
        </w:tc>
      </w:tr>
      <w:tr w14:paraId="6FD262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6D82E156">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5D41CCD">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B0D12D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246FD3C">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2DFB596">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5462AEF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007EFD1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52C57D3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355.75</w:t>
            </w:r>
          </w:p>
        </w:tc>
      </w:tr>
      <w:tr w14:paraId="7882E1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17AE731">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12F86C74">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5F33898A">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5314C54">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3A5B1A2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6C4902C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40DB4D3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148.92</w:t>
            </w:r>
          </w:p>
        </w:tc>
        <w:tc>
          <w:tcPr>
            <w:tcW w:w="1419" w:type="dxa"/>
            <w:tcBorders>
              <w:tl2br w:val="nil"/>
              <w:tr2bl w:val="nil"/>
            </w:tcBorders>
            <w:shd w:val="clear" w:color="auto" w:fill="auto"/>
            <w:vAlign w:val="center"/>
          </w:tcPr>
          <w:p w14:paraId="74FA29D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87.48</w:t>
            </w:r>
          </w:p>
        </w:tc>
      </w:tr>
      <w:tr w14:paraId="411A50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D86F3FF">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4C293C1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20A8E02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21D82E1D">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58E30C32">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3B381F4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72CDCD9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2851.3</w:t>
            </w:r>
          </w:p>
        </w:tc>
        <w:tc>
          <w:tcPr>
            <w:tcW w:w="1419" w:type="dxa"/>
            <w:tcBorders>
              <w:tl2br w:val="nil"/>
              <w:tr2bl w:val="nil"/>
            </w:tcBorders>
            <w:shd w:val="clear" w:color="auto" w:fill="auto"/>
            <w:vAlign w:val="center"/>
          </w:tcPr>
          <w:p w14:paraId="290129E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1335.42</w:t>
            </w:r>
          </w:p>
        </w:tc>
      </w:tr>
      <w:tr w14:paraId="049FAD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78AF7F3">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4CC9A0E">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7A269A1">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89B02CF">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544F08D3">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28CBAD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5B65303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7818043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1422.90</w:t>
            </w:r>
          </w:p>
        </w:tc>
      </w:tr>
      <w:tr w14:paraId="57DF50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0B7F2206">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505BBC9">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ACF5075">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7012263">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22DD7A2E">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305ACBF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l2br w:val="nil"/>
              <w:tr2bl w:val="nil"/>
            </w:tcBorders>
            <w:shd w:val="clear" w:color="auto" w:fill="auto"/>
            <w:vAlign w:val="center"/>
          </w:tcPr>
          <w:p w14:paraId="086E3BB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40DF67F1">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0.108</w:t>
            </w:r>
          </w:p>
        </w:tc>
      </w:tr>
      <w:tr w14:paraId="3F3038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077867FE">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67CDE2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5EE5751E">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3C35D9B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11330.21</w:t>
            </w:r>
          </w:p>
        </w:tc>
        <w:tc>
          <w:tcPr>
            <w:tcW w:w="848" w:type="dxa"/>
            <w:vMerge w:val="continue"/>
            <w:tcBorders>
              <w:tl2br w:val="nil"/>
              <w:tr2bl w:val="nil"/>
            </w:tcBorders>
            <w:shd w:val="clear" w:color="auto" w:fill="auto"/>
            <w:vAlign w:val="center"/>
          </w:tcPr>
          <w:p w14:paraId="41F455B4">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760D62C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169227C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31C96417">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1422.792</w:t>
            </w:r>
          </w:p>
        </w:tc>
      </w:tr>
      <w:tr w14:paraId="1960D2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6682AEF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涂覆前清洗</w:t>
            </w:r>
          </w:p>
        </w:tc>
        <w:tc>
          <w:tcPr>
            <w:tcW w:w="1204" w:type="dxa"/>
            <w:tcBorders>
              <w:tl2br w:val="nil"/>
              <w:tr2bl w:val="nil"/>
            </w:tcBorders>
            <w:shd w:val="clear" w:color="auto" w:fill="auto"/>
            <w:vAlign w:val="center"/>
          </w:tcPr>
          <w:p w14:paraId="55539F0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0A6982F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2F4FEBA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7389.17</w:t>
            </w:r>
          </w:p>
        </w:tc>
        <w:tc>
          <w:tcPr>
            <w:tcW w:w="1787" w:type="dxa"/>
            <w:gridSpan w:val="2"/>
            <w:tcBorders>
              <w:tl2br w:val="nil"/>
              <w:tr2bl w:val="nil"/>
            </w:tcBorders>
            <w:shd w:val="clear" w:color="auto" w:fill="auto"/>
            <w:vAlign w:val="center"/>
          </w:tcPr>
          <w:p w14:paraId="6219264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4EFC705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0DC9E4F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7291.84</w:t>
            </w:r>
          </w:p>
        </w:tc>
      </w:tr>
      <w:tr w14:paraId="0DA426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121E61F3">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3FEAE788">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18D1F33">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B4D338B">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6FDCDD8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废水</w:t>
            </w:r>
          </w:p>
        </w:tc>
        <w:tc>
          <w:tcPr>
            <w:tcW w:w="939" w:type="dxa"/>
            <w:tcBorders>
              <w:tl2br w:val="nil"/>
              <w:tr2bl w:val="nil"/>
            </w:tcBorders>
            <w:shd w:val="clear" w:color="auto" w:fill="auto"/>
            <w:vAlign w:val="center"/>
          </w:tcPr>
          <w:p w14:paraId="006808E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1E97DCE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26.19</w:t>
            </w:r>
          </w:p>
        </w:tc>
        <w:tc>
          <w:tcPr>
            <w:tcW w:w="1419" w:type="dxa"/>
            <w:tcBorders>
              <w:tl2br w:val="nil"/>
              <w:tr2bl w:val="nil"/>
            </w:tcBorders>
            <w:shd w:val="clear" w:color="auto" w:fill="auto"/>
            <w:vAlign w:val="center"/>
          </w:tcPr>
          <w:p w14:paraId="243579E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15.38</w:t>
            </w:r>
          </w:p>
        </w:tc>
      </w:tr>
      <w:tr w14:paraId="7246D1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6BB7E57F">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D87718C">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B9FC8F7">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729E0B3">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31EF1C6A">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72E1F30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noWrap/>
            <w:vAlign w:val="center"/>
          </w:tcPr>
          <w:p w14:paraId="3EF52F13">
            <w:pPr>
              <w:widowControl w:val="0"/>
              <w:jc w:val="center"/>
              <w:textAlignment w:val="center"/>
              <w:rPr>
                <w:rFonts w:ascii="Times New Roman" w:hAnsi="Times New Roman" w:eastAsia="宋体" w:cs="Times New Roman"/>
                <w:caps w:val="0"/>
                <w:smallCaps w:val="0"/>
                <w:color w:val="auto"/>
                <w:spacing w:val="0"/>
                <w:sz w:val="22"/>
                <w:szCs w:val="22"/>
                <w:highlight w:val="none"/>
              </w:rPr>
            </w:pPr>
            <w:r>
              <w:rPr>
                <w:rFonts w:ascii="Times New Roman" w:hAnsi="Times New Roman" w:eastAsia="宋体" w:cs="Times New Roman"/>
                <w:caps w:val="0"/>
                <w:smallCaps w:val="0"/>
                <w:color w:val="auto"/>
                <w:spacing w:val="0"/>
                <w:kern w:val="0"/>
                <w:sz w:val="22"/>
                <w:szCs w:val="22"/>
                <w:highlight w:val="none"/>
                <w:lang w:bidi="ar"/>
              </w:rPr>
              <w:t>174.97</w:t>
            </w:r>
          </w:p>
        </w:tc>
        <w:tc>
          <w:tcPr>
            <w:tcW w:w="1419" w:type="dxa"/>
            <w:tcBorders>
              <w:tl2br w:val="nil"/>
              <w:tr2bl w:val="nil"/>
            </w:tcBorders>
            <w:shd w:val="clear" w:color="auto" w:fill="auto"/>
            <w:vAlign w:val="center"/>
          </w:tcPr>
          <w:p w14:paraId="314B621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81.95</w:t>
            </w:r>
          </w:p>
        </w:tc>
      </w:tr>
      <w:tr w14:paraId="6DA64F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D86B094">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CF5E5F7">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58BCD7E2">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7CAA6B50">
            <w:pPr>
              <w:widowControl w:val="0"/>
              <w:jc w:val="center"/>
              <w:rPr>
                <w:rFonts w:ascii="Times New Roman" w:hAnsi="Times New Roman" w:eastAsia="宋体" w:cs="Times New Roman"/>
                <w:caps w:val="0"/>
                <w:smallCaps w:val="0"/>
                <w:color w:val="auto"/>
                <w:spacing w:val="0"/>
                <w:sz w:val="21"/>
                <w:highlight w:val="none"/>
              </w:rPr>
            </w:pPr>
          </w:p>
        </w:tc>
        <w:tc>
          <w:tcPr>
            <w:tcW w:w="848" w:type="dxa"/>
            <w:tcBorders>
              <w:tl2br w:val="nil"/>
              <w:tr2bl w:val="nil"/>
            </w:tcBorders>
            <w:shd w:val="clear" w:color="auto" w:fill="auto"/>
            <w:vAlign w:val="center"/>
          </w:tcPr>
          <w:p w14:paraId="1A4F8B83">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F607FE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noWrap/>
            <w:vAlign w:val="center"/>
          </w:tcPr>
          <w:p w14:paraId="35C316E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55EBC0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97.33</w:t>
            </w:r>
          </w:p>
        </w:tc>
      </w:tr>
      <w:tr w14:paraId="4B77B5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0DB9C6F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活化层活化、清洗蚀刻</w:t>
            </w:r>
          </w:p>
        </w:tc>
        <w:tc>
          <w:tcPr>
            <w:tcW w:w="1204" w:type="dxa"/>
            <w:tcBorders>
              <w:tl2br w:val="nil"/>
              <w:tr2bl w:val="nil"/>
            </w:tcBorders>
            <w:shd w:val="clear" w:color="auto" w:fill="auto"/>
            <w:vAlign w:val="center"/>
          </w:tcPr>
          <w:p w14:paraId="3B9A050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76A4168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56BEC87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7291.84</w:t>
            </w:r>
          </w:p>
        </w:tc>
        <w:tc>
          <w:tcPr>
            <w:tcW w:w="1787" w:type="dxa"/>
            <w:gridSpan w:val="2"/>
            <w:tcBorders>
              <w:tl2br w:val="nil"/>
              <w:tr2bl w:val="nil"/>
            </w:tcBorders>
            <w:shd w:val="clear" w:color="auto" w:fill="auto"/>
            <w:vAlign w:val="center"/>
          </w:tcPr>
          <w:p w14:paraId="0D95C10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2030074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7D2B0B7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7117.24</w:t>
            </w:r>
          </w:p>
        </w:tc>
      </w:tr>
      <w:tr w14:paraId="7A69F2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62CCA1FF">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A13D21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CdCl</w:t>
            </w:r>
            <w:r>
              <w:rPr>
                <w:rFonts w:ascii="Times New Roman" w:hAnsi="Times New Roman" w:eastAsia="宋体" w:cs="Times New Roman"/>
                <w:caps w:val="0"/>
                <w:smallCaps w:val="0"/>
                <w:color w:val="auto"/>
                <w:spacing w:val="0"/>
                <w:kern w:val="0"/>
                <w:sz w:val="21"/>
                <w:highlight w:val="none"/>
                <w:vertAlign w:val="subscript"/>
                <w:lang w:bidi="ar"/>
              </w:rPr>
              <w:t>2</w:t>
            </w:r>
            <w:r>
              <w:rPr>
                <w:rFonts w:ascii="Times New Roman" w:hAnsi="Times New Roman" w:eastAsia="宋体" w:cs="Times New Roman"/>
                <w:caps w:val="0"/>
                <w:smallCaps w:val="0"/>
                <w:color w:val="auto"/>
                <w:spacing w:val="0"/>
                <w:kern w:val="0"/>
                <w:sz w:val="21"/>
                <w:highlight w:val="none"/>
                <w:lang w:bidi="ar"/>
              </w:rPr>
              <w:t>（折纯）</w:t>
            </w:r>
          </w:p>
        </w:tc>
        <w:tc>
          <w:tcPr>
            <w:tcW w:w="967" w:type="dxa"/>
            <w:tcBorders>
              <w:tl2br w:val="nil"/>
              <w:tr2bl w:val="nil"/>
            </w:tcBorders>
            <w:shd w:val="clear" w:color="auto" w:fill="auto"/>
            <w:vAlign w:val="center"/>
          </w:tcPr>
          <w:p w14:paraId="656C943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1173.73</w:t>
            </w:r>
          </w:p>
        </w:tc>
        <w:tc>
          <w:tcPr>
            <w:tcW w:w="1288" w:type="dxa"/>
            <w:tcBorders>
              <w:tl2br w:val="nil"/>
              <w:tr2bl w:val="nil"/>
            </w:tcBorders>
            <w:shd w:val="clear" w:color="auto" w:fill="auto"/>
            <w:vAlign w:val="center"/>
          </w:tcPr>
          <w:p w14:paraId="5A6603E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719.76</w:t>
            </w:r>
          </w:p>
        </w:tc>
        <w:tc>
          <w:tcPr>
            <w:tcW w:w="848" w:type="dxa"/>
            <w:vMerge w:val="restart"/>
            <w:tcBorders>
              <w:tl2br w:val="nil"/>
              <w:tr2bl w:val="nil"/>
            </w:tcBorders>
            <w:shd w:val="clear" w:color="auto" w:fill="auto"/>
            <w:vAlign w:val="center"/>
          </w:tcPr>
          <w:p w14:paraId="754815E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清洗废水+废酸槽液</w:t>
            </w:r>
          </w:p>
        </w:tc>
        <w:tc>
          <w:tcPr>
            <w:tcW w:w="939" w:type="dxa"/>
            <w:tcBorders>
              <w:tl2br w:val="nil"/>
              <w:tr2bl w:val="nil"/>
            </w:tcBorders>
            <w:shd w:val="clear" w:color="auto" w:fill="auto"/>
            <w:vAlign w:val="center"/>
          </w:tcPr>
          <w:p w14:paraId="5F35FBF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CdCl</w:t>
            </w:r>
            <w:r>
              <w:rPr>
                <w:rFonts w:ascii="Times New Roman" w:hAnsi="Times New Roman" w:eastAsia="宋体" w:cs="Times New Roman"/>
                <w:caps w:val="0"/>
                <w:smallCaps w:val="0"/>
                <w:color w:val="auto"/>
                <w:spacing w:val="0"/>
                <w:kern w:val="0"/>
                <w:sz w:val="21"/>
                <w:highlight w:val="none"/>
                <w:vertAlign w:val="subscript"/>
                <w:lang w:bidi="ar"/>
              </w:rPr>
              <w:t>2</w:t>
            </w:r>
            <w:r>
              <w:rPr>
                <w:rFonts w:ascii="Times New Roman" w:hAnsi="Times New Roman" w:eastAsia="宋体" w:cs="Times New Roman"/>
                <w:caps w:val="0"/>
                <w:smallCaps w:val="0"/>
                <w:color w:val="auto"/>
                <w:spacing w:val="0"/>
                <w:kern w:val="0"/>
                <w:sz w:val="21"/>
                <w:highlight w:val="none"/>
                <w:lang w:bidi="ar"/>
              </w:rPr>
              <w:t>（折纯）</w:t>
            </w:r>
          </w:p>
        </w:tc>
        <w:tc>
          <w:tcPr>
            <w:tcW w:w="1414" w:type="dxa"/>
            <w:tcBorders>
              <w:tl2br w:val="nil"/>
              <w:tr2bl w:val="nil"/>
            </w:tcBorders>
            <w:shd w:val="clear" w:color="auto" w:fill="auto"/>
            <w:vAlign w:val="center"/>
          </w:tcPr>
          <w:p w14:paraId="656ABBD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1167.86</w:t>
            </w:r>
          </w:p>
        </w:tc>
        <w:tc>
          <w:tcPr>
            <w:tcW w:w="1419" w:type="dxa"/>
            <w:tcBorders>
              <w:tl2br w:val="nil"/>
              <w:tr2bl w:val="nil"/>
            </w:tcBorders>
            <w:shd w:val="clear" w:color="auto" w:fill="auto"/>
            <w:vAlign w:val="center"/>
          </w:tcPr>
          <w:p w14:paraId="0214CD5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716.16</w:t>
            </w:r>
          </w:p>
        </w:tc>
      </w:tr>
      <w:tr w14:paraId="3F1CA4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DE31A78">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2C7016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369BF5A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EA2D587">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07F9D26">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DEC6E6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3F54A8A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372.8</w:t>
            </w:r>
          </w:p>
        </w:tc>
        <w:tc>
          <w:tcPr>
            <w:tcW w:w="1419" w:type="dxa"/>
            <w:tcBorders>
              <w:tl2br w:val="nil"/>
              <w:tr2bl w:val="nil"/>
            </w:tcBorders>
            <w:shd w:val="clear" w:color="auto" w:fill="auto"/>
            <w:vAlign w:val="center"/>
          </w:tcPr>
          <w:p w14:paraId="01F8BE0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174.6</w:t>
            </w:r>
          </w:p>
        </w:tc>
      </w:tr>
      <w:tr w14:paraId="7DB48E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6D934A3">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D78C05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121C47F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2116EBE3">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0E2E72BC">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AFE3CC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1222B9E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10BEA4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890.76</w:t>
            </w:r>
          </w:p>
        </w:tc>
      </w:tr>
      <w:tr w14:paraId="1185F8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bottom w:val="single" w:color="auto" w:sz="8" w:space="0"/>
              <w:tl2br w:val="nil"/>
              <w:tr2bl w:val="nil"/>
            </w:tcBorders>
            <w:shd w:val="clear" w:color="auto" w:fill="auto"/>
            <w:vAlign w:val="center"/>
          </w:tcPr>
          <w:p w14:paraId="584A5855">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bottom w:val="single" w:color="auto" w:sz="4" w:space="0"/>
              <w:tl2br w:val="nil"/>
              <w:tr2bl w:val="nil"/>
            </w:tcBorders>
            <w:shd w:val="clear" w:color="auto" w:fill="auto"/>
            <w:vAlign w:val="center"/>
          </w:tcPr>
          <w:p w14:paraId="232F281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bottom w:val="single" w:color="auto" w:sz="4" w:space="0"/>
              <w:tl2br w:val="nil"/>
              <w:tr2bl w:val="nil"/>
            </w:tcBorders>
            <w:shd w:val="clear" w:color="auto" w:fill="auto"/>
            <w:vAlign w:val="center"/>
          </w:tcPr>
          <w:p w14:paraId="4F060E0C">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bottom w:val="single" w:color="auto" w:sz="4" w:space="0"/>
              <w:tl2br w:val="nil"/>
              <w:tr2bl w:val="nil"/>
            </w:tcBorders>
            <w:shd w:val="clear" w:color="auto" w:fill="auto"/>
            <w:vAlign w:val="center"/>
          </w:tcPr>
          <w:p w14:paraId="49288794">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bottom w:val="single" w:color="auto" w:sz="4" w:space="0"/>
              <w:tl2br w:val="nil"/>
              <w:tr2bl w:val="nil"/>
            </w:tcBorders>
            <w:shd w:val="clear" w:color="auto" w:fill="auto"/>
            <w:vAlign w:val="center"/>
          </w:tcPr>
          <w:p w14:paraId="4939169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bottom w:val="single" w:color="auto" w:sz="4" w:space="0"/>
              <w:tl2br w:val="nil"/>
              <w:tr2bl w:val="nil"/>
            </w:tcBorders>
            <w:shd w:val="clear" w:color="auto" w:fill="auto"/>
            <w:vAlign w:val="center"/>
          </w:tcPr>
          <w:p w14:paraId="411F746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CdCl</w:t>
            </w:r>
            <w:r>
              <w:rPr>
                <w:rFonts w:ascii="Times New Roman" w:hAnsi="Times New Roman" w:eastAsia="宋体" w:cs="Times New Roman"/>
                <w:caps w:val="0"/>
                <w:smallCaps w:val="0"/>
                <w:color w:val="auto"/>
                <w:spacing w:val="0"/>
                <w:kern w:val="0"/>
                <w:sz w:val="21"/>
                <w:highlight w:val="none"/>
                <w:vertAlign w:val="subscript"/>
                <w:lang w:bidi="ar"/>
              </w:rPr>
              <w:t>2</w:t>
            </w:r>
            <w:r>
              <w:rPr>
                <w:rFonts w:ascii="Times New Roman" w:hAnsi="Times New Roman" w:eastAsia="宋体" w:cs="Times New Roman"/>
                <w:caps w:val="0"/>
                <w:smallCaps w:val="0"/>
                <w:color w:val="auto"/>
                <w:spacing w:val="0"/>
                <w:kern w:val="0"/>
                <w:sz w:val="21"/>
                <w:highlight w:val="none"/>
                <w:lang w:bidi="ar"/>
              </w:rPr>
              <w:t>（折纯）</w:t>
            </w:r>
          </w:p>
        </w:tc>
        <w:tc>
          <w:tcPr>
            <w:tcW w:w="1414" w:type="dxa"/>
            <w:tcBorders>
              <w:bottom w:val="single" w:color="auto" w:sz="4" w:space="0"/>
              <w:tl2br w:val="nil"/>
              <w:tr2bl w:val="nil"/>
            </w:tcBorders>
            <w:shd w:val="clear" w:color="auto" w:fill="auto"/>
            <w:vAlign w:val="center"/>
          </w:tcPr>
          <w:p w14:paraId="7F4ED09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5.87</w:t>
            </w:r>
          </w:p>
        </w:tc>
        <w:tc>
          <w:tcPr>
            <w:tcW w:w="1419" w:type="dxa"/>
            <w:tcBorders>
              <w:bottom w:val="single" w:color="auto" w:sz="4" w:space="0"/>
              <w:tl2br w:val="nil"/>
              <w:tr2bl w:val="nil"/>
            </w:tcBorders>
            <w:shd w:val="clear" w:color="auto" w:fill="auto"/>
            <w:vAlign w:val="center"/>
          </w:tcPr>
          <w:p w14:paraId="20EB9FF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3.6</w:t>
            </w:r>
          </w:p>
        </w:tc>
      </w:tr>
      <w:tr w14:paraId="71F4B0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op w:val="single" w:color="auto" w:sz="8" w:space="0"/>
              <w:tl2br w:val="nil"/>
              <w:tr2bl w:val="nil"/>
            </w:tcBorders>
            <w:shd w:val="clear" w:color="auto" w:fill="auto"/>
            <w:vAlign w:val="center"/>
          </w:tcPr>
          <w:p w14:paraId="02DAEB0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op w:val="single" w:color="auto" w:sz="4" w:space="0"/>
              <w:tl2br w:val="nil"/>
              <w:tr2bl w:val="nil"/>
            </w:tcBorders>
            <w:shd w:val="clear" w:color="auto" w:fill="auto"/>
            <w:vAlign w:val="center"/>
          </w:tcPr>
          <w:p w14:paraId="66F3F02F">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op w:val="single" w:color="auto" w:sz="4" w:space="0"/>
              <w:tl2br w:val="nil"/>
              <w:tr2bl w:val="nil"/>
            </w:tcBorders>
            <w:shd w:val="clear" w:color="auto" w:fill="auto"/>
            <w:vAlign w:val="center"/>
          </w:tcPr>
          <w:p w14:paraId="6F921769">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op w:val="single" w:color="auto" w:sz="4" w:space="0"/>
              <w:tl2br w:val="nil"/>
              <w:tr2bl w:val="nil"/>
            </w:tcBorders>
            <w:shd w:val="clear" w:color="auto" w:fill="auto"/>
            <w:vAlign w:val="center"/>
          </w:tcPr>
          <w:p w14:paraId="3E6C14C3">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op w:val="single" w:color="auto" w:sz="4" w:space="0"/>
              <w:tl2br w:val="nil"/>
              <w:tr2bl w:val="nil"/>
            </w:tcBorders>
            <w:shd w:val="clear" w:color="auto" w:fill="auto"/>
            <w:vAlign w:val="center"/>
          </w:tcPr>
          <w:p w14:paraId="62C0E05F">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op w:val="single" w:color="auto" w:sz="4" w:space="0"/>
              <w:tl2br w:val="nil"/>
              <w:tr2bl w:val="nil"/>
            </w:tcBorders>
            <w:shd w:val="clear" w:color="auto" w:fill="auto"/>
            <w:vAlign w:val="center"/>
          </w:tcPr>
          <w:p w14:paraId="3CAB191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op w:val="single" w:color="auto" w:sz="4" w:space="0"/>
              <w:tl2br w:val="nil"/>
              <w:tr2bl w:val="nil"/>
            </w:tcBorders>
            <w:shd w:val="clear" w:color="auto" w:fill="auto"/>
            <w:vAlign w:val="center"/>
          </w:tcPr>
          <w:p w14:paraId="62FB660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op w:val="single" w:color="auto" w:sz="4" w:space="0"/>
              <w:tl2br w:val="nil"/>
              <w:tr2bl w:val="nil"/>
            </w:tcBorders>
            <w:shd w:val="clear" w:color="auto" w:fill="auto"/>
            <w:vAlign w:val="center"/>
          </w:tcPr>
          <w:p w14:paraId="6BF972EB">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0.000952</w:t>
            </w:r>
          </w:p>
        </w:tc>
      </w:tr>
      <w:tr w14:paraId="290421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7F68751">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12D7B7D">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04174DC">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000BC14">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343E7FF8">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C0436A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657001E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4EC1A9F9">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3.599048</w:t>
            </w:r>
          </w:p>
        </w:tc>
      </w:tr>
      <w:tr w14:paraId="2AB021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5E8DBBE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8C43D1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合计</w:t>
            </w:r>
          </w:p>
        </w:tc>
        <w:tc>
          <w:tcPr>
            <w:tcW w:w="967" w:type="dxa"/>
            <w:tcBorders>
              <w:tl2br w:val="nil"/>
              <w:tr2bl w:val="nil"/>
            </w:tcBorders>
            <w:shd w:val="clear" w:color="auto" w:fill="auto"/>
            <w:vAlign w:val="center"/>
          </w:tcPr>
          <w:p w14:paraId="252009A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3DE91ED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8011.6</w:t>
            </w:r>
          </w:p>
        </w:tc>
        <w:tc>
          <w:tcPr>
            <w:tcW w:w="1787" w:type="dxa"/>
            <w:gridSpan w:val="2"/>
            <w:tcBorders>
              <w:tl2br w:val="nil"/>
              <w:tr2bl w:val="nil"/>
            </w:tcBorders>
            <w:shd w:val="clear" w:color="auto" w:fill="auto"/>
            <w:vAlign w:val="center"/>
          </w:tcPr>
          <w:p w14:paraId="10C67A0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合计</w:t>
            </w:r>
          </w:p>
        </w:tc>
        <w:tc>
          <w:tcPr>
            <w:tcW w:w="1414" w:type="dxa"/>
            <w:tcBorders>
              <w:tl2br w:val="nil"/>
              <w:tr2bl w:val="nil"/>
            </w:tcBorders>
            <w:shd w:val="clear" w:color="auto" w:fill="auto"/>
            <w:vAlign w:val="center"/>
          </w:tcPr>
          <w:p w14:paraId="233F6E6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296800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8011.6</w:t>
            </w:r>
          </w:p>
        </w:tc>
      </w:tr>
      <w:tr w14:paraId="221206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40A472B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P1激光刻线</w:t>
            </w:r>
          </w:p>
        </w:tc>
        <w:tc>
          <w:tcPr>
            <w:tcW w:w="1204" w:type="dxa"/>
            <w:tcBorders>
              <w:tl2br w:val="nil"/>
              <w:tr2bl w:val="nil"/>
            </w:tcBorders>
            <w:shd w:val="clear" w:color="auto" w:fill="auto"/>
            <w:vAlign w:val="center"/>
          </w:tcPr>
          <w:p w14:paraId="73CE1FA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05DE721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6216F59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7117.24</w:t>
            </w:r>
          </w:p>
        </w:tc>
        <w:tc>
          <w:tcPr>
            <w:tcW w:w="1787" w:type="dxa"/>
            <w:gridSpan w:val="2"/>
            <w:tcBorders>
              <w:tl2br w:val="nil"/>
              <w:tr2bl w:val="nil"/>
            </w:tcBorders>
            <w:shd w:val="clear" w:color="auto" w:fill="auto"/>
            <w:vAlign w:val="center"/>
          </w:tcPr>
          <w:p w14:paraId="48CE754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32704CF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095B5AA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7066.15</w:t>
            </w:r>
          </w:p>
        </w:tc>
      </w:tr>
      <w:tr w14:paraId="030996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634319CF">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8CADC3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F96BD4C">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AC04189">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6998606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4E33965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52B9D76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3.671</w:t>
            </w:r>
          </w:p>
        </w:tc>
        <w:tc>
          <w:tcPr>
            <w:tcW w:w="1419" w:type="dxa"/>
            <w:tcBorders>
              <w:tl2br w:val="nil"/>
              <w:tr2bl w:val="nil"/>
            </w:tcBorders>
            <w:shd w:val="clear" w:color="auto" w:fill="auto"/>
            <w:vAlign w:val="center"/>
          </w:tcPr>
          <w:p w14:paraId="1B01DFD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2.16</w:t>
            </w:r>
          </w:p>
        </w:tc>
      </w:tr>
      <w:tr w14:paraId="40A429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0D535F88">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CEF873F">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6ECC52D">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4E04D56">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66F47D6">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556C791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70064E8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104.48</w:t>
            </w:r>
          </w:p>
        </w:tc>
        <w:tc>
          <w:tcPr>
            <w:tcW w:w="1419" w:type="dxa"/>
            <w:tcBorders>
              <w:tl2br w:val="nil"/>
              <w:tr2bl w:val="nil"/>
            </w:tcBorders>
            <w:shd w:val="clear" w:color="auto" w:fill="auto"/>
            <w:vAlign w:val="center"/>
          </w:tcPr>
          <w:p w14:paraId="6B22689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48.93</w:t>
            </w:r>
          </w:p>
        </w:tc>
      </w:tr>
      <w:tr w14:paraId="6C99E4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F1F0F6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6F41DFA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3C8073BB">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70880986">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33CB920">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FFEA1B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237D7E2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5351CB6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51.09</w:t>
            </w:r>
          </w:p>
        </w:tc>
      </w:tr>
      <w:tr w14:paraId="3B7D64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155273C5">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4940BBE5">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F7DE74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8A4EE02">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4F4EA0B0">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1D76369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l2br w:val="nil"/>
              <w:tr2bl w:val="nil"/>
            </w:tcBorders>
            <w:shd w:val="clear" w:color="auto" w:fill="auto"/>
            <w:vAlign w:val="center"/>
          </w:tcPr>
          <w:p w14:paraId="7C82DB8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AFCDABC">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0.00407</w:t>
            </w:r>
          </w:p>
        </w:tc>
      </w:tr>
      <w:tr w14:paraId="07E758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AEA443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7A4B50E">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811B89F">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9A6E1C9">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3DE895C">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2B9F054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0D432F4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E8DF5A9">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51.08593</w:t>
            </w:r>
          </w:p>
        </w:tc>
      </w:tr>
      <w:tr w14:paraId="648C5D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51BFDFF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P2激光刻线</w:t>
            </w:r>
          </w:p>
        </w:tc>
        <w:tc>
          <w:tcPr>
            <w:tcW w:w="1204" w:type="dxa"/>
            <w:tcBorders>
              <w:tl2br w:val="nil"/>
              <w:tr2bl w:val="nil"/>
            </w:tcBorders>
            <w:shd w:val="clear" w:color="auto" w:fill="auto"/>
            <w:vAlign w:val="center"/>
          </w:tcPr>
          <w:p w14:paraId="09801BB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7F4DE43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0630C85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7066.15</w:t>
            </w:r>
          </w:p>
        </w:tc>
        <w:tc>
          <w:tcPr>
            <w:tcW w:w="1787" w:type="dxa"/>
            <w:gridSpan w:val="2"/>
            <w:tcBorders>
              <w:tl2br w:val="nil"/>
              <w:tr2bl w:val="nil"/>
            </w:tcBorders>
            <w:shd w:val="clear" w:color="auto" w:fill="auto"/>
            <w:vAlign w:val="center"/>
          </w:tcPr>
          <w:p w14:paraId="3016E85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186C972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03F1BF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7004.84</w:t>
            </w:r>
          </w:p>
        </w:tc>
      </w:tr>
      <w:tr w14:paraId="56D639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FBDB1D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CFEE71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2020AA9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0C0763B">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666E58F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37DE4DF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6123C1F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4.405</w:t>
            </w:r>
          </w:p>
        </w:tc>
        <w:tc>
          <w:tcPr>
            <w:tcW w:w="1419" w:type="dxa"/>
            <w:tcBorders>
              <w:tl2br w:val="nil"/>
              <w:tr2bl w:val="nil"/>
            </w:tcBorders>
            <w:shd w:val="clear" w:color="auto" w:fill="auto"/>
            <w:vAlign w:val="center"/>
          </w:tcPr>
          <w:p w14:paraId="0A5C050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2.59</w:t>
            </w:r>
          </w:p>
        </w:tc>
      </w:tr>
      <w:tr w14:paraId="5B1341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52F1AF8F">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4B21B31">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3AAFB69F">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9FEDE77">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0BF93015">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2523F80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6625836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125.38</w:t>
            </w:r>
          </w:p>
        </w:tc>
        <w:tc>
          <w:tcPr>
            <w:tcW w:w="1419" w:type="dxa"/>
            <w:tcBorders>
              <w:tl2br w:val="nil"/>
              <w:tr2bl w:val="nil"/>
            </w:tcBorders>
            <w:shd w:val="clear" w:color="auto" w:fill="auto"/>
            <w:vAlign w:val="center"/>
          </w:tcPr>
          <w:p w14:paraId="418B6CF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58.72</w:t>
            </w:r>
          </w:p>
        </w:tc>
      </w:tr>
      <w:tr w14:paraId="0D725E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E631712">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A75C89E">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1FC46BE2">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28BB9549">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BE2B259">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B57F6B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209D134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0BB589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61.31</w:t>
            </w:r>
          </w:p>
        </w:tc>
      </w:tr>
      <w:tr w14:paraId="328AC1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0C4675FA">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3C561DB7">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000F82F">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16174EF">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40EE0CAE">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57E3EE3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l2br w:val="nil"/>
              <w:tr2bl w:val="nil"/>
            </w:tcBorders>
            <w:shd w:val="clear" w:color="auto" w:fill="auto"/>
            <w:vAlign w:val="center"/>
          </w:tcPr>
          <w:p w14:paraId="14F811B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4AC414A7">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0.00407</w:t>
            </w:r>
          </w:p>
        </w:tc>
      </w:tr>
      <w:tr w14:paraId="544DB3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8F1571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A402BE5">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E98F388">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59A4F27A">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033B939D">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496871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2AFE141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5CDE5211">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59.99893</w:t>
            </w:r>
          </w:p>
        </w:tc>
      </w:tr>
      <w:tr w14:paraId="5D8CC2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46909C4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P3激光刻线</w:t>
            </w:r>
          </w:p>
        </w:tc>
        <w:tc>
          <w:tcPr>
            <w:tcW w:w="1204" w:type="dxa"/>
            <w:tcBorders>
              <w:tl2br w:val="nil"/>
              <w:tr2bl w:val="nil"/>
            </w:tcBorders>
            <w:shd w:val="clear" w:color="auto" w:fill="auto"/>
            <w:vAlign w:val="center"/>
          </w:tcPr>
          <w:p w14:paraId="4BE86C6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33B296A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02428ED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7004.84</w:t>
            </w:r>
          </w:p>
        </w:tc>
        <w:tc>
          <w:tcPr>
            <w:tcW w:w="1787" w:type="dxa"/>
            <w:gridSpan w:val="2"/>
            <w:tcBorders>
              <w:tl2br w:val="nil"/>
              <w:tr2bl w:val="nil"/>
            </w:tcBorders>
            <w:shd w:val="clear" w:color="auto" w:fill="auto"/>
            <w:vAlign w:val="center"/>
          </w:tcPr>
          <w:p w14:paraId="36B5F0C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004244D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FC8569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6943.53</w:t>
            </w:r>
          </w:p>
        </w:tc>
      </w:tr>
      <w:tr w14:paraId="43396B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1F7888B1">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39880B42">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62E1A0D">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14EB8E3">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44F4809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34FE4A4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0FF28F5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4.405</w:t>
            </w:r>
          </w:p>
        </w:tc>
        <w:tc>
          <w:tcPr>
            <w:tcW w:w="1419" w:type="dxa"/>
            <w:tcBorders>
              <w:tl2br w:val="nil"/>
              <w:tr2bl w:val="nil"/>
            </w:tcBorders>
            <w:shd w:val="clear" w:color="auto" w:fill="auto"/>
            <w:vAlign w:val="center"/>
          </w:tcPr>
          <w:p w14:paraId="3A82E54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2.59</w:t>
            </w:r>
          </w:p>
        </w:tc>
      </w:tr>
      <w:tr w14:paraId="3AA34E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53B5790">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4864C9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4433AC7">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4916061">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28B76C4B">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152D6F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5E4510E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125.38</w:t>
            </w:r>
          </w:p>
        </w:tc>
        <w:tc>
          <w:tcPr>
            <w:tcW w:w="1419" w:type="dxa"/>
            <w:tcBorders>
              <w:tl2br w:val="nil"/>
              <w:tr2bl w:val="nil"/>
            </w:tcBorders>
            <w:shd w:val="clear" w:color="auto" w:fill="auto"/>
            <w:vAlign w:val="center"/>
          </w:tcPr>
          <w:p w14:paraId="5820640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58.72</w:t>
            </w:r>
          </w:p>
        </w:tc>
      </w:tr>
      <w:tr w14:paraId="543DF9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8C5292B">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6629519A">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15A54689">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86FC210">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D97227F">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235331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04089B0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12E15D6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61.31</w:t>
            </w:r>
          </w:p>
        </w:tc>
      </w:tr>
      <w:tr w14:paraId="620A1C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5C4FA58">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1B7A2BDF">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697191A">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B4EE0B6">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EC6A719">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6802831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l2br w:val="nil"/>
              <w:tr2bl w:val="nil"/>
            </w:tcBorders>
            <w:shd w:val="clear" w:color="auto" w:fill="auto"/>
            <w:vAlign w:val="center"/>
          </w:tcPr>
          <w:p w14:paraId="5F4CE61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7E0B210">
            <w:pPr>
              <w:widowControl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0.00407</w:t>
            </w:r>
          </w:p>
        </w:tc>
      </w:tr>
      <w:tr w14:paraId="17F605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E5EF518">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4A869675">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3FF289B">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353E7D5E">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BE6CB50">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39A0D13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2F9BFEA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F60E346">
            <w:pPr>
              <w:widowControl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59.99893</w:t>
            </w:r>
          </w:p>
        </w:tc>
      </w:tr>
      <w:tr w14:paraId="580750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09FC4BE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P4边缘处理</w:t>
            </w:r>
          </w:p>
        </w:tc>
        <w:tc>
          <w:tcPr>
            <w:tcW w:w="1204" w:type="dxa"/>
            <w:tcBorders>
              <w:tl2br w:val="nil"/>
              <w:tr2bl w:val="nil"/>
            </w:tcBorders>
            <w:shd w:val="clear" w:color="auto" w:fill="auto"/>
            <w:vAlign w:val="center"/>
          </w:tcPr>
          <w:p w14:paraId="31B1CE4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0EEAABB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4F904B9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6943.53</w:t>
            </w:r>
          </w:p>
        </w:tc>
        <w:tc>
          <w:tcPr>
            <w:tcW w:w="1787" w:type="dxa"/>
            <w:gridSpan w:val="2"/>
            <w:tcBorders>
              <w:tl2br w:val="nil"/>
              <w:tr2bl w:val="nil"/>
            </w:tcBorders>
            <w:shd w:val="clear" w:color="auto" w:fill="auto"/>
            <w:vAlign w:val="center"/>
          </w:tcPr>
          <w:p w14:paraId="5F025B7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49FC484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95072A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6800.41</w:t>
            </w:r>
          </w:p>
        </w:tc>
      </w:tr>
      <w:tr w14:paraId="7E2F29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C0FFAA5">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1B0F0221">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440ADFE">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1B2C5FBB">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5EF5431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7BCD583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1062A1B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10.28</w:t>
            </w:r>
          </w:p>
        </w:tc>
        <w:tc>
          <w:tcPr>
            <w:tcW w:w="1419" w:type="dxa"/>
            <w:tcBorders>
              <w:tl2br w:val="nil"/>
              <w:tr2bl w:val="nil"/>
            </w:tcBorders>
            <w:shd w:val="clear" w:color="auto" w:fill="auto"/>
            <w:vAlign w:val="center"/>
          </w:tcPr>
          <w:p w14:paraId="40B5A9C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6.04</w:t>
            </w:r>
          </w:p>
        </w:tc>
      </w:tr>
      <w:tr w14:paraId="33BD29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99AF2D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00B225B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C550B79">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367E5E3A">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07EF10B1">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29BA1AC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744EFD4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292.68</w:t>
            </w:r>
          </w:p>
        </w:tc>
        <w:tc>
          <w:tcPr>
            <w:tcW w:w="1419" w:type="dxa"/>
            <w:tcBorders>
              <w:tl2br w:val="nil"/>
              <w:tr2bl w:val="nil"/>
            </w:tcBorders>
            <w:shd w:val="clear" w:color="auto" w:fill="auto"/>
            <w:vAlign w:val="center"/>
          </w:tcPr>
          <w:p w14:paraId="1375FE0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137.08</w:t>
            </w:r>
          </w:p>
        </w:tc>
      </w:tr>
      <w:tr w14:paraId="256979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02CE9E68">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2AF212B">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6D10F9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87F5789">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03B0AC8B">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1864D96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567BF64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B0DC91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143.12</w:t>
            </w:r>
          </w:p>
        </w:tc>
      </w:tr>
      <w:tr w14:paraId="2F7223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10E6358E">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2A08A18">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22BE1600">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2F2A1FFC">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13B77411">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1D7AE9E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l2br w:val="nil"/>
              <w:tr2bl w:val="nil"/>
            </w:tcBorders>
            <w:shd w:val="clear" w:color="auto" w:fill="auto"/>
            <w:vAlign w:val="center"/>
          </w:tcPr>
          <w:p w14:paraId="59A9F49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4D07CC7B">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0.018</w:t>
            </w:r>
          </w:p>
        </w:tc>
      </w:tr>
      <w:tr w14:paraId="3185E5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5F6AFF2D">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D9F0FFD">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AEFA7A8">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7B0E7BC">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283B8A57">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1611A3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119D01A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4194141">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14</w:t>
            </w:r>
            <w:r>
              <w:rPr>
                <w:rFonts w:hint="eastAsia" w:ascii="Times New Roman" w:hAnsi="Times New Roman" w:eastAsia="宋体" w:cs="Times New Roman"/>
                <w:caps w:val="0"/>
                <w:smallCaps w:val="0"/>
                <w:color w:val="auto"/>
                <w:spacing w:val="0"/>
                <w:kern w:val="0"/>
                <w:sz w:val="21"/>
                <w:highlight w:val="none"/>
                <w:lang w:val="en-US" w:eastAsia="zh-CN" w:bidi="ar"/>
              </w:rPr>
              <w:t>3.102</w:t>
            </w:r>
          </w:p>
        </w:tc>
      </w:tr>
      <w:tr w14:paraId="03CB02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4C284FE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P5激光透光度调整</w:t>
            </w:r>
          </w:p>
        </w:tc>
        <w:tc>
          <w:tcPr>
            <w:tcW w:w="1204" w:type="dxa"/>
            <w:tcBorders>
              <w:tl2br w:val="nil"/>
              <w:tr2bl w:val="nil"/>
            </w:tcBorders>
            <w:shd w:val="clear" w:color="auto" w:fill="auto"/>
            <w:vAlign w:val="center"/>
          </w:tcPr>
          <w:p w14:paraId="1377B31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73BF31E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740CFA3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6800.41</w:t>
            </w:r>
          </w:p>
        </w:tc>
        <w:tc>
          <w:tcPr>
            <w:tcW w:w="1787" w:type="dxa"/>
            <w:gridSpan w:val="2"/>
            <w:tcBorders>
              <w:tl2br w:val="nil"/>
              <w:tr2bl w:val="nil"/>
            </w:tcBorders>
            <w:shd w:val="clear" w:color="auto" w:fill="auto"/>
            <w:vAlign w:val="center"/>
          </w:tcPr>
          <w:p w14:paraId="227ACE0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1D77897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6E3E2E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6754.36</w:t>
            </w:r>
          </w:p>
        </w:tc>
      </w:tr>
      <w:tr w14:paraId="199FF1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379DE1E">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B2AB8E0">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5D219B1">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2DADE0D">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7379CC2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21F5B75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0303B20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3.309</w:t>
            </w:r>
          </w:p>
        </w:tc>
        <w:tc>
          <w:tcPr>
            <w:tcW w:w="1419" w:type="dxa"/>
            <w:tcBorders>
              <w:tl2br w:val="nil"/>
              <w:tr2bl w:val="nil"/>
            </w:tcBorders>
            <w:shd w:val="clear" w:color="auto" w:fill="auto"/>
            <w:vAlign w:val="center"/>
          </w:tcPr>
          <w:p w14:paraId="4B677CC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1.94</w:t>
            </w:r>
          </w:p>
        </w:tc>
      </w:tr>
      <w:tr w14:paraId="6DBD45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4EF891B">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1DA626B1">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999815A">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7569F310">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BB2F6DB">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4142B33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5A2BEC2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94.181</w:t>
            </w:r>
          </w:p>
        </w:tc>
        <w:tc>
          <w:tcPr>
            <w:tcW w:w="1419" w:type="dxa"/>
            <w:tcBorders>
              <w:tl2br w:val="nil"/>
              <w:tr2bl w:val="nil"/>
            </w:tcBorders>
            <w:shd w:val="clear" w:color="auto" w:fill="auto"/>
            <w:vAlign w:val="center"/>
          </w:tcPr>
          <w:p w14:paraId="239716D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44.11</w:t>
            </w:r>
          </w:p>
        </w:tc>
      </w:tr>
      <w:tr w14:paraId="2FEE95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bottom w:val="single" w:color="auto" w:sz="8" w:space="0"/>
              <w:tl2br w:val="nil"/>
              <w:tr2bl w:val="nil"/>
            </w:tcBorders>
            <w:shd w:val="clear" w:color="auto" w:fill="auto"/>
            <w:vAlign w:val="center"/>
          </w:tcPr>
          <w:p w14:paraId="18D8823E">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bottom w:val="single" w:color="auto" w:sz="8" w:space="0"/>
              <w:tl2br w:val="nil"/>
              <w:tr2bl w:val="nil"/>
            </w:tcBorders>
            <w:shd w:val="clear" w:color="auto" w:fill="auto"/>
            <w:vAlign w:val="center"/>
          </w:tcPr>
          <w:p w14:paraId="0F0DFC54">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bottom w:val="single" w:color="auto" w:sz="8" w:space="0"/>
              <w:tl2br w:val="nil"/>
              <w:tr2bl w:val="nil"/>
            </w:tcBorders>
            <w:shd w:val="clear" w:color="auto" w:fill="auto"/>
            <w:vAlign w:val="center"/>
          </w:tcPr>
          <w:p w14:paraId="5AC0908E">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bottom w:val="single" w:color="auto" w:sz="8" w:space="0"/>
              <w:tl2br w:val="nil"/>
              <w:tr2bl w:val="nil"/>
            </w:tcBorders>
            <w:shd w:val="clear" w:color="auto" w:fill="auto"/>
            <w:vAlign w:val="center"/>
          </w:tcPr>
          <w:p w14:paraId="2FF5162F">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bottom w:val="single" w:color="auto" w:sz="8" w:space="0"/>
              <w:tl2br w:val="nil"/>
              <w:tr2bl w:val="nil"/>
            </w:tcBorders>
            <w:shd w:val="clear" w:color="auto" w:fill="auto"/>
            <w:vAlign w:val="center"/>
          </w:tcPr>
          <w:p w14:paraId="00394DD0">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bottom w:val="single" w:color="auto" w:sz="8" w:space="0"/>
              <w:tl2br w:val="nil"/>
              <w:tr2bl w:val="nil"/>
            </w:tcBorders>
            <w:shd w:val="clear" w:color="auto" w:fill="auto"/>
            <w:vAlign w:val="center"/>
          </w:tcPr>
          <w:p w14:paraId="2DC5DC0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bottom w:val="single" w:color="auto" w:sz="8" w:space="0"/>
              <w:tl2br w:val="nil"/>
              <w:tr2bl w:val="nil"/>
            </w:tcBorders>
            <w:shd w:val="clear" w:color="auto" w:fill="auto"/>
            <w:vAlign w:val="center"/>
          </w:tcPr>
          <w:p w14:paraId="369AA9A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bottom w:val="single" w:color="auto" w:sz="8" w:space="0"/>
              <w:tl2br w:val="nil"/>
              <w:tr2bl w:val="nil"/>
            </w:tcBorders>
            <w:shd w:val="clear" w:color="auto" w:fill="auto"/>
            <w:vAlign w:val="center"/>
          </w:tcPr>
          <w:p w14:paraId="7870F3B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46.05</w:t>
            </w:r>
          </w:p>
        </w:tc>
      </w:tr>
      <w:tr w14:paraId="1464E8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op w:val="single" w:color="auto" w:sz="8" w:space="0"/>
              <w:tl2br w:val="nil"/>
              <w:tr2bl w:val="nil"/>
            </w:tcBorders>
            <w:shd w:val="clear" w:color="auto" w:fill="auto"/>
            <w:vAlign w:val="center"/>
          </w:tcPr>
          <w:p w14:paraId="2228CDF2">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op w:val="single" w:color="auto" w:sz="8" w:space="0"/>
              <w:tl2br w:val="nil"/>
              <w:tr2bl w:val="nil"/>
            </w:tcBorders>
            <w:shd w:val="clear" w:color="auto" w:fill="auto"/>
            <w:vAlign w:val="center"/>
          </w:tcPr>
          <w:p w14:paraId="20BB0A33">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op w:val="single" w:color="auto" w:sz="8" w:space="0"/>
              <w:tl2br w:val="nil"/>
              <w:tr2bl w:val="nil"/>
            </w:tcBorders>
            <w:shd w:val="clear" w:color="auto" w:fill="auto"/>
            <w:vAlign w:val="center"/>
          </w:tcPr>
          <w:p w14:paraId="171048E4">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op w:val="single" w:color="auto" w:sz="8" w:space="0"/>
              <w:tl2br w:val="nil"/>
              <w:tr2bl w:val="nil"/>
            </w:tcBorders>
            <w:shd w:val="clear" w:color="auto" w:fill="auto"/>
            <w:vAlign w:val="center"/>
          </w:tcPr>
          <w:p w14:paraId="71654880">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op w:val="single" w:color="auto" w:sz="8" w:space="0"/>
              <w:tl2br w:val="nil"/>
              <w:tr2bl w:val="nil"/>
            </w:tcBorders>
            <w:shd w:val="clear" w:color="auto" w:fill="auto"/>
            <w:vAlign w:val="center"/>
          </w:tcPr>
          <w:p w14:paraId="691856AB">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op w:val="single" w:color="auto" w:sz="8" w:space="0"/>
              <w:tl2br w:val="nil"/>
              <w:tr2bl w:val="nil"/>
            </w:tcBorders>
            <w:shd w:val="clear" w:color="auto" w:fill="auto"/>
            <w:vAlign w:val="center"/>
          </w:tcPr>
          <w:p w14:paraId="24C4D8E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op w:val="single" w:color="auto" w:sz="8" w:space="0"/>
              <w:tl2br w:val="nil"/>
              <w:tr2bl w:val="nil"/>
            </w:tcBorders>
            <w:shd w:val="clear" w:color="auto" w:fill="auto"/>
            <w:vAlign w:val="center"/>
          </w:tcPr>
          <w:p w14:paraId="0206A51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op w:val="single" w:color="auto" w:sz="8" w:space="0"/>
              <w:tl2br w:val="nil"/>
              <w:tr2bl w:val="nil"/>
            </w:tcBorders>
            <w:shd w:val="clear" w:color="auto" w:fill="auto"/>
            <w:vAlign w:val="center"/>
          </w:tcPr>
          <w:p w14:paraId="7D27F43F">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0.0024</w:t>
            </w:r>
          </w:p>
        </w:tc>
      </w:tr>
      <w:tr w14:paraId="0AB5BF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BDE81E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266EA140">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01E92FEE">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44384767">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6701BEE1">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9128FC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574001F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43A7F335">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46.0476</w:t>
            </w:r>
          </w:p>
        </w:tc>
      </w:tr>
      <w:tr w14:paraId="17BD8C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restart"/>
            <w:tcBorders>
              <w:tl2br w:val="nil"/>
              <w:tr2bl w:val="nil"/>
            </w:tcBorders>
            <w:shd w:val="clear" w:color="auto" w:fill="auto"/>
            <w:vAlign w:val="center"/>
          </w:tcPr>
          <w:p w14:paraId="4CA8E48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P6激光异形构件切割</w:t>
            </w:r>
          </w:p>
        </w:tc>
        <w:tc>
          <w:tcPr>
            <w:tcW w:w="1204" w:type="dxa"/>
            <w:tcBorders>
              <w:tl2br w:val="nil"/>
              <w:tr2bl w:val="nil"/>
            </w:tcBorders>
            <w:shd w:val="clear" w:color="auto" w:fill="auto"/>
            <w:vAlign w:val="center"/>
          </w:tcPr>
          <w:p w14:paraId="516B47E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967" w:type="dxa"/>
            <w:tcBorders>
              <w:tl2br w:val="nil"/>
              <w:tr2bl w:val="nil"/>
            </w:tcBorders>
            <w:shd w:val="clear" w:color="auto" w:fill="auto"/>
            <w:vAlign w:val="center"/>
          </w:tcPr>
          <w:p w14:paraId="0F4E3C6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tl2br w:val="nil"/>
              <w:tr2bl w:val="nil"/>
            </w:tcBorders>
            <w:shd w:val="clear" w:color="auto" w:fill="auto"/>
            <w:vAlign w:val="center"/>
          </w:tcPr>
          <w:p w14:paraId="76B6368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6754.36</w:t>
            </w:r>
          </w:p>
        </w:tc>
        <w:tc>
          <w:tcPr>
            <w:tcW w:w="1787" w:type="dxa"/>
            <w:gridSpan w:val="2"/>
            <w:tcBorders>
              <w:tl2br w:val="nil"/>
              <w:tr2bl w:val="nil"/>
            </w:tcBorders>
            <w:shd w:val="clear" w:color="auto" w:fill="auto"/>
            <w:vAlign w:val="center"/>
          </w:tcPr>
          <w:p w14:paraId="2BED78D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414" w:type="dxa"/>
            <w:tcBorders>
              <w:tl2br w:val="nil"/>
              <w:tr2bl w:val="nil"/>
            </w:tcBorders>
            <w:shd w:val="clear" w:color="auto" w:fill="auto"/>
            <w:vAlign w:val="center"/>
          </w:tcPr>
          <w:p w14:paraId="4E3F22D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28E7829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6739.012</w:t>
            </w:r>
          </w:p>
        </w:tc>
      </w:tr>
      <w:tr w14:paraId="728138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61D78ECF">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AAF6106">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4A441DC9">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376091E3">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restart"/>
            <w:tcBorders>
              <w:tl2br w:val="nil"/>
              <w:tr2bl w:val="nil"/>
            </w:tcBorders>
            <w:shd w:val="clear" w:color="auto" w:fill="auto"/>
            <w:vAlign w:val="center"/>
          </w:tcPr>
          <w:p w14:paraId="173666D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939" w:type="dxa"/>
            <w:tcBorders>
              <w:tl2br w:val="nil"/>
              <w:tr2bl w:val="nil"/>
            </w:tcBorders>
            <w:shd w:val="clear" w:color="auto" w:fill="auto"/>
            <w:vAlign w:val="center"/>
          </w:tcPr>
          <w:p w14:paraId="4413903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CdSe</w:t>
            </w:r>
          </w:p>
        </w:tc>
        <w:tc>
          <w:tcPr>
            <w:tcW w:w="1414" w:type="dxa"/>
            <w:tcBorders>
              <w:tl2br w:val="nil"/>
              <w:tr2bl w:val="nil"/>
            </w:tcBorders>
            <w:shd w:val="clear" w:color="auto" w:fill="auto"/>
            <w:vAlign w:val="center"/>
          </w:tcPr>
          <w:p w14:paraId="15EDA3E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1.103</w:t>
            </w:r>
          </w:p>
        </w:tc>
        <w:tc>
          <w:tcPr>
            <w:tcW w:w="1419" w:type="dxa"/>
            <w:tcBorders>
              <w:tl2br w:val="nil"/>
              <w:tr2bl w:val="nil"/>
            </w:tcBorders>
            <w:shd w:val="clear" w:color="auto" w:fill="auto"/>
            <w:vAlign w:val="center"/>
          </w:tcPr>
          <w:p w14:paraId="2837F39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0.648</w:t>
            </w:r>
          </w:p>
        </w:tc>
      </w:tr>
      <w:tr w14:paraId="4D5C16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4AA45C6C">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755AB111">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79D549B6">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F159849">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78BB6D44">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3ECC273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CdTe</w:t>
            </w:r>
          </w:p>
        </w:tc>
        <w:tc>
          <w:tcPr>
            <w:tcW w:w="1414" w:type="dxa"/>
            <w:tcBorders>
              <w:tl2br w:val="nil"/>
              <w:tr2bl w:val="nil"/>
            </w:tcBorders>
            <w:shd w:val="clear" w:color="auto" w:fill="auto"/>
            <w:vAlign w:val="center"/>
          </w:tcPr>
          <w:p w14:paraId="72854A5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31.394</w:t>
            </w:r>
          </w:p>
        </w:tc>
        <w:tc>
          <w:tcPr>
            <w:tcW w:w="1419" w:type="dxa"/>
            <w:tcBorders>
              <w:tl2br w:val="nil"/>
              <w:tr2bl w:val="nil"/>
            </w:tcBorders>
            <w:shd w:val="clear" w:color="auto" w:fill="auto"/>
            <w:vAlign w:val="center"/>
          </w:tcPr>
          <w:p w14:paraId="408833A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14.7</w:t>
            </w:r>
          </w:p>
        </w:tc>
      </w:tr>
      <w:tr w14:paraId="6D08E4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30E41543">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54DC0157">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69E4F684">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64A6A1EB">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59FB1838">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67C0BED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小计</w:t>
            </w:r>
          </w:p>
        </w:tc>
        <w:tc>
          <w:tcPr>
            <w:tcW w:w="1414" w:type="dxa"/>
            <w:tcBorders>
              <w:tl2br w:val="nil"/>
              <w:tr2bl w:val="nil"/>
            </w:tcBorders>
            <w:shd w:val="clear" w:color="auto" w:fill="auto"/>
            <w:vAlign w:val="center"/>
          </w:tcPr>
          <w:p w14:paraId="1EA3A42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5A91D57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15.348</w:t>
            </w:r>
          </w:p>
        </w:tc>
      </w:tr>
      <w:tr w14:paraId="6DA93A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79075F36">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4A8D6861">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23ADA991">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3C6B1FF">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5B59EAEB">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2E1B2987">
            <w:pPr>
              <w:widowControl w:val="0"/>
              <w:jc w:val="both"/>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414" w:type="dxa"/>
            <w:tcBorders>
              <w:tl2br w:val="nil"/>
              <w:tr2bl w:val="nil"/>
            </w:tcBorders>
            <w:shd w:val="clear" w:color="auto" w:fill="auto"/>
            <w:vAlign w:val="center"/>
          </w:tcPr>
          <w:p w14:paraId="697F02A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72EE41E1">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0.0016</w:t>
            </w:r>
          </w:p>
        </w:tc>
      </w:tr>
      <w:tr w14:paraId="355EDD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7" w:type="dxa"/>
            <w:vMerge w:val="continue"/>
            <w:tcBorders>
              <w:tl2br w:val="nil"/>
              <w:tr2bl w:val="nil"/>
            </w:tcBorders>
            <w:shd w:val="clear" w:color="auto" w:fill="auto"/>
            <w:vAlign w:val="center"/>
          </w:tcPr>
          <w:p w14:paraId="2A2EF6E6">
            <w:pPr>
              <w:widowControl w:val="0"/>
              <w:jc w:val="center"/>
              <w:rPr>
                <w:rFonts w:ascii="Times New Roman" w:hAnsi="Times New Roman" w:eastAsia="宋体" w:cs="Times New Roman"/>
                <w:caps w:val="0"/>
                <w:smallCaps w:val="0"/>
                <w:color w:val="auto"/>
                <w:spacing w:val="0"/>
                <w:sz w:val="21"/>
                <w:highlight w:val="none"/>
              </w:rPr>
            </w:pPr>
          </w:p>
        </w:tc>
        <w:tc>
          <w:tcPr>
            <w:tcW w:w="1204" w:type="dxa"/>
            <w:tcBorders>
              <w:tl2br w:val="nil"/>
              <w:tr2bl w:val="nil"/>
            </w:tcBorders>
            <w:shd w:val="clear" w:color="auto" w:fill="auto"/>
            <w:vAlign w:val="center"/>
          </w:tcPr>
          <w:p w14:paraId="3BF829D8">
            <w:pPr>
              <w:widowControl w:val="0"/>
              <w:jc w:val="center"/>
              <w:rPr>
                <w:rFonts w:ascii="Times New Roman" w:hAnsi="Times New Roman" w:eastAsia="宋体" w:cs="Times New Roman"/>
                <w:caps w:val="0"/>
                <w:smallCaps w:val="0"/>
                <w:color w:val="auto"/>
                <w:spacing w:val="0"/>
                <w:sz w:val="21"/>
                <w:highlight w:val="none"/>
              </w:rPr>
            </w:pPr>
          </w:p>
        </w:tc>
        <w:tc>
          <w:tcPr>
            <w:tcW w:w="967" w:type="dxa"/>
            <w:tcBorders>
              <w:tl2br w:val="nil"/>
              <w:tr2bl w:val="nil"/>
            </w:tcBorders>
            <w:shd w:val="clear" w:color="auto" w:fill="auto"/>
            <w:vAlign w:val="center"/>
          </w:tcPr>
          <w:p w14:paraId="5879F561">
            <w:pPr>
              <w:widowControl w:val="0"/>
              <w:jc w:val="center"/>
              <w:rPr>
                <w:rFonts w:ascii="Times New Roman" w:hAnsi="Times New Roman" w:eastAsia="宋体" w:cs="Times New Roman"/>
                <w:caps w:val="0"/>
                <w:smallCaps w:val="0"/>
                <w:color w:val="auto"/>
                <w:spacing w:val="0"/>
                <w:sz w:val="21"/>
                <w:highlight w:val="none"/>
              </w:rPr>
            </w:pPr>
          </w:p>
        </w:tc>
        <w:tc>
          <w:tcPr>
            <w:tcW w:w="1288" w:type="dxa"/>
            <w:tcBorders>
              <w:tl2br w:val="nil"/>
              <w:tr2bl w:val="nil"/>
            </w:tcBorders>
            <w:shd w:val="clear" w:color="auto" w:fill="auto"/>
            <w:vAlign w:val="center"/>
          </w:tcPr>
          <w:p w14:paraId="0C592B4E">
            <w:pPr>
              <w:widowControl w:val="0"/>
              <w:jc w:val="center"/>
              <w:rPr>
                <w:rFonts w:ascii="Times New Roman" w:hAnsi="Times New Roman" w:eastAsia="宋体" w:cs="Times New Roman"/>
                <w:caps w:val="0"/>
                <w:smallCaps w:val="0"/>
                <w:color w:val="auto"/>
                <w:spacing w:val="0"/>
                <w:sz w:val="21"/>
                <w:highlight w:val="none"/>
              </w:rPr>
            </w:pPr>
          </w:p>
        </w:tc>
        <w:tc>
          <w:tcPr>
            <w:tcW w:w="848" w:type="dxa"/>
            <w:vMerge w:val="continue"/>
            <w:tcBorders>
              <w:tl2br w:val="nil"/>
              <w:tr2bl w:val="nil"/>
            </w:tcBorders>
            <w:shd w:val="clear" w:color="auto" w:fill="auto"/>
            <w:vAlign w:val="center"/>
          </w:tcPr>
          <w:p w14:paraId="4391460F">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tl2br w:val="nil"/>
              <w:tr2bl w:val="nil"/>
            </w:tcBorders>
            <w:shd w:val="clear" w:color="auto" w:fill="auto"/>
            <w:vAlign w:val="center"/>
          </w:tcPr>
          <w:p w14:paraId="086A611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414" w:type="dxa"/>
            <w:tcBorders>
              <w:tl2br w:val="nil"/>
              <w:tr2bl w:val="nil"/>
            </w:tcBorders>
            <w:shd w:val="clear" w:color="auto" w:fill="auto"/>
            <w:vAlign w:val="center"/>
          </w:tcPr>
          <w:p w14:paraId="171132F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19" w:type="dxa"/>
            <w:tcBorders>
              <w:tl2br w:val="nil"/>
              <w:tr2bl w:val="nil"/>
            </w:tcBorders>
            <w:shd w:val="clear" w:color="auto" w:fill="auto"/>
            <w:vAlign w:val="center"/>
          </w:tcPr>
          <w:p w14:paraId="623B10CF">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15.3464</w:t>
            </w:r>
          </w:p>
        </w:tc>
      </w:tr>
      <w:tr w14:paraId="50E940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11" w:type="dxa"/>
            <w:gridSpan w:val="2"/>
            <w:tcBorders>
              <w:bottom w:val="single" w:color="auto" w:sz="8" w:space="0"/>
              <w:tl2br w:val="nil"/>
              <w:tr2bl w:val="nil"/>
            </w:tcBorders>
            <w:shd w:val="clear" w:color="auto" w:fill="auto"/>
            <w:vAlign w:val="center"/>
          </w:tcPr>
          <w:p w14:paraId="2DCB861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成品</w:t>
            </w:r>
          </w:p>
        </w:tc>
        <w:tc>
          <w:tcPr>
            <w:tcW w:w="967" w:type="dxa"/>
            <w:tcBorders>
              <w:bottom w:val="single" w:color="auto" w:sz="8" w:space="0"/>
              <w:tl2br w:val="nil"/>
              <w:tr2bl w:val="nil"/>
            </w:tcBorders>
            <w:shd w:val="clear" w:color="auto" w:fill="auto"/>
            <w:vAlign w:val="center"/>
          </w:tcPr>
          <w:p w14:paraId="66242B2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88" w:type="dxa"/>
            <w:tcBorders>
              <w:bottom w:val="single" w:color="auto" w:sz="8" w:space="0"/>
              <w:tl2br w:val="nil"/>
              <w:tr2bl w:val="nil"/>
            </w:tcBorders>
            <w:shd w:val="clear" w:color="auto" w:fill="auto"/>
            <w:vAlign w:val="center"/>
          </w:tcPr>
          <w:p w14:paraId="0A3FB5E7">
            <w:pPr>
              <w:widowControl w:val="0"/>
              <w:jc w:val="center"/>
              <w:rPr>
                <w:rFonts w:ascii="Times New Roman" w:hAnsi="Times New Roman" w:eastAsia="宋体" w:cs="Times New Roman"/>
                <w:caps w:val="0"/>
                <w:smallCaps w:val="0"/>
                <w:color w:val="auto"/>
                <w:spacing w:val="0"/>
                <w:sz w:val="21"/>
                <w:highlight w:val="none"/>
              </w:rPr>
            </w:pPr>
          </w:p>
        </w:tc>
        <w:tc>
          <w:tcPr>
            <w:tcW w:w="848" w:type="dxa"/>
            <w:tcBorders>
              <w:bottom w:val="single" w:color="auto" w:sz="8" w:space="0"/>
              <w:tl2br w:val="nil"/>
              <w:tr2bl w:val="nil"/>
            </w:tcBorders>
            <w:shd w:val="clear" w:color="auto" w:fill="auto"/>
            <w:vAlign w:val="center"/>
          </w:tcPr>
          <w:p w14:paraId="37D4CF89">
            <w:pPr>
              <w:widowControl w:val="0"/>
              <w:jc w:val="center"/>
              <w:rPr>
                <w:rFonts w:ascii="Times New Roman" w:hAnsi="Times New Roman" w:eastAsia="宋体" w:cs="Times New Roman"/>
                <w:caps w:val="0"/>
                <w:smallCaps w:val="0"/>
                <w:color w:val="auto"/>
                <w:spacing w:val="0"/>
                <w:sz w:val="21"/>
                <w:highlight w:val="none"/>
              </w:rPr>
            </w:pPr>
          </w:p>
        </w:tc>
        <w:tc>
          <w:tcPr>
            <w:tcW w:w="939" w:type="dxa"/>
            <w:tcBorders>
              <w:bottom w:val="single" w:color="auto" w:sz="8" w:space="0"/>
              <w:tl2br w:val="nil"/>
              <w:tr2bl w:val="nil"/>
            </w:tcBorders>
            <w:shd w:val="clear" w:color="auto" w:fill="auto"/>
            <w:vAlign w:val="center"/>
          </w:tcPr>
          <w:p w14:paraId="2A342B42">
            <w:pPr>
              <w:widowControl w:val="0"/>
              <w:jc w:val="center"/>
              <w:rPr>
                <w:rFonts w:ascii="Times New Roman" w:hAnsi="Times New Roman" w:eastAsia="宋体" w:cs="Times New Roman"/>
                <w:caps w:val="0"/>
                <w:smallCaps w:val="0"/>
                <w:color w:val="auto"/>
                <w:spacing w:val="0"/>
                <w:sz w:val="21"/>
                <w:highlight w:val="none"/>
              </w:rPr>
            </w:pPr>
          </w:p>
        </w:tc>
        <w:tc>
          <w:tcPr>
            <w:tcW w:w="1414" w:type="dxa"/>
            <w:tcBorders>
              <w:bottom w:val="single" w:color="auto" w:sz="8" w:space="0"/>
              <w:tl2br w:val="nil"/>
              <w:tr2bl w:val="nil"/>
            </w:tcBorders>
            <w:shd w:val="clear" w:color="auto" w:fill="auto"/>
            <w:vAlign w:val="center"/>
          </w:tcPr>
          <w:p w14:paraId="06D53ED5">
            <w:pPr>
              <w:widowControl w:val="0"/>
              <w:jc w:val="center"/>
              <w:rPr>
                <w:rFonts w:ascii="Times New Roman" w:hAnsi="Times New Roman" w:eastAsia="宋体" w:cs="Times New Roman"/>
                <w:caps w:val="0"/>
                <w:smallCaps w:val="0"/>
                <w:color w:val="auto"/>
                <w:spacing w:val="0"/>
                <w:sz w:val="21"/>
                <w:highlight w:val="none"/>
              </w:rPr>
            </w:pPr>
          </w:p>
        </w:tc>
        <w:tc>
          <w:tcPr>
            <w:tcW w:w="1419" w:type="dxa"/>
            <w:tcBorders>
              <w:bottom w:val="single" w:color="auto" w:sz="8" w:space="0"/>
              <w:tl2br w:val="nil"/>
              <w:tr2bl w:val="nil"/>
            </w:tcBorders>
            <w:shd w:val="clear" w:color="auto" w:fill="auto"/>
            <w:noWrap/>
            <w:vAlign w:val="center"/>
          </w:tcPr>
          <w:p w14:paraId="48A2DEAA">
            <w:pPr>
              <w:widowControl w:val="0"/>
              <w:jc w:val="center"/>
              <w:textAlignment w:val="center"/>
              <w:rPr>
                <w:rFonts w:ascii="Times New Roman" w:hAnsi="Times New Roman" w:eastAsia="宋体" w:cs="Times New Roman"/>
                <w:caps w:val="0"/>
                <w:smallCaps w:val="0"/>
                <w:color w:val="auto"/>
                <w:spacing w:val="0"/>
                <w:sz w:val="22"/>
                <w:szCs w:val="22"/>
                <w:highlight w:val="none"/>
              </w:rPr>
            </w:pPr>
            <w:r>
              <w:rPr>
                <w:rFonts w:ascii="Times New Roman" w:hAnsi="Times New Roman" w:eastAsia="宋体" w:cs="Times New Roman"/>
                <w:caps w:val="0"/>
                <w:smallCaps w:val="0"/>
                <w:color w:val="auto"/>
                <w:spacing w:val="0"/>
                <w:kern w:val="0"/>
                <w:sz w:val="22"/>
                <w:szCs w:val="22"/>
                <w:highlight w:val="none"/>
                <w:lang w:bidi="ar"/>
              </w:rPr>
              <w:t>6739.012</w:t>
            </w:r>
          </w:p>
        </w:tc>
      </w:tr>
    </w:tbl>
    <w:p w14:paraId="3EABE2A7">
      <w:pPr>
        <w:pStyle w:val="65"/>
        <w:widowControl w:val="0"/>
        <w:ind w:firstLine="480"/>
        <w:jc w:val="center"/>
        <w:rPr>
          <w:rFonts w:hint="eastAsia" w:eastAsia="宋体"/>
          <w:caps w:val="0"/>
          <w:smallCaps w:val="0"/>
          <w:color w:val="auto"/>
          <w:spacing w:val="0"/>
          <w:highlight w:val="none"/>
          <w:lang w:eastAsia="zh-CN"/>
        </w:rPr>
      </w:pPr>
      <w:r>
        <w:rPr>
          <w:rFonts w:hint="eastAsia" w:eastAsia="宋体"/>
          <w:caps w:val="0"/>
          <w:smallCaps w:val="0"/>
          <w:color w:val="auto"/>
          <w:spacing w:val="0"/>
          <w:highlight w:val="none"/>
          <w:lang w:eastAsia="zh-CN"/>
        </w:rPr>
        <w:drawing>
          <wp:inline distT="0" distB="0" distL="114300" distR="114300">
            <wp:extent cx="5217795" cy="8886190"/>
            <wp:effectExtent l="0" t="0" r="1905" b="10160"/>
            <wp:docPr id="73" name="图片 7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
                    <pic:cNvPicPr>
                      <a:picLocks noChangeAspect="1"/>
                    </pic:cNvPicPr>
                  </pic:nvPicPr>
                  <pic:blipFill>
                    <a:blip r:embed="rId48"/>
                    <a:stretch>
                      <a:fillRect/>
                    </a:stretch>
                  </pic:blipFill>
                  <pic:spPr>
                    <a:xfrm>
                      <a:off x="0" y="0"/>
                      <a:ext cx="5217795" cy="8886190"/>
                    </a:xfrm>
                    <a:prstGeom prst="rect">
                      <a:avLst/>
                    </a:prstGeom>
                  </pic:spPr>
                </pic:pic>
              </a:graphicData>
            </a:graphic>
          </wp:inline>
        </w:drawing>
      </w:r>
    </w:p>
    <w:p w14:paraId="7794403C">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图3.4-1</w:t>
      </w:r>
      <w:r>
        <w:rPr>
          <w:rFonts w:hint="eastAsia" w:ascii="Times New Roman" w:hAnsi="Times New Roman" w:eastAsia="宋体" w:cs="Times New Roman"/>
          <w:b/>
          <w:bCs/>
          <w:caps w:val="0"/>
          <w:smallCaps w:val="0"/>
          <w:color w:val="auto"/>
          <w:spacing w:val="0"/>
          <w:szCs w:val="24"/>
          <w:highlight w:val="none"/>
        </w:rPr>
        <w:t>6</w:t>
      </w:r>
      <w:r>
        <w:rPr>
          <w:rFonts w:ascii="Times New Roman" w:hAnsi="Times New Roman" w:eastAsia="宋体" w:cs="Times New Roman"/>
          <w:b/>
          <w:bCs/>
          <w:caps w:val="0"/>
          <w:smallCaps w:val="0"/>
          <w:color w:val="auto"/>
          <w:spacing w:val="0"/>
          <w:szCs w:val="24"/>
          <w:highlight w:val="none"/>
        </w:rPr>
        <w:t>镉元素物料平衡图</w:t>
      </w:r>
    </w:p>
    <w:p w14:paraId="21A7FF98">
      <w:pPr>
        <w:pStyle w:val="6"/>
        <w:widowControl w:val="0"/>
        <w:rPr>
          <w:rFonts w:eastAsia="宋体"/>
          <w:caps w:val="0"/>
          <w:smallCaps w:val="0"/>
          <w:color w:val="auto"/>
          <w:spacing w:val="0"/>
          <w:highlight w:val="none"/>
        </w:rPr>
      </w:pPr>
      <w:r>
        <w:rPr>
          <w:rFonts w:eastAsia="宋体"/>
          <w:caps w:val="0"/>
          <w:smallCaps w:val="0"/>
          <w:color w:val="auto"/>
          <w:spacing w:val="0"/>
          <w:highlight w:val="none"/>
        </w:rPr>
        <w:t>3.4.2.2锡平衡</w:t>
      </w:r>
    </w:p>
    <w:p w14:paraId="4E839932">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锡来自原料导电玻璃基板TCO层SnO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材料，外购TCO玻璃基板412000片/年，单片沉积面积1.92m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，其中SnO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层厚度为60nm，SnO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密度为6580kg/m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层质量为312.30kg/a。</w:t>
      </w:r>
    </w:p>
    <w:p w14:paraId="7A4608E8">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考虑95%的成品率，合格电池组件中含SnO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296.69kg/a；产生的废电池组件和碎玻璃中含SnO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15.62kg/a（废电池组件与碎玻璃比值6:4）。</w:t>
      </w:r>
    </w:p>
    <w:p w14:paraId="54F29307">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P1激光刻线沿平行于短边的方向分割214个小单元，刻线宽度为50μm，总刻划面积5265.36m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层沉积厚度，P1激光刻线废气中包含SnO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2.08kg/a。</w:t>
      </w:r>
    </w:p>
    <w:p w14:paraId="6D54ED99">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边缘处理宽度约为10mm，总清除面积为14749.6m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层沉积厚度，边缘处理废气中包含SnO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5.82kg/a。</w:t>
      </w:r>
    </w:p>
    <w:p w14:paraId="4D1030EC">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综上锡平衡关系见下表和下图。</w:t>
      </w:r>
    </w:p>
    <w:p w14:paraId="70EB55D2">
      <w:pPr>
        <w:pStyle w:val="66"/>
        <w:widowControl w:val="0"/>
        <w:ind w:left="480"/>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表3.4-2Sn元素平衡表</w:t>
      </w:r>
    </w:p>
    <w:tbl>
      <w:tblPr>
        <w:tblStyle w:val="3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96"/>
        <w:gridCol w:w="1018"/>
        <w:gridCol w:w="1032"/>
        <w:gridCol w:w="1115"/>
        <w:gridCol w:w="932"/>
        <w:gridCol w:w="669"/>
        <w:gridCol w:w="1247"/>
        <w:gridCol w:w="1238"/>
        <w:gridCol w:w="1239"/>
      </w:tblGrid>
      <w:tr w14:paraId="603F92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96" w:type="dxa"/>
            <w:vMerge w:val="restart"/>
            <w:tcBorders>
              <w:top w:val="single" w:color="auto" w:sz="8" w:space="0"/>
              <w:tl2br w:val="nil"/>
              <w:tr2bl w:val="nil"/>
            </w:tcBorders>
            <w:shd w:val="clear" w:color="auto" w:fill="auto"/>
            <w:vAlign w:val="center"/>
          </w:tcPr>
          <w:p w14:paraId="04701A7C">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工序</w:t>
            </w:r>
          </w:p>
        </w:tc>
        <w:tc>
          <w:tcPr>
            <w:tcW w:w="3165" w:type="dxa"/>
            <w:gridSpan w:val="3"/>
            <w:tcBorders>
              <w:top w:val="single" w:color="auto" w:sz="8" w:space="0"/>
              <w:tl2br w:val="nil"/>
              <w:tr2bl w:val="nil"/>
            </w:tcBorders>
            <w:shd w:val="clear" w:color="auto" w:fill="auto"/>
            <w:vAlign w:val="center"/>
          </w:tcPr>
          <w:p w14:paraId="5482C86E">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投入</w:t>
            </w:r>
          </w:p>
        </w:tc>
        <w:tc>
          <w:tcPr>
            <w:tcW w:w="5325" w:type="dxa"/>
            <w:gridSpan w:val="5"/>
            <w:tcBorders>
              <w:top w:val="single" w:color="auto" w:sz="8" w:space="0"/>
              <w:tl2br w:val="nil"/>
              <w:tr2bl w:val="nil"/>
            </w:tcBorders>
            <w:shd w:val="clear" w:color="auto" w:fill="auto"/>
            <w:vAlign w:val="center"/>
          </w:tcPr>
          <w:p w14:paraId="3989C606">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产出</w:t>
            </w:r>
          </w:p>
        </w:tc>
      </w:tr>
      <w:tr w14:paraId="4F805C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96" w:type="dxa"/>
            <w:vMerge w:val="continue"/>
            <w:tcBorders>
              <w:bottom w:val="single" w:color="auto" w:sz="8" w:space="0"/>
              <w:tl2br w:val="nil"/>
              <w:tr2bl w:val="nil"/>
            </w:tcBorders>
            <w:shd w:val="clear" w:color="auto" w:fill="auto"/>
            <w:vAlign w:val="center"/>
          </w:tcPr>
          <w:p w14:paraId="37153C31">
            <w:pPr>
              <w:widowControl w:val="0"/>
              <w:snapToGrid w:val="0"/>
              <w:jc w:val="center"/>
              <w:rPr>
                <w:rFonts w:ascii="Times New Roman" w:hAnsi="Times New Roman" w:eastAsia="宋体" w:cs="Times New Roman"/>
                <w:b/>
                <w:bCs/>
                <w:caps w:val="0"/>
                <w:smallCaps w:val="0"/>
                <w:color w:val="auto"/>
                <w:spacing w:val="0"/>
                <w:sz w:val="21"/>
                <w:highlight w:val="none"/>
              </w:rPr>
            </w:pPr>
          </w:p>
        </w:tc>
        <w:tc>
          <w:tcPr>
            <w:tcW w:w="1018" w:type="dxa"/>
            <w:tcBorders>
              <w:bottom w:val="single" w:color="auto" w:sz="8" w:space="0"/>
              <w:tl2br w:val="nil"/>
              <w:tr2bl w:val="nil"/>
            </w:tcBorders>
            <w:shd w:val="clear" w:color="auto" w:fill="auto"/>
            <w:vAlign w:val="center"/>
          </w:tcPr>
          <w:p w14:paraId="52A497F3">
            <w:pPr>
              <w:widowControl w:val="0"/>
              <w:snapToGrid w:val="0"/>
              <w:jc w:val="center"/>
              <w:textAlignment w:val="center"/>
              <w:rPr>
                <w:rFonts w:ascii="Times New Roman" w:hAnsi="Times New Roman" w:eastAsia="宋体" w:cs="Times New Roman"/>
                <w:b/>
                <w:bCs/>
                <w:caps w:val="0"/>
                <w:smallCaps w:val="0"/>
                <w:color w:val="auto"/>
                <w:spacing w:val="0"/>
                <w:kern w:val="0"/>
                <w:sz w:val="21"/>
                <w:highlight w:val="none"/>
                <w:lang w:bidi="ar"/>
              </w:rPr>
            </w:pPr>
            <w:r>
              <w:rPr>
                <w:rFonts w:ascii="Times New Roman" w:hAnsi="Times New Roman" w:eastAsia="宋体" w:cs="Times New Roman"/>
                <w:b/>
                <w:bCs/>
                <w:caps w:val="0"/>
                <w:smallCaps w:val="0"/>
                <w:color w:val="auto"/>
                <w:spacing w:val="0"/>
                <w:kern w:val="0"/>
                <w:sz w:val="21"/>
                <w:highlight w:val="none"/>
                <w:lang w:bidi="ar"/>
              </w:rPr>
              <w:t>物料</w:t>
            </w:r>
          </w:p>
          <w:p w14:paraId="5AE5CBDF">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名称</w:t>
            </w:r>
          </w:p>
        </w:tc>
        <w:tc>
          <w:tcPr>
            <w:tcW w:w="1032" w:type="dxa"/>
            <w:tcBorders>
              <w:bottom w:val="single" w:color="auto" w:sz="8" w:space="0"/>
              <w:tl2br w:val="nil"/>
              <w:tr2bl w:val="nil"/>
            </w:tcBorders>
            <w:shd w:val="clear" w:color="auto" w:fill="auto"/>
            <w:vAlign w:val="center"/>
          </w:tcPr>
          <w:p w14:paraId="54D1CB98">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数量（kg/a）</w:t>
            </w:r>
          </w:p>
        </w:tc>
        <w:tc>
          <w:tcPr>
            <w:tcW w:w="1115" w:type="dxa"/>
            <w:tcBorders>
              <w:bottom w:val="single" w:color="auto" w:sz="8" w:space="0"/>
              <w:tl2br w:val="nil"/>
              <w:tr2bl w:val="nil"/>
            </w:tcBorders>
            <w:shd w:val="clear" w:color="auto" w:fill="auto"/>
            <w:vAlign w:val="center"/>
          </w:tcPr>
          <w:p w14:paraId="5B3DA51F">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折Sn（kg/a）</w:t>
            </w:r>
          </w:p>
        </w:tc>
        <w:tc>
          <w:tcPr>
            <w:tcW w:w="2848" w:type="dxa"/>
            <w:gridSpan w:val="3"/>
            <w:tcBorders>
              <w:bottom w:val="single" w:color="auto" w:sz="8" w:space="0"/>
              <w:tl2br w:val="nil"/>
              <w:tr2bl w:val="nil"/>
            </w:tcBorders>
            <w:shd w:val="clear" w:color="auto" w:fill="auto"/>
            <w:vAlign w:val="center"/>
          </w:tcPr>
          <w:p w14:paraId="6CC61350">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物料名称</w:t>
            </w:r>
          </w:p>
        </w:tc>
        <w:tc>
          <w:tcPr>
            <w:tcW w:w="1238" w:type="dxa"/>
            <w:tcBorders>
              <w:bottom w:val="single" w:color="auto" w:sz="8" w:space="0"/>
              <w:tl2br w:val="nil"/>
              <w:tr2bl w:val="nil"/>
            </w:tcBorders>
            <w:shd w:val="clear" w:color="auto" w:fill="auto"/>
            <w:vAlign w:val="center"/>
          </w:tcPr>
          <w:p w14:paraId="0A98BF4E">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数量（kg/a）</w:t>
            </w:r>
          </w:p>
        </w:tc>
        <w:tc>
          <w:tcPr>
            <w:tcW w:w="1239" w:type="dxa"/>
            <w:tcBorders>
              <w:bottom w:val="single" w:color="auto" w:sz="8" w:space="0"/>
              <w:tl2br w:val="nil"/>
              <w:tr2bl w:val="nil"/>
            </w:tcBorders>
            <w:shd w:val="clear" w:color="auto" w:fill="auto"/>
            <w:vAlign w:val="center"/>
          </w:tcPr>
          <w:p w14:paraId="5C418134">
            <w:pPr>
              <w:widowControl w:val="0"/>
              <w:snapToGrid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折Sn（kg/a）</w:t>
            </w:r>
          </w:p>
        </w:tc>
      </w:tr>
      <w:tr w14:paraId="47B99B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96" w:type="dxa"/>
            <w:vMerge w:val="restart"/>
            <w:tcBorders>
              <w:top w:val="single" w:color="auto" w:sz="8" w:space="0"/>
              <w:tl2br w:val="nil"/>
              <w:tr2bl w:val="nil"/>
            </w:tcBorders>
            <w:shd w:val="clear" w:color="auto" w:fill="auto"/>
            <w:vAlign w:val="center"/>
          </w:tcPr>
          <w:p w14:paraId="5959CA9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基片预处理</w:t>
            </w:r>
          </w:p>
        </w:tc>
        <w:tc>
          <w:tcPr>
            <w:tcW w:w="1018" w:type="dxa"/>
            <w:tcBorders>
              <w:top w:val="single" w:color="auto" w:sz="8" w:space="0"/>
              <w:tl2br w:val="nil"/>
              <w:tr2bl w:val="nil"/>
            </w:tcBorders>
            <w:shd w:val="clear" w:color="auto" w:fill="auto"/>
            <w:vAlign w:val="center"/>
          </w:tcPr>
          <w:p w14:paraId="23E4B18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032" w:type="dxa"/>
            <w:tcBorders>
              <w:top w:val="single" w:color="auto" w:sz="8" w:space="0"/>
              <w:tl2br w:val="nil"/>
              <w:tr2bl w:val="nil"/>
            </w:tcBorders>
            <w:shd w:val="clear" w:color="auto" w:fill="auto"/>
            <w:vAlign w:val="center"/>
          </w:tcPr>
          <w:p w14:paraId="5364C4C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312.30</w:t>
            </w:r>
          </w:p>
        </w:tc>
        <w:tc>
          <w:tcPr>
            <w:tcW w:w="1115" w:type="dxa"/>
            <w:tcBorders>
              <w:top w:val="single" w:color="auto" w:sz="8" w:space="0"/>
              <w:tl2br w:val="nil"/>
              <w:tr2bl w:val="nil"/>
            </w:tcBorders>
            <w:shd w:val="clear" w:color="auto" w:fill="auto"/>
            <w:vAlign w:val="center"/>
          </w:tcPr>
          <w:p w14:paraId="7F1EB6C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245.99</w:t>
            </w:r>
          </w:p>
        </w:tc>
        <w:tc>
          <w:tcPr>
            <w:tcW w:w="1601" w:type="dxa"/>
            <w:gridSpan w:val="2"/>
            <w:tcBorders>
              <w:top w:val="single" w:color="auto" w:sz="8" w:space="0"/>
              <w:tl2br w:val="nil"/>
              <w:tr2bl w:val="nil"/>
            </w:tcBorders>
            <w:shd w:val="clear" w:color="auto" w:fill="auto"/>
            <w:vAlign w:val="center"/>
          </w:tcPr>
          <w:p w14:paraId="3CA19B3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247" w:type="dxa"/>
            <w:tcBorders>
              <w:top w:val="single" w:color="auto" w:sz="8" w:space="0"/>
              <w:tl2br w:val="nil"/>
              <w:tr2bl w:val="nil"/>
            </w:tcBorders>
            <w:shd w:val="clear" w:color="auto" w:fill="auto"/>
            <w:vAlign w:val="center"/>
          </w:tcPr>
          <w:p w14:paraId="019379A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op w:val="single" w:color="auto" w:sz="8" w:space="0"/>
              <w:tl2br w:val="nil"/>
              <w:tr2bl w:val="nil"/>
            </w:tcBorders>
            <w:shd w:val="clear" w:color="auto" w:fill="auto"/>
            <w:vAlign w:val="center"/>
          </w:tcPr>
          <w:p w14:paraId="494008B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296.69</w:t>
            </w:r>
          </w:p>
        </w:tc>
        <w:tc>
          <w:tcPr>
            <w:tcW w:w="1239" w:type="dxa"/>
            <w:tcBorders>
              <w:top w:val="single" w:color="auto" w:sz="8" w:space="0"/>
              <w:tl2br w:val="nil"/>
              <w:tr2bl w:val="nil"/>
            </w:tcBorders>
            <w:shd w:val="clear" w:color="auto" w:fill="auto"/>
            <w:vAlign w:val="center"/>
          </w:tcPr>
          <w:p w14:paraId="5712DF0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233.69</w:t>
            </w:r>
          </w:p>
        </w:tc>
      </w:tr>
      <w:tr w14:paraId="0D1F1C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96" w:type="dxa"/>
            <w:vMerge w:val="continue"/>
            <w:tcBorders>
              <w:tl2br w:val="nil"/>
              <w:tr2bl w:val="nil"/>
            </w:tcBorders>
            <w:shd w:val="clear" w:color="auto" w:fill="auto"/>
            <w:vAlign w:val="center"/>
          </w:tcPr>
          <w:p w14:paraId="67CCCAA3">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538386CB">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671AFF70">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12BF5830">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tcBorders>
              <w:tl2br w:val="nil"/>
              <w:tr2bl w:val="nil"/>
            </w:tcBorders>
            <w:shd w:val="clear" w:color="auto" w:fill="auto"/>
            <w:vAlign w:val="center"/>
          </w:tcPr>
          <w:p w14:paraId="7570FF2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废电池组件</w:t>
            </w:r>
          </w:p>
        </w:tc>
        <w:tc>
          <w:tcPr>
            <w:tcW w:w="1247" w:type="dxa"/>
            <w:tcBorders>
              <w:tl2br w:val="nil"/>
              <w:tr2bl w:val="nil"/>
            </w:tcBorders>
            <w:shd w:val="clear" w:color="auto" w:fill="auto"/>
            <w:vAlign w:val="center"/>
          </w:tcPr>
          <w:p w14:paraId="3FAFC9E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l2br w:val="nil"/>
              <w:tr2bl w:val="nil"/>
            </w:tcBorders>
            <w:shd w:val="clear" w:color="auto" w:fill="auto"/>
            <w:vAlign w:val="center"/>
          </w:tcPr>
          <w:p w14:paraId="7DAB0C9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9.37</w:t>
            </w:r>
          </w:p>
        </w:tc>
        <w:tc>
          <w:tcPr>
            <w:tcW w:w="1239" w:type="dxa"/>
            <w:tcBorders>
              <w:tl2br w:val="nil"/>
              <w:tr2bl w:val="nil"/>
            </w:tcBorders>
            <w:shd w:val="clear" w:color="auto" w:fill="auto"/>
            <w:vAlign w:val="center"/>
          </w:tcPr>
          <w:p w14:paraId="0CA2483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7.38</w:t>
            </w:r>
          </w:p>
        </w:tc>
      </w:tr>
      <w:tr w14:paraId="64FE8F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96" w:type="dxa"/>
            <w:vMerge w:val="continue"/>
            <w:tcBorders>
              <w:tl2br w:val="nil"/>
              <w:tr2bl w:val="nil"/>
            </w:tcBorders>
            <w:shd w:val="clear" w:color="auto" w:fill="auto"/>
            <w:vAlign w:val="center"/>
          </w:tcPr>
          <w:p w14:paraId="6E3A5717">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0D805873">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6A5E30C7">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09F58B9A">
            <w:pPr>
              <w:widowControl w:val="0"/>
              <w:snapToGrid w:val="0"/>
              <w:jc w:val="center"/>
              <w:rPr>
                <w:rFonts w:ascii="Times New Roman" w:hAnsi="Times New Roman" w:eastAsia="宋体" w:cs="Times New Roman"/>
                <w:caps w:val="0"/>
                <w:smallCaps w:val="0"/>
                <w:color w:val="auto"/>
                <w:spacing w:val="0"/>
                <w:sz w:val="21"/>
                <w:highlight w:val="none"/>
              </w:rPr>
            </w:pPr>
          </w:p>
        </w:tc>
        <w:tc>
          <w:tcPr>
            <w:tcW w:w="932" w:type="dxa"/>
            <w:tcBorders>
              <w:tl2br w:val="nil"/>
              <w:tr2bl w:val="nil"/>
            </w:tcBorders>
            <w:shd w:val="clear" w:color="auto" w:fill="auto"/>
            <w:vAlign w:val="center"/>
          </w:tcPr>
          <w:p w14:paraId="4C230E5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碎玻璃系统</w:t>
            </w:r>
          </w:p>
        </w:tc>
        <w:tc>
          <w:tcPr>
            <w:tcW w:w="669" w:type="dxa"/>
            <w:tcBorders>
              <w:tl2br w:val="nil"/>
              <w:tr2bl w:val="nil"/>
            </w:tcBorders>
            <w:shd w:val="clear" w:color="auto" w:fill="auto"/>
            <w:vAlign w:val="center"/>
          </w:tcPr>
          <w:p w14:paraId="59A37CE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碎玻璃</w:t>
            </w:r>
          </w:p>
        </w:tc>
        <w:tc>
          <w:tcPr>
            <w:tcW w:w="1247" w:type="dxa"/>
            <w:tcBorders>
              <w:tl2br w:val="nil"/>
              <w:tr2bl w:val="nil"/>
            </w:tcBorders>
            <w:shd w:val="clear" w:color="auto" w:fill="auto"/>
            <w:vAlign w:val="center"/>
          </w:tcPr>
          <w:p w14:paraId="30EE6A9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l2br w:val="nil"/>
              <w:tr2bl w:val="nil"/>
            </w:tcBorders>
            <w:shd w:val="clear" w:color="auto" w:fill="auto"/>
            <w:vAlign w:val="center"/>
          </w:tcPr>
          <w:p w14:paraId="301D8BB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6.25</w:t>
            </w:r>
          </w:p>
        </w:tc>
        <w:tc>
          <w:tcPr>
            <w:tcW w:w="1239" w:type="dxa"/>
            <w:tcBorders>
              <w:tl2br w:val="nil"/>
              <w:tr2bl w:val="nil"/>
            </w:tcBorders>
            <w:shd w:val="clear" w:color="auto" w:fill="auto"/>
            <w:vAlign w:val="center"/>
          </w:tcPr>
          <w:p w14:paraId="1AB111E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w:t>
            </w:r>
          </w:p>
        </w:tc>
      </w:tr>
      <w:tr w14:paraId="1D6231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96" w:type="dxa"/>
            <w:vMerge w:val="restart"/>
            <w:tcBorders>
              <w:tl2br w:val="nil"/>
              <w:tr2bl w:val="nil"/>
            </w:tcBorders>
            <w:shd w:val="clear" w:color="auto" w:fill="auto"/>
            <w:vAlign w:val="center"/>
          </w:tcPr>
          <w:p w14:paraId="17343FF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P1激光刻线</w:t>
            </w:r>
          </w:p>
        </w:tc>
        <w:tc>
          <w:tcPr>
            <w:tcW w:w="1018" w:type="dxa"/>
            <w:tcBorders>
              <w:tl2br w:val="nil"/>
              <w:tr2bl w:val="nil"/>
            </w:tcBorders>
            <w:shd w:val="clear" w:color="auto" w:fill="auto"/>
            <w:vAlign w:val="center"/>
          </w:tcPr>
          <w:p w14:paraId="5AD351D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工序</w:t>
            </w:r>
          </w:p>
          <w:p w14:paraId="4529F9D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带入</w:t>
            </w:r>
          </w:p>
        </w:tc>
        <w:tc>
          <w:tcPr>
            <w:tcW w:w="1032" w:type="dxa"/>
            <w:tcBorders>
              <w:tl2br w:val="nil"/>
              <w:tr2bl w:val="nil"/>
            </w:tcBorders>
            <w:shd w:val="clear" w:color="auto" w:fill="auto"/>
            <w:vAlign w:val="center"/>
          </w:tcPr>
          <w:p w14:paraId="7D42EE4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115" w:type="dxa"/>
            <w:tcBorders>
              <w:tl2br w:val="nil"/>
              <w:tr2bl w:val="nil"/>
            </w:tcBorders>
            <w:shd w:val="clear" w:color="auto" w:fill="auto"/>
            <w:vAlign w:val="center"/>
          </w:tcPr>
          <w:p w14:paraId="1EA8183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233.69</w:t>
            </w:r>
          </w:p>
        </w:tc>
        <w:tc>
          <w:tcPr>
            <w:tcW w:w="1601" w:type="dxa"/>
            <w:gridSpan w:val="2"/>
            <w:vMerge w:val="restart"/>
            <w:tcBorders>
              <w:tl2br w:val="nil"/>
              <w:tr2bl w:val="nil"/>
            </w:tcBorders>
            <w:shd w:val="clear" w:color="auto" w:fill="auto"/>
            <w:vAlign w:val="center"/>
          </w:tcPr>
          <w:p w14:paraId="5FBEF84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247" w:type="dxa"/>
            <w:tcBorders>
              <w:tl2br w:val="nil"/>
              <w:tr2bl w:val="nil"/>
            </w:tcBorders>
            <w:shd w:val="clear" w:color="auto" w:fill="auto"/>
            <w:vAlign w:val="center"/>
          </w:tcPr>
          <w:p w14:paraId="15FA103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l2br w:val="nil"/>
              <w:tr2bl w:val="nil"/>
            </w:tcBorders>
            <w:shd w:val="clear" w:color="auto" w:fill="auto"/>
            <w:vAlign w:val="center"/>
          </w:tcPr>
          <w:p w14:paraId="2B13488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39" w:type="dxa"/>
            <w:tcBorders>
              <w:tl2br w:val="nil"/>
              <w:tr2bl w:val="nil"/>
            </w:tcBorders>
            <w:shd w:val="clear" w:color="auto" w:fill="auto"/>
            <w:vAlign w:val="center"/>
          </w:tcPr>
          <w:p w14:paraId="5276DED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232.05</w:t>
            </w:r>
          </w:p>
        </w:tc>
      </w:tr>
      <w:tr w14:paraId="5BAFD4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96" w:type="dxa"/>
            <w:vMerge w:val="continue"/>
            <w:tcBorders>
              <w:tl2br w:val="nil"/>
              <w:tr2bl w:val="nil"/>
            </w:tcBorders>
            <w:shd w:val="clear" w:color="auto" w:fill="auto"/>
            <w:vAlign w:val="center"/>
          </w:tcPr>
          <w:p w14:paraId="26150F58">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2CB50ABF">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57B317EF">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3550E694">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vMerge w:val="restart"/>
            <w:tcBorders>
              <w:tl2br w:val="nil"/>
              <w:tr2bl w:val="nil"/>
            </w:tcBorders>
            <w:shd w:val="clear" w:color="auto" w:fill="auto"/>
            <w:vAlign w:val="center"/>
          </w:tcPr>
          <w:p w14:paraId="2287F95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247" w:type="dxa"/>
            <w:tcBorders>
              <w:tl2br w:val="nil"/>
              <w:tr2bl w:val="nil"/>
            </w:tcBorders>
            <w:shd w:val="clear" w:color="auto" w:fill="auto"/>
            <w:vAlign w:val="center"/>
          </w:tcPr>
          <w:p w14:paraId="04BD4B0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l2br w:val="nil"/>
              <w:tr2bl w:val="nil"/>
            </w:tcBorders>
            <w:shd w:val="clear" w:color="auto" w:fill="auto"/>
            <w:vAlign w:val="center"/>
          </w:tcPr>
          <w:p w14:paraId="2A64F41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2.08</w:t>
            </w:r>
          </w:p>
        </w:tc>
        <w:tc>
          <w:tcPr>
            <w:tcW w:w="1239" w:type="dxa"/>
            <w:tcBorders>
              <w:tl2br w:val="nil"/>
              <w:tr2bl w:val="nil"/>
            </w:tcBorders>
            <w:shd w:val="clear" w:color="auto" w:fill="auto"/>
            <w:vAlign w:val="center"/>
          </w:tcPr>
          <w:p w14:paraId="21AFD74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1.64</w:t>
            </w:r>
          </w:p>
        </w:tc>
      </w:tr>
      <w:tr w14:paraId="1219A3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96" w:type="dxa"/>
            <w:vMerge w:val="continue"/>
            <w:tcBorders>
              <w:tl2br w:val="nil"/>
              <w:tr2bl w:val="nil"/>
            </w:tcBorders>
            <w:shd w:val="clear" w:color="auto" w:fill="auto"/>
            <w:vAlign w:val="center"/>
          </w:tcPr>
          <w:p w14:paraId="08C4773C">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599EEA9B">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69B1CDAC">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6161CB9B">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vMerge w:val="continue"/>
            <w:tcBorders>
              <w:tl2br w:val="nil"/>
              <w:tr2bl w:val="nil"/>
            </w:tcBorders>
            <w:shd w:val="clear" w:color="auto" w:fill="auto"/>
            <w:vAlign w:val="center"/>
          </w:tcPr>
          <w:p w14:paraId="34902857">
            <w:pPr>
              <w:widowControl w:val="0"/>
              <w:snapToGrid w:val="0"/>
              <w:jc w:val="center"/>
              <w:rPr>
                <w:rFonts w:ascii="Times New Roman" w:hAnsi="Times New Roman" w:eastAsia="宋体" w:cs="Times New Roman"/>
                <w:caps w:val="0"/>
                <w:smallCaps w:val="0"/>
                <w:color w:val="auto"/>
                <w:spacing w:val="0"/>
                <w:sz w:val="21"/>
                <w:highlight w:val="none"/>
              </w:rPr>
            </w:pPr>
          </w:p>
        </w:tc>
        <w:tc>
          <w:tcPr>
            <w:tcW w:w="1247" w:type="dxa"/>
            <w:tcBorders>
              <w:tl2br w:val="nil"/>
              <w:tr2bl w:val="nil"/>
            </w:tcBorders>
            <w:shd w:val="clear" w:color="auto" w:fill="auto"/>
            <w:vAlign w:val="center"/>
          </w:tcPr>
          <w:p w14:paraId="387E38C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238" w:type="dxa"/>
            <w:tcBorders>
              <w:tl2br w:val="nil"/>
              <w:tr2bl w:val="nil"/>
            </w:tcBorders>
            <w:shd w:val="clear" w:color="auto" w:fill="auto"/>
            <w:vAlign w:val="center"/>
          </w:tcPr>
          <w:p w14:paraId="7C67413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39" w:type="dxa"/>
            <w:tcBorders>
              <w:tl2br w:val="nil"/>
              <w:tr2bl w:val="nil"/>
            </w:tcBorders>
            <w:shd w:val="clear" w:color="auto" w:fill="auto"/>
            <w:vAlign w:val="center"/>
          </w:tcPr>
          <w:p w14:paraId="56598687">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0.15</w:t>
            </w:r>
          </w:p>
        </w:tc>
      </w:tr>
      <w:tr w14:paraId="55E1F4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96" w:type="dxa"/>
            <w:vMerge w:val="continue"/>
            <w:tcBorders>
              <w:tl2br w:val="nil"/>
              <w:tr2bl w:val="nil"/>
            </w:tcBorders>
            <w:shd w:val="clear" w:color="auto" w:fill="auto"/>
            <w:vAlign w:val="center"/>
          </w:tcPr>
          <w:p w14:paraId="0B3D3EFE">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798F1FE7">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12DA9977">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4B28B042">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vMerge w:val="continue"/>
            <w:tcBorders>
              <w:tl2br w:val="nil"/>
              <w:tr2bl w:val="nil"/>
            </w:tcBorders>
            <w:shd w:val="clear" w:color="auto" w:fill="auto"/>
            <w:vAlign w:val="center"/>
          </w:tcPr>
          <w:p w14:paraId="3A181EB3">
            <w:pPr>
              <w:widowControl w:val="0"/>
              <w:snapToGrid w:val="0"/>
              <w:jc w:val="center"/>
              <w:rPr>
                <w:rFonts w:ascii="Times New Roman" w:hAnsi="Times New Roman" w:eastAsia="宋体" w:cs="Times New Roman"/>
                <w:caps w:val="0"/>
                <w:smallCaps w:val="0"/>
                <w:color w:val="auto"/>
                <w:spacing w:val="0"/>
                <w:sz w:val="21"/>
                <w:highlight w:val="none"/>
              </w:rPr>
            </w:pPr>
          </w:p>
        </w:tc>
        <w:tc>
          <w:tcPr>
            <w:tcW w:w="1247" w:type="dxa"/>
            <w:tcBorders>
              <w:tl2br w:val="nil"/>
              <w:tr2bl w:val="nil"/>
            </w:tcBorders>
            <w:shd w:val="clear" w:color="auto" w:fill="auto"/>
            <w:vAlign w:val="center"/>
          </w:tcPr>
          <w:p w14:paraId="0FDAC66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238" w:type="dxa"/>
            <w:tcBorders>
              <w:tl2br w:val="nil"/>
              <w:tr2bl w:val="nil"/>
            </w:tcBorders>
            <w:shd w:val="clear" w:color="auto" w:fill="auto"/>
            <w:vAlign w:val="center"/>
          </w:tcPr>
          <w:p w14:paraId="5E99C4D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39" w:type="dxa"/>
            <w:tcBorders>
              <w:tl2br w:val="nil"/>
              <w:tr2bl w:val="nil"/>
            </w:tcBorders>
            <w:shd w:val="clear" w:color="auto" w:fill="auto"/>
            <w:vAlign w:val="center"/>
          </w:tcPr>
          <w:p w14:paraId="126A7F0C">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1.49</w:t>
            </w:r>
          </w:p>
        </w:tc>
      </w:tr>
      <w:tr w14:paraId="53DF41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96" w:type="dxa"/>
            <w:vMerge w:val="restart"/>
            <w:tcBorders>
              <w:tl2br w:val="nil"/>
              <w:tr2bl w:val="nil"/>
            </w:tcBorders>
            <w:shd w:val="clear" w:color="auto" w:fill="auto"/>
            <w:vAlign w:val="center"/>
          </w:tcPr>
          <w:p w14:paraId="567DD9B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边缘处理</w:t>
            </w:r>
          </w:p>
        </w:tc>
        <w:tc>
          <w:tcPr>
            <w:tcW w:w="1018" w:type="dxa"/>
            <w:tcBorders>
              <w:tl2br w:val="nil"/>
              <w:tr2bl w:val="nil"/>
            </w:tcBorders>
            <w:shd w:val="clear" w:color="auto" w:fill="auto"/>
            <w:vAlign w:val="center"/>
          </w:tcPr>
          <w:p w14:paraId="3CF9808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工序</w:t>
            </w:r>
          </w:p>
          <w:p w14:paraId="2066E5F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带入</w:t>
            </w:r>
          </w:p>
        </w:tc>
        <w:tc>
          <w:tcPr>
            <w:tcW w:w="1032" w:type="dxa"/>
            <w:tcBorders>
              <w:tl2br w:val="nil"/>
              <w:tr2bl w:val="nil"/>
            </w:tcBorders>
            <w:shd w:val="clear" w:color="auto" w:fill="auto"/>
            <w:vAlign w:val="center"/>
          </w:tcPr>
          <w:p w14:paraId="7584419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115" w:type="dxa"/>
            <w:tcBorders>
              <w:tl2br w:val="nil"/>
              <w:tr2bl w:val="nil"/>
            </w:tcBorders>
            <w:shd w:val="clear" w:color="auto" w:fill="auto"/>
            <w:vAlign w:val="center"/>
          </w:tcPr>
          <w:p w14:paraId="3FF0DE8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232.05</w:t>
            </w:r>
          </w:p>
        </w:tc>
        <w:tc>
          <w:tcPr>
            <w:tcW w:w="1601" w:type="dxa"/>
            <w:gridSpan w:val="2"/>
            <w:tcBorders>
              <w:tl2br w:val="nil"/>
              <w:tr2bl w:val="nil"/>
            </w:tcBorders>
            <w:shd w:val="clear" w:color="auto" w:fill="auto"/>
            <w:vAlign w:val="center"/>
          </w:tcPr>
          <w:p w14:paraId="66AD870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247" w:type="dxa"/>
            <w:tcBorders>
              <w:tl2br w:val="nil"/>
              <w:tr2bl w:val="nil"/>
            </w:tcBorders>
            <w:shd w:val="clear" w:color="auto" w:fill="auto"/>
            <w:vAlign w:val="center"/>
          </w:tcPr>
          <w:p w14:paraId="7B5BFFB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l2br w:val="nil"/>
              <w:tr2bl w:val="nil"/>
            </w:tcBorders>
            <w:shd w:val="clear" w:color="auto" w:fill="auto"/>
            <w:vAlign w:val="center"/>
          </w:tcPr>
          <w:p w14:paraId="53FB1CB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39" w:type="dxa"/>
            <w:tcBorders>
              <w:tl2br w:val="nil"/>
              <w:tr2bl w:val="nil"/>
            </w:tcBorders>
            <w:shd w:val="clear" w:color="auto" w:fill="auto"/>
            <w:vAlign w:val="center"/>
          </w:tcPr>
          <w:p w14:paraId="7D8162F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227.47</w:t>
            </w:r>
          </w:p>
        </w:tc>
      </w:tr>
      <w:tr w14:paraId="3183DC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96" w:type="dxa"/>
            <w:vMerge w:val="continue"/>
            <w:tcBorders>
              <w:tl2br w:val="nil"/>
              <w:tr2bl w:val="nil"/>
            </w:tcBorders>
            <w:shd w:val="clear" w:color="auto" w:fill="auto"/>
            <w:vAlign w:val="center"/>
          </w:tcPr>
          <w:p w14:paraId="09E215A0">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036E834F">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7C5588FF">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15DD14E5">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tcBorders>
              <w:tl2br w:val="nil"/>
              <w:tr2bl w:val="nil"/>
            </w:tcBorders>
            <w:shd w:val="clear" w:color="auto" w:fill="auto"/>
            <w:vAlign w:val="center"/>
          </w:tcPr>
          <w:p w14:paraId="5993F44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247" w:type="dxa"/>
            <w:tcBorders>
              <w:tl2br w:val="nil"/>
              <w:tr2bl w:val="nil"/>
            </w:tcBorders>
            <w:shd w:val="clear" w:color="auto" w:fill="auto"/>
            <w:vAlign w:val="center"/>
          </w:tcPr>
          <w:p w14:paraId="2C2017E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SnO</w:t>
            </w:r>
            <w:r>
              <w:rPr>
                <w:rFonts w:ascii="Times New Roman" w:hAnsi="Times New Roman" w:eastAsia="宋体" w:cs="Times New Roman"/>
                <w:caps w:val="0"/>
                <w:smallCaps w:val="0"/>
                <w:color w:val="auto"/>
                <w:spacing w:val="0"/>
                <w:kern w:val="0"/>
                <w:sz w:val="21"/>
                <w:highlight w:val="none"/>
                <w:vertAlign w:val="subscript"/>
                <w:lang w:bidi="ar"/>
              </w:rPr>
              <w:t>2</w:t>
            </w:r>
          </w:p>
        </w:tc>
        <w:tc>
          <w:tcPr>
            <w:tcW w:w="1238" w:type="dxa"/>
            <w:tcBorders>
              <w:tl2br w:val="nil"/>
              <w:tr2bl w:val="nil"/>
            </w:tcBorders>
            <w:shd w:val="clear" w:color="auto" w:fill="auto"/>
            <w:vAlign w:val="center"/>
          </w:tcPr>
          <w:p w14:paraId="6BCFB55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5.82</w:t>
            </w:r>
          </w:p>
        </w:tc>
        <w:tc>
          <w:tcPr>
            <w:tcW w:w="1239" w:type="dxa"/>
            <w:tcBorders>
              <w:tl2br w:val="nil"/>
              <w:tr2bl w:val="nil"/>
            </w:tcBorders>
            <w:shd w:val="clear" w:color="auto" w:fill="auto"/>
            <w:vAlign w:val="center"/>
          </w:tcPr>
          <w:p w14:paraId="7D3A516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4.58</w:t>
            </w:r>
          </w:p>
        </w:tc>
      </w:tr>
      <w:tr w14:paraId="4A3BDD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96" w:type="dxa"/>
            <w:vMerge w:val="continue"/>
            <w:tcBorders>
              <w:tl2br w:val="nil"/>
              <w:tr2bl w:val="nil"/>
            </w:tcBorders>
            <w:shd w:val="clear" w:color="auto" w:fill="auto"/>
            <w:vAlign w:val="center"/>
          </w:tcPr>
          <w:p w14:paraId="489AE4B7">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4E1793A7">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515CAD14">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49FA7E9E">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tcBorders>
              <w:tl2br w:val="nil"/>
              <w:tr2bl w:val="nil"/>
            </w:tcBorders>
            <w:shd w:val="clear" w:color="auto" w:fill="auto"/>
            <w:vAlign w:val="center"/>
          </w:tcPr>
          <w:p w14:paraId="47D05CC1">
            <w:pPr>
              <w:widowControl w:val="0"/>
              <w:snapToGrid w:val="0"/>
              <w:jc w:val="center"/>
              <w:rPr>
                <w:rFonts w:ascii="Times New Roman" w:hAnsi="Times New Roman" w:eastAsia="宋体" w:cs="Times New Roman"/>
                <w:caps w:val="0"/>
                <w:smallCaps w:val="0"/>
                <w:color w:val="auto"/>
                <w:spacing w:val="0"/>
                <w:sz w:val="21"/>
                <w:highlight w:val="none"/>
              </w:rPr>
            </w:pPr>
          </w:p>
        </w:tc>
        <w:tc>
          <w:tcPr>
            <w:tcW w:w="1247" w:type="dxa"/>
            <w:tcBorders>
              <w:tl2br w:val="nil"/>
              <w:tr2bl w:val="nil"/>
            </w:tcBorders>
            <w:shd w:val="clear" w:color="auto" w:fill="auto"/>
            <w:vAlign w:val="center"/>
          </w:tcPr>
          <w:p w14:paraId="00D4CE9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1238" w:type="dxa"/>
            <w:tcBorders>
              <w:tl2br w:val="nil"/>
              <w:tr2bl w:val="nil"/>
            </w:tcBorders>
            <w:shd w:val="clear" w:color="auto" w:fill="auto"/>
            <w:vAlign w:val="center"/>
          </w:tcPr>
          <w:p w14:paraId="40352BE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39" w:type="dxa"/>
            <w:tcBorders>
              <w:tl2br w:val="nil"/>
              <w:tr2bl w:val="nil"/>
            </w:tcBorders>
            <w:shd w:val="clear" w:color="auto" w:fill="auto"/>
            <w:vAlign w:val="center"/>
          </w:tcPr>
          <w:p w14:paraId="3F644F6D">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0.387</w:t>
            </w:r>
          </w:p>
        </w:tc>
      </w:tr>
      <w:tr w14:paraId="406DF7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96" w:type="dxa"/>
            <w:vMerge w:val="continue"/>
            <w:tcBorders>
              <w:tl2br w:val="nil"/>
              <w:tr2bl w:val="nil"/>
            </w:tcBorders>
            <w:shd w:val="clear" w:color="auto" w:fill="auto"/>
            <w:vAlign w:val="center"/>
          </w:tcPr>
          <w:p w14:paraId="586E0253">
            <w:pPr>
              <w:widowControl w:val="0"/>
              <w:snapToGrid w:val="0"/>
              <w:jc w:val="center"/>
              <w:rPr>
                <w:rFonts w:ascii="Times New Roman" w:hAnsi="Times New Roman" w:eastAsia="宋体" w:cs="Times New Roman"/>
                <w:caps w:val="0"/>
                <w:smallCaps w:val="0"/>
                <w:color w:val="auto"/>
                <w:spacing w:val="0"/>
                <w:sz w:val="21"/>
                <w:highlight w:val="none"/>
              </w:rPr>
            </w:pPr>
          </w:p>
        </w:tc>
        <w:tc>
          <w:tcPr>
            <w:tcW w:w="1018" w:type="dxa"/>
            <w:tcBorders>
              <w:tl2br w:val="nil"/>
              <w:tr2bl w:val="nil"/>
            </w:tcBorders>
            <w:shd w:val="clear" w:color="auto" w:fill="auto"/>
            <w:vAlign w:val="center"/>
          </w:tcPr>
          <w:p w14:paraId="22CF39C0">
            <w:pPr>
              <w:widowControl w:val="0"/>
              <w:snapToGrid w:val="0"/>
              <w:jc w:val="center"/>
              <w:rPr>
                <w:rFonts w:ascii="Times New Roman" w:hAnsi="Times New Roman" w:eastAsia="宋体" w:cs="Times New Roman"/>
                <w:caps w:val="0"/>
                <w:smallCaps w:val="0"/>
                <w:color w:val="auto"/>
                <w:spacing w:val="0"/>
                <w:sz w:val="21"/>
                <w:highlight w:val="none"/>
              </w:rPr>
            </w:pPr>
          </w:p>
        </w:tc>
        <w:tc>
          <w:tcPr>
            <w:tcW w:w="1032" w:type="dxa"/>
            <w:tcBorders>
              <w:tl2br w:val="nil"/>
              <w:tr2bl w:val="nil"/>
            </w:tcBorders>
            <w:shd w:val="clear" w:color="auto" w:fill="auto"/>
            <w:vAlign w:val="center"/>
          </w:tcPr>
          <w:p w14:paraId="07B9038D">
            <w:pPr>
              <w:widowControl w:val="0"/>
              <w:snapToGrid w:val="0"/>
              <w:jc w:val="center"/>
              <w:rPr>
                <w:rFonts w:ascii="Times New Roman" w:hAnsi="Times New Roman" w:eastAsia="宋体" w:cs="Times New Roman"/>
                <w:caps w:val="0"/>
                <w:smallCaps w:val="0"/>
                <w:color w:val="auto"/>
                <w:spacing w:val="0"/>
                <w:sz w:val="21"/>
                <w:highlight w:val="none"/>
              </w:rPr>
            </w:pPr>
          </w:p>
        </w:tc>
        <w:tc>
          <w:tcPr>
            <w:tcW w:w="1115" w:type="dxa"/>
            <w:tcBorders>
              <w:tl2br w:val="nil"/>
              <w:tr2bl w:val="nil"/>
            </w:tcBorders>
            <w:shd w:val="clear" w:color="auto" w:fill="auto"/>
            <w:vAlign w:val="center"/>
          </w:tcPr>
          <w:p w14:paraId="67430D16">
            <w:pPr>
              <w:widowControl w:val="0"/>
              <w:snapToGrid w:val="0"/>
              <w:jc w:val="center"/>
              <w:rPr>
                <w:rFonts w:ascii="Times New Roman" w:hAnsi="Times New Roman" w:eastAsia="宋体" w:cs="Times New Roman"/>
                <w:caps w:val="0"/>
                <w:smallCaps w:val="0"/>
                <w:color w:val="auto"/>
                <w:spacing w:val="0"/>
                <w:sz w:val="21"/>
                <w:highlight w:val="none"/>
              </w:rPr>
            </w:pPr>
          </w:p>
        </w:tc>
        <w:tc>
          <w:tcPr>
            <w:tcW w:w="1601" w:type="dxa"/>
            <w:gridSpan w:val="2"/>
            <w:tcBorders>
              <w:tl2br w:val="nil"/>
              <w:tr2bl w:val="nil"/>
            </w:tcBorders>
            <w:shd w:val="clear" w:color="auto" w:fill="auto"/>
            <w:vAlign w:val="center"/>
          </w:tcPr>
          <w:p w14:paraId="42227204">
            <w:pPr>
              <w:widowControl w:val="0"/>
              <w:snapToGrid w:val="0"/>
              <w:jc w:val="center"/>
              <w:rPr>
                <w:rFonts w:ascii="Times New Roman" w:hAnsi="Times New Roman" w:eastAsia="宋体" w:cs="Times New Roman"/>
                <w:caps w:val="0"/>
                <w:smallCaps w:val="0"/>
                <w:color w:val="auto"/>
                <w:spacing w:val="0"/>
                <w:sz w:val="21"/>
                <w:highlight w:val="none"/>
              </w:rPr>
            </w:pPr>
          </w:p>
        </w:tc>
        <w:tc>
          <w:tcPr>
            <w:tcW w:w="1247" w:type="dxa"/>
            <w:tcBorders>
              <w:tl2br w:val="nil"/>
              <w:tr2bl w:val="nil"/>
            </w:tcBorders>
            <w:shd w:val="clear" w:color="auto" w:fill="auto"/>
            <w:vAlign w:val="center"/>
          </w:tcPr>
          <w:p w14:paraId="6A0E8A0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1238" w:type="dxa"/>
            <w:tcBorders>
              <w:tl2br w:val="nil"/>
              <w:tr2bl w:val="nil"/>
            </w:tcBorders>
            <w:shd w:val="clear" w:color="auto" w:fill="auto"/>
            <w:vAlign w:val="center"/>
          </w:tcPr>
          <w:p w14:paraId="6D559E7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239" w:type="dxa"/>
            <w:tcBorders>
              <w:tl2br w:val="nil"/>
              <w:tr2bl w:val="nil"/>
            </w:tcBorders>
            <w:shd w:val="clear" w:color="auto" w:fill="auto"/>
            <w:vAlign w:val="center"/>
          </w:tcPr>
          <w:p w14:paraId="78D090EB">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4.193</w:t>
            </w:r>
          </w:p>
        </w:tc>
      </w:tr>
      <w:tr w14:paraId="0E14B0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814" w:type="dxa"/>
            <w:gridSpan w:val="2"/>
            <w:tcBorders>
              <w:bottom w:val="single" w:color="auto" w:sz="8" w:space="0"/>
              <w:tl2br w:val="nil"/>
              <w:tr2bl w:val="nil"/>
            </w:tcBorders>
            <w:shd w:val="clear" w:color="auto" w:fill="auto"/>
            <w:vAlign w:val="center"/>
          </w:tcPr>
          <w:p w14:paraId="43EAEC6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成品</w:t>
            </w:r>
          </w:p>
        </w:tc>
        <w:tc>
          <w:tcPr>
            <w:tcW w:w="1032" w:type="dxa"/>
            <w:tcBorders>
              <w:bottom w:val="single" w:color="auto" w:sz="8" w:space="0"/>
              <w:tl2br w:val="nil"/>
              <w:tr2bl w:val="nil"/>
            </w:tcBorders>
            <w:shd w:val="clear" w:color="auto" w:fill="auto"/>
            <w:vAlign w:val="center"/>
          </w:tcPr>
          <w:p w14:paraId="20C1BFE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115" w:type="dxa"/>
            <w:tcBorders>
              <w:bottom w:val="single" w:color="auto" w:sz="8" w:space="0"/>
              <w:tl2br w:val="nil"/>
              <w:tr2bl w:val="nil"/>
            </w:tcBorders>
            <w:shd w:val="clear" w:color="auto" w:fill="auto"/>
            <w:vAlign w:val="center"/>
          </w:tcPr>
          <w:p w14:paraId="67D2F03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227.47</w:t>
            </w:r>
          </w:p>
        </w:tc>
        <w:tc>
          <w:tcPr>
            <w:tcW w:w="1601" w:type="dxa"/>
            <w:gridSpan w:val="2"/>
            <w:tcBorders>
              <w:bottom w:val="single" w:color="auto" w:sz="8" w:space="0"/>
              <w:tl2br w:val="nil"/>
              <w:tr2bl w:val="nil"/>
            </w:tcBorders>
            <w:shd w:val="clear" w:color="auto" w:fill="auto"/>
            <w:vAlign w:val="center"/>
          </w:tcPr>
          <w:p w14:paraId="7CA340DE">
            <w:pPr>
              <w:widowControl w:val="0"/>
              <w:snapToGrid w:val="0"/>
              <w:jc w:val="center"/>
              <w:rPr>
                <w:rFonts w:ascii="Times New Roman" w:hAnsi="Times New Roman" w:eastAsia="宋体" w:cs="Times New Roman"/>
                <w:caps w:val="0"/>
                <w:smallCaps w:val="0"/>
                <w:color w:val="auto"/>
                <w:spacing w:val="0"/>
                <w:sz w:val="21"/>
                <w:highlight w:val="none"/>
              </w:rPr>
            </w:pPr>
          </w:p>
        </w:tc>
        <w:tc>
          <w:tcPr>
            <w:tcW w:w="1247" w:type="dxa"/>
            <w:tcBorders>
              <w:bottom w:val="single" w:color="auto" w:sz="8" w:space="0"/>
              <w:tl2br w:val="nil"/>
              <w:tr2bl w:val="nil"/>
            </w:tcBorders>
            <w:shd w:val="clear" w:color="auto" w:fill="auto"/>
            <w:vAlign w:val="center"/>
          </w:tcPr>
          <w:p w14:paraId="26B20FC1">
            <w:pPr>
              <w:widowControl w:val="0"/>
              <w:snapToGrid w:val="0"/>
              <w:jc w:val="center"/>
              <w:rPr>
                <w:rFonts w:ascii="Times New Roman" w:hAnsi="Times New Roman" w:eastAsia="宋体" w:cs="Times New Roman"/>
                <w:caps w:val="0"/>
                <w:smallCaps w:val="0"/>
                <w:color w:val="auto"/>
                <w:spacing w:val="0"/>
                <w:sz w:val="21"/>
                <w:highlight w:val="none"/>
              </w:rPr>
            </w:pPr>
          </w:p>
        </w:tc>
        <w:tc>
          <w:tcPr>
            <w:tcW w:w="1238" w:type="dxa"/>
            <w:tcBorders>
              <w:bottom w:val="single" w:color="auto" w:sz="8" w:space="0"/>
              <w:tl2br w:val="nil"/>
              <w:tr2bl w:val="nil"/>
            </w:tcBorders>
            <w:shd w:val="clear" w:color="auto" w:fill="auto"/>
            <w:vAlign w:val="center"/>
          </w:tcPr>
          <w:p w14:paraId="29983181">
            <w:pPr>
              <w:widowControl w:val="0"/>
              <w:snapToGrid w:val="0"/>
              <w:jc w:val="center"/>
              <w:rPr>
                <w:rFonts w:ascii="Times New Roman" w:hAnsi="Times New Roman" w:eastAsia="宋体" w:cs="Times New Roman"/>
                <w:caps w:val="0"/>
                <w:smallCaps w:val="0"/>
                <w:color w:val="auto"/>
                <w:spacing w:val="0"/>
                <w:sz w:val="21"/>
                <w:highlight w:val="none"/>
              </w:rPr>
            </w:pPr>
          </w:p>
        </w:tc>
        <w:tc>
          <w:tcPr>
            <w:tcW w:w="0" w:type="auto"/>
            <w:tcBorders>
              <w:bottom w:val="single" w:color="auto" w:sz="8" w:space="0"/>
              <w:tl2br w:val="nil"/>
              <w:tr2bl w:val="nil"/>
            </w:tcBorders>
            <w:shd w:val="clear" w:color="auto" w:fill="auto"/>
            <w:noWrap/>
            <w:vAlign w:val="center"/>
          </w:tcPr>
          <w:p w14:paraId="03E38D32">
            <w:pPr>
              <w:widowControl w:val="0"/>
              <w:snapToGrid w:val="0"/>
              <w:rPr>
                <w:rFonts w:ascii="Times New Roman" w:hAnsi="Times New Roman" w:eastAsia="宋体" w:cs="Times New Roman"/>
                <w:caps w:val="0"/>
                <w:smallCaps w:val="0"/>
                <w:color w:val="auto"/>
                <w:spacing w:val="0"/>
                <w:sz w:val="22"/>
                <w:szCs w:val="22"/>
                <w:highlight w:val="none"/>
              </w:rPr>
            </w:pPr>
          </w:p>
        </w:tc>
      </w:tr>
    </w:tbl>
    <w:p w14:paraId="561E7FDD">
      <w:pPr>
        <w:widowControl w:val="0"/>
        <w:rPr>
          <w:rFonts w:hint="eastAsia" w:ascii="Times New Roman" w:hAnsi="Times New Roman" w:eastAsia="宋体" w:cs="Times New Roman"/>
          <w:caps w:val="0"/>
          <w:smallCaps w:val="0"/>
          <w:color w:val="auto"/>
          <w:spacing w:val="0"/>
          <w:highlight w:val="none"/>
          <w:lang w:eastAsia="zh-CN"/>
        </w:rPr>
      </w:pPr>
      <w:r>
        <w:rPr>
          <w:rFonts w:hint="eastAsia" w:ascii="Times New Roman" w:hAnsi="Times New Roman" w:eastAsia="宋体" w:cs="Times New Roman"/>
          <w:caps w:val="0"/>
          <w:smallCaps w:val="0"/>
          <w:color w:val="auto"/>
          <w:spacing w:val="0"/>
          <w:highlight w:val="none"/>
          <w:lang w:eastAsia="zh-CN"/>
        </w:rPr>
        <w:drawing>
          <wp:inline distT="0" distB="0" distL="114300" distR="114300">
            <wp:extent cx="5168900" cy="4806950"/>
            <wp:effectExtent l="0" t="0" r="12700" b="12700"/>
            <wp:docPr id="97" name="图片 97" descr="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Sn"/>
                    <pic:cNvPicPr>
                      <a:picLocks noChangeAspect="1"/>
                    </pic:cNvPicPr>
                  </pic:nvPicPr>
                  <pic:blipFill>
                    <a:blip r:embed="rId49"/>
                    <a:stretch>
                      <a:fillRect/>
                    </a:stretch>
                  </pic:blipFill>
                  <pic:spPr>
                    <a:xfrm>
                      <a:off x="0" y="0"/>
                      <a:ext cx="5168900" cy="4806950"/>
                    </a:xfrm>
                    <a:prstGeom prst="rect">
                      <a:avLst/>
                    </a:prstGeom>
                  </pic:spPr>
                </pic:pic>
              </a:graphicData>
            </a:graphic>
          </wp:inline>
        </w:drawing>
      </w:r>
    </w:p>
    <w:p w14:paraId="1803B784">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图3.4-1</w:t>
      </w:r>
      <w:r>
        <w:rPr>
          <w:rFonts w:hint="eastAsia" w:ascii="Times New Roman" w:hAnsi="Times New Roman" w:eastAsia="宋体" w:cs="Times New Roman"/>
          <w:b/>
          <w:bCs/>
          <w:caps w:val="0"/>
          <w:smallCaps w:val="0"/>
          <w:color w:val="auto"/>
          <w:spacing w:val="0"/>
          <w:szCs w:val="24"/>
          <w:highlight w:val="none"/>
        </w:rPr>
        <w:t>7</w:t>
      </w:r>
      <w:r>
        <w:rPr>
          <w:rFonts w:ascii="Times New Roman" w:hAnsi="Times New Roman" w:eastAsia="宋体" w:cs="Times New Roman"/>
          <w:b/>
          <w:bCs/>
          <w:caps w:val="0"/>
          <w:smallCaps w:val="0"/>
          <w:color w:val="auto"/>
          <w:spacing w:val="0"/>
          <w:szCs w:val="24"/>
          <w:highlight w:val="none"/>
        </w:rPr>
        <w:t>锡元素物料平衡图</w:t>
      </w:r>
    </w:p>
    <w:p w14:paraId="1165C696">
      <w:pPr>
        <w:pStyle w:val="6"/>
        <w:widowControl w:val="0"/>
        <w:rPr>
          <w:rFonts w:eastAsia="宋体"/>
          <w:caps w:val="0"/>
          <w:smallCaps w:val="0"/>
          <w:color w:val="auto"/>
          <w:spacing w:val="0"/>
          <w:highlight w:val="none"/>
        </w:rPr>
      </w:pPr>
      <w:r>
        <w:rPr>
          <w:rFonts w:eastAsia="宋体"/>
          <w:caps w:val="0"/>
          <w:smallCaps w:val="0"/>
          <w:color w:val="auto"/>
          <w:spacing w:val="0"/>
          <w:highlight w:val="none"/>
        </w:rPr>
        <w:t>3.4.2.3钼平衡</w:t>
      </w:r>
    </w:p>
    <w:p w14:paraId="1C552116">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钼来自背电极镀膜所用原料钼靶材，生产过程中大部分进入产品，少量钼在背电极镀膜、P3激光刻线、边缘处理、透光组件P5刻线和</w:t>
      </w:r>
      <w:r>
        <w:rPr>
          <w:rFonts w:ascii="Times New Roman" w:hAnsi="Times New Roman" w:eastAsia="宋体" w:cs="Times New Roman"/>
          <w:caps w:val="0"/>
          <w:smallCaps w:val="0"/>
          <w:color w:val="auto"/>
          <w:spacing w:val="0"/>
          <w:kern w:val="0"/>
          <w:szCs w:val="24"/>
          <w:highlight w:val="none"/>
          <w:lang w:bidi="ar"/>
        </w:rPr>
        <w:t>异型组件P6激光刻线</w:t>
      </w:r>
      <w:r>
        <w:rPr>
          <w:rFonts w:ascii="Times New Roman" w:hAnsi="Times New Roman" w:eastAsia="宋体" w:cs="Times New Roman"/>
          <w:caps w:val="0"/>
          <w:smallCaps w:val="0"/>
          <w:color w:val="auto"/>
          <w:spacing w:val="0"/>
          <w:highlight w:val="none"/>
        </w:rPr>
        <w:t>等工序进入废气，其余全部以固废形式存在。</w:t>
      </w:r>
    </w:p>
    <w:p w14:paraId="63CE5745">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根据建设单位提供技术资料和类比同类型生产企业，本工程物料平衡相关参数如下：</w:t>
      </w:r>
    </w:p>
    <w:p w14:paraId="68C3FC02">
      <w:pPr>
        <w:widowControl w:val="0"/>
        <w:spacing w:line="520" w:lineRule="exact"/>
        <w:ind w:firstLine="56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⑴背电极镀膜</w:t>
      </w:r>
    </w:p>
    <w:p w14:paraId="3E078C07">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磁控溅射镀膜过程沉积10nmMo层，外购TCO玻璃基板412000片/年，单片沉积面积1.92m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，成品率为95%，Mo靶材密度为10200kg/m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。因此Mo沉积量为77.25kg/a，沉积率48.39%。</w:t>
      </w:r>
    </w:p>
    <w:p w14:paraId="500F4D4A">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未沉积的Mo部分随氩气抽出</w:t>
      </w:r>
      <w:r>
        <w:rPr>
          <w:rFonts w:hint="eastAsia" w:ascii="Times New Roman" w:hAnsi="Times New Roman" w:eastAsia="宋体" w:cs="Times New Roman"/>
          <w:caps w:val="0"/>
          <w:smallCaps w:val="0"/>
          <w:color w:val="auto"/>
          <w:spacing w:val="0"/>
          <w:kern w:val="0"/>
          <w:szCs w:val="24"/>
          <w:highlight w:val="none"/>
          <w:lang w:bidi="ar"/>
        </w:rPr>
        <w:t>进入H14</w:t>
      </w:r>
      <w:r>
        <w:rPr>
          <w:rFonts w:hint="eastAsia" w:ascii="Times New Roman" w:hAnsi="Times New Roman" w:eastAsia="宋体" w:cs="Times New Roman"/>
          <w:caps w:val="0"/>
          <w:smallCaps w:val="0"/>
          <w:color w:val="auto"/>
          <w:spacing w:val="0"/>
          <w:kern w:val="0"/>
          <w:szCs w:val="24"/>
          <w:highlight w:val="none"/>
          <w:lang w:val="en-US" w:eastAsia="zh-CN" w:bidi="ar"/>
        </w:rPr>
        <w:t>级高效</w:t>
      </w:r>
      <w:r>
        <w:rPr>
          <w:rFonts w:hint="eastAsia" w:ascii="Times New Roman" w:hAnsi="Times New Roman" w:eastAsia="宋体" w:cs="Times New Roman"/>
          <w:caps w:val="0"/>
          <w:smallCaps w:val="0"/>
          <w:color w:val="auto"/>
          <w:spacing w:val="0"/>
          <w:kern w:val="0"/>
          <w:szCs w:val="24"/>
          <w:highlight w:val="none"/>
          <w:lang w:bidi="ar"/>
        </w:rPr>
        <w:t>过滤器收集过滤</w:t>
      </w:r>
      <w:r>
        <w:rPr>
          <w:rFonts w:ascii="Times New Roman" w:hAnsi="Times New Roman" w:eastAsia="宋体" w:cs="Times New Roman"/>
          <w:caps w:val="0"/>
          <w:smallCaps w:val="0"/>
          <w:color w:val="auto"/>
          <w:spacing w:val="0"/>
          <w:highlight w:val="none"/>
        </w:rPr>
        <w:t>，约占未沉积材料的30%，含Mo24.72kg/a；部分沉积在防溅射板表面，约占未沉积材料的60%，含Mo49.44kg/a；残余废靶材量约占未沉积材料10%，含Mo8.24kg/a。</w:t>
      </w:r>
    </w:p>
    <w:p w14:paraId="1DEE3A55">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（2）P3激光刻线</w:t>
      </w:r>
    </w:p>
    <w:p w14:paraId="1B7EA8B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P3激光刻线沿平行于短边的方向分割214个小单元，刻线宽度为60μm，总刻划面积6318.4m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。根据Mo靶材沉积厚度，P3激光刻线废气中包含Mo0.650kg/a。</w:t>
      </w:r>
    </w:p>
    <w:p w14:paraId="3BD7441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（3）边缘处理</w:t>
      </w:r>
    </w:p>
    <w:p w14:paraId="21434F43">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边缘处理宽度约为10mm，总清除面积为14749.6m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。根据Mo靶材沉积厚度，边缘处理废气中包含Mo1.52kg/a。</w:t>
      </w:r>
    </w:p>
    <w:p w14:paraId="65324D5B">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（4）P5激光刻线</w:t>
      </w:r>
    </w:p>
    <w:p w14:paraId="378DF460">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透光组件约占总产品方案的3%</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刻线面积为组件面积的20%</w:t>
      </w:r>
      <w:r>
        <w:rPr>
          <w:rFonts w:ascii="Times New Roman" w:hAnsi="Times New Roman" w:eastAsia="宋体" w:cs="Times New Roman"/>
          <w:caps w:val="0"/>
          <w:smallCaps w:val="0"/>
          <w:color w:val="auto"/>
          <w:spacing w:val="0"/>
          <w:highlight w:val="none"/>
        </w:rPr>
        <w:t>。根据Mo靶材沉积厚度，</w:t>
      </w:r>
      <w:r>
        <w:rPr>
          <w:rFonts w:ascii="Times New Roman" w:hAnsi="Times New Roman" w:eastAsia="宋体" w:cs="Times New Roman"/>
          <w:caps w:val="0"/>
          <w:smallCaps w:val="0"/>
          <w:color w:val="auto"/>
          <w:spacing w:val="0"/>
          <w:kern w:val="0"/>
          <w:szCs w:val="24"/>
          <w:highlight w:val="none"/>
          <w:lang w:bidi="ar"/>
        </w:rPr>
        <w:t>透光组件P5刻线</w:t>
      </w:r>
      <w:r>
        <w:rPr>
          <w:rFonts w:ascii="Times New Roman" w:hAnsi="Times New Roman" w:eastAsia="宋体" w:cs="Times New Roman"/>
          <w:caps w:val="0"/>
          <w:smallCaps w:val="0"/>
          <w:color w:val="auto"/>
          <w:spacing w:val="0"/>
          <w:highlight w:val="none"/>
        </w:rPr>
        <w:t>废气中包含Mo0.488kg/a。</w:t>
      </w:r>
    </w:p>
    <w:p w14:paraId="39CC467D">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（5）P6激光刻线</w:t>
      </w:r>
    </w:p>
    <w:p w14:paraId="66749E57">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异型组件约占总产品方案的2%</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刻线面积为组件面积的10%</w:t>
      </w:r>
      <w:r>
        <w:rPr>
          <w:rFonts w:ascii="Times New Roman" w:hAnsi="Times New Roman" w:eastAsia="宋体" w:cs="Times New Roman"/>
          <w:caps w:val="0"/>
          <w:smallCaps w:val="0"/>
          <w:color w:val="auto"/>
          <w:spacing w:val="0"/>
          <w:highlight w:val="none"/>
        </w:rPr>
        <w:t>。根据Mo靶材沉积厚度，</w:t>
      </w:r>
      <w:r>
        <w:rPr>
          <w:rFonts w:ascii="Times New Roman" w:hAnsi="Times New Roman" w:eastAsia="宋体" w:cs="Times New Roman"/>
          <w:caps w:val="0"/>
          <w:smallCaps w:val="0"/>
          <w:color w:val="auto"/>
          <w:spacing w:val="0"/>
          <w:kern w:val="0"/>
          <w:szCs w:val="24"/>
          <w:highlight w:val="none"/>
          <w:lang w:bidi="ar"/>
        </w:rPr>
        <w:t>透光组件P6刻线</w:t>
      </w:r>
      <w:r>
        <w:rPr>
          <w:rFonts w:ascii="Times New Roman" w:hAnsi="Times New Roman" w:eastAsia="宋体" w:cs="Times New Roman"/>
          <w:caps w:val="0"/>
          <w:smallCaps w:val="0"/>
          <w:color w:val="auto"/>
          <w:spacing w:val="0"/>
          <w:highlight w:val="none"/>
        </w:rPr>
        <w:t>废气中包含Mo0.163kg/a。</w:t>
      </w:r>
    </w:p>
    <w:p w14:paraId="4A5A52CA">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综上钼平衡关系见下表和下图。</w:t>
      </w:r>
    </w:p>
    <w:p w14:paraId="4F8BD81E">
      <w:pPr>
        <w:pStyle w:val="66"/>
        <w:widowControl w:val="0"/>
        <w:ind w:left="480"/>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表3.4-3Mo元素平衡表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1324"/>
        <w:gridCol w:w="1888"/>
        <w:gridCol w:w="1348"/>
        <w:gridCol w:w="1472"/>
        <w:gridCol w:w="1818"/>
      </w:tblGrid>
      <w:tr w14:paraId="546B6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84" w:type="dxa"/>
            <w:vMerge w:val="restart"/>
            <w:tcBorders>
              <w:top w:val="single" w:color="auto" w:sz="8" w:space="0"/>
              <w:tl2br w:val="nil"/>
              <w:tr2bl w:val="nil"/>
            </w:tcBorders>
            <w:vAlign w:val="center"/>
          </w:tcPr>
          <w:p w14:paraId="25B654FF">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工序</w:t>
            </w:r>
          </w:p>
        </w:tc>
        <w:tc>
          <w:tcPr>
            <w:tcW w:w="3095" w:type="dxa"/>
            <w:gridSpan w:val="2"/>
            <w:tcBorders>
              <w:top w:val="single" w:color="auto" w:sz="8" w:space="0"/>
              <w:tl2br w:val="nil"/>
              <w:tr2bl w:val="nil"/>
            </w:tcBorders>
            <w:vAlign w:val="center"/>
          </w:tcPr>
          <w:p w14:paraId="6A092FC0">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投入</w:t>
            </w:r>
          </w:p>
        </w:tc>
        <w:tc>
          <w:tcPr>
            <w:tcW w:w="4468" w:type="dxa"/>
            <w:gridSpan w:val="3"/>
            <w:tcBorders>
              <w:top w:val="single" w:color="auto" w:sz="8" w:space="0"/>
              <w:tl2br w:val="nil"/>
              <w:tr2bl w:val="nil"/>
            </w:tcBorders>
            <w:vAlign w:val="center"/>
          </w:tcPr>
          <w:p w14:paraId="32D4A1A9">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产出</w:t>
            </w:r>
          </w:p>
        </w:tc>
      </w:tr>
      <w:tr w14:paraId="6569E6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84" w:type="dxa"/>
            <w:vMerge w:val="continue"/>
            <w:tcBorders>
              <w:bottom w:val="single" w:color="auto" w:sz="8" w:space="0"/>
              <w:tl2br w:val="nil"/>
              <w:tr2bl w:val="nil"/>
            </w:tcBorders>
            <w:vAlign w:val="center"/>
          </w:tcPr>
          <w:p w14:paraId="01755C27">
            <w:pPr>
              <w:widowControl w:val="0"/>
              <w:spacing w:line="320" w:lineRule="exact"/>
              <w:jc w:val="center"/>
              <w:rPr>
                <w:rFonts w:ascii="Times New Roman" w:hAnsi="Times New Roman" w:eastAsia="宋体" w:cs="Times New Roman"/>
                <w:b/>
                <w:caps w:val="0"/>
                <w:smallCaps w:val="0"/>
                <w:color w:val="auto"/>
                <w:spacing w:val="0"/>
                <w:sz w:val="21"/>
                <w:highlight w:val="none"/>
              </w:rPr>
            </w:pPr>
          </w:p>
        </w:tc>
        <w:tc>
          <w:tcPr>
            <w:tcW w:w="1276" w:type="dxa"/>
            <w:tcBorders>
              <w:bottom w:val="single" w:color="auto" w:sz="8" w:space="0"/>
              <w:tl2br w:val="nil"/>
              <w:tr2bl w:val="nil"/>
            </w:tcBorders>
            <w:vAlign w:val="center"/>
          </w:tcPr>
          <w:p w14:paraId="1C92097E">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物料名称</w:t>
            </w:r>
          </w:p>
        </w:tc>
        <w:tc>
          <w:tcPr>
            <w:tcW w:w="1819" w:type="dxa"/>
            <w:tcBorders>
              <w:bottom w:val="single" w:color="auto" w:sz="8" w:space="0"/>
              <w:tl2br w:val="nil"/>
              <w:tr2bl w:val="nil"/>
            </w:tcBorders>
            <w:vAlign w:val="center"/>
          </w:tcPr>
          <w:p w14:paraId="0624B0A2">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数量（kg/a）</w:t>
            </w:r>
          </w:p>
        </w:tc>
        <w:tc>
          <w:tcPr>
            <w:tcW w:w="2717" w:type="dxa"/>
            <w:gridSpan w:val="2"/>
            <w:tcBorders>
              <w:bottom w:val="single" w:color="auto" w:sz="8" w:space="0"/>
              <w:tl2br w:val="nil"/>
              <w:tr2bl w:val="nil"/>
            </w:tcBorders>
            <w:vAlign w:val="center"/>
          </w:tcPr>
          <w:p w14:paraId="55FED9C0">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物料名称</w:t>
            </w:r>
          </w:p>
        </w:tc>
        <w:tc>
          <w:tcPr>
            <w:tcW w:w="1751" w:type="dxa"/>
            <w:tcBorders>
              <w:bottom w:val="single" w:color="auto" w:sz="8" w:space="0"/>
              <w:tl2br w:val="nil"/>
              <w:tr2bl w:val="nil"/>
            </w:tcBorders>
            <w:vAlign w:val="center"/>
          </w:tcPr>
          <w:p w14:paraId="0C6DA2A2">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数量（kg/a）</w:t>
            </w:r>
          </w:p>
        </w:tc>
      </w:tr>
      <w:tr w14:paraId="4060CB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op w:val="single" w:color="auto" w:sz="8" w:space="0"/>
              <w:tl2br w:val="nil"/>
              <w:tr2bl w:val="nil"/>
            </w:tcBorders>
            <w:vAlign w:val="center"/>
          </w:tcPr>
          <w:p w14:paraId="4F3A918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背电极镀膜</w:t>
            </w:r>
          </w:p>
        </w:tc>
        <w:tc>
          <w:tcPr>
            <w:tcW w:w="1276" w:type="dxa"/>
            <w:tcBorders>
              <w:top w:val="single" w:color="auto" w:sz="8" w:space="0"/>
              <w:tl2br w:val="nil"/>
              <w:tr2bl w:val="nil"/>
            </w:tcBorders>
            <w:vAlign w:val="center"/>
          </w:tcPr>
          <w:p w14:paraId="3D73F6E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819" w:type="dxa"/>
            <w:tcBorders>
              <w:top w:val="single" w:color="auto" w:sz="8" w:space="0"/>
              <w:tl2br w:val="nil"/>
              <w:tr2bl w:val="nil"/>
            </w:tcBorders>
            <w:vAlign w:val="center"/>
          </w:tcPr>
          <w:p w14:paraId="54BAA03B">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159.65</w:t>
            </w:r>
          </w:p>
        </w:tc>
        <w:tc>
          <w:tcPr>
            <w:tcW w:w="1299" w:type="dxa"/>
            <w:tcBorders>
              <w:top w:val="single" w:color="auto" w:sz="8" w:space="0"/>
              <w:tl2br w:val="nil"/>
              <w:tr2bl w:val="nil"/>
            </w:tcBorders>
            <w:vAlign w:val="center"/>
          </w:tcPr>
          <w:p w14:paraId="0E150BA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op w:val="single" w:color="auto" w:sz="8" w:space="0"/>
              <w:tl2br w:val="nil"/>
              <w:tr2bl w:val="nil"/>
            </w:tcBorders>
            <w:vAlign w:val="center"/>
          </w:tcPr>
          <w:p w14:paraId="4A70E52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op w:val="single" w:color="auto" w:sz="8" w:space="0"/>
              <w:tl2br w:val="nil"/>
              <w:tr2bl w:val="nil"/>
            </w:tcBorders>
            <w:vAlign w:val="center"/>
          </w:tcPr>
          <w:p w14:paraId="05ABDC6B">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77.25</w:t>
            </w:r>
          </w:p>
        </w:tc>
      </w:tr>
      <w:tr w14:paraId="482702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977B80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111BD62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31AC972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tcBorders>
              <w:tl2br w:val="nil"/>
              <w:tr2bl w:val="nil"/>
            </w:tcBorders>
            <w:vAlign w:val="center"/>
          </w:tcPr>
          <w:p w14:paraId="04DFF5B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废溅射板</w:t>
            </w:r>
          </w:p>
        </w:tc>
        <w:tc>
          <w:tcPr>
            <w:tcW w:w="1418" w:type="dxa"/>
            <w:tcBorders>
              <w:tl2br w:val="nil"/>
              <w:tr2bl w:val="nil"/>
            </w:tcBorders>
            <w:vAlign w:val="center"/>
          </w:tcPr>
          <w:p w14:paraId="2397786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06F2C87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49.44</w:t>
            </w:r>
          </w:p>
        </w:tc>
      </w:tr>
      <w:tr w14:paraId="19A209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42F371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1B2452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1903A57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tcBorders>
              <w:tl2br w:val="nil"/>
              <w:tr2bl w:val="nil"/>
            </w:tcBorders>
            <w:vAlign w:val="center"/>
          </w:tcPr>
          <w:p w14:paraId="4590A54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废靶材</w:t>
            </w:r>
          </w:p>
        </w:tc>
        <w:tc>
          <w:tcPr>
            <w:tcW w:w="1418" w:type="dxa"/>
            <w:tcBorders>
              <w:tl2br w:val="nil"/>
              <w:tr2bl w:val="nil"/>
            </w:tcBorders>
            <w:vAlign w:val="center"/>
          </w:tcPr>
          <w:p w14:paraId="6E126C7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54E9CEC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8.24</w:t>
            </w:r>
          </w:p>
        </w:tc>
      </w:tr>
      <w:tr w14:paraId="0C3AB4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547E0D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4E1633C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A5C9A3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4D7525F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37398D5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0D30663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24.72</w:t>
            </w:r>
          </w:p>
        </w:tc>
      </w:tr>
      <w:tr w14:paraId="1507EA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F5AE7A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0430E84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2653670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3C8BDD2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3E8633D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247D206D">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2.30</w:t>
            </w:r>
          </w:p>
        </w:tc>
      </w:tr>
      <w:tr w14:paraId="347C7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F5FD18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17C1839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5820721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3C3832B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3DA5223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28C2BC99">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22.42</w:t>
            </w:r>
          </w:p>
        </w:tc>
      </w:tr>
      <w:tr w14:paraId="236E3E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6231E412">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P3激光刻线</w:t>
            </w:r>
          </w:p>
        </w:tc>
        <w:tc>
          <w:tcPr>
            <w:tcW w:w="1276" w:type="dxa"/>
            <w:tcBorders>
              <w:tl2br w:val="nil"/>
              <w:tr2bl w:val="nil"/>
            </w:tcBorders>
            <w:vAlign w:val="center"/>
          </w:tcPr>
          <w:p w14:paraId="20432029">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17C77CA9">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77.25</w:t>
            </w:r>
          </w:p>
        </w:tc>
        <w:tc>
          <w:tcPr>
            <w:tcW w:w="1299" w:type="dxa"/>
            <w:tcBorders>
              <w:tl2br w:val="nil"/>
              <w:tr2bl w:val="nil"/>
            </w:tcBorders>
            <w:vAlign w:val="center"/>
          </w:tcPr>
          <w:p w14:paraId="2FC8A5B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0BAF2D1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18BABA57">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76.60</w:t>
            </w:r>
          </w:p>
        </w:tc>
      </w:tr>
      <w:tr w14:paraId="12449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382B09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0E5CD76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756D79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0637200D">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784378F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3526B831">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0.650</w:t>
            </w:r>
          </w:p>
        </w:tc>
      </w:tr>
      <w:tr w14:paraId="1D711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253D233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4219F3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7B7E018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72AE90B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76C0564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1DA9554D">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0.049</w:t>
            </w:r>
          </w:p>
        </w:tc>
      </w:tr>
      <w:tr w14:paraId="5348C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655F68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58533DB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61A5471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62214A2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619FE5A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2D192BD7">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0.601</w:t>
            </w:r>
          </w:p>
        </w:tc>
      </w:tr>
      <w:tr w14:paraId="02FD14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7B9410B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边缘处理</w:t>
            </w:r>
          </w:p>
        </w:tc>
        <w:tc>
          <w:tcPr>
            <w:tcW w:w="1276" w:type="dxa"/>
            <w:tcBorders>
              <w:tl2br w:val="nil"/>
              <w:tr2bl w:val="nil"/>
            </w:tcBorders>
            <w:vAlign w:val="center"/>
          </w:tcPr>
          <w:p w14:paraId="4DD3113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4664AB82">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76.60</w:t>
            </w:r>
          </w:p>
        </w:tc>
        <w:tc>
          <w:tcPr>
            <w:tcW w:w="1299" w:type="dxa"/>
            <w:tcBorders>
              <w:tl2br w:val="nil"/>
              <w:tr2bl w:val="nil"/>
            </w:tcBorders>
            <w:vAlign w:val="center"/>
          </w:tcPr>
          <w:p w14:paraId="5267BFC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01F70A3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3843050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75.08</w:t>
            </w:r>
          </w:p>
        </w:tc>
      </w:tr>
      <w:tr w14:paraId="4822EA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AC8E75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1E96228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266605A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2F66C6C2">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561D49B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77424EC9">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1.52</w:t>
            </w:r>
          </w:p>
        </w:tc>
      </w:tr>
      <w:tr w14:paraId="40A9C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1B1E692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260620B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65E3618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6261118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3A23DC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0FA81880">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0.128</w:t>
            </w:r>
          </w:p>
        </w:tc>
      </w:tr>
      <w:tr w14:paraId="56C16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881CEA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10817BA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9462A5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06956B8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C46ADF9">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1135A465">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1.392</w:t>
            </w:r>
          </w:p>
        </w:tc>
      </w:tr>
      <w:tr w14:paraId="51E9F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bottom w:val="single" w:color="auto" w:sz="8" w:space="0"/>
              <w:tl2br w:val="nil"/>
              <w:tr2bl w:val="nil"/>
            </w:tcBorders>
            <w:vAlign w:val="center"/>
          </w:tcPr>
          <w:p w14:paraId="1030B40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P5激光刻线</w:t>
            </w:r>
          </w:p>
        </w:tc>
        <w:tc>
          <w:tcPr>
            <w:tcW w:w="1276" w:type="dxa"/>
            <w:tcBorders>
              <w:bottom w:val="single" w:color="auto" w:sz="8" w:space="0"/>
              <w:tl2br w:val="nil"/>
              <w:tr2bl w:val="nil"/>
            </w:tcBorders>
            <w:vAlign w:val="center"/>
          </w:tcPr>
          <w:p w14:paraId="112E441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bottom w:val="single" w:color="auto" w:sz="8" w:space="0"/>
              <w:tl2br w:val="nil"/>
              <w:tr2bl w:val="nil"/>
            </w:tcBorders>
            <w:vAlign w:val="center"/>
          </w:tcPr>
          <w:p w14:paraId="216EE6A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75.08</w:t>
            </w:r>
          </w:p>
        </w:tc>
        <w:tc>
          <w:tcPr>
            <w:tcW w:w="1299" w:type="dxa"/>
            <w:tcBorders>
              <w:bottom w:val="single" w:color="auto" w:sz="8" w:space="0"/>
              <w:tl2br w:val="nil"/>
              <w:tr2bl w:val="nil"/>
            </w:tcBorders>
            <w:vAlign w:val="center"/>
          </w:tcPr>
          <w:p w14:paraId="59988E4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bottom w:val="single" w:color="auto" w:sz="8" w:space="0"/>
              <w:tl2br w:val="nil"/>
              <w:tr2bl w:val="nil"/>
            </w:tcBorders>
            <w:vAlign w:val="center"/>
          </w:tcPr>
          <w:p w14:paraId="50FAFC9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bottom w:val="single" w:color="auto" w:sz="8" w:space="0"/>
              <w:tl2br w:val="nil"/>
              <w:tr2bl w:val="nil"/>
            </w:tcBorders>
            <w:vAlign w:val="center"/>
          </w:tcPr>
          <w:p w14:paraId="0E90026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74.592</w:t>
            </w:r>
          </w:p>
        </w:tc>
      </w:tr>
      <w:tr w14:paraId="481AD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op w:val="single" w:color="auto" w:sz="8" w:space="0"/>
              <w:tl2br w:val="nil"/>
              <w:tr2bl w:val="nil"/>
            </w:tcBorders>
            <w:vAlign w:val="center"/>
          </w:tcPr>
          <w:p w14:paraId="250FF65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op w:val="single" w:color="auto" w:sz="8" w:space="0"/>
              <w:tl2br w:val="nil"/>
              <w:tr2bl w:val="nil"/>
            </w:tcBorders>
            <w:vAlign w:val="center"/>
          </w:tcPr>
          <w:p w14:paraId="01176E7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op w:val="single" w:color="auto" w:sz="8" w:space="0"/>
              <w:tl2br w:val="nil"/>
              <w:tr2bl w:val="nil"/>
            </w:tcBorders>
            <w:vAlign w:val="center"/>
          </w:tcPr>
          <w:p w14:paraId="7479B92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op w:val="single" w:color="auto" w:sz="8" w:space="0"/>
              <w:tl2br w:val="nil"/>
              <w:tr2bl w:val="nil"/>
            </w:tcBorders>
            <w:vAlign w:val="center"/>
          </w:tcPr>
          <w:p w14:paraId="6E1A56C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op w:val="single" w:color="auto" w:sz="8" w:space="0"/>
              <w:tl2br w:val="nil"/>
              <w:tr2bl w:val="nil"/>
            </w:tcBorders>
            <w:vAlign w:val="center"/>
          </w:tcPr>
          <w:p w14:paraId="0F5C9FA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op w:val="single" w:color="auto" w:sz="8" w:space="0"/>
              <w:tl2br w:val="nil"/>
              <w:tr2bl w:val="nil"/>
            </w:tcBorders>
            <w:vAlign w:val="center"/>
          </w:tcPr>
          <w:p w14:paraId="10D1379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0.488</w:t>
            </w:r>
          </w:p>
        </w:tc>
      </w:tr>
      <w:tr w14:paraId="3174ED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22DD980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8C2B82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8CA1BA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1FA1EE6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58A8CA8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7E04C042">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0.039</w:t>
            </w:r>
          </w:p>
        </w:tc>
      </w:tr>
      <w:tr w14:paraId="2EE6C2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14E026D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392541F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2EC6088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054A20E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350DCB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5184EFCC">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0.449</w:t>
            </w:r>
          </w:p>
        </w:tc>
      </w:tr>
      <w:tr w14:paraId="01295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7140C27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P6激光刻线</w:t>
            </w:r>
          </w:p>
        </w:tc>
        <w:tc>
          <w:tcPr>
            <w:tcW w:w="1276" w:type="dxa"/>
            <w:tcBorders>
              <w:tl2br w:val="nil"/>
              <w:tr2bl w:val="nil"/>
            </w:tcBorders>
            <w:vAlign w:val="center"/>
          </w:tcPr>
          <w:p w14:paraId="3A6F71E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4994834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74.592</w:t>
            </w:r>
          </w:p>
        </w:tc>
        <w:tc>
          <w:tcPr>
            <w:tcW w:w="1299" w:type="dxa"/>
            <w:tcBorders>
              <w:tl2br w:val="nil"/>
              <w:tr2bl w:val="nil"/>
            </w:tcBorders>
            <w:vAlign w:val="center"/>
          </w:tcPr>
          <w:p w14:paraId="260B7BE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5CD0186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26002D1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74.429</w:t>
            </w:r>
          </w:p>
        </w:tc>
      </w:tr>
      <w:tr w14:paraId="0969E7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5848B4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13504CA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3F476C4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11BB56B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4459F58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Mo</w:t>
            </w:r>
          </w:p>
        </w:tc>
        <w:tc>
          <w:tcPr>
            <w:tcW w:w="1751" w:type="dxa"/>
            <w:tcBorders>
              <w:tl2br w:val="nil"/>
              <w:tr2bl w:val="nil"/>
            </w:tcBorders>
            <w:vAlign w:val="center"/>
          </w:tcPr>
          <w:p w14:paraId="0926DE5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0.163</w:t>
            </w:r>
          </w:p>
        </w:tc>
      </w:tr>
      <w:tr w14:paraId="3AF2C6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73C9BB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26F56CF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382F3A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5A8A046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478FC4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07B1B6A2">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0.016</w:t>
            </w:r>
          </w:p>
        </w:tc>
      </w:tr>
      <w:tr w14:paraId="49A4A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4D0EDF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3DB558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DE470A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6C0375C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07A329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70416D5C">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0.147</w:t>
            </w:r>
          </w:p>
        </w:tc>
      </w:tr>
      <w:tr w14:paraId="458318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0" w:type="dxa"/>
            <w:gridSpan w:val="2"/>
            <w:tcBorders>
              <w:bottom w:val="single" w:color="auto" w:sz="8" w:space="0"/>
              <w:tl2br w:val="nil"/>
              <w:tr2bl w:val="nil"/>
            </w:tcBorders>
            <w:vAlign w:val="center"/>
          </w:tcPr>
          <w:p w14:paraId="5A1C140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成品</w:t>
            </w:r>
          </w:p>
        </w:tc>
        <w:tc>
          <w:tcPr>
            <w:tcW w:w="1819" w:type="dxa"/>
            <w:tcBorders>
              <w:bottom w:val="single" w:color="auto" w:sz="8" w:space="0"/>
              <w:tl2br w:val="nil"/>
              <w:tr2bl w:val="nil"/>
            </w:tcBorders>
            <w:vAlign w:val="center"/>
          </w:tcPr>
          <w:p w14:paraId="7CE0AA2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74.429</w:t>
            </w:r>
          </w:p>
        </w:tc>
        <w:tc>
          <w:tcPr>
            <w:tcW w:w="1299" w:type="dxa"/>
            <w:tcBorders>
              <w:bottom w:val="single" w:color="auto" w:sz="8" w:space="0"/>
              <w:tl2br w:val="nil"/>
              <w:tr2bl w:val="nil"/>
            </w:tcBorders>
            <w:vAlign w:val="center"/>
          </w:tcPr>
          <w:p w14:paraId="1702088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bottom w:val="single" w:color="auto" w:sz="8" w:space="0"/>
              <w:tl2br w:val="nil"/>
              <w:tr2bl w:val="nil"/>
            </w:tcBorders>
            <w:vAlign w:val="center"/>
          </w:tcPr>
          <w:p w14:paraId="21BA90B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751" w:type="dxa"/>
            <w:tcBorders>
              <w:bottom w:val="single" w:color="auto" w:sz="8" w:space="0"/>
              <w:tl2br w:val="nil"/>
              <w:tr2bl w:val="nil"/>
            </w:tcBorders>
            <w:vAlign w:val="center"/>
          </w:tcPr>
          <w:p w14:paraId="03141CB6">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bl>
    <w:p w14:paraId="515F5605">
      <w:pPr>
        <w:widowControl w:val="0"/>
        <w:rPr>
          <w:rFonts w:hint="eastAsia" w:ascii="Times New Roman" w:hAnsi="Times New Roman" w:eastAsia="宋体" w:cs="Times New Roman"/>
          <w:caps w:val="0"/>
          <w:smallCaps w:val="0"/>
          <w:color w:val="auto"/>
          <w:spacing w:val="0"/>
          <w:highlight w:val="none"/>
          <w:lang w:eastAsia="zh-CN"/>
        </w:rPr>
      </w:pPr>
      <w:r>
        <w:rPr>
          <w:rFonts w:hint="eastAsia" w:ascii="Times New Roman" w:hAnsi="Times New Roman" w:eastAsia="宋体" w:cs="Times New Roman"/>
          <w:caps w:val="0"/>
          <w:smallCaps w:val="0"/>
          <w:color w:val="auto"/>
          <w:spacing w:val="0"/>
          <w:highlight w:val="none"/>
          <w:lang w:eastAsia="zh-CN"/>
        </w:rPr>
        <w:drawing>
          <wp:inline distT="0" distB="0" distL="114300" distR="114300">
            <wp:extent cx="5755640" cy="7375525"/>
            <wp:effectExtent l="0" t="0" r="16510" b="15875"/>
            <wp:docPr id="103" name="图片 103" descr="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Mo"/>
                    <pic:cNvPicPr>
                      <a:picLocks noChangeAspect="1"/>
                    </pic:cNvPicPr>
                  </pic:nvPicPr>
                  <pic:blipFill>
                    <a:blip r:embed="rId50"/>
                    <a:stretch>
                      <a:fillRect/>
                    </a:stretch>
                  </pic:blipFill>
                  <pic:spPr>
                    <a:xfrm>
                      <a:off x="0" y="0"/>
                      <a:ext cx="5755640" cy="7375525"/>
                    </a:xfrm>
                    <a:prstGeom prst="rect">
                      <a:avLst/>
                    </a:prstGeom>
                  </pic:spPr>
                </pic:pic>
              </a:graphicData>
            </a:graphic>
          </wp:inline>
        </w:drawing>
      </w:r>
    </w:p>
    <w:p w14:paraId="169124E9">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图3.4-1</w:t>
      </w:r>
      <w:r>
        <w:rPr>
          <w:rFonts w:hint="eastAsia" w:ascii="Times New Roman" w:hAnsi="Times New Roman" w:eastAsia="宋体" w:cs="Times New Roman"/>
          <w:b/>
          <w:bCs/>
          <w:caps w:val="0"/>
          <w:smallCaps w:val="0"/>
          <w:color w:val="auto"/>
          <w:spacing w:val="0"/>
          <w:szCs w:val="24"/>
          <w:highlight w:val="none"/>
        </w:rPr>
        <w:t>8</w:t>
      </w:r>
      <w:r>
        <w:rPr>
          <w:rFonts w:ascii="Times New Roman" w:hAnsi="Times New Roman" w:eastAsia="宋体" w:cs="Times New Roman"/>
          <w:b/>
          <w:bCs/>
          <w:caps w:val="0"/>
          <w:smallCaps w:val="0"/>
          <w:color w:val="auto"/>
          <w:spacing w:val="0"/>
          <w:szCs w:val="24"/>
          <w:highlight w:val="none"/>
        </w:rPr>
        <w:t>钼元素物料平衡图</w:t>
      </w:r>
    </w:p>
    <w:p w14:paraId="0272AEBB">
      <w:pPr>
        <w:pStyle w:val="6"/>
        <w:widowControl w:val="0"/>
        <w:rPr>
          <w:rFonts w:eastAsia="宋体"/>
          <w:caps w:val="0"/>
          <w:smallCaps w:val="0"/>
          <w:color w:val="auto"/>
          <w:spacing w:val="0"/>
          <w:highlight w:val="none"/>
        </w:rPr>
      </w:pPr>
      <w:r>
        <w:rPr>
          <w:rFonts w:eastAsia="宋体"/>
          <w:caps w:val="0"/>
          <w:smallCaps w:val="0"/>
          <w:color w:val="auto"/>
          <w:spacing w:val="0"/>
          <w:highlight w:val="none"/>
        </w:rPr>
        <w:t>3.4.2.4铬平衡</w:t>
      </w:r>
    </w:p>
    <w:p w14:paraId="28B6ECA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铬来自背电极镀膜所用原料铬靶材，生产过程中大部分进入产品，少量铬在背电极镀膜、P3激光刻线、边缘处理、透光组件P5刻线和</w:t>
      </w:r>
      <w:r>
        <w:rPr>
          <w:rFonts w:ascii="Times New Roman" w:hAnsi="Times New Roman" w:eastAsia="宋体" w:cs="Times New Roman"/>
          <w:caps w:val="0"/>
          <w:smallCaps w:val="0"/>
          <w:color w:val="auto"/>
          <w:spacing w:val="0"/>
          <w:kern w:val="0"/>
          <w:szCs w:val="24"/>
          <w:highlight w:val="none"/>
          <w:lang w:bidi="ar"/>
        </w:rPr>
        <w:t>异型组件P6激光刻线</w:t>
      </w:r>
      <w:r>
        <w:rPr>
          <w:rFonts w:ascii="Times New Roman" w:hAnsi="Times New Roman" w:eastAsia="宋体" w:cs="Times New Roman"/>
          <w:caps w:val="0"/>
          <w:smallCaps w:val="0"/>
          <w:color w:val="auto"/>
          <w:spacing w:val="0"/>
          <w:highlight w:val="none"/>
        </w:rPr>
        <w:t>等工序进入废气，其余全部以固废形式存在。</w:t>
      </w:r>
    </w:p>
    <w:p w14:paraId="6FC08B71">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根据建设单位提供技术资料和类比同类型生产企业，本工程物料平衡相关参数如下：</w:t>
      </w:r>
    </w:p>
    <w:p w14:paraId="34C095C6">
      <w:pPr>
        <w:widowControl w:val="0"/>
        <w:spacing w:line="520" w:lineRule="exact"/>
        <w:ind w:firstLine="56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（1）背电极镀膜</w:t>
      </w:r>
    </w:p>
    <w:p w14:paraId="33091CFA">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磁控溅射镀膜过程沉积50nmCr层，外购TCO玻璃基板412000片/年，单片沉积面积1.92m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，成品率为95%，Mo靶材密度为7150kg/m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。因此Cr沉积量为268.66kg/a，沉积率73.65%。</w:t>
      </w:r>
    </w:p>
    <w:p w14:paraId="52139FC3">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未沉积的Cr部分随氩气抽出</w:t>
      </w:r>
      <w:r>
        <w:rPr>
          <w:rFonts w:hint="eastAsia" w:ascii="Times New Roman" w:hAnsi="Times New Roman" w:eastAsia="宋体" w:cs="Times New Roman"/>
          <w:caps w:val="0"/>
          <w:smallCaps w:val="0"/>
          <w:color w:val="auto"/>
          <w:spacing w:val="0"/>
          <w:kern w:val="0"/>
          <w:szCs w:val="24"/>
          <w:highlight w:val="none"/>
          <w:lang w:bidi="ar"/>
        </w:rPr>
        <w:t>进入H14过滤器收集过滤</w:t>
      </w:r>
      <w:r>
        <w:rPr>
          <w:rFonts w:ascii="Times New Roman" w:hAnsi="Times New Roman" w:eastAsia="宋体" w:cs="Times New Roman"/>
          <w:caps w:val="0"/>
          <w:smallCaps w:val="0"/>
          <w:color w:val="auto"/>
          <w:spacing w:val="0"/>
          <w:highlight w:val="none"/>
        </w:rPr>
        <w:t>，约占未沉积材料的30%，含Cr28.84kg/a；部分沉积在防溅射板表面，约占未沉积材料的60%，含Cr57.67kg/a；残余废靶材量约占未沉积材料10%，含Cr19.61kg/a。</w:t>
      </w:r>
    </w:p>
    <w:p w14:paraId="4ED65805">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（2）P3激光刻线</w:t>
      </w:r>
    </w:p>
    <w:p w14:paraId="6C530066">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P3激光刻线沿平行于短边的方向分割214个小单元，刻线宽度为60μm，总刻划面积6318.43m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。根据Cr靶材沉积厚度，P3激光刻线废气中包含Cr2.26kg/a。</w:t>
      </w:r>
    </w:p>
    <w:p w14:paraId="2AAB951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（3）边缘处理</w:t>
      </w:r>
    </w:p>
    <w:p w14:paraId="358CEC1F">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边缘处理宽度约为10mm，总清除面积为14749.6m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。根据Cr靶材沉积厚度，边缘处理废气中包含Cr5.27kg/a。</w:t>
      </w:r>
    </w:p>
    <w:p w14:paraId="240EFF49">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（4）透光组件P5激光刻线</w:t>
      </w:r>
    </w:p>
    <w:p w14:paraId="0BA13DFF">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透光组件约占总产品方案的3%</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刻线面积为组件面积的20%</w:t>
      </w:r>
      <w:r>
        <w:rPr>
          <w:rFonts w:ascii="Times New Roman" w:hAnsi="Times New Roman" w:eastAsia="宋体" w:cs="Times New Roman"/>
          <w:caps w:val="0"/>
          <w:smallCaps w:val="0"/>
          <w:color w:val="auto"/>
          <w:spacing w:val="0"/>
          <w:highlight w:val="none"/>
        </w:rPr>
        <w:t>。根据Cr靶材沉积厚度，</w:t>
      </w:r>
      <w:r>
        <w:rPr>
          <w:rFonts w:ascii="Times New Roman" w:hAnsi="Times New Roman" w:eastAsia="宋体" w:cs="Times New Roman"/>
          <w:caps w:val="0"/>
          <w:smallCaps w:val="0"/>
          <w:color w:val="auto"/>
          <w:spacing w:val="0"/>
          <w:kern w:val="0"/>
          <w:szCs w:val="24"/>
          <w:highlight w:val="none"/>
          <w:lang w:bidi="ar"/>
        </w:rPr>
        <w:t>透光组件P5刻线</w:t>
      </w:r>
      <w:r>
        <w:rPr>
          <w:rFonts w:ascii="Times New Roman" w:hAnsi="Times New Roman" w:eastAsia="宋体" w:cs="Times New Roman"/>
          <w:caps w:val="0"/>
          <w:smallCaps w:val="0"/>
          <w:color w:val="auto"/>
          <w:spacing w:val="0"/>
          <w:highlight w:val="none"/>
        </w:rPr>
        <w:t>废气中包含Cr1.70kg/a。</w:t>
      </w:r>
    </w:p>
    <w:p w14:paraId="116A0D7B">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（5）异型组件P6激光刻线</w:t>
      </w:r>
    </w:p>
    <w:p w14:paraId="5E143872">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异型组件约占总产品方案的2%</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刻线面积为组件面积的10%</w:t>
      </w:r>
      <w:r>
        <w:rPr>
          <w:rFonts w:ascii="Times New Roman" w:hAnsi="Times New Roman" w:eastAsia="宋体" w:cs="Times New Roman"/>
          <w:caps w:val="0"/>
          <w:smallCaps w:val="0"/>
          <w:color w:val="auto"/>
          <w:spacing w:val="0"/>
          <w:highlight w:val="none"/>
        </w:rPr>
        <w:t>。根据Cr靶材沉积厚度，</w:t>
      </w:r>
      <w:r>
        <w:rPr>
          <w:rFonts w:ascii="Times New Roman" w:hAnsi="Times New Roman" w:eastAsia="宋体" w:cs="Times New Roman"/>
          <w:caps w:val="0"/>
          <w:smallCaps w:val="0"/>
          <w:color w:val="auto"/>
          <w:spacing w:val="0"/>
          <w:kern w:val="0"/>
          <w:szCs w:val="24"/>
          <w:highlight w:val="none"/>
          <w:lang w:bidi="ar"/>
        </w:rPr>
        <w:t>透光组件P6刻线</w:t>
      </w:r>
      <w:r>
        <w:rPr>
          <w:rFonts w:ascii="Times New Roman" w:hAnsi="Times New Roman" w:eastAsia="宋体" w:cs="Times New Roman"/>
          <w:caps w:val="0"/>
          <w:smallCaps w:val="0"/>
          <w:color w:val="auto"/>
          <w:spacing w:val="0"/>
          <w:highlight w:val="none"/>
        </w:rPr>
        <w:t>废气中包含Cr0.163kg/a。</w:t>
      </w:r>
    </w:p>
    <w:p w14:paraId="78A450C6">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综上铬平衡关系见下表和下图。</w:t>
      </w:r>
    </w:p>
    <w:p w14:paraId="48BD1FB1">
      <w:pPr>
        <w:pStyle w:val="66"/>
        <w:widowControl w:val="0"/>
        <w:ind w:left="480"/>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表3.4-4Cr元素平衡表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1324"/>
        <w:gridCol w:w="1888"/>
        <w:gridCol w:w="1348"/>
        <w:gridCol w:w="1472"/>
        <w:gridCol w:w="1818"/>
      </w:tblGrid>
      <w:tr w14:paraId="764B6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84" w:type="dxa"/>
            <w:vMerge w:val="restart"/>
            <w:tcBorders>
              <w:top w:val="single" w:color="auto" w:sz="8" w:space="0"/>
              <w:tl2br w:val="nil"/>
              <w:tr2bl w:val="nil"/>
            </w:tcBorders>
            <w:vAlign w:val="center"/>
          </w:tcPr>
          <w:p w14:paraId="7C4062BA">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工序</w:t>
            </w:r>
          </w:p>
        </w:tc>
        <w:tc>
          <w:tcPr>
            <w:tcW w:w="3095" w:type="dxa"/>
            <w:gridSpan w:val="2"/>
            <w:tcBorders>
              <w:top w:val="single" w:color="auto" w:sz="8" w:space="0"/>
              <w:tl2br w:val="nil"/>
              <w:tr2bl w:val="nil"/>
            </w:tcBorders>
            <w:vAlign w:val="center"/>
          </w:tcPr>
          <w:p w14:paraId="40F54059">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投入</w:t>
            </w:r>
          </w:p>
        </w:tc>
        <w:tc>
          <w:tcPr>
            <w:tcW w:w="4468" w:type="dxa"/>
            <w:gridSpan w:val="3"/>
            <w:tcBorders>
              <w:top w:val="single" w:color="auto" w:sz="8" w:space="0"/>
              <w:tl2br w:val="nil"/>
              <w:tr2bl w:val="nil"/>
            </w:tcBorders>
            <w:vAlign w:val="center"/>
          </w:tcPr>
          <w:p w14:paraId="67479844">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产出</w:t>
            </w:r>
          </w:p>
        </w:tc>
      </w:tr>
      <w:tr w14:paraId="23361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84" w:type="dxa"/>
            <w:vMerge w:val="continue"/>
            <w:tcBorders>
              <w:tl2br w:val="nil"/>
              <w:tr2bl w:val="nil"/>
            </w:tcBorders>
            <w:vAlign w:val="center"/>
          </w:tcPr>
          <w:p w14:paraId="2A9F16AB">
            <w:pPr>
              <w:widowControl w:val="0"/>
              <w:spacing w:line="320" w:lineRule="exact"/>
              <w:jc w:val="center"/>
              <w:rPr>
                <w:rFonts w:ascii="Times New Roman" w:hAnsi="Times New Roman" w:eastAsia="宋体" w:cs="Times New Roman"/>
                <w:b/>
                <w:caps w:val="0"/>
                <w:smallCaps w:val="0"/>
                <w:color w:val="auto"/>
                <w:spacing w:val="0"/>
                <w:sz w:val="21"/>
                <w:highlight w:val="none"/>
              </w:rPr>
            </w:pPr>
          </w:p>
        </w:tc>
        <w:tc>
          <w:tcPr>
            <w:tcW w:w="1276" w:type="dxa"/>
            <w:tcBorders>
              <w:tl2br w:val="nil"/>
              <w:tr2bl w:val="nil"/>
            </w:tcBorders>
            <w:vAlign w:val="center"/>
          </w:tcPr>
          <w:p w14:paraId="4A24A22D">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物料名称</w:t>
            </w:r>
          </w:p>
        </w:tc>
        <w:tc>
          <w:tcPr>
            <w:tcW w:w="1819" w:type="dxa"/>
            <w:tcBorders>
              <w:tl2br w:val="nil"/>
              <w:tr2bl w:val="nil"/>
            </w:tcBorders>
            <w:vAlign w:val="center"/>
          </w:tcPr>
          <w:p w14:paraId="663B1CAB">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数量（kg/a）</w:t>
            </w:r>
          </w:p>
        </w:tc>
        <w:tc>
          <w:tcPr>
            <w:tcW w:w="2717" w:type="dxa"/>
            <w:gridSpan w:val="2"/>
            <w:tcBorders>
              <w:tl2br w:val="nil"/>
              <w:tr2bl w:val="nil"/>
            </w:tcBorders>
            <w:vAlign w:val="center"/>
          </w:tcPr>
          <w:p w14:paraId="3B49FD11">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物料名称</w:t>
            </w:r>
          </w:p>
        </w:tc>
        <w:tc>
          <w:tcPr>
            <w:tcW w:w="1751" w:type="dxa"/>
            <w:tcBorders>
              <w:tl2br w:val="nil"/>
              <w:tr2bl w:val="nil"/>
            </w:tcBorders>
            <w:vAlign w:val="center"/>
          </w:tcPr>
          <w:p w14:paraId="036EFE23">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数量（kg/a）</w:t>
            </w:r>
          </w:p>
        </w:tc>
      </w:tr>
      <w:tr w14:paraId="7B2434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736FDD0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背电极镀膜</w:t>
            </w:r>
          </w:p>
        </w:tc>
        <w:tc>
          <w:tcPr>
            <w:tcW w:w="1276" w:type="dxa"/>
            <w:tcBorders>
              <w:tl2br w:val="nil"/>
              <w:tr2bl w:val="nil"/>
            </w:tcBorders>
            <w:vAlign w:val="center"/>
          </w:tcPr>
          <w:p w14:paraId="19EAFBC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819" w:type="dxa"/>
            <w:tcBorders>
              <w:tl2br w:val="nil"/>
              <w:tr2bl w:val="nil"/>
            </w:tcBorders>
            <w:vAlign w:val="center"/>
          </w:tcPr>
          <w:p w14:paraId="4DBB505D">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364.98</w:t>
            </w:r>
          </w:p>
        </w:tc>
        <w:tc>
          <w:tcPr>
            <w:tcW w:w="1299" w:type="dxa"/>
            <w:tcBorders>
              <w:tl2br w:val="nil"/>
              <w:tr2bl w:val="nil"/>
            </w:tcBorders>
            <w:vAlign w:val="center"/>
          </w:tcPr>
          <w:p w14:paraId="1C97EB6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0B9CA59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11538D6B">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268.66</w:t>
            </w:r>
          </w:p>
        </w:tc>
      </w:tr>
      <w:tr w14:paraId="528F5A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5E8744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0748AF1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362FD68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tcBorders>
              <w:tl2br w:val="nil"/>
              <w:tr2bl w:val="nil"/>
            </w:tcBorders>
            <w:vAlign w:val="center"/>
          </w:tcPr>
          <w:p w14:paraId="3ACE942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废溅射板</w:t>
            </w:r>
          </w:p>
        </w:tc>
        <w:tc>
          <w:tcPr>
            <w:tcW w:w="1418" w:type="dxa"/>
            <w:tcBorders>
              <w:tl2br w:val="nil"/>
              <w:tr2bl w:val="nil"/>
            </w:tcBorders>
            <w:vAlign w:val="center"/>
          </w:tcPr>
          <w:p w14:paraId="6F727D4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1725F88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57.67</w:t>
            </w:r>
          </w:p>
        </w:tc>
      </w:tr>
      <w:tr w14:paraId="63F954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950824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47996E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249FAF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tcBorders>
              <w:tl2br w:val="nil"/>
              <w:tr2bl w:val="nil"/>
            </w:tcBorders>
            <w:vAlign w:val="center"/>
          </w:tcPr>
          <w:p w14:paraId="1156DAB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废靶材</w:t>
            </w:r>
          </w:p>
        </w:tc>
        <w:tc>
          <w:tcPr>
            <w:tcW w:w="1418" w:type="dxa"/>
            <w:tcBorders>
              <w:tl2br w:val="nil"/>
              <w:tr2bl w:val="nil"/>
            </w:tcBorders>
            <w:vAlign w:val="center"/>
          </w:tcPr>
          <w:p w14:paraId="429810F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540D2C7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9.61</w:t>
            </w:r>
          </w:p>
        </w:tc>
      </w:tr>
      <w:tr w14:paraId="4708B2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5E2DEF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2EB196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38F3A6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3410A9F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6DC20B6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3F53D08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28.84</w:t>
            </w:r>
          </w:p>
        </w:tc>
      </w:tr>
      <w:tr w14:paraId="41872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3314AD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52D7BDB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5FD6A63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4C800F1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3371CE2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338DC3BC">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2.679</w:t>
            </w:r>
          </w:p>
        </w:tc>
      </w:tr>
      <w:tr w14:paraId="096A5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bottom w:val="single" w:color="auto" w:sz="8" w:space="0"/>
              <w:tl2br w:val="nil"/>
              <w:tr2bl w:val="nil"/>
            </w:tcBorders>
            <w:vAlign w:val="center"/>
          </w:tcPr>
          <w:p w14:paraId="20554CB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bottom w:val="single" w:color="auto" w:sz="8" w:space="0"/>
              <w:tl2br w:val="nil"/>
              <w:tr2bl w:val="nil"/>
            </w:tcBorders>
            <w:vAlign w:val="center"/>
          </w:tcPr>
          <w:p w14:paraId="5E9C8B9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bottom w:val="single" w:color="auto" w:sz="8" w:space="0"/>
              <w:tl2br w:val="nil"/>
              <w:tr2bl w:val="nil"/>
            </w:tcBorders>
            <w:vAlign w:val="center"/>
          </w:tcPr>
          <w:p w14:paraId="57AA2CF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bottom w:val="single" w:color="auto" w:sz="8" w:space="0"/>
              <w:tl2br w:val="nil"/>
              <w:tr2bl w:val="nil"/>
            </w:tcBorders>
            <w:vAlign w:val="center"/>
          </w:tcPr>
          <w:p w14:paraId="0E478DD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bottom w:val="single" w:color="auto" w:sz="8" w:space="0"/>
              <w:tl2br w:val="nil"/>
              <w:tr2bl w:val="nil"/>
            </w:tcBorders>
            <w:vAlign w:val="center"/>
          </w:tcPr>
          <w:p w14:paraId="0C52CB9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bottom w:val="single" w:color="auto" w:sz="8" w:space="0"/>
              <w:tl2br w:val="nil"/>
              <w:tr2bl w:val="nil"/>
            </w:tcBorders>
            <w:vAlign w:val="center"/>
          </w:tcPr>
          <w:p w14:paraId="0B27AEBD">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26.161</w:t>
            </w:r>
          </w:p>
        </w:tc>
      </w:tr>
      <w:tr w14:paraId="553620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op w:val="single" w:color="auto" w:sz="8" w:space="0"/>
              <w:tl2br w:val="nil"/>
              <w:tr2bl w:val="nil"/>
            </w:tcBorders>
            <w:vAlign w:val="center"/>
          </w:tcPr>
          <w:p w14:paraId="5FC6615A">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P3激光刻线</w:t>
            </w:r>
          </w:p>
        </w:tc>
        <w:tc>
          <w:tcPr>
            <w:tcW w:w="1276" w:type="dxa"/>
            <w:tcBorders>
              <w:top w:val="single" w:color="auto" w:sz="8" w:space="0"/>
              <w:tl2br w:val="nil"/>
              <w:tr2bl w:val="nil"/>
            </w:tcBorders>
            <w:vAlign w:val="center"/>
          </w:tcPr>
          <w:p w14:paraId="172133D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op w:val="single" w:color="auto" w:sz="8" w:space="0"/>
              <w:tl2br w:val="nil"/>
              <w:tr2bl w:val="nil"/>
            </w:tcBorders>
            <w:vAlign w:val="center"/>
          </w:tcPr>
          <w:p w14:paraId="70DAB4C4">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268.66</w:t>
            </w:r>
          </w:p>
        </w:tc>
        <w:tc>
          <w:tcPr>
            <w:tcW w:w="1299" w:type="dxa"/>
            <w:tcBorders>
              <w:top w:val="single" w:color="auto" w:sz="8" w:space="0"/>
              <w:tl2br w:val="nil"/>
              <w:tr2bl w:val="nil"/>
            </w:tcBorders>
            <w:vAlign w:val="center"/>
          </w:tcPr>
          <w:p w14:paraId="43871E9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op w:val="single" w:color="auto" w:sz="8" w:space="0"/>
              <w:tl2br w:val="nil"/>
              <w:tr2bl w:val="nil"/>
            </w:tcBorders>
            <w:vAlign w:val="center"/>
          </w:tcPr>
          <w:p w14:paraId="14FC04D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op w:val="single" w:color="auto" w:sz="8" w:space="0"/>
              <w:tl2br w:val="nil"/>
              <w:tr2bl w:val="nil"/>
            </w:tcBorders>
            <w:vAlign w:val="center"/>
          </w:tcPr>
          <w:p w14:paraId="6BFBD2F7">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266.40</w:t>
            </w:r>
          </w:p>
        </w:tc>
      </w:tr>
      <w:tr w14:paraId="6031ED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161D19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DB8BC3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81B3E4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3B2FEC51">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213C6AE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07076CFA">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2.26</w:t>
            </w:r>
          </w:p>
        </w:tc>
      </w:tr>
      <w:tr w14:paraId="08DC6A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97E1BB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4315084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1005FFD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31243AD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524B28B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0E9F16A2">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0.169</w:t>
            </w:r>
          </w:p>
        </w:tc>
      </w:tr>
      <w:tr w14:paraId="5B7245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7A5DF3D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4C0221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46EBFB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34A947E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DAFFF9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3F6CD4B0">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2.091</w:t>
            </w:r>
          </w:p>
        </w:tc>
      </w:tr>
      <w:tr w14:paraId="3C35A8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6117A23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边缘处理</w:t>
            </w:r>
          </w:p>
        </w:tc>
        <w:tc>
          <w:tcPr>
            <w:tcW w:w="1276" w:type="dxa"/>
            <w:tcBorders>
              <w:tl2br w:val="nil"/>
              <w:tr2bl w:val="nil"/>
            </w:tcBorders>
            <w:vAlign w:val="center"/>
          </w:tcPr>
          <w:p w14:paraId="70BC3ED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0071054E">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266.40</w:t>
            </w:r>
          </w:p>
        </w:tc>
        <w:tc>
          <w:tcPr>
            <w:tcW w:w="1299" w:type="dxa"/>
            <w:tcBorders>
              <w:tl2br w:val="nil"/>
              <w:tr2bl w:val="nil"/>
            </w:tcBorders>
            <w:vAlign w:val="center"/>
          </w:tcPr>
          <w:p w14:paraId="63ED037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46C8CC0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25DDAAC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261.13</w:t>
            </w:r>
          </w:p>
        </w:tc>
      </w:tr>
      <w:tr w14:paraId="7FACB3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15AED91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3A66E9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511AEEE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0CEFD65D">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374AD909">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47EA2E68">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5.27</w:t>
            </w:r>
          </w:p>
        </w:tc>
      </w:tr>
      <w:tr w14:paraId="62B8C9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C6DA05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4231E34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68E7ABF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4D809FC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711DEE8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7F8E8459">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0.445</w:t>
            </w:r>
          </w:p>
        </w:tc>
      </w:tr>
      <w:tr w14:paraId="0E5E8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2D907F9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5F19EB8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D5572D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35A519C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607DF4F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5DA647BD">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4.825</w:t>
            </w:r>
          </w:p>
        </w:tc>
      </w:tr>
      <w:tr w14:paraId="71D9D5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19B3C32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P5激光刻线</w:t>
            </w:r>
          </w:p>
        </w:tc>
        <w:tc>
          <w:tcPr>
            <w:tcW w:w="1276" w:type="dxa"/>
            <w:tcBorders>
              <w:tl2br w:val="nil"/>
              <w:tr2bl w:val="nil"/>
            </w:tcBorders>
            <w:vAlign w:val="center"/>
          </w:tcPr>
          <w:p w14:paraId="4165383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11B54E9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261.13</w:t>
            </w:r>
          </w:p>
        </w:tc>
        <w:tc>
          <w:tcPr>
            <w:tcW w:w="1299" w:type="dxa"/>
            <w:tcBorders>
              <w:tl2br w:val="nil"/>
              <w:tr2bl w:val="nil"/>
            </w:tcBorders>
            <w:vAlign w:val="center"/>
          </w:tcPr>
          <w:p w14:paraId="640F195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62E92DD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792B0D2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259.43</w:t>
            </w:r>
          </w:p>
        </w:tc>
      </w:tr>
      <w:tr w14:paraId="351231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384" w:type="dxa"/>
            <w:vMerge w:val="continue"/>
            <w:tcBorders>
              <w:tl2br w:val="nil"/>
              <w:tr2bl w:val="nil"/>
            </w:tcBorders>
            <w:vAlign w:val="center"/>
          </w:tcPr>
          <w:p w14:paraId="42D81D1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5EF572C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34BC021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33855F5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0F5C0A6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00597F8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1.70</w:t>
            </w:r>
          </w:p>
        </w:tc>
      </w:tr>
      <w:tr w14:paraId="6A0FE7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14379CE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15379D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30F45AB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3754084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1322F7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3F2C4078">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0.134</w:t>
            </w:r>
          </w:p>
        </w:tc>
      </w:tr>
      <w:tr w14:paraId="6D546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1ED606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FBE915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66B014B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77F11B0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5D62A42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4977CF16">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1.566</w:t>
            </w:r>
          </w:p>
        </w:tc>
      </w:tr>
      <w:tr w14:paraId="30EE5E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09283D8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P6激光刻线</w:t>
            </w:r>
          </w:p>
        </w:tc>
        <w:tc>
          <w:tcPr>
            <w:tcW w:w="1276" w:type="dxa"/>
            <w:tcBorders>
              <w:tl2br w:val="nil"/>
              <w:tr2bl w:val="nil"/>
            </w:tcBorders>
            <w:vAlign w:val="center"/>
          </w:tcPr>
          <w:p w14:paraId="1C2A748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4A27407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259.43</w:t>
            </w:r>
          </w:p>
        </w:tc>
        <w:tc>
          <w:tcPr>
            <w:tcW w:w="1299" w:type="dxa"/>
            <w:tcBorders>
              <w:tl2br w:val="nil"/>
              <w:tr2bl w:val="nil"/>
            </w:tcBorders>
            <w:vAlign w:val="center"/>
          </w:tcPr>
          <w:p w14:paraId="71587CB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5345FCF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0677080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259.267</w:t>
            </w:r>
          </w:p>
        </w:tc>
      </w:tr>
      <w:tr w14:paraId="77746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38D9D3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275DFFD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549C3AE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1E6F950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58020B4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1751" w:type="dxa"/>
            <w:tcBorders>
              <w:tl2br w:val="nil"/>
              <w:tr2bl w:val="nil"/>
            </w:tcBorders>
            <w:vAlign w:val="center"/>
          </w:tcPr>
          <w:p w14:paraId="4077EC8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0.163</w:t>
            </w:r>
          </w:p>
        </w:tc>
      </w:tr>
      <w:tr w14:paraId="11841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019B76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5DF36F2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ADB561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21C5947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5559746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4E6F9AB9">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0.016</w:t>
            </w:r>
          </w:p>
        </w:tc>
      </w:tr>
      <w:tr w14:paraId="1FD7FF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6A009B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0E06A8A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57C39E1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2C43AE2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DF8E2B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4F572869">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highlight w:val="none"/>
              </w:rPr>
              <w:t>0.</w:t>
            </w:r>
            <w:r>
              <w:rPr>
                <w:rFonts w:hint="eastAsia" w:ascii="Times New Roman" w:hAnsi="Times New Roman" w:eastAsia="宋体" w:cs="Times New Roman"/>
                <w:caps w:val="0"/>
                <w:smallCaps w:val="0"/>
                <w:color w:val="auto"/>
                <w:spacing w:val="0"/>
                <w:sz w:val="21"/>
                <w:highlight w:val="none"/>
                <w:lang w:val="en-US" w:eastAsia="zh-CN"/>
              </w:rPr>
              <w:t>147</w:t>
            </w:r>
          </w:p>
        </w:tc>
      </w:tr>
      <w:tr w14:paraId="500AF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0" w:type="dxa"/>
            <w:gridSpan w:val="2"/>
            <w:tcBorders>
              <w:bottom w:val="single" w:color="auto" w:sz="8" w:space="0"/>
              <w:tl2br w:val="nil"/>
              <w:tr2bl w:val="nil"/>
            </w:tcBorders>
            <w:vAlign w:val="center"/>
          </w:tcPr>
          <w:p w14:paraId="440A6EF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成品</w:t>
            </w:r>
          </w:p>
        </w:tc>
        <w:tc>
          <w:tcPr>
            <w:tcW w:w="1819" w:type="dxa"/>
            <w:tcBorders>
              <w:bottom w:val="single" w:color="auto" w:sz="8" w:space="0"/>
              <w:tl2br w:val="nil"/>
              <w:tr2bl w:val="nil"/>
            </w:tcBorders>
            <w:vAlign w:val="center"/>
          </w:tcPr>
          <w:p w14:paraId="116E821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259.267</w:t>
            </w:r>
          </w:p>
        </w:tc>
        <w:tc>
          <w:tcPr>
            <w:tcW w:w="1299" w:type="dxa"/>
            <w:tcBorders>
              <w:bottom w:val="single" w:color="auto" w:sz="8" w:space="0"/>
              <w:tl2br w:val="nil"/>
              <w:tr2bl w:val="nil"/>
            </w:tcBorders>
            <w:vAlign w:val="center"/>
          </w:tcPr>
          <w:p w14:paraId="34ED1F1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bottom w:val="single" w:color="auto" w:sz="8" w:space="0"/>
              <w:tl2br w:val="nil"/>
              <w:tr2bl w:val="nil"/>
            </w:tcBorders>
            <w:vAlign w:val="center"/>
          </w:tcPr>
          <w:p w14:paraId="19267FB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751" w:type="dxa"/>
            <w:tcBorders>
              <w:bottom w:val="single" w:color="auto" w:sz="8" w:space="0"/>
              <w:tl2br w:val="nil"/>
              <w:tr2bl w:val="nil"/>
            </w:tcBorders>
            <w:vAlign w:val="center"/>
          </w:tcPr>
          <w:p w14:paraId="2F0DFCB2">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bl>
    <w:p w14:paraId="0FC7F68D">
      <w:pPr>
        <w:widowControl w:val="0"/>
        <w:jc w:val="center"/>
        <w:rPr>
          <w:rFonts w:ascii="Times New Roman" w:hAnsi="Times New Roman" w:eastAsia="宋体" w:cs="Times New Roman"/>
          <w:b/>
          <w:bCs/>
          <w:caps w:val="0"/>
          <w:smallCaps w:val="0"/>
          <w:color w:val="auto"/>
          <w:spacing w:val="0"/>
          <w:szCs w:val="24"/>
          <w:highlight w:val="none"/>
        </w:rPr>
      </w:pPr>
    </w:p>
    <w:p w14:paraId="04F979CB">
      <w:pPr>
        <w:widowControl w:val="0"/>
        <w:jc w:val="center"/>
        <w:rPr>
          <w:rFonts w:hint="eastAsia" w:ascii="Times New Roman" w:hAnsi="Times New Roman" w:eastAsia="宋体" w:cs="Times New Roman"/>
          <w:b/>
          <w:bCs/>
          <w:caps w:val="0"/>
          <w:smallCaps w:val="0"/>
          <w:color w:val="auto"/>
          <w:spacing w:val="0"/>
          <w:szCs w:val="24"/>
          <w:highlight w:val="none"/>
          <w:lang w:eastAsia="zh-CN"/>
        </w:rPr>
      </w:pPr>
      <w:r>
        <w:rPr>
          <w:rFonts w:hint="eastAsia" w:ascii="Times New Roman" w:hAnsi="Times New Roman" w:eastAsia="宋体" w:cs="Times New Roman"/>
          <w:b/>
          <w:bCs/>
          <w:caps w:val="0"/>
          <w:smallCaps w:val="0"/>
          <w:color w:val="auto"/>
          <w:spacing w:val="0"/>
          <w:szCs w:val="24"/>
          <w:highlight w:val="none"/>
          <w:lang w:eastAsia="zh-CN"/>
        </w:rPr>
        <w:drawing>
          <wp:inline distT="0" distB="0" distL="114300" distR="114300">
            <wp:extent cx="5755640" cy="7375525"/>
            <wp:effectExtent l="0" t="0" r="16510" b="15875"/>
            <wp:docPr id="106" name="图片 106" descr="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Cr"/>
                    <pic:cNvPicPr>
                      <a:picLocks noChangeAspect="1"/>
                    </pic:cNvPicPr>
                  </pic:nvPicPr>
                  <pic:blipFill>
                    <a:blip r:embed="rId51"/>
                    <a:stretch>
                      <a:fillRect/>
                    </a:stretch>
                  </pic:blipFill>
                  <pic:spPr>
                    <a:xfrm>
                      <a:off x="0" y="0"/>
                      <a:ext cx="5755640" cy="7375525"/>
                    </a:xfrm>
                    <a:prstGeom prst="rect">
                      <a:avLst/>
                    </a:prstGeom>
                  </pic:spPr>
                </pic:pic>
              </a:graphicData>
            </a:graphic>
          </wp:inline>
        </w:drawing>
      </w:r>
    </w:p>
    <w:p w14:paraId="768AD664">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图3.4-1</w:t>
      </w:r>
      <w:r>
        <w:rPr>
          <w:rFonts w:hint="eastAsia" w:ascii="Times New Roman" w:hAnsi="Times New Roman" w:eastAsia="宋体" w:cs="Times New Roman"/>
          <w:b/>
          <w:bCs/>
          <w:caps w:val="0"/>
          <w:smallCaps w:val="0"/>
          <w:color w:val="auto"/>
          <w:spacing w:val="0"/>
          <w:szCs w:val="24"/>
          <w:highlight w:val="none"/>
        </w:rPr>
        <w:t>9</w:t>
      </w:r>
      <w:r>
        <w:rPr>
          <w:rFonts w:ascii="Times New Roman" w:hAnsi="Times New Roman" w:eastAsia="宋体" w:cs="Times New Roman"/>
          <w:b/>
          <w:bCs/>
          <w:caps w:val="0"/>
          <w:smallCaps w:val="0"/>
          <w:color w:val="auto"/>
          <w:spacing w:val="0"/>
          <w:szCs w:val="24"/>
          <w:highlight w:val="none"/>
        </w:rPr>
        <w:t>铬元素物料平衡图</w:t>
      </w:r>
    </w:p>
    <w:p w14:paraId="40B14F2F">
      <w:pPr>
        <w:pStyle w:val="6"/>
        <w:widowControl w:val="0"/>
        <w:rPr>
          <w:rFonts w:eastAsia="宋体"/>
          <w:caps w:val="0"/>
          <w:smallCaps w:val="0"/>
          <w:color w:val="auto"/>
          <w:spacing w:val="0"/>
          <w:highlight w:val="none"/>
        </w:rPr>
      </w:pPr>
      <w:r>
        <w:rPr>
          <w:rFonts w:eastAsia="宋体"/>
          <w:caps w:val="0"/>
          <w:smallCaps w:val="0"/>
          <w:color w:val="auto"/>
          <w:spacing w:val="0"/>
          <w:highlight w:val="none"/>
        </w:rPr>
        <w:t>3.4.2.5铝平衡</w:t>
      </w:r>
    </w:p>
    <w:p w14:paraId="5A08C8E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铝来自背电极镀膜所用原料铝靶材，生产过程中大部分进入产品，少量铝在背电极镀膜、P3激光刻线、边缘处理、透光组件P5刻线和</w:t>
      </w:r>
      <w:r>
        <w:rPr>
          <w:rFonts w:ascii="Times New Roman" w:hAnsi="Times New Roman" w:eastAsia="宋体" w:cs="Times New Roman"/>
          <w:caps w:val="0"/>
          <w:smallCaps w:val="0"/>
          <w:color w:val="auto"/>
          <w:spacing w:val="0"/>
          <w:kern w:val="0"/>
          <w:szCs w:val="24"/>
          <w:highlight w:val="none"/>
          <w:lang w:bidi="ar"/>
        </w:rPr>
        <w:t>异型组件P6激光刻线</w:t>
      </w:r>
      <w:r>
        <w:rPr>
          <w:rFonts w:ascii="Times New Roman" w:hAnsi="Times New Roman" w:eastAsia="宋体" w:cs="Times New Roman"/>
          <w:caps w:val="0"/>
          <w:smallCaps w:val="0"/>
          <w:color w:val="auto"/>
          <w:spacing w:val="0"/>
          <w:highlight w:val="none"/>
        </w:rPr>
        <w:t>等工序进入废气，其余全部以固废形式存在。</w:t>
      </w:r>
    </w:p>
    <w:p w14:paraId="7635E9D0">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根据建设单位提供技术资料和类比同类型生产企业，本工程物料平衡相关参数如下：</w:t>
      </w:r>
    </w:p>
    <w:p w14:paraId="0ECBD162">
      <w:pPr>
        <w:widowControl w:val="0"/>
        <w:spacing w:line="520" w:lineRule="exact"/>
        <w:ind w:firstLine="56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（1）背电极镀膜</w:t>
      </w:r>
    </w:p>
    <w:p w14:paraId="348DB8E2">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磁控溅射镀膜过程沉积100nmAl层，外购TCO玻璃基板412000片/年，单片沉积面积1.92m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，成品率为95%，Al靶材密度为2700kg/m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。因此Al沉积量为202.90kg/a，沉积率78.94%。</w:t>
      </w:r>
    </w:p>
    <w:p w14:paraId="14D00AFA">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未沉积的Al部分随氩气抽出</w:t>
      </w:r>
      <w:r>
        <w:rPr>
          <w:rFonts w:hint="eastAsia" w:ascii="Times New Roman" w:hAnsi="Times New Roman" w:eastAsia="宋体" w:cs="Times New Roman"/>
          <w:caps w:val="0"/>
          <w:smallCaps w:val="0"/>
          <w:color w:val="auto"/>
          <w:spacing w:val="0"/>
          <w:kern w:val="0"/>
          <w:szCs w:val="24"/>
          <w:highlight w:val="none"/>
          <w:lang w:bidi="ar"/>
        </w:rPr>
        <w:t>进入H14过滤器收集过滤</w:t>
      </w:r>
      <w:r>
        <w:rPr>
          <w:rFonts w:ascii="Times New Roman" w:hAnsi="Times New Roman" w:eastAsia="宋体" w:cs="Times New Roman"/>
          <w:caps w:val="0"/>
          <w:smallCaps w:val="0"/>
          <w:color w:val="auto"/>
          <w:spacing w:val="0"/>
          <w:highlight w:val="none"/>
        </w:rPr>
        <w:t>，约占未沉积材料的30%，含Al16.24kg/a；部分沉积在防溅射板表面，约占未沉积材料的60%，含Al32.48kg/a；残余废靶材量约占未沉积材料10%，含Al5.41kg/a。</w:t>
      </w:r>
    </w:p>
    <w:p w14:paraId="65386D60">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（2）P3激光刻线</w:t>
      </w:r>
    </w:p>
    <w:p w14:paraId="5D586B3C">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P3激光刻线沿平行于短边的方向分割214个小单元，刻线宽度为60μm，总刻划面积6318.34m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。根据Al靶材沉积厚度，P3激光刻线废气中包含Al1.71kg/a。</w:t>
      </w:r>
    </w:p>
    <w:p w14:paraId="54ED827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（3）边缘处理</w:t>
      </w:r>
    </w:p>
    <w:p w14:paraId="142A207A">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边缘处理宽度约为10mm，总清除面积为14749.6m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。根据Al靶材沉积厚度，边缘处理废气中包含Al3.98kg/a。</w:t>
      </w:r>
    </w:p>
    <w:p w14:paraId="09C578A5">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（4）透光组件P5激光刻线</w:t>
      </w:r>
    </w:p>
    <w:p w14:paraId="22E60BDD">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透光组件约占总产品方案的3%</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刻线面积为组件面积的20%</w:t>
      </w:r>
      <w:r>
        <w:rPr>
          <w:rFonts w:ascii="Times New Roman" w:hAnsi="Times New Roman" w:eastAsia="宋体" w:cs="Times New Roman"/>
          <w:caps w:val="0"/>
          <w:smallCaps w:val="0"/>
          <w:color w:val="auto"/>
          <w:spacing w:val="0"/>
          <w:highlight w:val="none"/>
        </w:rPr>
        <w:t>。根据Al靶材沉积厚度，</w:t>
      </w:r>
      <w:r>
        <w:rPr>
          <w:rFonts w:ascii="Times New Roman" w:hAnsi="Times New Roman" w:eastAsia="宋体" w:cs="Times New Roman"/>
          <w:caps w:val="0"/>
          <w:smallCaps w:val="0"/>
          <w:color w:val="auto"/>
          <w:spacing w:val="0"/>
          <w:kern w:val="0"/>
          <w:szCs w:val="24"/>
          <w:highlight w:val="none"/>
          <w:lang w:bidi="ar"/>
        </w:rPr>
        <w:t>透光组件P5刻线</w:t>
      </w:r>
      <w:r>
        <w:rPr>
          <w:rFonts w:ascii="Times New Roman" w:hAnsi="Times New Roman" w:eastAsia="宋体" w:cs="Times New Roman"/>
          <w:caps w:val="0"/>
          <w:smallCaps w:val="0"/>
          <w:color w:val="auto"/>
          <w:spacing w:val="0"/>
          <w:highlight w:val="none"/>
        </w:rPr>
        <w:t>废气中包含Al1.28kg/a。</w:t>
      </w:r>
    </w:p>
    <w:p w14:paraId="7D4EEEB4">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（5）异型组件P6激光刻线</w:t>
      </w:r>
    </w:p>
    <w:p w14:paraId="41981764">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异型组件约占总产品方案的2%</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刻线面积为组件面积的10%</w:t>
      </w:r>
      <w:r>
        <w:rPr>
          <w:rFonts w:ascii="Times New Roman" w:hAnsi="Times New Roman" w:eastAsia="宋体" w:cs="Times New Roman"/>
          <w:caps w:val="0"/>
          <w:smallCaps w:val="0"/>
          <w:color w:val="auto"/>
          <w:spacing w:val="0"/>
          <w:highlight w:val="none"/>
        </w:rPr>
        <w:t>。根据Al靶材沉积厚度，</w:t>
      </w:r>
      <w:r>
        <w:rPr>
          <w:rFonts w:ascii="Times New Roman" w:hAnsi="Times New Roman" w:eastAsia="宋体" w:cs="Times New Roman"/>
          <w:caps w:val="0"/>
          <w:smallCaps w:val="0"/>
          <w:color w:val="auto"/>
          <w:spacing w:val="0"/>
          <w:kern w:val="0"/>
          <w:szCs w:val="24"/>
          <w:highlight w:val="none"/>
          <w:lang w:bidi="ar"/>
        </w:rPr>
        <w:t>透光组件P6刻线</w:t>
      </w:r>
      <w:r>
        <w:rPr>
          <w:rFonts w:ascii="Times New Roman" w:hAnsi="Times New Roman" w:eastAsia="宋体" w:cs="Times New Roman"/>
          <w:caps w:val="0"/>
          <w:smallCaps w:val="0"/>
          <w:color w:val="auto"/>
          <w:spacing w:val="0"/>
          <w:highlight w:val="none"/>
        </w:rPr>
        <w:t>废气中包含Al0.427kg/a。</w:t>
      </w:r>
    </w:p>
    <w:p w14:paraId="31944E42">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综上铝平衡关系见下表和下图。</w:t>
      </w:r>
    </w:p>
    <w:p w14:paraId="12BA3799">
      <w:pPr>
        <w:pStyle w:val="66"/>
        <w:widowControl w:val="0"/>
        <w:ind w:left="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 w:val="24"/>
          <w:szCs w:val="24"/>
          <w:highlight w:val="none"/>
        </w:rPr>
        <w:t>表3.4-5A</w:t>
      </w:r>
      <w:r>
        <w:rPr>
          <w:rFonts w:hint="eastAsia" w:ascii="Times New Roman" w:hAnsi="Times New Roman" w:eastAsia="宋体" w:cs="Times New Roman"/>
          <w:b/>
          <w:bCs/>
          <w:caps w:val="0"/>
          <w:smallCaps w:val="0"/>
          <w:color w:val="auto"/>
          <w:spacing w:val="0"/>
          <w:sz w:val="24"/>
          <w:szCs w:val="24"/>
          <w:highlight w:val="none"/>
        </w:rPr>
        <w:t>l</w:t>
      </w:r>
      <w:r>
        <w:rPr>
          <w:rFonts w:ascii="Times New Roman" w:hAnsi="Times New Roman" w:eastAsia="宋体" w:cs="Times New Roman"/>
          <w:b/>
          <w:bCs/>
          <w:caps w:val="0"/>
          <w:smallCaps w:val="0"/>
          <w:color w:val="auto"/>
          <w:spacing w:val="0"/>
          <w:sz w:val="24"/>
          <w:szCs w:val="24"/>
          <w:highlight w:val="none"/>
        </w:rPr>
        <w:t>元素平衡表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1324"/>
        <w:gridCol w:w="1888"/>
        <w:gridCol w:w="1348"/>
        <w:gridCol w:w="1472"/>
        <w:gridCol w:w="1818"/>
      </w:tblGrid>
      <w:tr w14:paraId="636150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84" w:type="dxa"/>
            <w:vMerge w:val="restart"/>
            <w:tcBorders>
              <w:top w:val="single" w:color="auto" w:sz="8" w:space="0"/>
              <w:tl2br w:val="nil"/>
              <w:tr2bl w:val="nil"/>
            </w:tcBorders>
            <w:vAlign w:val="center"/>
          </w:tcPr>
          <w:p w14:paraId="2467F757">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工序</w:t>
            </w:r>
          </w:p>
        </w:tc>
        <w:tc>
          <w:tcPr>
            <w:tcW w:w="3095" w:type="dxa"/>
            <w:gridSpan w:val="2"/>
            <w:tcBorders>
              <w:top w:val="single" w:color="auto" w:sz="8" w:space="0"/>
              <w:tl2br w:val="nil"/>
              <w:tr2bl w:val="nil"/>
            </w:tcBorders>
            <w:vAlign w:val="center"/>
          </w:tcPr>
          <w:p w14:paraId="033BC473">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投入</w:t>
            </w:r>
          </w:p>
        </w:tc>
        <w:tc>
          <w:tcPr>
            <w:tcW w:w="4468" w:type="dxa"/>
            <w:gridSpan w:val="3"/>
            <w:tcBorders>
              <w:top w:val="single" w:color="auto" w:sz="8" w:space="0"/>
              <w:tl2br w:val="nil"/>
              <w:tr2bl w:val="nil"/>
            </w:tcBorders>
            <w:vAlign w:val="center"/>
          </w:tcPr>
          <w:p w14:paraId="6C80D273">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产出</w:t>
            </w:r>
          </w:p>
        </w:tc>
      </w:tr>
      <w:tr w14:paraId="1359EF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84" w:type="dxa"/>
            <w:vMerge w:val="continue"/>
            <w:tcBorders>
              <w:tl2br w:val="nil"/>
              <w:tr2bl w:val="nil"/>
            </w:tcBorders>
            <w:vAlign w:val="center"/>
          </w:tcPr>
          <w:p w14:paraId="6DF7586C">
            <w:pPr>
              <w:widowControl w:val="0"/>
              <w:spacing w:line="320" w:lineRule="exact"/>
              <w:jc w:val="center"/>
              <w:rPr>
                <w:rFonts w:ascii="Times New Roman" w:hAnsi="Times New Roman" w:eastAsia="宋体" w:cs="Times New Roman"/>
                <w:b/>
                <w:caps w:val="0"/>
                <w:smallCaps w:val="0"/>
                <w:color w:val="auto"/>
                <w:spacing w:val="0"/>
                <w:sz w:val="21"/>
                <w:highlight w:val="none"/>
              </w:rPr>
            </w:pPr>
          </w:p>
        </w:tc>
        <w:tc>
          <w:tcPr>
            <w:tcW w:w="1276" w:type="dxa"/>
            <w:tcBorders>
              <w:tl2br w:val="nil"/>
              <w:tr2bl w:val="nil"/>
            </w:tcBorders>
            <w:vAlign w:val="center"/>
          </w:tcPr>
          <w:p w14:paraId="0CD902F3">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物料名称</w:t>
            </w:r>
          </w:p>
        </w:tc>
        <w:tc>
          <w:tcPr>
            <w:tcW w:w="1819" w:type="dxa"/>
            <w:tcBorders>
              <w:tl2br w:val="nil"/>
              <w:tr2bl w:val="nil"/>
            </w:tcBorders>
            <w:vAlign w:val="center"/>
          </w:tcPr>
          <w:p w14:paraId="688A3FCF">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数量（kg/a）</w:t>
            </w:r>
          </w:p>
        </w:tc>
        <w:tc>
          <w:tcPr>
            <w:tcW w:w="2717" w:type="dxa"/>
            <w:gridSpan w:val="2"/>
            <w:tcBorders>
              <w:tl2br w:val="nil"/>
              <w:tr2bl w:val="nil"/>
            </w:tcBorders>
            <w:vAlign w:val="center"/>
          </w:tcPr>
          <w:p w14:paraId="01EAB939">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物料名称</w:t>
            </w:r>
          </w:p>
        </w:tc>
        <w:tc>
          <w:tcPr>
            <w:tcW w:w="1751" w:type="dxa"/>
            <w:tcBorders>
              <w:tl2br w:val="nil"/>
              <w:tr2bl w:val="nil"/>
            </w:tcBorders>
            <w:vAlign w:val="center"/>
          </w:tcPr>
          <w:p w14:paraId="79AC24B5">
            <w:pPr>
              <w:widowControl w:val="0"/>
              <w:spacing w:line="320" w:lineRule="exact"/>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数量（kg/a）</w:t>
            </w:r>
          </w:p>
        </w:tc>
      </w:tr>
      <w:tr w14:paraId="24F9E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280D9B0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背电极镀膜</w:t>
            </w:r>
          </w:p>
        </w:tc>
        <w:tc>
          <w:tcPr>
            <w:tcW w:w="1276" w:type="dxa"/>
            <w:tcBorders>
              <w:tl2br w:val="nil"/>
              <w:tr2bl w:val="nil"/>
            </w:tcBorders>
            <w:vAlign w:val="center"/>
          </w:tcPr>
          <w:p w14:paraId="174C95D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819" w:type="dxa"/>
            <w:tcBorders>
              <w:tl2br w:val="nil"/>
              <w:tr2bl w:val="nil"/>
            </w:tcBorders>
            <w:vAlign w:val="center"/>
          </w:tcPr>
          <w:p w14:paraId="5D9F3D0B">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257.03</w:t>
            </w:r>
          </w:p>
        </w:tc>
        <w:tc>
          <w:tcPr>
            <w:tcW w:w="1299" w:type="dxa"/>
            <w:tcBorders>
              <w:tl2br w:val="nil"/>
              <w:tr2bl w:val="nil"/>
            </w:tcBorders>
            <w:vAlign w:val="center"/>
          </w:tcPr>
          <w:p w14:paraId="0BC9C9C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5EA01F5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4A24F627">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202.90</w:t>
            </w:r>
          </w:p>
        </w:tc>
      </w:tr>
      <w:tr w14:paraId="53A41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B9407E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F2AB5A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20AAF9F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tcBorders>
              <w:tl2br w:val="nil"/>
              <w:tr2bl w:val="nil"/>
            </w:tcBorders>
            <w:vAlign w:val="center"/>
          </w:tcPr>
          <w:p w14:paraId="497D0AB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废溅射板</w:t>
            </w:r>
          </w:p>
        </w:tc>
        <w:tc>
          <w:tcPr>
            <w:tcW w:w="1418" w:type="dxa"/>
            <w:tcBorders>
              <w:tl2br w:val="nil"/>
              <w:tr2bl w:val="nil"/>
            </w:tcBorders>
            <w:vAlign w:val="center"/>
          </w:tcPr>
          <w:p w14:paraId="0C92768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1EB940A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32.48</w:t>
            </w:r>
          </w:p>
        </w:tc>
      </w:tr>
      <w:tr w14:paraId="0BC5E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AC4017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E3E1F1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E9FFBE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tcBorders>
              <w:tl2br w:val="nil"/>
              <w:tr2bl w:val="nil"/>
            </w:tcBorders>
            <w:vAlign w:val="center"/>
          </w:tcPr>
          <w:p w14:paraId="1ABDB20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废靶材</w:t>
            </w:r>
          </w:p>
        </w:tc>
        <w:tc>
          <w:tcPr>
            <w:tcW w:w="1418" w:type="dxa"/>
            <w:tcBorders>
              <w:tl2br w:val="nil"/>
              <w:tr2bl w:val="nil"/>
            </w:tcBorders>
            <w:vAlign w:val="center"/>
          </w:tcPr>
          <w:p w14:paraId="4C85968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4086B4A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5.41</w:t>
            </w:r>
          </w:p>
        </w:tc>
      </w:tr>
      <w:tr w14:paraId="4F90E0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bottom w:val="single" w:color="auto" w:sz="8" w:space="0"/>
              <w:tl2br w:val="nil"/>
              <w:tr2bl w:val="nil"/>
            </w:tcBorders>
            <w:vAlign w:val="center"/>
          </w:tcPr>
          <w:p w14:paraId="479EDCF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bottom w:val="single" w:color="auto" w:sz="8" w:space="0"/>
              <w:tl2br w:val="nil"/>
              <w:tr2bl w:val="nil"/>
            </w:tcBorders>
            <w:vAlign w:val="center"/>
          </w:tcPr>
          <w:p w14:paraId="5952F2B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bottom w:val="single" w:color="auto" w:sz="8" w:space="0"/>
              <w:tl2br w:val="nil"/>
              <w:tr2bl w:val="nil"/>
            </w:tcBorders>
            <w:vAlign w:val="center"/>
          </w:tcPr>
          <w:p w14:paraId="740AA25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bottom w:val="single" w:color="auto" w:sz="8" w:space="0"/>
              <w:tl2br w:val="nil"/>
              <w:tr2bl w:val="nil"/>
            </w:tcBorders>
            <w:vAlign w:val="center"/>
          </w:tcPr>
          <w:p w14:paraId="0693DB3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bottom w:val="single" w:color="auto" w:sz="8" w:space="0"/>
              <w:tl2br w:val="nil"/>
              <w:tr2bl w:val="nil"/>
            </w:tcBorders>
            <w:vAlign w:val="center"/>
          </w:tcPr>
          <w:p w14:paraId="1321D40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bottom w:val="single" w:color="auto" w:sz="8" w:space="0"/>
              <w:tl2br w:val="nil"/>
              <w:tr2bl w:val="nil"/>
            </w:tcBorders>
            <w:vAlign w:val="center"/>
          </w:tcPr>
          <w:p w14:paraId="065CCE8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16.24</w:t>
            </w:r>
          </w:p>
        </w:tc>
      </w:tr>
      <w:tr w14:paraId="3FFFB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op w:val="single" w:color="auto" w:sz="8" w:space="0"/>
              <w:tl2br w:val="nil"/>
              <w:tr2bl w:val="nil"/>
            </w:tcBorders>
            <w:vAlign w:val="center"/>
          </w:tcPr>
          <w:p w14:paraId="259F8FB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op w:val="single" w:color="auto" w:sz="8" w:space="0"/>
              <w:tl2br w:val="nil"/>
              <w:tr2bl w:val="nil"/>
            </w:tcBorders>
            <w:vAlign w:val="center"/>
          </w:tcPr>
          <w:p w14:paraId="123F6AD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op w:val="single" w:color="auto" w:sz="8" w:space="0"/>
              <w:tl2br w:val="nil"/>
              <w:tr2bl w:val="nil"/>
            </w:tcBorders>
            <w:vAlign w:val="center"/>
          </w:tcPr>
          <w:p w14:paraId="71ED7E7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op w:val="single" w:color="auto" w:sz="8" w:space="0"/>
              <w:tl2br w:val="nil"/>
              <w:tr2bl w:val="nil"/>
            </w:tcBorders>
            <w:vAlign w:val="center"/>
          </w:tcPr>
          <w:p w14:paraId="3E91652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op w:val="single" w:color="auto" w:sz="8" w:space="0"/>
              <w:tl2br w:val="nil"/>
              <w:tr2bl w:val="nil"/>
            </w:tcBorders>
            <w:vAlign w:val="center"/>
          </w:tcPr>
          <w:p w14:paraId="29C6CAE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op w:val="single" w:color="auto" w:sz="8" w:space="0"/>
              <w:tl2br w:val="nil"/>
              <w:tr2bl w:val="nil"/>
            </w:tcBorders>
            <w:vAlign w:val="center"/>
          </w:tcPr>
          <w:p w14:paraId="5CBA815D">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1.509</w:t>
            </w:r>
          </w:p>
        </w:tc>
      </w:tr>
      <w:tr w14:paraId="76C70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1D62EFF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0C9C389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1597BE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0C01CC9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519B291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548B8B8B">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14.731</w:t>
            </w:r>
          </w:p>
        </w:tc>
      </w:tr>
      <w:tr w14:paraId="304DF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14F5DE06">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P3激光刻线</w:t>
            </w:r>
          </w:p>
        </w:tc>
        <w:tc>
          <w:tcPr>
            <w:tcW w:w="1276" w:type="dxa"/>
            <w:tcBorders>
              <w:tl2br w:val="nil"/>
              <w:tr2bl w:val="nil"/>
            </w:tcBorders>
            <w:vAlign w:val="center"/>
          </w:tcPr>
          <w:p w14:paraId="69EA858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12344B46">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202.90</w:t>
            </w:r>
          </w:p>
        </w:tc>
        <w:tc>
          <w:tcPr>
            <w:tcW w:w="1299" w:type="dxa"/>
            <w:tcBorders>
              <w:tl2br w:val="nil"/>
              <w:tr2bl w:val="nil"/>
            </w:tcBorders>
            <w:vAlign w:val="center"/>
          </w:tcPr>
          <w:p w14:paraId="5CADE32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1CA43C7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61006C10">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201.19</w:t>
            </w:r>
          </w:p>
        </w:tc>
      </w:tr>
      <w:tr w14:paraId="052A5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04E71AC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3E9E0AE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0EA65C3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011196E9">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5B00308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424A36B0">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1.71</w:t>
            </w:r>
          </w:p>
        </w:tc>
      </w:tr>
      <w:tr w14:paraId="55861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5E2808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ABCD75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27DCC4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7F6E1E2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11A1253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531ED0C5">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0.128</w:t>
            </w:r>
          </w:p>
        </w:tc>
      </w:tr>
      <w:tr w14:paraId="37CBB3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97AEC4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5AE8F6F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2524B70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6DFA750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224107C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12303A59">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1.582</w:t>
            </w:r>
          </w:p>
        </w:tc>
      </w:tr>
      <w:tr w14:paraId="32901F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5C60D8F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边缘处理</w:t>
            </w:r>
          </w:p>
        </w:tc>
        <w:tc>
          <w:tcPr>
            <w:tcW w:w="1276" w:type="dxa"/>
            <w:tcBorders>
              <w:tl2br w:val="nil"/>
              <w:tr2bl w:val="nil"/>
            </w:tcBorders>
            <w:vAlign w:val="center"/>
          </w:tcPr>
          <w:p w14:paraId="7D3041B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5A88DD30">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201.19</w:t>
            </w:r>
          </w:p>
        </w:tc>
        <w:tc>
          <w:tcPr>
            <w:tcW w:w="1299" w:type="dxa"/>
            <w:tcBorders>
              <w:tl2br w:val="nil"/>
              <w:tr2bl w:val="nil"/>
            </w:tcBorders>
            <w:vAlign w:val="center"/>
          </w:tcPr>
          <w:p w14:paraId="411AC48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56C109F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628F18D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197.21</w:t>
            </w:r>
          </w:p>
        </w:tc>
      </w:tr>
      <w:tr w14:paraId="13EC04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5E49F3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C18934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3B89E1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13D0EAC1">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12D3BC2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7174390C">
            <w:pPr>
              <w:widowControl w:val="0"/>
              <w:spacing w:line="320" w:lineRule="exact"/>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3.98</w:t>
            </w:r>
          </w:p>
        </w:tc>
      </w:tr>
      <w:tr w14:paraId="22ED25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71068C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1CEE50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7FF6362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2B041F8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29B0F07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17061F9A">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0.336</w:t>
            </w:r>
          </w:p>
        </w:tc>
      </w:tr>
      <w:tr w14:paraId="2AA51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7EF639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73BB1DE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4E31E41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60CF07E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5FBB70E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42E11DDA">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3.644</w:t>
            </w:r>
          </w:p>
        </w:tc>
      </w:tr>
      <w:tr w14:paraId="449EB5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570C42A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P5激光刻线</w:t>
            </w:r>
          </w:p>
        </w:tc>
        <w:tc>
          <w:tcPr>
            <w:tcW w:w="1276" w:type="dxa"/>
            <w:tcBorders>
              <w:tl2br w:val="nil"/>
              <w:tr2bl w:val="nil"/>
            </w:tcBorders>
            <w:vAlign w:val="center"/>
          </w:tcPr>
          <w:p w14:paraId="6DE63D4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08B5AE9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197.21</w:t>
            </w:r>
          </w:p>
        </w:tc>
        <w:tc>
          <w:tcPr>
            <w:tcW w:w="1299" w:type="dxa"/>
            <w:tcBorders>
              <w:tl2br w:val="nil"/>
              <w:tr2bl w:val="nil"/>
            </w:tcBorders>
            <w:vAlign w:val="center"/>
          </w:tcPr>
          <w:p w14:paraId="601DACD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236DD32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5B20C37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195.93</w:t>
            </w:r>
          </w:p>
        </w:tc>
      </w:tr>
      <w:tr w14:paraId="34E98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CD4308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3036EC5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1AB21D2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2BA0DB7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6BD95B0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33524D9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1.28</w:t>
            </w:r>
          </w:p>
        </w:tc>
      </w:tr>
      <w:tr w14:paraId="73CB69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FF2D79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A06556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628C09E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1918A17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068B00E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41B64098">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0.101</w:t>
            </w:r>
          </w:p>
        </w:tc>
      </w:tr>
      <w:tr w14:paraId="505CEA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60846EE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AFAE93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527EC53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736E4D4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24CC54C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3D862A28">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1.179</w:t>
            </w:r>
          </w:p>
        </w:tc>
      </w:tr>
      <w:tr w14:paraId="16EA44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6D37E71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P6激光刻线</w:t>
            </w:r>
          </w:p>
        </w:tc>
        <w:tc>
          <w:tcPr>
            <w:tcW w:w="1276" w:type="dxa"/>
            <w:tcBorders>
              <w:tl2br w:val="nil"/>
              <w:tr2bl w:val="nil"/>
            </w:tcBorders>
            <w:vAlign w:val="center"/>
          </w:tcPr>
          <w:p w14:paraId="55E623A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工序带入</w:t>
            </w:r>
          </w:p>
        </w:tc>
        <w:tc>
          <w:tcPr>
            <w:tcW w:w="1819" w:type="dxa"/>
            <w:tcBorders>
              <w:tl2br w:val="nil"/>
              <w:tr2bl w:val="nil"/>
            </w:tcBorders>
            <w:vAlign w:val="center"/>
          </w:tcPr>
          <w:p w14:paraId="68D02FE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195.93</w:t>
            </w:r>
          </w:p>
        </w:tc>
        <w:tc>
          <w:tcPr>
            <w:tcW w:w="1299" w:type="dxa"/>
            <w:tcBorders>
              <w:tl2br w:val="nil"/>
              <w:tr2bl w:val="nil"/>
            </w:tcBorders>
            <w:vAlign w:val="center"/>
          </w:tcPr>
          <w:p w14:paraId="546F3B4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产品</w:t>
            </w:r>
          </w:p>
        </w:tc>
        <w:tc>
          <w:tcPr>
            <w:tcW w:w="1418" w:type="dxa"/>
            <w:tcBorders>
              <w:tl2br w:val="nil"/>
              <w:tr2bl w:val="nil"/>
            </w:tcBorders>
            <w:vAlign w:val="center"/>
          </w:tcPr>
          <w:p w14:paraId="56373EA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4983DEF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195.507</w:t>
            </w:r>
          </w:p>
        </w:tc>
      </w:tr>
      <w:tr w14:paraId="71A2D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40A12C2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1939E07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2CE3AD7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restart"/>
            <w:tcBorders>
              <w:tl2br w:val="nil"/>
              <w:tr2bl w:val="nil"/>
            </w:tcBorders>
            <w:vAlign w:val="center"/>
          </w:tcPr>
          <w:p w14:paraId="4ED30E8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1418" w:type="dxa"/>
            <w:tcBorders>
              <w:tl2br w:val="nil"/>
              <w:tr2bl w:val="nil"/>
            </w:tcBorders>
            <w:vAlign w:val="center"/>
          </w:tcPr>
          <w:p w14:paraId="1C74B2A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Al</w:t>
            </w:r>
          </w:p>
        </w:tc>
        <w:tc>
          <w:tcPr>
            <w:tcW w:w="1751" w:type="dxa"/>
            <w:tcBorders>
              <w:tl2br w:val="nil"/>
              <w:tr2bl w:val="nil"/>
            </w:tcBorders>
            <w:vAlign w:val="center"/>
          </w:tcPr>
          <w:p w14:paraId="2352BCB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0.427</w:t>
            </w:r>
          </w:p>
        </w:tc>
      </w:tr>
      <w:tr w14:paraId="2546C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544BD1F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2160446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182F9B2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6F90121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7DBF2EF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其中：排放</w:t>
            </w:r>
          </w:p>
        </w:tc>
        <w:tc>
          <w:tcPr>
            <w:tcW w:w="1751" w:type="dxa"/>
            <w:tcBorders>
              <w:tl2br w:val="nil"/>
              <w:tr2bl w:val="nil"/>
            </w:tcBorders>
            <w:vAlign w:val="center"/>
          </w:tcPr>
          <w:p w14:paraId="76549DFE">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highlight w:val="none"/>
              </w:rPr>
              <w:t>0.0</w:t>
            </w:r>
            <w:r>
              <w:rPr>
                <w:rFonts w:hint="eastAsia" w:ascii="Times New Roman" w:hAnsi="Times New Roman" w:eastAsia="宋体" w:cs="Times New Roman"/>
                <w:caps w:val="0"/>
                <w:smallCaps w:val="0"/>
                <w:color w:val="auto"/>
                <w:spacing w:val="0"/>
                <w:sz w:val="21"/>
                <w:highlight w:val="none"/>
                <w:lang w:val="en-US" w:eastAsia="zh-CN"/>
              </w:rPr>
              <w:t>41</w:t>
            </w:r>
          </w:p>
        </w:tc>
      </w:tr>
      <w:tr w14:paraId="41FDF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0BB378C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76" w:type="dxa"/>
            <w:tcBorders>
              <w:tl2br w:val="nil"/>
              <w:tr2bl w:val="nil"/>
            </w:tcBorders>
            <w:vAlign w:val="center"/>
          </w:tcPr>
          <w:p w14:paraId="67CE1A8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819" w:type="dxa"/>
            <w:tcBorders>
              <w:tl2br w:val="nil"/>
              <w:tr2bl w:val="nil"/>
            </w:tcBorders>
            <w:vAlign w:val="center"/>
          </w:tcPr>
          <w:p w14:paraId="63FE478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299" w:type="dxa"/>
            <w:vMerge w:val="continue"/>
            <w:tcBorders>
              <w:tl2br w:val="nil"/>
              <w:tr2bl w:val="nil"/>
            </w:tcBorders>
            <w:vAlign w:val="center"/>
          </w:tcPr>
          <w:p w14:paraId="58CDE66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tl2br w:val="nil"/>
              <w:tr2bl w:val="nil"/>
            </w:tcBorders>
            <w:vAlign w:val="center"/>
          </w:tcPr>
          <w:p w14:paraId="7F2A8C1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收尘灰</w:t>
            </w:r>
          </w:p>
        </w:tc>
        <w:tc>
          <w:tcPr>
            <w:tcW w:w="1751" w:type="dxa"/>
            <w:tcBorders>
              <w:tl2br w:val="nil"/>
              <w:tr2bl w:val="nil"/>
            </w:tcBorders>
            <w:vAlign w:val="center"/>
          </w:tcPr>
          <w:p w14:paraId="73F1063B">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0.386</w:t>
            </w:r>
          </w:p>
        </w:tc>
      </w:tr>
      <w:tr w14:paraId="43AA8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0" w:type="dxa"/>
            <w:gridSpan w:val="2"/>
            <w:tcBorders>
              <w:bottom w:val="single" w:color="auto" w:sz="8" w:space="0"/>
              <w:tl2br w:val="nil"/>
              <w:tr2bl w:val="nil"/>
            </w:tcBorders>
            <w:vAlign w:val="center"/>
          </w:tcPr>
          <w:p w14:paraId="45AC511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成品</w:t>
            </w:r>
          </w:p>
        </w:tc>
        <w:tc>
          <w:tcPr>
            <w:tcW w:w="1819" w:type="dxa"/>
            <w:tcBorders>
              <w:bottom w:val="single" w:color="auto" w:sz="8" w:space="0"/>
              <w:tl2br w:val="nil"/>
              <w:tr2bl w:val="nil"/>
            </w:tcBorders>
            <w:vAlign w:val="center"/>
          </w:tcPr>
          <w:p w14:paraId="14FB692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195.507</w:t>
            </w:r>
          </w:p>
        </w:tc>
        <w:tc>
          <w:tcPr>
            <w:tcW w:w="1299" w:type="dxa"/>
            <w:tcBorders>
              <w:bottom w:val="single" w:color="auto" w:sz="8" w:space="0"/>
              <w:tl2br w:val="nil"/>
              <w:tr2bl w:val="nil"/>
            </w:tcBorders>
            <w:vAlign w:val="center"/>
          </w:tcPr>
          <w:p w14:paraId="3D6F69F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418" w:type="dxa"/>
            <w:tcBorders>
              <w:bottom w:val="single" w:color="auto" w:sz="8" w:space="0"/>
              <w:tl2br w:val="nil"/>
              <w:tr2bl w:val="nil"/>
            </w:tcBorders>
            <w:vAlign w:val="center"/>
          </w:tcPr>
          <w:p w14:paraId="42E0427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751" w:type="dxa"/>
            <w:tcBorders>
              <w:bottom w:val="single" w:color="auto" w:sz="8" w:space="0"/>
              <w:tl2br w:val="nil"/>
              <w:tr2bl w:val="nil"/>
            </w:tcBorders>
            <w:vAlign w:val="center"/>
          </w:tcPr>
          <w:p w14:paraId="61390019">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bl>
    <w:p w14:paraId="0C7674AA">
      <w:pPr>
        <w:widowControl w:val="0"/>
        <w:jc w:val="center"/>
        <w:rPr>
          <w:rFonts w:hint="eastAsia" w:ascii="Times New Roman" w:hAnsi="Times New Roman" w:eastAsia="宋体" w:cs="Times New Roman"/>
          <w:b/>
          <w:bCs/>
          <w:caps w:val="0"/>
          <w:smallCaps w:val="0"/>
          <w:color w:val="auto"/>
          <w:spacing w:val="0"/>
          <w:szCs w:val="24"/>
          <w:highlight w:val="none"/>
          <w:lang w:eastAsia="zh-CN"/>
        </w:rPr>
      </w:pPr>
      <w:r>
        <w:rPr>
          <w:rFonts w:hint="eastAsia" w:ascii="Times New Roman" w:hAnsi="Times New Roman" w:eastAsia="宋体" w:cs="Times New Roman"/>
          <w:b/>
          <w:bCs/>
          <w:caps w:val="0"/>
          <w:smallCaps w:val="0"/>
          <w:color w:val="auto"/>
          <w:spacing w:val="0"/>
          <w:szCs w:val="24"/>
          <w:highlight w:val="none"/>
          <w:lang w:eastAsia="zh-CN"/>
        </w:rPr>
        <w:drawing>
          <wp:inline distT="0" distB="0" distL="114300" distR="114300">
            <wp:extent cx="5755640" cy="7375525"/>
            <wp:effectExtent l="0" t="0" r="16510" b="15875"/>
            <wp:docPr id="119" name="图片 119" desc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Al"/>
                    <pic:cNvPicPr>
                      <a:picLocks noChangeAspect="1"/>
                    </pic:cNvPicPr>
                  </pic:nvPicPr>
                  <pic:blipFill>
                    <a:blip r:embed="rId52"/>
                    <a:stretch>
                      <a:fillRect/>
                    </a:stretch>
                  </pic:blipFill>
                  <pic:spPr>
                    <a:xfrm>
                      <a:off x="0" y="0"/>
                      <a:ext cx="5755640" cy="7375525"/>
                    </a:xfrm>
                    <a:prstGeom prst="rect">
                      <a:avLst/>
                    </a:prstGeom>
                  </pic:spPr>
                </pic:pic>
              </a:graphicData>
            </a:graphic>
          </wp:inline>
        </w:drawing>
      </w:r>
    </w:p>
    <w:p w14:paraId="1B116EA2">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图3.4-</w:t>
      </w:r>
      <w:r>
        <w:rPr>
          <w:rFonts w:hint="eastAsia" w:ascii="Times New Roman" w:hAnsi="Times New Roman" w:eastAsia="宋体" w:cs="Times New Roman"/>
          <w:b/>
          <w:bCs/>
          <w:caps w:val="0"/>
          <w:smallCaps w:val="0"/>
          <w:color w:val="auto"/>
          <w:spacing w:val="0"/>
          <w:szCs w:val="24"/>
          <w:highlight w:val="none"/>
        </w:rPr>
        <w:t>20</w:t>
      </w:r>
      <w:r>
        <w:rPr>
          <w:rFonts w:ascii="Times New Roman" w:hAnsi="Times New Roman" w:eastAsia="宋体" w:cs="Times New Roman"/>
          <w:b/>
          <w:bCs/>
          <w:caps w:val="0"/>
          <w:smallCaps w:val="0"/>
          <w:color w:val="auto"/>
          <w:spacing w:val="0"/>
          <w:szCs w:val="24"/>
          <w:highlight w:val="none"/>
        </w:rPr>
        <w:t>铝元素物料平衡图</w:t>
      </w:r>
    </w:p>
    <w:p w14:paraId="49629DC0">
      <w:pPr>
        <w:pStyle w:val="6"/>
        <w:widowControl w:val="0"/>
        <w:rPr>
          <w:rFonts w:eastAsia="宋体"/>
          <w:caps w:val="0"/>
          <w:smallCaps w:val="0"/>
          <w:color w:val="auto"/>
          <w:spacing w:val="0"/>
          <w:highlight w:val="none"/>
        </w:rPr>
      </w:pPr>
      <w:r>
        <w:rPr>
          <w:rFonts w:eastAsia="宋体"/>
          <w:caps w:val="0"/>
          <w:smallCaps w:val="0"/>
          <w:color w:val="auto"/>
          <w:spacing w:val="0"/>
          <w:highlight w:val="none"/>
        </w:rPr>
        <w:t>3.4.2.6锌平衡</w:t>
      </w:r>
    </w:p>
    <w:p w14:paraId="174EA862">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锌来自ZnTe膜层溅射所用原料ZnTe靶材，生产过程中大部分进入产品，少量锌在膜层溅射、P3激光刻线、边缘处理、透光组件P5刻线和</w:t>
      </w:r>
      <w:r>
        <w:rPr>
          <w:rFonts w:ascii="Times New Roman" w:hAnsi="Times New Roman" w:eastAsia="宋体" w:cs="Times New Roman"/>
          <w:caps w:val="0"/>
          <w:smallCaps w:val="0"/>
          <w:color w:val="auto"/>
          <w:spacing w:val="0"/>
          <w:kern w:val="0"/>
          <w:szCs w:val="24"/>
          <w:highlight w:val="none"/>
          <w:lang w:bidi="ar"/>
        </w:rPr>
        <w:t>异型组件P6激光刻线</w:t>
      </w:r>
      <w:r>
        <w:rPr>
          <w:rFonts w:ascii="Times New Roman" w:hAnsi="Times New Roman" w:eastAsia="宋体" w:cs="Times New Roman"/>
          <w:caps w:val="0"/>
          <w:smallCaps w:val="0"/>
          <w:color w:val="auto"/>
          <w:spacing w:val="0"/>
          <w:highlight w:val="none"/>
        </w:rPr>
        <w:t>等工序进入废气，其余全部以固废形式存在。</w:t>
      </w:r>
    </w:p>
    <w:p w14:paraId="3A632FB4">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根据建设单位提供技术资料和类比同类型生产企业，本工程物料平衡相关参数如下：</w:t>
      </w:r>
    </w:p>
    <w:p w14:paraId="4F1B2655">
      <w:pPr>
        <w:widowControl w:val="0"/>
        <w:spacing w:line="520" w:lineRule="exact"/>
        <w:ind w:firstLine="56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（1）膜层溅射</w:t>
      </w:r>
    </w:p>
    <w:p w14:paraId="650CE1A9">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ZnTe膜层溅射过程沉积40nmZnTe靶材，外购TCO玻璃基板412000片/年，单片沉积面积1.92m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，成品率为95%，ZnTe靶材密度为6340kg/m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。因此ZnTe沉积量为190.58kg/a，沉积率44.54%。</w:t>
      </w:r>
    </w:p>
    <w:p w14:paraId="0BA4ADFE">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未沉积的ZnTe部分随氩气抽出</w:t>
      </w:r>
      <w:r>
        <w:rPr>
          <w:rFonts w:hint="eastAsia" w:ascii="Times New Roman" w:hAnsi="Times New Roman" w:eastAsia="宋体" w:cs="Times New Roman"/>
          <w:caps w:val="0"/>
          <w:smallCaps w:val="0"/>
          <w:color w:val="auto"/>
          <w:spacing w:val="0"/>
          <w:kern w:val="0"/>
          <w:szCs w:val="24"/>
          <w:highlight w:val="none"/>
          <w:lang w:bidi="ar"/>
        </w:rPr>
        <w:t>进入H14过滤器收集过滤</w:t>
      </w:r>
      <w:r>
        <w:rPr>
          <w:rFonts w:ascii="Times New Roman" w:hAnsi="Times New Roman" w:eastAsia="宋体" w:cs="Times New Roman"/>
          <w:caps w:val="0"/>
          <w:smallCaps w:val="0"/>
          <w:color w:val="auto"/>
          <w:spacing w:val="0"/>
          <w:highlight w:val="none"/>
        </w:rPr>
        <w:t>，约占未沉积材料的30%，含ZnTe71.19kg/a；部分沉积在防溅射板表面，约占未沉积材料的60%，含ZnTe142.38kg/a；残余废靶材量约占未沉积材料10%，含ZnTe23.73kg/a。</w:t>
      </w:r>
    </w:p>
    <w:p w14:paraId="7A0FEE20">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（2）激光刻线</w:t>
      </w:r>
    </w:p>
    <w:p w14:paraId="5BE43EA8">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①P1激光刻线沿平行于短边的方向分割214个小单元，刻线宽度为50μm，总刻划面积5265.36m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。根据ZnTe层沉积厚度，P1激光刻线废气中包含ZnTe1.34kg/a。</w:t>
      </w:r>
    </w:p>
    <w:p w14:paraId="07863070">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②P2激光刻线沿平行于短边的方向分割214个小单元，刻线宽度为60μm，总刻划面积6318.43m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。根据ZnTe层沉积厚度，P2激光刻线废气中包含ZnTe1.60kg/a。</w:t>
      </w:r>
    </w:p>
    <w:p w14:paraId="7FB890B0">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③P3激光刻线沿平行于短边的方向分割214个小单元，刻线宽度为60μm，总刻划面积6318.43m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。根据ZnTe层沉积厚度，P3激光刻线废气中包含ZnTe1.60kg/a。</w:t>
      </w:r>
    </w:p>
    <w:p w14:paraId="44088CDA">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（3）边缘处理</w:t>
      </w:r>
    </w:p>
    <w:p w14:paraId="19DA4E7B">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边缘处理宽度约为10mm，总清除面积为14749.6m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。根据ZnTe靶材沉积厚度，边缘处理废气中包含ZnTe3.74kg/a。</w:t>
      </w:r>
    </w:p>
    <w:p w14:paraId="5EADA81D">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（4）透光组件P5激光刻线</w:t>
      </w:r>
    </w:p>
    <w:p w14:paraId="0AFA5933">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透光组件约占总产品方案的3%</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刻线面积为组件面积的20%</w:t>
      </w:r>
      <w:r>
        <w:rPr>
          <w:rFonts w:ascii="Times New Roman" w:hAnsi="Times New Roman" w:eastAsia="宋体" w:cs="Times New Roman"/>
          <w:caps w:val="0"/>
          <w:smallCaps w:val="0"/>
          <w:color w:val="auto"/>
          <w:spacing w:val="0"/>
          <w:highlight w:val="none"/>
        </w:rPr>
        <w:t>。根据ZnTe靶材沉积厚度，</w:t>
      </w:r>
      <w:r>
        <w:rPr>
          <w:rFonts w:ascii="Times New Roman" w:hAnsi="Times New Roman" w:eastAsia="宋体" w:cs="Times New Roman"/>
          <w:caps w:val="0"/>
          <w:smallCaps w:val="0"/>
          <w:color w:val="auto"/>
          <w:spacing w:val="0"/>
          <w:kern w:val="0"/>
          <w:szCs w:val="24"/>
          <w:highlight w:val="none"/>
          <w:lang w:bidi="ar"/>
        </w:rPr>
        <w:t>透光组件P5刻线</w:t>
      </w:r>
      <w:r>
        <w:rPr>
          <w:rFonts w:ascii="Times New Roman" w:hAnsi="Times New Roman" w:eastAsia="宋体" w:cs="Times New Roman"/>
          <w:caps w:val="0"/>
          <w:smallCaps w:val="0"/>
          <w:color w:val="auto"/>
          <w:spacing w:val="0"/>
          <w:highlight w:val="none"/>
        </w:rPr>
        <w:t>废气中包含ZnTe1.20kg/a。</w:t>
      </w:r>
    </w:p>
    <w:p w14:paraId="1D5FCFC3">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（5）异型组件P6激光刻线</w:t>
      </w:r>
    </w:p>
    <w:p w14:paraId="5F5556C4">
      <w:pPr>
        <w:widowControl w:val="0"/>
        <w:spacing w:line="520" w:lineRule="exact"/>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异型组件约占总产品方案的2%</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kern w:val="0"/>
          <w:szCs w:val="24"/>
          <w:highlight w:val="none"/>
          <w:lang w:bidi="ar"/>
        </w:rPr>
        <w:t>刻线面积为组件面积的10%</w:t>
      </w:r>
      <w:r>
        <w:rPr>
          <w:rFonts w:ascii="Times New Roman" w:hAnsi="Times New Roman" w:eastAsia="宋体" w:cs="Times New Roman"/>
          <w:caps w:val="0"/>
          <w:smallCaps w:val="0"/>
          <w:color w:val="auto"/>
          <w:spacing w:val="0"/>
          <w:highlight w:val="none"/>
        </w:rPr>
        <w:t>。根据ZnTe靶材沉积厚度，</w:t>
      </w:r>
      <w:r>
        <w:rPr>
          <w:rFonts w:ascii="Times New Roman" w:hAnsi="Times New Roman" w:eastAsia="宋体" w:cs="Times New Roman"/>
          <w:caps w:val="0"/>
          <w:smallCaps w:val="0"/>
          <w:color w:val="auto"/>
          <w:spacing w:val="0"/>
          <w:kern w:val="0"/>
          <w:szCs w:val="24"/>
          <w:highlight w:val="none"/>
          <w:lang w:bidi="ar"/>
        </w:rPr>
        <w:t>透光组件P6刻线</w:t>
      </w:r>
      <w:r>
        <w:rPr>
          <w:rFonts w:ascii="Times New Roman" w:hAnsi="Times New Roman" w:eastAsia="宋体" w:cs="Times New Roman"/>
          <w:caps w:val="0"/>
          <w:smallCaps w:val="0"/>
          <w:color w:val="auto"/>
          <w:spacing w:val="0"/>
          <w:highlight w:val="none"/>
        </w:rPr>
        <w:t>废气中包含ZnTe0.401kg/a。</w:t>
      </w:r>
    </w:p>
    <w:p w14:paraId="760D8933">
      <w:pPr>
        <w:widowControl w:val="0"/>
        <w:spacing w:line="520" w:lineRule="exact"/>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综上钼平衡关系见下表和下图。</w:t>
      </w:r>
    </w:p>
    <w:p w14:paraId="6EDAAD1D">
      <w:pPr>
        <w:pStyle w:val="66"/>
        <w:widowControl w:val="0"/>
        <w:ind w:left="480"/>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表3.4-6锌元素平衡表</w:t>
      </w:r>
    </w:p>
    <w:tbl>
      <w:tblPr>
        <w:tblStyle w:val="3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70"/>
        <w:gridCol w:w="1121"/>
        <w:gridCol w:w="1281"/>
        <w:gridCol w:w="1388"/>
        <w:gridCol w:w="885"/>
        <w:gridCol w:w="931"/>
        <w:gridCol w:w="1328"/>
        <w:gridCol w:w="1282"/>
      </w:tblGrid>
      <w:tr w14:paraId="0871CF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op w:val="single" w:color="auto" w:sz="8" w:space="0"/>
              <w:tl2br w:val="nil"/>
              <w:tr2bl w:val="nil"/>
            </w:tcBorders>
            <w:shd w:val="clear" w:color="auto" w:fill="auto"/>
            <w:vAlign w:val="center"/>
          </w:tcPr>
          <w:p w14:paraId="3C877CAB">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工序</w:t>
            </w:r>
          </w:p>
        </w:tc>
        <w:tc>
          <w:tcPr>
            <w:tcW w:w="7150" w:type="dxa"/>
            <w:gridSpan w:val="3"/>
            <w:tcBorders>
              <w:top w:val="single" w:color="auto" w:sz="8" w:space="0"/>
              <w:tl2br w:val="nil"/>
              <w:tr2bl w:val="nil"/>
            </w:tcBorders>
            <w:shd w:val="clear" w:color="auto" w:fill="auto"/>
            <w:vAlign w:val="center"/>
          </w:tcPr>
          <w:p w14:paraId="126B4C3D">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投入</w:t>
            </w:r>
          </w:p>
        </w:tc>
        <w:tc>
          <w:tcPr>
            <w:tcW w:w="8439" w:type="dxa"/>
            <w:gridSpan w:val="4"/>
            <w:tcBorders>
              <w:top w:val="single" w:color="auto" w:sz="8" w:space="0"/>
              <w:tl2br w:val="nil"/>
              <w:tr2bl w:val="nil"/>
            </w:tcBorders>
            <w:shd w:val="clear" w:color="auto" w:fill="auto"/>
            <w:vAlign w:val="center"/>
          </w:tcPr>
          <w:p w14:paraId="563808C5">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产出</w:t>
            </w:r>
          </w:p>
        </w:tc>
      </w:tr>
      <w:tr w14:paraId="60EC73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275798FC">
            <w:pPr>
              <w:widowControl w:val="0"/>
              <w:jc w:val="center"/>
              <w:rPr>
                <w:rFonts w:ascii="Times New Roman" w:hAnsi="Times New Roman" w:eastAsia="宋体" w:cs="Times New Roman"/>
                <w:b/>
                <w:bCs/>
                <w:caps w:val="0"/>
                <w:smallCaps w:val="0"/>
                <w:color w:val="auto"/>
                <w:spacing w:val="0"/>
                <w:sz w:val="21"/>
                <w:highlight w:val="none"/>
              </w:rPr>
            </w:pPr>
          </w:p>
        </w:tc>
        <w:tc>
          <w:tcPr>
            <w:tcW w:w="2530" w:type="dxa"/>
            <w:tcBorders>
              <w:tl2br w:val="nil"/>
              <w:tr2bl w:val="nil"/>
            </w:tcBorders>
            <w:shd w:val="clear" w:color="auto" w:fill="auto"/>
            <w:vAlign w:val="center"/>
          </w:tcPr>
          <w:p w14:paraId="541DCA8B">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物料名称</w:t>
            </w:r>
          </w:p>
        </w:tc>
        <w:tc>
          <w:tcPr>
            <w:tcW w:w="2090" w:type="dxa"/>
            <w:tcBorders>
              <w:tl2br w:val="nil"/>
              <w:tr2bl w:val="nil"/>
            </w:tcBorders>
            <w:shd w:val="clear" w:color="auto" w:fill="auto"/>
            <w:vAlign w:val="center"/>
          </w:tcPr>
          <w:p w14:paraId="56D12C07">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数量（kg/a）</w:t>
            </w:r>
          </w:p>
        </w:tc>
        <w:tc>
          <w:tcPr>
            <w:tcW w:w="2530" w:type="dxa"/>
            <w:tcBorders>
              <w:tl2br w:val="nil"/>
              <w:tr2bl w:val="nil"/>
            </w:tcBorders>
            <w:shd w:val="clear" w:color="auto" w:fill="auto"/>
            <w:vAlign w:val="center"/>
          </w:tcPr>
          <w:p w14:paraId="016759DD">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折Zn（kg/a）</w:t>
            </w:r>
          </w:p>
        </w:tc>
        <w:tc>
          <w:tcPr>
            <w:tcW w:w="4066" w:type="dxa"/>
            <w:gridSpan w:val="2"/>
            <w:tcBorders>
              <w:tl2br w:val="nil"/>
              <w:tr2bl w:val="nil"/>
            </w:tcBorders>
            <w:shd w:val="clear" w:color="auto" w:fill="auto"/>
            <w:vAlign w:val="center"/>
          </w:tcPr>
          <w:p w14:paraId="08808E18">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物料名称</w:t>
            </w:r>
          </w:p>
        </w:tc>
        <w:tc>
          <w:tcPr>
            <w:tcW w:w="2283" w:type="dxa"/>
            <w:tcBorders>
              <w:tl2br w:val="nil"/>
              <w:tr2bl w:val="nil"/>
            </w:tcBorders>
            <w:shd w:val="clear" w:color="auto" w:fill="auto"/>
            <w:vAlign w:val="center"/>
          </w:tcPr>
          <w:p w14:paraId="66B0A2ED">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数量（kg/a）</w:t>
            </w:r>
          </w:p>
        </w:tc>
        <w:tc>
          <w:tcPr>
            <w:tcW w:w="2090" w:type="dxa"/>
            <w:tcBorders>
              <w:tl2br w:val="nil"/>
              <w:tr2bl w:val="nil"/>
            </w:tcBorders>
            <w:shd w:val="clear" w:color="auto" w:fill="auto"/>
            <w:vAlign w:val="center"/>
          </w:tcPr>
          <w:p w14:paraId="2765F733">
            <w:pPr>
              <w:widowControl w:val="0"/>
              <w:jc w:val="center"/>
              <w:textAlignment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lang w:bidi="ar"/>
              </w:rPr>
              <w:t>折Zn（kg/a）</w:t>
            </w:r>
          </w:p>
        </w:tc>
      </w:tr>
      <w:tr w14:paraId="2C873C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l2br w:val="nil"/>
              <w:tr2bl w:val="nil"/>
            </w:tcBorders>
            <w:shd w:val="clear" w:color="auto" w:fill="auto"/>
            <w:vAlign w:val="center"/>
          </w:tcPr>
          <w:p w14:paraId="25D0E2F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ZnTe膜层溅射</w:t>
            </w:r>
          </w:p>
        </w:tc>
        <w:tc>
          <w:tcPr>
            <w:tcW w:w="2530" w:type="dxa"/>
            <w:tcBorders>
              <w:tl2br w:val="nil"/>
              <w:tr2bl w:val="nil"/>
            </w:tcBorders>
            <w:shd w:val="clear" w:color="auto" w:fill="auto"/>
            <w:vAlign w:val="center"/>
          </w:tcPr>
          <w:p w14:paraId="76AA156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090" w:type="dxa"/>
            <w:tcBorders>
              <w:tl2br w:val="nil"/>
              <w:tr2bl w:val="nil"/>
            </w:tcBorders>
            <w:shd w:val="clear" w:color="auto" w:fill="auto"/>
            <w:vAlign w:val="center"/>
          </w:tcPr>
          <w:p w14:paraId="1EE7AE0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427.88</w:t>
            </w:r>
          </w:p>
        </w:tc>
        <w:tc>
          <w:tcPr>
            <w:tcW w:w="2530" w:type="dxa"/>
            <w:tcBorders>
              <w:tl2br w:val="nil"/>
              <w:tr2bl w:val="nil"/>
            </w:tcBorders>
            <w:shd w:val="clear" w:color="auto" w:fill="auto"/>
            <w:vAlign w:val="center"/>
          </w:tcPr>
          <w:p w14:paraId="4153263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144.99</w:t>
            </w:r>
          </w:p>
        </w:tc>
        <w:tc>
          <w:tcPr>
            <w:tcW w:w="2320" w:type="dxa"/>
            <w:tcBorders>
              <w:tl2br w:val="nil"/>
              <w:tr2bl w:val="nil"/>
            </w:tcBorders>
            <w:shd w:val="clear" w:color="auto" w:fill="auto"/>
            <w:vAlign w:val="center"/>
          </w:tcPr>
          <w:p w14:paraId="4C207A2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1746" w:type="dxa"/>
            <w:tcBorders>
              <w:tl2br w:val="nil"/>
              <w:tr2bl w:val="nil"/>
            </w:tcBorders>
            <w:shd w:val="clear" w:color="auto" w:fill="auto"/>
            <w:vAlign w:val="center"/>
          </w:tcPr>
          <w:p w14:paraId="072A572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4B1BC3B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190.58</w:t>
            </w:r>
          </w:p>
        </w:tc>
        <w:tc>
          <w:tcPr>
            <w:tcW w:w="2090" w:type="dxa"/>
            <w:tcBorders>
              <w:tl2br w:val="nil"/>
              <w:tr2bl w:val="nil"/>
            </w:tcBorders>
            <w:shd w:val="clear" w:color="auto" w:fill="auto"/>
            <w:vAlign w:val="center"/>
          </w:tcPr>
          <w:p w14:paraId="2500BE1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64.58</w:t>
            </w:r>
          </w:p>
        </w:tc>
      </w:tr>
      <w:tr w14:paraId="2F799B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776D476C">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2AE8847">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301434E7">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538D5F1F">
            <w:pPr>
              <w:widowControl w:val="0"/>
              <w:jc w:val="center"/>
              <w:rPr>
                <w:rFonts w:ascii="Times New Roman" w:hAnsi="Times New Roman" w:eastAsia="宋体" w:cs="Times New Roman"/>
                <w:caps w:val="0"/>
                <w:smallCaps w:val="0"/>
                <w:color w:val="auto"/>
                <w:spacing w:val="0"/>
                <w:sz w:val="21"/>
                <w:highlight w:val="none"/>
              </w:rPr>
            </w:pPr>
          </w:p>
        </w:tc>
        <w:tc>
          <w:tcPr>
            <w:tcW w:w="2320" w:type="dxa"/>
            <w:tcBorders>
              <w:tl2br w:val="nil"/>
              <w:tr2bl w:val="nil"/>
            </w:tcBorders>
            <w:shd w:val="clear" w:color="auto" w:fill="auto"/>
            <w:vAlign w:val="center"/>
          </w:tcPr>
          <w:p w14:paraId="137A954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防溅射板</w:t>
            </w:r>
          </w:p>
        </w:tc>
        <w:tc>
          <w:tcPr>
            <w:tcW w:w="1746" w:type="dxa"/>
            <w:tcBorders>
              <w:tl2br w:val="nil"/>
              <w:tr2bl w:val="nil"/>
            </w:tcBorders>
            <w:shd w:val="clear" w:color="auto" w:fill="auto"/>
            <w:vAlign w:val="center"/>
          </w:tcPr>
          <w:p w14:paraId="67B1356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0F3758E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142.38</w:t>
            </w:r>
          </w:p>
        </w:tc>
        <w:tc>
          <w:tcPr>
            <w:tcW w:w="2090" w:type="dxa"/>
            <w:tcBorders>
              <w:tl2br w:val="nil"/>
              <w:tr2bl w:val="nil"/>
            </w:tcBorders>
            <w:shd w:val="clear" w:color="auto" w:fill="auto"/>
            <w:vAlign w:val="center"/>
          </w:tcPr>
          <w:p w14:paraId="7B01B3E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48.25</w:t>
            </w:r>
          </w:p>
        </w:tc>
      </w:tr>
      <w:tr w14:paraId="2A7B54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15BFCFB5">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7DA4D81">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7BDB7BFB">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84C5A93">
            <w:pPr>
              <w:widowControl w:val="0"/>
              <w:jc w:val="center"/>
              <w:rPr>
                <w:rFonts w:ascii="Times New Roman" w:hAnsi="Times New Roman" w:eastAsia="宋体" w:cs="Times New Roman"/>
                <w:caps w:val="0"/>
                <w:smallCaps w:val="0"/>
                <w:color w:val="auto"/>
                <w:spacing w:val="0"/>
                <w:sz w:val="21"/>
                <w:highlight w:val="none"/>
              </w:rPr>
            </w:pPr>
          </w:p>
        </w:tc>
        <w:tc>
          <w:tcPr>
            <w:tcW w:w="2320" w:type="dxa"/>
            <w:tcBorders>
              <w:tl2br w:val="nil"/>
              <w:tr2bl w:val="nil"/>
            </w:tcBorders>
            <w:shd w:val="clear" w:color="auto" w:fill="auto"/>
            <w:vAlign w:val="center"/>
          </w:tcPr>
          <w:p w14:paraId="5BE4543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废靶材</w:t>
            </w:r>
          </w:p>
        </w:tc>
        <w:tc>
          <w:tcPr>
            <w:tcW w:w="1746" w:type="dxa"/>
            <w:tcBorders>
              <w:tl2br w:val="nil"/>
              <w:tr2bl w:val="nil"/>
            </w:tcBorders>
            <w:shd w:val="clear" w:color="auto" w:fill="auto"/>
            <w:vAlign w:val="center"/>
          </w:tcPr>
          <w:p w14:paraId="7404E41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5E4E633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23.73</w:t>
            </w:r>
          </w:p>
        </w:tc>
        <w:tc>
          <w:tcPr>
            <w:tcW w:w="2090" w:type="dxa"/>
            <w:tcBorders>
              <w:tl2br w:val="nil"/>
              <w:tr2bl w:val="nil"/>
            </w:tcBorders>
            <w:shd w:val="clear" w:color="auto" w:fill="auto"/>
            <w:vAlign w:val="center"/>
          </w:tcPr>
          <w:p w14:paraId="573FEB9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8.04</w:t>
            </w:r>
          </w:p>
        </w:tc>
      </w:tr>
      <w:tr w14:paraId="3DD1E5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3CCA26ED">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A44E883">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61D16183">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50657CD6">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704DA90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04786D9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23FEB2E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71.19</w:t>
            </w:r>
          </w:p>
        </w:tc>
        <w:tc>
          <w:tcPr>
            <w:tcW w:w="2090" w:type="dxa"/>
            <w:tcBorders>
              <w:tl2br w:val="nil"/>
              <w:tr2bl w:val="nil"/>
            </w:tcBorders>
            <w:shd w:val="clear" w:color="auto" w:fill="auto"/>
            <w:vAlign w:val="center"/>
          </w:tcPr>
          <w:p w14:paraId="10B7FFD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24.12</w:t>
            </w:r>
          </w:p>
        </w:tc>
      </w:tr>
      <w:tr w14:paraId="3CF71B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5ADF9C5A">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4989059">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781D2322">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06888C5">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4CEB5396">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463258A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17279D41">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6.471</w:t>
            </w:r>
          </w:p>
        </w:tc>
        <w:tc>
          <w:tcPr>
            <w:tcW w:w="2090" w:type="dxa"/>
            <w:tcBorders>
              <w:tl2br w:val="nil"/>
              <w:tr2bl w:val="nil"/>
            </w:tcBorders>
            <w:shd w:val="clear" w:color="auto" w:fill="auto"/>
            <w:vAlign w:val="center"/>
          </w:tcPr>
          <w:p w14:paraId="2D3E3A0E">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2.193</w:t>
            </w:r>
          </w:p>
        </w:tc>
      </w:tr>
      <w:tr w14:paraId="65627C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320" w:type="dxa"/>
            <w:vMerge w:val="continue"/>
            <w:tcBorders>
              <w:tl2br w:val="nil"/>
              <w:tr2bl w:val="nil"/>
            </w:tcBorders>
            <w:shd w:val="clear" w:color="auto" w:fill="auto"/>
            <w:vAlign w:val="center"/>
          </w:tcPr>
          <w:p w14:paraId="491FF413">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5F36A1F6">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22E4F665">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D778A66">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04A1B0F3">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3EB53EB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0F755AD6">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64.719</w:t>
            </w:r>
          </w:p>
        </w:tc>
        <w:tc>
          <w:tcPr>
            <w:tcW w:w="2090" w:type="dxa"/>
            <w:tcBorders>
              <w:tl2br w:val="nil"/>
              <w:tr2bl w:val="nil"/>
            </w:tcBorders>
            <w:shd w:val="clear" w:color="auto" w:fill="auto"/>
            <w:vAlign w:val="center"/>
          </w:tcPr>
          <w:p w14:paraId="5B19995F">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21.927</w:t>
            </w:r>
          </w:p>
        </w:tc>
      </w:tr>
      <w:tr w14:paraId="7A38CD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1BFDF81B">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6B7A0F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合计</w:t>
            </w:r>
          </w:p>
        </w:tc>
        <w:tc>
          <w:tcPr>
            <w:tcW w:w="2090" w:type="dxa"/>
            <w:tcBorders>
              <w:tl2br w:val="nil"/>
              <w:tr2bl w:val="nil"/>
            </w:tcBorders>
            <w:shd w:val="clear" w:color="auto" w:fill="auto"/>
            <w:vAlign w:val="center"/>
          </w:tcPr>
          <w:p w14:paraId="33D66FD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530" w:type="dxa"/>
            <w:tcBorders>
              <w:tl2br w:val="nil"/>
              <w:tr2bl w:val="nil"/>
            </w:tcBorders>
            <w:shd w:val="clear" w:color="auto" w:fill="auto"/>
            <w:vAlign w:val="center"/>
          </w:tcPr>
          <w:p w14:paraId="6FA95FD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144.99</w:t>
            </w:r>
          </w:p>
        </w:tc>
        <w:tc>
          <w:tcPr>
            <w:tcW w:w="4066" w:type="dxa"/>
            <w:gridSpan w:val="2"/>
            <w:tcBorders>
              <w:tl2br w:val="nil"/>
              <w:tr2bl w:val="nil"/>
            </w:tcBorders>
            <w:shd w:val="clear" w:color="auto" w:fill="auto"/>
            <w:vAlign w:val="center"/>
          </w:tcPr>
          <w:p w14:paraId="29C0E53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合计</w:t>
            </w:r>
          </w:p>
        </w:tc>
        <w:tc>
          <w:tcPr>
            <w:tcW w:w="2283" w:type="dxa"/>
            <w:tcBorders>
              <w:tl2br w:val="nil"/>
              <w:tr2bl w:val="nil"/>
            </w:tcBorders>
            <w:shd w:val="clear" w:color="auto" w:fill="auto"/>
            <w:vAlign w:val="center"/>
          </w:tcPr>
          <w:p w14:paraId="411562D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10C7551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144.99</w:t>
            </w:r>
          </w:p>
        </w:tc>
      </w:tr>
      <w:tr w14:paraId="490F9E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320" w:type="dxa"/>
            <w:vMerge w:val="restart"/>
            <w:tcBorders>
              <w:tl2br w:val="nil"/>
              <w:tr2bl w:val="nil"/>
            </w:tcBorders>
            <w:shd w:val="clear" w:color="auto" w:fill="auto"/>
            <w:vAlign w:val="center"/>
          </w:tcPr>
          <w:p w14:paraId="289D201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P1激光刻线</w:t>
            </w:r>
          </w:p>
        </w:tc>
        <w:tc>
          <w:tcPr>
            <w:tcW w:w="2530" w:type="dxa"/>
            <w:tcBorders>
              <w:tl2br w:val="nil"/>
              <w:tr2bl w:val="nil"/>
            </w:tcBorders>
            <w:shd w:val="clear" w:color="auto" w:fill="auto"/>
            <w:vAlign w:val="center"/>
          </w:tcPr>
          <w:p w14:paraId="724BF28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2090" w:type="dxa"/>
            <w:tcBorders>
              <w:tl2br w:val="nil"/>
              <w:tr2bl w:val="nil"/>
            </w:tcBorders>
            <w:shd w:val="clear" w:color="auto" w:fill="auto"/>
            <w:vAlign w:val="center"/>
          </w:tcPr>
          <w:p w14:paraId="43D3AAA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530" w:type="dxa"/>
            <w:tcBorders>
              <w:tl2br w:val="nil"/>
              <w:tr2bl w:val="nil"/>
            </w:tcBorders>
            <w:shd w:val="clear" w:color="auto" w:fill="auto"/>
            <w:vAlign w:val="center"/>
          </w:tcPr>
          <w:p w14:paraId="435EA02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64.58</w:t>
            </w:r>
          </w:p>
        </w:tc>
        <w:tc>
          <w:tcPr>
            <w:tcW w:w="4066" w:type="dxa"/>
            <w:gridSpan w:val="2"/>
            <w:tcBorders>
              <w:tl2br w:val="nil"/>
              <w:tr2bl w:val="nil"/>
            </w:tcBorders>
            <w:shd w:val="clear" w:color="auto" w:fill="auto"/>
            <w:vAlign w:val="center"/>
          </w:tcPr>
          <w:p w14:paraId="5858DA2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2283" w:type="dxa"/>
            <w:tcBorders>
              <w:tl2br w:val="nil"/>
              <w:tr2bl w:val="nil"/>
            </w:tcBorders>
            <w:shd w:val="clear" w:color="auto" w:fill="auto"/>
            <w:vAlign w:val="center"/>
          </w:tcPr>
          <w:p w14:paraId="124CC31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1BA1156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64.13</w:t>
            </w:r>
          </w:p>
        </w:tc>
      </w:tr>
      <w:tr w14:paraId="3935B3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002E1EE9">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8047024">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6FB3E28D">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143FD61">
            <w:pPr>
              <w:widowControl w:val="0"/>
              <w:jc w:val="center"/>
              <w:textAlignment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62CA85D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355A354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55C01FF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1.34</w:t>
            </w:r>
          </w:p>
        </w:tc>
        <w:tc>
          <w:tcPr>
            <w:tcW w:w="2090" w:type="dxa"/>
            <w:tcBorders>
              <w:tl2br w:val="nil"/>
              <w:tr2bl w:val="nil"/>
            </w:tcBorders>
            <w:shd w:val="clear" w:color="auto" w:fill="auto"/>
            <w:vAlign w:val="center"/>
          </w:tcPr>
          <w:p w14:paraId="638B2D5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0.4541</w:t>
            </w:r>
          </w:p>
        </w:tc>
      </w:tr>
      <w:tr w14:paraId="7971D7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77A8F8BE">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CFAA181">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7A04D187">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0787D094">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78158CC8">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2184F64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66041B7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5CF643AF">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0.0414</w:t>
            </w:r>
          </w:p>
        </w:tc>
      </w:tr>
      <w:tr w14:paraId="066876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320" w:type="dxa"/>
            <w:vMerge w:val="continue"/>
            <w:tcBorders>
              <w:tl2br w:val="nil"/>
              <w:tr2bl w:val="nil"/>
            </w:tcBorders>
            <w:shd w:val="clear" w:color="auto" w:fill="auto"/>
            <w:vAlign w:val="center"/>
          </w:tcPr>
          <w:p w14:paraId="36D28516">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9FE2A04">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7C12B576">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702512B">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7719A2D7">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385A0C4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7F3985F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5BB37503">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0.4127</w:t>
            </w:r>
          </w:p>
        </w:tc>
      </w:tr>
      <w:tr w14:paraId="709B9F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l2br w:val="nil"/>
              <w:tr2bl w:val="nil"/>
            </w:tcBorders>
            <w:shd w:val="clear" w:color="auto" w:fill="auto"/>
            <w:vAlign w:val="center"/>
          </w:tcPr>
          <w:p w14:paraId="1E7BCB6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P2激光刻线</w:t>
            </w:r>
          </w:p>
        </w:tc>
        <w:tc>
          <w:tcPr>
            <w:tcW w:w="2530" w:type="dxa"/>
            <w:tcBorders>
              <w:tl2br w:val="nil"/>
              <w:tr2bl w:val="nil"/>
            </w:tcBorders>
            <w:shd w:val="clear" w:color="auto" w:fill="auto"/>
            <w:vAlign w:val="center"/>
          </w:tcPr>
          <w:p w14:paraId="5D6D744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2090" w:type="dxa"/>
            <w:tcBorders>
              <w:tl2br w:val="nil"/>
              <w:tr2bl w:val="nil"/>
            </w:tcBorders>
            <w:shd w:val="clear" w:color="auto" w:fill="auto"/>
            <w:vAlign w:val="center"/>
          </w:tcPr>
          <w:p w14:paraId="25C3287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530" w:type="dxa"/>
            <w:tcBorders>
              <w:tl2br w:val="nil"/>
              <w:tr2bl w:val="nil"/>
            </w:tcBorders>
            <w:shd w:val="clear" w:color="auto" w:fill="auto"/>
            <w:vAlign w:val="center"/>
          </w:tcPr>
          <w:p w14:paraId="41B90A5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64.126</w:t>
            </w:r>
          </w:p>
        </w:tc>
        <w:tc>
          <w:tcPr>
            <w:tcW w:w="4066" w:type="dxa"/>
            <w:gridSpan w:val="2"/>
            <w:tcBorders>
              <w:tl2br w:val="nil"/>
              <w:tr2bl w:val="nil"/>
            </w:tcBorders>
            <w:shd w:val="clear" w:color="auto" w:fill="auto"/>
            <w:vAlign w:val="center"/>
          </w:tcPr>
          <w:p w14:paraId="5A28FBE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2283" w:type="dxa"/>
            <w:tcBorders>
              <w:tl2br w:val="nil"/>
              <w:tr2bl w:val="nil"/>
            </w:tcBorders>
            <w:shd w:val="clear" w:color="auto" w:fill="auto"/>
            <w:vAlign w:val="center"/>
          </w:tcPr>
          <w:p w14:paraId="6C80207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3175886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63.584</w:t>
            </w:r>
          </w:p>
        </w:tc>
      </w:tr>
      <w:tr w14:paraId="5629C6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320" w:type="dxa"/>
            <w:vMerge w:val="continue"/>
            <w:tcBorders>
              <w:tl2br w:val="nil"/>
              <w:tr2bl w:val="nil"/>
            </w:tcBorders>
            <w:shd w:val="clear" w:color="auto" w:fill="auto"/>
            <w:vAlign w:val="center"/>
          </w:tcPr>
          <w:p w14:paraId="7295F11A">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6D3712C">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222B651F">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4202CC70">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28DEF7D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61E249F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699A682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1.60</w:t>
            </w:r>
          </w:p>
        </w:tc>
        <w:tc>
          <w:tcPr>
            <w:tcW w:w="2090" w:type="dxa"/>
            <w:tcBorders>
              <w:tl2br w:val="nil"/>
              <w:tr2bl w:val="nil"/>
            </w:tcBorders>
            <w:shd w:val="clear" w:color="auto" w:fill="auto"/>
            <w:vAlign w:val="center"/>
          </w:tcPr>
          <w:p w14:paraId="1893D3B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0.542</w:t>
            </w:r>
          </w:p>
        </w:tc>
      </w:tr>
      <w:tr w14:paraId="77F50D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6C40534A">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EB91978">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3C91939C">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7180B9D">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343D44C2">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48A5AD1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68E2296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17C27BE6">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0.0</w:t>
            </w:r>
            <w:r>
              <w:rPr>
                <w:rFonts w:hint="eastAsia" w:ascii="Times New Roman" w:hAnsi="Times New Roman" w:eastAsia="宋体" w:cs="Times New Roman"/>
                <w:caps w:val="0"/>
                <w:smallCaps w:val="0"/>
                <w:color w:val="auto"/>
                <w:spacing w:val="0"/>
                <w:kern w:val="0"/>
                <w:sz w:val="21"/>
                <w:highlight w:val="none"/>
                <w:lang w:val="en-US" w:eastAsia="zh-CN" w:bidi="ar"/>
              </w:rPr>
              <w:t>42</w:t>
            </w:r>
          </w:p>
        </w:tc>
      </w:tr>
      <w:tr w14:paraId="0BE6DC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33897D90">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02C6643">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7E89213A">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1BF0995">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601391E4">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0FBEB73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4121B15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1F44746E">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0.500</w:t>
            </w:r>
          </w:p>
        </w:tc>
      </w:tr>
      <w:tr w14:paraId="74E173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l2br w:val="nil"/>
              <w:tr2bl w:val="nil"/>
            </w:tcBorders>
            <w:shd w:val="clear" w:color="auto" w:fill="auto"/>
            <w:vAlign w:val="center"/>
          </w:tcPr>
          <w:p w14:paraId="4C01FD5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P3激光刻线</w:t>
            </w:r>
          </w:p>
        </w:tc>
        <w:tc>
          <w:tcPr>
            <w:tcW w:w="2530" w:type="dxa"/>
            <w:tcBorders>
              <w:tl2br w:val="nil"/>
              <w:tr2bl w:val="nil"/>
            </w:tcBorders>
            <w:shd w:val="clear" w:color="auto" w:fill="auto"/>
            <w:vAlign w:val="center"/>
          </w:tcPr>
          <w:p w14:paraId="4D75654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2090" w:type="dxa"/>
            <w:tcBorders>
              <w:tl2br w:val="nil"/>
              <w:tr2bl w:val="nil"/>
            </w:tcBorders>
            <w:shd w:val="clear" w:color="auto" w:fill="auto"/>
            <w:vAlign w:val="center"/>
          </w:tcPr>
          <w:p w14:paraId="2AB9787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530" w:type="dxa"/>
            <w:tcBorders>
              <w:tl2br w:val="nil"/>
              <w:tr2bl w:val="nil"/>
            </w:tcBorders>
            <w:shd w:val="clear" w:color="auto" w:fill="auto"/>
            <w:vAlign w:val="center"/>
          </w:tcPr>
          <w:p w14:paraId="2C01281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63.584</w:t>
            </w:r>
          </w:p>
        </w:tc>
        <w:tc>
          <w:tcPr>
            <w:tcW w:w="4066" w:type="dxa"/>
            <w:gridSpan w:val="2"/>
            <w:tcBorders>
              <w:tl2br w:val="nil"/>
              <w:tr2bl w:val="nil"/>
            </w:tcBorders>
            <w:shd w:val="clear" w:color="auto" w:fill="auto"/>
            <w:vAlign w:val="center"/>
          </w:tcPr>
          <w:p w14:paraId="48256CB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2283" w:type="dxa"/>
            <w:tcBorders>
              <w:tl2br w:val="nil"/>
              <w:tr2bl w:val="nil"/>
            </w:tcBorders>
            <w:shd w:val="clear" w:color="auto" w:fill="auto"/>
            <w:vAlign w:val="center"/>
          </w:tcPr>
          <w:p w14:paraId="48860F3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00BF615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63.0415</w:t>
            </w:r>
          </w:p>
        </w:tc>
      </w:tr>
      <w:tr w14:paraId="3D69D3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60543542">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4D93FB7">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15334FEF">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50E2DD8">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23F3742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61D575C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3C07DB0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1.60</w:t>
            </w:r>
          </w:p>
        </w:tc>
        <w:tc>
          <w:tcPr>
            <w:tcW w:w="2090" w:type="dxa"/>
            <w:tcBorders>
              <w:tl2br w:val="nil"/>
              <w:tr2bl w:val="nil"/>
            </w:tcBorders>
            <w:shd w:val="clear" w:color="auto" w:fill="auto"/>
            <w:vAlign w:val="center"/>
          </w:tcPr>
          <w:p w14:paraId="4952193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0.542</w:t>
            </w:r>
          </w:p>
        </w:tc>
      </w:tr>
      <w:tr w14:paraId="714B71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2320" w:type="dxa"/>
            <w:vMerge w:val="continue"/>
            <w:tcBorders>
              <w:tl2br w:val="nil"/>
              <w:tr2bl w:val="nil"/>
            </w:tcBorders>
            <w:shd w:val="clear" w:color="auto" w:fill="auto"/>
            <w:vAlign w:val="center"/>
          </w:tcPr>
          <w:p w14:paraId="63D09DA7">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718DA8E9">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217BEA87">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98BD8B1">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115ABB31">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3462BC9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7769E60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3E635D7B">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0.0</w:t>
            </w:r>
            <w:r>
              <w:rPr>
                <w:rFonts w:hint="eastAsia" w:ascii="Times New Roman" w:hAnsi="Times New Roman" w:eastAsia="宋体" w:cs="Times New Roman"/>
                <w:caps w:val="0"/>
                <w:smallCaps w:val="0"/>
                <w:color w:val="auto"/>
                <w:spacing w:val="0"/>
                <w:kern w:val="0"/>
                <w:sz w:val="21"/>
                <w:highlight w:val="none"/>
                <w:lang w:val="en-US" w:eastAsia="zh-CN" w:bidi="ar"/>
              </w:rPr>
              <w:t>41</w:t>
            </w:r>
          </w:p>
        </w:tc>
      </w:tr>
      <w:tr w14:paraId="13B0B3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4CFEB5D7">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3B8540A">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268E2C15">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73101B10">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45F0F125">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070F4B7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5B61986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251F27A8">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0.5</w:t>
            </w:r>
            <w:r>
              <w:rPr>
                <w:rFonts w:hint="eastAsia" w:ascii="Times New Roman" w:hAnsi="Times New Roman" w:eastAsia="宋体" w:cs="Times New Roman"/>
                <w:caps w:val="0"/>
                <w:smallCaps w:val="0"/>
                <w:color w:val="auto"/>
                <w:spacing w:val="0"/>
                <w:kern w:val="0"/>
                <w:sz w:val="21"/>
                <w:highlight w:val="none"/>
                <w:lang w:val="en-US" w:eastAsia="zh-CN" w:bidi="ar"/>
              </w:rPr>
              <w:t>01</w:t>
            </w:r>
          </w:p>
        </w:tc>
      </w:tr>
      <w:tr w14:paraId="3962F4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l2br w:val="nil"/>
              <w:tr2bl w:val="nil"/>
            </w:tcBorders>
            <w:shd w:val="clear" w:color="auto" w:fill="auto"/>
            <w:vAlign w:val="center"/>
          </w:tcPr>
          <w:p w14:paraId="4DDDA26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边缘清理</w:t>
            </w:r>
          </w:p>
        </w:tc>
        <w:tc>
          <w:tcPr>
            <w:tcW w:w="2530" w:type="dxa"/>
            <w:tcBorders>
              <w:tl2br w:val="nil"/>
              <w:tr2bl w:val="nil"/>
            </w:tcBorders>
            <w:shd w:val="clear" w:color="auto" w:fill="auto"/>
            <w:vAlign w:val="center"/>
          </w:tcPr>
          <w:p w14:paraId="7458C6F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2090" w:type="dxa"/>
            <w:tcBorders>
              <w:tl2br w:val="nil"/>
              <w:tr2bl w:val="nil"/>
            </w:tcBorders>
            <w:shd w:val="clear" w:color="auto" w:fill="auto"/>
            <w:vAlign w:val="center"/>
          </w:tcPr>
          <w:p w14:paraId="5499FFF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530" w:type="dxa"/>
            <w:tcBorders>
              <w:tl2br w:val="nil"/>
              <w:tr2bl w:val="nil"/>
            </w:tcBorders>
            <w:shd w:val="clear" w:color="auto" w:fill="auto"/>
            <w:vAlign w:val="center"/>
          </w:tcPr>
          <w:p w14:paraId="5A6A856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63.0415</w:t>
            </w:r>
          </w:p>
        </w:tc>
        <w:tc>
          <w:tcPr>
            <w:tcW w:w="4066" w:type="dxa"/>
            <w:gridSpan w:val="2"/>
            <w:tcBorders>
              <w:tl2br w:val="nil"/>
              <w:tr2bl w:val="nil"/>
            </w:tcBorders>
            <w:shd w:val="clear" w:color="auto" w:fill="auto"/>
            <w:vAlign w:val="center"/>
          </w:tcPr>
          <w:p w14:paraId="53D45A6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2283" w:type="dxa"/>
            <w:tcBorders>
              <w:tl2br w:val="nil"/>
              <w:tr2bl w:val="nil"/>
            </w:tcBorders>
            <w:shd w:val="clear" w:color="auto" w:fill="auto"/>
            <w:vAlign w:val="center"/>
          </w:tcPr>
          <w:p w14:paraId="700159E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3C339F3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61.7742</w:t>
            </w:r>
          </w:p>
        </w:tc>
      </w:tr>
      <w:tr w14:paraId="619531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5E9CFD59">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0E1DC39F">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4A531C3A">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32335A7">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59860FE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13C1464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23C8523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3.74</w:t>
            </w:r>
          </w:p>
        </w:tc>
        <w:tc>
          <w:tcPr>
            <w:tcW w:w="2090" w:type="dxa"/>
            <w:tcBorders>
              <w:tl2br w:val="nil"/>
              <w:tr2bl w:val="nil"/>
            </w:tcBorders>
            <w:shd w:val="clear" w:color="auto" w:fill="auto"/>
            <w:vAlign w:val="center"/>
          </w:tcPr>
          <w:p w14:paraId="5951AF5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1.267</w:t>
            </w:r>
          </w:p>
        </w:tc>
      </w:tr>
      <w:tr w14:paraId="17CE01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7ADABE54">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51939A2C">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360618E3">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5C853676">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1C43EA09">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6F1115D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105BA9F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6B466C70">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107</w:t>
            </w:r>
          </w:p>
        </w:tc>
      </w:tr>
      <w:tr w14:paraId="0D123F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2C2B9DF5">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3187CD1">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6DDDBEAF">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05E7807">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1B5649FC">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70C9CED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097407E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0764C5AB">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1.160</w:t>
            </w:r>
          </w:p>
        </w:tc>
      </w:tr>
      <w:tr w14:paraId="27F15F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l2br w:val="nil"/>
              <w:tr2bl w:val="nil"/>
            </w:tcBorders>
            <w:shd w:val="clear" w:color="auto" w:fill="auto"/>
            <w:vAlign w:val="center"/>
          </w:tcPr>
          <w:p w14:paraId="60D0572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P5激光刻线</w:t>
            </w:r>
          </w:p>
        </w:tc>
        <w:tc>
          <w:tcPr>
            <w:tcW w:w="2530" w:type="dxa"/>
            <w:tcBorders>
              <w:tl2br w:val="nil"/>
              <w:tr2bl w:val="nil"/>
            </w:tcBorders>
            <w:shd w:val="clear" w:color="auto" w:fill="auto"/>
            <w:vAlign w:val="center"/>
          </w:tcPr>
          <w:p w14:paraId="471BC23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2090" w:type="dxa"/>
            <w:tcBorders>
              <w:tl2br w:val="nil"/>
              <w:tr2bl w:val="nil"/>
            </w:tcBorders>
            <w:shd w:val="clear" w:color="auto" w:fill="auto"/>
            <w:vAlign w:val="center"/>
          </w:tcPr>
          <w:p w14:paraId="160878AD">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176739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61.7742</w:t>
            </w:r>
          </w:p>
        </w:tc>
        <w:tc>
          <w:tcPr>
            <w:tcW w:w="4066" w:type="dxa"/>
            <w:gridSpan w:val="2"/>
            <w:tcBorders>
              <w:tl2br w:val="nil"/>
              <w:tr2bl w:val="nil"/>
            </w:tcBorders>
            <w:shd w:val="clear" w:color="auto" w:fill="auto"/>
            <w:vAlign w:val="center"/>
          </w:tcPr>
          <w:p w14:paraId="5970D81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2283" w:type="dxa"/>
            <w:tcBorders>
              <w:tl2br w:val="nil"/>
              <w:tr2bl w:val="nil"/>
            </w:tcBorders>
            <w:shd w:val="clear" w:color="auto" w:fill="auto"/>
            <w:vAlign w:val="center"/>
          </w:tcPr>
          <w:p w14:paraId="05379BD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1076B45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61.3675</w:t>
            </w:r>
          </w:p>
        </w:tc>
      </w:tr>
      <w:tr w14:paraId="327B0D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3E8B2408">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3D451B66">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2450E621">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1D642FE1">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5A38C8B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513E4D1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35E6C8E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w:t>
            </w:r>
          </w:p>
        </w:tc>
        <w:tc>
          <w:tcPr>
            <w:tcW w:w="2090" w:type="dxa"/>
            <w:tcBorders>
              <w:tl2br w:val="nil"/>
              <w:tr2bl w:val="nil"/>
            </w:tcBorders>
            <w:shd w:val="clear" w:color="auto" w:fill="auto"/>
            <w:vAlign w:val="center"/>
          </w:tcPr>
          <w:p w14:paraId="5CC8DA0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0.407</w:t>
            </w:r>
          </w:p>
        </w:tc>
      </w:tr>
      <w:tr w14:paraId="1C5C96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6DEDF43C">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7C52348E">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470E29B4">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8481DC8">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3A0339E1">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17B2159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794B2E8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35F21B78">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0.0</w:t>
            </w:r>
            <w:r>
              <w:rPr>
                <w:rFonts w:hint="eastAsia" w:ascii="Times New Roman" w:hAnsi="Times New Roman" w:eastAsia="宋体" w:cs="Times New Roman"/>
                <w:caps w:val="0"/>
                <w:smallCaps w:val="0"/>
                <w:color w:val="auto"/>
                <w:spacing w:val="0"/>
                <w:kern w:val="0"/>
                <w:sz w:val="21"/>
                <w:highlight w:val="none"/>
                <w:lang w:val="en-US" w:eastAsia="zh-CN" w:bidi="ar"/>
              </w:rPr>
              <w:t>32</w:t>
            </w:r>
          </w:p>
        </w:tc>
      </w:tr>
      <w:tr w14:paraId="005130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45B77EBB">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AB3789F">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445EC3BA">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47111E00">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1D1E6A40">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3D50F63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267C0CC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549354FA">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0.375</w:t>
            </w:r>
          </w:p>
        </w:tc>
      </w:tr>
      <w:tr w14:paraId="703BDD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restart"/>
            <w:tcBorders>
              <w:tl2br w:val="nil"/>
              <w:tr2bl w:val="nil"/>
            </w:tcBorders>
            <w:shd w:val="clear" w:color="auto" w:fill="auto"/>
            <w:vAlign w:val="center"/>
          </w:tcPr>
          <w:p w14:paraId="3DFA7F8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P6激光刻线</w:t>
            </w:r>
          </w:p>
        </w:tc>
        <w:tc>
          <w:tcPr>
            <w:tcW w:w="2530" w:type="dxa"/>
            <w:tcBorders>
              <w:tl2br w:val="nil"/>
              <w:tr2bl w:val="nil"/>
            </w:tcBorders>
            <w:shd w:val="clear" w:color="auto" w:fill="auto"/>
            <w:vAlign w:val="center"/>
          </w:tcPr>
          <w:p w14:paraId="3D6BFC8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工序带入</w:t>
            </w:r>
          </w:p>
        </w:tc>
        <w:tc>
          <w:tcPr>
            <w:tcW w:w="2090" w:type="dxa"/>
            <w:tcBorders>
              <w:tl2br w:val="nil"/>
              <w:tr2bl w:val="nil"/>
            </w:tcBorders>
            <w:shd w:val="clear" w:color="auto" w:fill="auto"/>
            <w:vAlign w:val="center"/>
          </w:tcPr>
          <w:p w14:paraId="31431F6F">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588B144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61.3675</w:t>
            </w:r>
          </w:p>
        </w:tc>
        <w:tc>
          <w:tcPr>
            <w:tcW w:w="4066" w:type="dxa"/>
            <w:gridSpan w:val="2"/>
            <w:tcBorders>
              <w:tl2br w:val="nil"/>
              <w:tr2bl w:val="nil"/>
            </w:tcBorders>
            <w:shd w:val="clear" w:color="auto" w:fill="auto"/>
            <w:vAlign w:val="center"/>
          </w:tcPr>
          <w:p w14:paraId="26A38EC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产品</w:t>
            </w:r>
          </w:p>
        </w:tc>
        <w:tc>
          <w:tcPr>
            <w:tcW w:w="2283" w:type="dxa"/>
            <w:tcBorders>
              <w:tl2br w:val="nil"/>
              <w:tr2bl w:val="nil"/>
            </w:tcBorders>
            <w:shd w:val="clear" w:color="auto" w:fill="auto"/>
            <w:vAlign w:val="center"/>
          </w:tcPr>
          <w:p w14:paraId="758B3EC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36304AA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61.2317</w:t>
            </w:r>
          </w:p>
        </w:tc>
      </w:tr>
      <w:tr w14:paraId="253525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634F9D1B">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027A007F">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036C92B5">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21A8F755">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restart"/>
            <w:tcBorders>
              <w:tl2br w:val="nil"/>
              <w:tr2bl w:val="nil"/>
            </w:tcBorders>
            <w:shd w:val="clear" w:color="auto" w:fill="auto"/>
            <w:vAlign w:val="center"/>
          </w:tcPr>
          <w:p w14:paraId="4C39B5C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废气</w:t>
            </w:r>
          </w:p>
        </w:tc>
        <w:tc>
          <w:tcPr>
            <w:tcW w:w="1746" w:type="dxa"/>
            <w:tcBorders>
              <w:tl2br w:val="nil"/>
              <w:tr2bl w:val="nil"/>
            </w:tcBorders>
            <w:shd w:val="clear" w:color="auto" w:fill="auto"/>
            <w:vAlign w:val="center"/>
          </w:tcPr>
          <w:p w14:paraId="4B48D12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w:t>
            </w:r>
          </w:p>
        </w:tc>
        <w:tc>
          <w:tcPr>
            <w:tcW w:w="2283" w:type="dxa"/>
            <w:tcBorders>
              <w:tl2br w:val="nil"/>
              <w:tr2bl w:val="nil"/>
            </w:tcBorders>
            <w:shd w:val="clear" w:color="auto" w:fill="auto"/>
            <w:vAlign w:val="center"/>
          </w:tcPr>
          <w:p w14:paraId="1E7DED4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0.401</w:t>
            </w:r>
          </w:p>
        </w:tc>
        <w:tc>
          <w:tcPr>
            <w:tcW w:w="2090" w:type="dxa"/>
            <w:tcBorders>
              <w:tl2br w:val="nil"/>
              <w:tr2bl w:val="nil"/>
            </w:tcBorders>
            <w:shd w:val="clear" w:color="auto" w:fill="auto"/>
            <w:vAlign w:val="center"/>
          </w:tcPr>
          <w:p w14:paraId="4C9DA0F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0.136</w:t>
            </w:r>
          </w:p>
        </w:tc>
      </w:tr>
      <w:tr w14:paraId="1B0653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1B9582CC">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64F4052B">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433197F6">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492D5375">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24C95858">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5A83CBC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其中：排放</w:t>
            </w:r>
          </w:p>
        </w:tc>
        <w:tc>
          <w:tcPr>
            <w:tcW w:w="2283" w:type="dxa"/>
            <w:tcBorders>
              <w:tl2br w:val="nil"/>
              <w:tr2bl w:val="nil"/>
            </w:tcBorders>
            <w:shd w:val="clear" w:color="auto" w:fill="auto"/>
            <w:vAlign w:val="center"/>
          </w:tcPr>
          <w:p w14:paraId="5AF4D96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5C601F2A">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0.0</w:t>
            </w:r>
            <w:r>
              <w:rPr>
                <w:rFonts w:hint="eastAsia" w:ascii="Times New Roman" w:hAnsi="Times New Roman" w:eastAsia="宋体" w:cs="Times New Roman"/>
                <w:caps w:val="0"/>
                <w:smallCaps w:val="0"/>
                <w:color w:val="auto"/>
                <w:spacing w:val="0"/>
                <w:kern w:val="0"/>
                <w:sz w:val="21"/>
                <w:highlight w:val="none"/>
                <w:lang w:val="en-US" w:eastAsia="zh-CN" w:bidi="ar"/>
              </w:rPr>
              <w:t>13</w:t>
            </w:r>
          </w:p>
        </w:tc>
      </w:tr>
      <w:tr w14:paraId="136F96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2320" w:type="dxa"/>
            <w:vMerge w:val="continue"/>
            <w:tcBorders>
              <w:tl2br w:val="nil"/>
              <w:tr2bl w:val="nil"/>
            </w:tcBorders>
            <w:shd w:val="clear" w:color="auto" w:fill="auto"/>
            <w:vAlign w:val="center"/>
          </w:tcPr>
          <w:p w14:paraId="7FF2C074">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7E795AA4">
            <w:pPr>
              <w:widowControl w:val="0"/>
              <w:jc w:val="center"/>
              <w:rPr>
                <w:rFonts w:ascii="Times New Roman" w:hAnsi="Times New Roman" w:eastAsia="宋体" w:cs="Times New Roman"/>
                <w:caps w:val="0"/>
                <w:smallCaps w:val="0"/>
                <w:color w:val="auto"/>
                <w:spacing w:val="0"/>
                <w:sz w:val="21"/>
                <w:highlight w:val="none"/>
              </w:rPr>
            </w:pPr>
          </w:p>
        </w:tc>
        <w:tc>
          <w:tcPr>
            <w:tcW w:w="2090" w:type="dxa"/>
            <w:tcBorders>
              <w:tl2br w:val="nil"/>
              <w:tr2bl w:val="nil"/>
            </w:tcBorders>
            <w:shd w:val="clear" w:color="auto" w:fill="auto"/>
            <w:vAlign w:val="center"/>
          </w:tcPr>
          <w:p w14:paraId="3F79CFDE">
            <w:pPr>
              <w:widowControl w:val="0"/>
              <w:jc w:val="center"/>
              <w:rPr>
                <w:rFonts w:ascii="Times New Roman" w:hAnsi="Times New Roman" w:eastAsia="宋体" w:cs="Times New Roman"/>
                <w:caps w:val="0"/>
                <w:smallCaps w:val="0"/>
                <w:color w:val="auto"/>
                <w:spacing w:val="0"/>
                <w:sz w:val="21"/>
                <w:highlight w:val="none"/>
              </w:rPr>
            </w:pPr>
          </w:p>
        </w:tc>
        <w:tc>
          <w:tcPr>
            <w:tcW w:w="2530" w:type="dxa"/>
            <w:tcBorders>
              <w:tl2br w:val="nil"/>
              <w:tr2bl w:val="nil"/>
            </w:tcBorders>
            <w:shd w:val="clear" w:color="auto" w:fill="auto"/>
            <w:vAlign w:val="center"/>
          </w:tcPr>
          <w:p w14:paraId="05FA35AD">
            <w:pPr>
              <w:widowControl w:val="0"/>
              <w:jc w:val="center"/>
              <w:rPr>
                <w:rFonts w:ascii="Times New Roman" w:hAnsi="Times New Roman" w:eastAsia="宋体" w:cs="Times New Roman"/>
                <w:caps w:val="0"/>
                <w:smallCaps w:val="0"/>
                <w:color w:val="auto"/>
                <w:spacing w:val="0"/>
                <w:sz w:val="21"/>
                <w:highlight w:val="none"/>
              </w:rPr>
            </w:pPr>
          </w:p>
        </w:tc>
        <w:tc>
          <w:tcPr>
            <w:tcW w:w="2320" w:type="dxa"/>
            <w:vMerge w:val="continue"/>
            <w:tcBorders>
              <w:tl2br w:val="nil"/>
              <w:tr2bl w:val="nil"/>
            </w:tcBorders>
            <w:shd w:val="clear" w:color="auto" w:fill="auto"/>
            <w:vAlign w:val="center"/>
          </w:tcPr>
          <w:p w14:paraId="352B1965">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tl2br w:val="nil"/>
              <w:tr2bl w:val="nil"/>
            </w:tcBorders>
            <w:shd w:val="clear" w:color="auto" w:fill="auto"/>
            <w:vAlign w:val="center"/>
          </w:tcPr>
          <w:p w14:paraId="5F49A55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收尘灰</w:t>
            </w:r>
          </w:p>
        </w:tc>
        <w:tc>
          <w:tcPr>
            <w:tcW w:w="2283" w:type="dxa"/>
            <w:tcBorders>
              <w:tl2br w:val="nil"/>
              <w:tr2bl w:val="nil"/>
            </w:tcBorders>
            <w:shd w:val="clear" w:color="auto" w:fill="auto"/>
            <w:vAlign w:val="center"/>
          </w:tcPr>
          <w:p w14:paraId="26D0F88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090" w:type="dxa"/>
            <w:tcBorders>
              <w:tl2br w:val="nil"/>
              <w:tr2bl w:val="nil"/>
            </w:tcBorders>
            <w:shd w:val="clear" w:color="auto" w:fill="auto"/>
            <w:vAlign w:val="center"/>
          </w:tcPr>
          <w:p w14:paraId="1F95C72A">
            <w:pPr>
              <w:widowControl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0.123</w:t>
            </w:r>
          </w:p>
        </w:tc>
      </w:tr>
      <w:tr w14:paraId="20090C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4850" w:type="dxa"/>
            <w:gridSpan w:val="2"/>
            <w:tcBorders>
              <w:bottom w:val="single" w:color="auto" w:sz="8" w:space="0"/>
              <w:tl2br w:val="nil"/>
              <w:tr2bl w:val="nil"/>
            </w:tcBorders>
            <w:shd w:val="clear" w:color="auto" w:fill="auto"/>
            <w:vAlign w:val="center"/>
          </w:tcPr>
          <w:p w14:paraId="01E50C6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成品</w:t>
            </w:r>
          </w:p>
        </w:tc>
        <w:tc>
          <w:tcPr>
            <w:tcW w:w="2090" w:type="dxa"/>
            <w:tcBorders>
              <w:bottom w:val="single" w:color="auto" w:sz="8" w:space="0"/>
              <w:tl2br w:val="nil"/>
              <w:tr2bl w:val="nil"/>
            </w:tcBorders>
            <w:shd w:val="clear" w:color="auto" w:fill="auto"/>
            <w:vAlign w:val="center"/>
          </w:tcPr>
          <w:p w14:paraId="71403BB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530" w:type="dxa"/>
            <w:tcBorders>
              <w:bottom w:val="single" w:color="auto" w:sz="8" w:space="0"/>
              <w:tl2br w:val="nil"/>
              <w:tr2bl w:val="nil"/>
            </w:tcBorders>
            <w:shd w:val="clear" w:color="auto" w:fill="auto"/>
            <w:vAlign w:val="center"/>
          </w:tcPr>
          <w:p w14:paraId="5A96AE4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61.2317</w:t>
            </w:r>
          </w:p>
        </w:tc>
        <w:tc>
          <w:tcPr>
            <w:tcW w:w="2320" w:type="dxa"/>
            <w:tcBorders>
              <w:bottom w:val="single" w:color="auto" w:sz="8" w:space="0"/>
              <w:tl2br w:val="nil"/>
              <w:tr2bl w:val="nil"/>
            </w:tcBorders>
            <w:shd w:val="clear" w:color="auto" w:fill="auto"/>
            <w:vAlign w:val="center"/>
          </w:tcPr>
          <w:p w14:paraId="384F056B">
            <w:pPr>
              <w:widowControl w:val="0"/>
              <w:jc w:val="center"/>
              <w:rPr>
                <w:rFonts w:ascii="Times New Roman" w:hAnsi="Times New Roman" w:eastAsia="宋体" w:cs="Times New Roman"/>
                <w:caps w:val="0"/>
                <w:smallCaps w:val="0"/>
                <w:color w:val="auto"/>
                <w:spacing w:val="0"/>
                <w:sz w:val="21"/>
                <w:highlight w:val="none"/>
              </w:rPr>
            </w:pPr>
          </w:p>
        </w:tc>
        <w:tc>
          <w:tcPr>
            <w:tcW w:w="1746" w:type="dxa"/>
            <w:tcBorders>
              <w:bottom w:val="single" w:color="auto" w:sz="8" w:space="0"/>
              <w:tl2br w:val="nil"/>
              <w:tr2bl w:val="nil"/>
            </w:tcBorders>
            <w:shd w:val="clear" w:color="auto" w:fill="auto"/>
            <w:vAlign w:val="center"/>
          </w:tcPr>
          <w:p w14:paraId="34D31DB6">
            <w:pPr>
              <w:widowControl w:val="0"/>
              <w:jc w:val="center"/>
              <w:rPr>
                <w:rFonts w:ascii="Times New Roman" w:hAnsi="Times New Roman" w:eastAsia="宋体" w:cs="Times New Roman"/>
                <w:caps w:val="0"/>
                <w:smallCaps w:val="0"/>
                <w:color w:val="auto"/>
                <w:spacing w:val="0"/>
                <w:sz w:val="21"/>
                <w:highlight w:val="none"/>
              </w:rPr>
            </w:pPr>
          </w:p>
        </w:tc>
        <w:tc>
          <w:tcPr>
            <w:tcW w:w="2283" w:type="dxa"/>
            <w:tcBorders>
              <w:bottom w:val="single" w:color="auto" w:sz="8" w:space="0"/>
              <w:tl2br w:val="nil"/>
              <w:tr2bl w:val="nil"/>
            </w:tcBorders>
            <w:shd w:val="clear" w:color="auto" w:fill="auto"/>
            <w:vAlign w:val="center"/>
          </w:tcPr>
          <w:p w14:paraId="495574BE">
            <w:pPr>
              <w:widowControl w:val="0"/>
              <w:jc w:val="center"/>
              <w:rPr>
                <w:rFonts w:ascii="Times New Roman" w:hAnsi="Times New Roman" w:eastAsia="宋体" w:cs="Times New Roman"/>
                <w:caps w:val="0"/>
                <w:smallCaps w:val="0"/>
                <w:color w:val="auto"/>
                <w:spacing w:val="0"/>
                <w:sz w:val="21"/>
                <w:highlight w:val="none"/>
              </w:rPr>
            </w:pPr>
          </w:p>
        </w:tc>
        <w:tc>
          <w:tcPr>
            <w:tcW w:w="0" w:type="auto"/>
            <w:tcBorders>
              <w:bottom w:val="single" w:color="auto" w:sz="8" w:space="0"/>
              <w:tl2br w:val="nil"/>
              <w:tr2bl w:val="nil"/>
            </w:tcBorders>
            <w:shd w:val="clear" w:color="auto" w:fill="auto"/>
            <w:noWrap/>
            <w:vAlign w:val="center"/>
          </w:tcPr>
          <w:p w14:paraId="1FE567DD">
            <w:pPr>
              <w:widowControl w:val="0"/>
              <w:rPr>
                <w:rFonts w:ascii="Times New Roman" w:hAnsi="Times New Roman" w:eastAsia="宋体" w:cs="Times New Roman"/>
                <w:caps w:val="0"/>
                <w:smallCaps w:val="0"/>
                <w:color w:val="auto"/>
                <w:spacing w:val="0"/>
                <w:sz w:val="22"/>
                <w:szCs w:val="22"/>
                <w:highlight w:val="none"/>
              </w:rPr>
            </w:pPr>
          </w:p>
        </w:tc>
      </w:tr>
    </w:tbl>
    <w:p w14:paraId="0F54B022">
      <w:pPr>
        <w:widowControl w:val="0"/>
        <w:jc w:val="center"/>
        <w:rPr>
          <w:rFonts w:hint="eastAsia" w:ascii="Times New Roman" w:hAnsi="Times New Roman" w:eastAsia="宋体" w:cs="Times New Roman"/>
          <w:b/>
          <w:bCs/>
          <w:caps w:val="0"/>
          <w:smallCaps w:val="0"/>
          <w:color w:val="auto"/>
          <w:spacing w:val="0"/>
          <w:szCs w:val="24"/>
          <w:highlight w:val="none"/>
          <w:lang w:eastAsia="zh-CN"/>
        </w:rPr>
      </w:pPr>
      <w:r>
        <w:rPr>
          <w:rFonts w:hint="eastAsia" w:ascii="Times New Roman" w:hAnsi="Times New Roman" w:eastAsia="宋体" w:cs="Times New Roman"/>
          <w:b/>
          <w:bCs/>
          <w:caps w:val="0"/>
          <w:smallCaps w:val="0"/>
          <w:color w:val="auto"/>
          <w:spacing w:val="0"/>
          <w:szCs w:val="24"/>
          <w:highlight w:val="none"/>
          <w:lang w:eastAsia="zh-CN"/>
        </w:rPr>
        <w:drawing>
          <wp:inline distT="0" distB="0" distL="114300" distR="114300">
            <wp:extent cx="4841875" cy="8460105"/>
            <wp:effectExtent l="0" t="0" r="15875" b="17145"/>
            <wp:docPr id="125" name="图片 125" descr="Z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Zn"/>
                    <pic:cNvPicPr>
                      <a:picLocks noChangeAspect="1"/>
                    </pic:cNvPicPr>
                  </pic:nvPicPr>
                  <pic:blipFill>
                    <a:blip r:embed="rId53"/>
                    <a:stretch>
                      <a:fillRect/>
                    </a:stretch>
                  </pic:blipFill>
                  <pic:spPr>
                    <a:xfrm>
                      <a:off x="0" y="0"/>
                      <a:ext cx="4841875" cy="8460105"/>
                    </a:xfrm>
                    <a:prstGeom prst="rect">
                      <a:avLst/>
                    </a:prstGeom>
                  </pic:spPr>
                </pic:pic>
              </a:graphicData>
            </a:graphic>
          </wp:inline>
        </w:drawing>
      </w:r>
    </w:p>
    <w:p w14:paraId="00BB3A83">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图3.4-2</w:t>
      </w:r>
      <w:r>
        <w:rPr>
          <w:rFonts w:hint="eastAsia" w:ascii="Times New Roman" w:hAnsi="Times New Roman" w:eastAsia="宋体" w:cs="Times New Roman"/>
          <w:b/>
          <w:bCs/>
          <w:caps w:val="0"/>
          <w:smallCaps w:val="0"/>
          <w:color w:val="auto"/>
          <w:spacing w:val="0"/>
          <w:szCs w:val="24"/>
          <w:highlight w:val="none"/>
        </w:rPr>
        <w:t>1</w:t>
      </w:r>
      <w:r>
        <w:rPr>
          <w:rFonts w:ascii="Times New Roman" w:hAnsi="Times New Roman" w:eastAsia="宋体" w:cs="Times New Roman"/>
          <w:b/>
          <w:bCs/>
          <w:caps w:val="0"/>
          <w:smallCaps w:val="0"/>
          <w:color w:val="auto"/>
          <w:spacing w:val="0"/>
          <w:szCs w:val="24"/>
          <w:highlight w:val="none"/>
        </w:rPr>
        <w:t>锌元素物料平衡图</w:t>
      </w:r>
    </w:p>
    <w:p w14:paraId="02DF1C81">
      <w:pPr>
        <w:widowControl w:val="0"/>
        <w:rPr>
          <w:rFonts w:ascii="Times New Roman" w:hAnsi="Times New Roman" w:eastAsia="宋体" w:cs="Times New Roman"/>
          <w:caps w:val="0"/>
          <w:smallCaps w:val="0"/>
          <w:color w:val="auto"/>
          <w:spacing w:val="0"/>
          <w:highlight w:val="none"/>
        </w:rPr>
      </w:pPr>
    </w:p>
    <w:p w14:paraId="72DF6D73">
      <w:pPr>
        <w:pStyle w:val="48"/>
        <w:rPr>
          <w:rFonts w:ascii="Times New Roman" w:cs="Times New Roman"/>
          <w:caps w:val="0"/>
          <w:smallCaps w:val="0"/>
          <w:color w:val="auto"/>
          <w:spacing w:val="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529B12F0">
      <w:pPr>
        <w:pStyle w:val="4"/>
        <w:widowControl w:val="0"/>
        <w:rPr>
          <w:rFonts w:eastAsia="宋体"/>
          <w:caps w:val="0"/>
          <w:smallCaps w:val="0"/>
          <w:color w:val="auto"/>
          <w:spacing w:val="0"/>
          <w:highlight w:val="none"/>
        </w:rPr>
      </w:pPr>
      <w:bookmarkStart w:id="97" w:name="_Toc20387"/>
      <w:r>
        <w:rPr>
          <w:rFonts w:eastAsia="宋体"/>
          <w:caps w:val="0"/>
          <w:smallCaps w:val="0"/>
          <w:color w:val="auto"/>
          <w:spacing w:val="0"/>
          <w:highlight w:val="none"/>
        </w:rPr>
        <w:t>3.5污染分析</w:t>
      </w:r>
      <w:bookmarkEnd w:id="95"/>
      <w:bookmarkEnd w:id="97"/>
    </w:p>
    <w:p w14:paraId="78920874">
      <w:pPr>
        <w:pStyle w:val="5"/>
        <w:widowControl w:val="0"/>
        <w:rPr>
          <w:rFonts w:eastAsia="宋体"/>
          <w:caps w:val="0"/>
          <w:smallCaps w:val="0"/>
          <w:color w:val="auto"/>
          <w:spacing w:val="0"/>
          <w:sz w:val="30"/>
          <w:szCs w:val="30"/>
          <w:highlight w:val="none"/>
        </w:rPr>
      </w:pPr>
      <w:bookmarkStart w:id="98" w:name="_Toc477951957"/>
      <w:bookmarkStart w:id="99" w:name="_Toc19752"/>
      <w:r>
        <w:rPr>
          <w:rFonts w:eastAsia="宋体"/>
          <w:caps w:val="0"/>
          <w:smallCaps w:val="0"/>
          <w:color w:val="auto"/>
          <w:spacing w:val="0"/>
          <w:sz w:val="30"/>
          <w:szCs w:val="30"/>
          <w:highlight w:val="none"/>
        </w:rPr>
        <w:t>3.5.1运营期污染分析</w:t>
      </w:r>
      <w:bookmarkEnd w:id="98"/>
      <w:bookmarkEnd w:id="99"/>
    </w:p>
    <w:p w14:paraId="573DB3CF">
      <w:pPr>
        <w:widowControl w:val="0"/>
        <w:spacing w:line="360" w:lineRule="auto"/>
        <w:ind w:firstLine="480" w:firstLineChars="200"/>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根据生产工艺可知，项目生产过程中的产污节点如下：</w:t>
      </w:r>
    </w:p>
    <w:p w14:paraId="177A3283">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表3.5-1项目产污环节及处理措施情况表</w:t>
      </w:r>
    </w:p>
    <w:tbl>
      <w:tblPr>
        <w:tblStyle w:val="3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5"/>
        <w:gridCol w:w="846"/>
        <w:gridCol w:w="1007"/>
        <w:gridCol w:w="1300"/>
        <w:gridCol w:w="3745"/>
        <w:gridCol w:w="1028"/>
        <w:gridCol w:w="926"/>
      </w:tblGrid>
      <w:tr w14:paraId="563A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blHeader/>
          <w:jc w:val="center"/>
        </w:trPr>
        <w:tc>
          <w:tcPr>
            <w:tcW w:w="325" w:type="dxa"/>
            <w:tcBorders>
              <w:top w:val="single" w:color="auto" w:sz="8" w:space="0"/>
            </w:tcBorders>
            <w:tcMar>
              <w:left w:w="57" w:type="dxa"/>
              <w:right w:w="57" w:type="dxa"/>
            </w:tcMar>
            <w:vAlign w:val="center"/>
          </w:tcPr>
          <w:p w14:paraId="28526736">
            <w:pPr>
              <w:pStyle w:val="105"/>
              <w:widowControl w:val="0"/>
              <w:jc w:val="center"/>
              <w:rPr>
                <w:rFonts w:ascii="Times New Roman" w:hAnsi="Times New Roman" w:cs="Times New Roman"/>
                <w:b/>
                <w:bCs/>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类别</w:t>
            </w:r>
          </w:p>
        </w:tc>
        <w:tc>
          <w:tcPr>
            <w:tcW w:w="846" w:type="dxa"/>
            <w:tcBorders>
              <w:top w:val="single" w:color="auto" w:sz="8" w:space="0"/>
            </w:tcBorders>
            <w:tcMar>
              <w:left w:w="57" w:type="dxa"/>
              <w:right w:w="57" w:type="dxa"/>
            </w:tcMar>
            <w:vAlign w:val="center"/>
          </w:tcPr>
          <w:p w14:paraId="2E730469">
            <w:pPr>
              <w:pStyle w:val="105"/>
              <w:widowControl w:val="0"/>
              <w:jc w:val="center"/>
              <w:rPr>
                <w:rFonts w:hint="eastAsia" w:ascii="Times New Roman" w:hAnsi="Times New Roman" w:eastAsia="宋体" w:cs="Times New Roman"/>
                <w:b/>
                <w:bCs/>
                <w:caps w:val="0"/>
                <w:smallCaps w:val="0"/>
                <w:color w:val="auto"/>
                <w:spacing w:val="0"/>
                <w:sz w:val="21"/>
                <w:szCs w:val="21"/>
                <w:highlight w:val="none"/>
                <w:lang w:val="en-US" w:eastAsia="zh-CN"/>
              </w:rPr>
            </w:pPr>
            <w:r>
              <w:rPr>
                <w:rFonts w:hint="eastAsia" w:ascii="Times New Roman" w:hAnsi="Times New Roman" w:cs="Times New Roman"/>
                <w:b/>
                <w:bCs/>
                <w:caps w:val="0"/>
                <w:smallCaps w:val="0"/>
                <w:color w:val="auto"/>
                <w:spacing w:val="0"/>
                <w:sz w:val="21"/>
                <w:szCs w:val="21"/>
                <w:highlight w:val="none"/>
                <w:lang w:val="en-US" w:eastAsia="zh-CN"/>
              </w:rPr>
              <w:t>生产设施</w:t>
            </w:r>
          </w:p>
        </w:tc>
        <w:tc>
          <w:tcPr>
            <w:tcW w:w="1007" w:type="dxa"/>
            <w:tcBorders>
              <w:top w:val="single" w:color="auto" w:sz="8" w:space="0"/>
            </w:tcBorders>
            <w:tcMar>
              <w:left w:w="57" w:type="dxa"/>
              <w:right w:w="57" w:type="dxa"/>
            </w:tcMar>
            <w:vAlign w:val="center"/>
          </w:tcPr>
          <w:p w14:paraId="4B4AE8F5">
            <w:pPr>
              <w:pStyle w:val="105"/>
              <w:widowControl w:val="0"/>
              <w:jc w:val="center"/>
              <w:rPr>
                <w:rFonts w:ascii="Times New Roman" w:hAnsi="Times New Roman" w:cs="Times New Roman"/>
                <w:b/>
                <w:bCs/>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产污环节</w:t>
            </w:r>
          </w:p>
        </w:tc>
        <w:tc>
          <w:tcPr>
            <w:tcW w:w="1300" w:type="dxa"/>
            <w:tcBorders>
              <w:top w:val="single" w:color="auto" w:sz="8" w:space="0"/>
            </w:tcBorders>
            <w:tcMar>
              <w:left w:w="57" w:type="dxa"/>
              <w:right w:w="57" w:type="dxa"/>
            </w:tcMar>
            <w:vAlign w:val="center"/>
          </w:tcPr>
          <w:p w14:paraId="42AE2DA2">
            <w:pPr>
              <w:pStyle w:val="105"/>
              <w:widowControl w:val="0"/>
              <w:jc w:val="center"/>
              <w:rPr>
                <w:rFonts w:hint="default" w:ascii="Times New Roman" w:hAnsi="Times New Roman" w:eastAsia="宋体" w:cs="Times New Roman"/>
                <w:b/>
                <w:bCs/>
                <w:caps w:val="0"/>
                <w:smallCaps w:val="0"/>
                <w:color w:val="auto"/>
                <w:spacing w:val="0"/>
                <w:sz w:val="21"/>
                <w:highlight w:val="none"/>
                <w:lang w:val="en-US" w:eastAsia="zh-CN"/>
              </w:rPr>
            </w:pPr>
            <w:r>
              <w:rPr>
                <w:rFonts w:hint="eastAsia" w:ascii="Times New Roman" w:hAnsi="Times New Roman" w:cs="Times New Roman"/>
                <w:b/>
                <w:bCs/>
                <w:caps w:val="0"/>
                <w:smallCaps w:val="0"/>
                <w:color w:val="auto"/>
                <w:spacing w:val="0"/>
                <w:sz w:val="21"/>
                <w:szCs w:val="21"/>
                <w:highlight w:val="none"/>
                <w:lang w:val="en-US" w:eastAsia="zh-CN"/>
              </w:rPr>
              <w:t>污染物种类</w:t>
            </w:r>
          </w:p>
        </w:tc>
        <w:tc>
          <w:tcPr>
            <w:tcW w:w="3745" w:type="dxa"/>
            <w:tcBorders>
              <w:top w:val="single" w:color="auto" w:sz="8" w:space="0"/>
            </w:tcBorders>
            <w:tcMar>
              <w:left w:w="57" w:type="dxa"/>
              <w:right w:w="57" w:type="dxa"/>
            </w:tcMar>
            <w:vAlign w:val="center"/>
          </w:tcPr>
          <w:p w14:paraId="7C211029">
            <w:pPr>
              <w:pStyle w:val="105"/>
              <w:widowControl w:val="0"/>
              <w:jc w:val="center"/>
              <w:rPr>
                <w:rFonts w:ascii="Times New Roman" w:hAnsi="Times New Roman" w:cs="Times New Roman"/>
                <w:b/>
                <w:bCs/>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处理措施</w:t>
            </w:r>
          </w:p>
        </w:tc>
        <w:tc>
          <w:tcPr>
            <w:tcW w:w="1028" w:type="dxa"/>
            <w:tcBorders>
              <w:top w:val="single" w:color="auto" w:sz="8" w:space="0"/>
            </w:tcBorders>
            <w:tcMar>
              <w:left w:w="57" w:type="dxa"/>
              <w:right w:w="57" w:type="dxa"/>
            </w:tcMar>
            <w:vAlign w:val="center"/>
          </w:tcPr>
          <w:p w14:paraId="27CEB8CD">
            <w:pPr>
              <w:pStyle w:val="105"/>
              <w:widowControl w:val="0"/>
              <w:jc w:val="center"/>
              <w:rPr>
                <w:rFonts w:hint="default" w:ascii="Times New Roman" w:hAnsi="Times New Roman" w:eastAsia="宋体" w:cs="Times New Roman"/>
                <w:b/>
                <w:bCs/>
                <w:caps w:val="0"/>
                <w:smallCaps w:val="0"/>
                <w:color w:val="auto"/>
                <w:spacing w:val="0"/>
                <w:sz w:val="21"/>
                <w:szCs w:val="21"/>
                <w:highlight w:val="none"/>
                <w:lang w:val="en-US" w:eastAsia="zh-CN"/>
              </w:rPr>
            </w:pPr>
            <w:r>
              <w:rPr>
                <w:rFonts w:hint="eastAsia" w:ascii="Times New Roman" w:hAnsi="Times New Roman" w:cs="Times New Roman"/>
                <w:b/>
                <w:bCs/>
                <w:caps w:val="0"/>
                <w:smallCaps w:val="0"/>
                <w:color w:val="auto"/>
                <w:spacing w:val="0"/>
                <w:sz w:val="21"/>
                <w:szCs w:val="21"/>
                <w:highlight w:val="none"/>
                <w:lang w:val="en-US" w:eastAsia="zh-CN"/>
              </w:rPr>
              <w:t>是否为可行技术</w:t>
            </w:r>
          </w:p>
        </w:tc>
        <w:tc>
          <w:tcPr>
            <w:tcW w:w="926" w:type="dxa"/>
            <w:tcBorders>
              <w:top w:val="single" w:color="auto" w:sz="8" w:space="0"/>
            </w:tcBorders>
            <w:tcMar>
              <w:left w:w="57" w:type="dxa"/>
              <w:right w:w="57" w:type="dxa"/>
            </w:tcMar>
            <w:vAlign w:val="center"/>
          </w:tcPr>
          <w:p w14:paraId="4B1C457A">
            <w:pPr>
              <w:pStyle w:val="105"/>
              <w:widowControl w:val="0"/>
              <w:jc w:val="center"/>
              <w:rPr>
                <w:rFonts w:hint="eastAsia" w:ascii="Times New Roman" w:hAnsi="Times New Roman" w:eastAsia="宋体" w:cs="Times New Roman"/>
                <w:b/>
                <w:bCs/>
                <w:caps w:val="0"/>
                <w:smallCaps w:val="0"/>
                <w:color w:val="auto"/>
                <w:spacing w:val="0"/>
                <w:sz w:val="21"/>
                <w:szCs w:val="21"/>
                <w:highlight w:val="none"/>
                <w:lang w:val="en-US" w:eastAsia="zh-CN"/>
              </w:rPr>
            </w:pPr>
            <w:r>
              <w:rPr>
                <w:rFonts w:hint="eastAsia" w:ascii="Times New Roman" w:hAnsi="Times New Roman" w:cs="Times New Roman"/>
                <w:b/>
                <w:bCs/>
                <w:caps w:val="0"/>
                <w:smallCaps w:val="0"/>
                <w:color w:val="auto"/>
                <w:spacing w:val="0"/>
                <w:sz w:val="21"/>
                <w:szCs w:val="21"/>
                <w:highlight w:val="none"/>
                <w:lang w:val="en-US" w:eastAsia="zh-CN"/>
              </w:rPr>
              <w:t>排放口类型</w:t>
            </w:r>
          </w:p>
        </w:tc>
      </w:tr>
      <w:tr w14:paraId="784D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325" w:type="dxa"/>
            <w:vMerge w:val="restart"/>
            <w:tcMar>
              <w:left w:w="57" w:type="dxa"/>
              <w:right w:w="57" w:type="dxa"/>
            </w:tcMar>
            <w:vAlign w:val="center"/>
          </w:tcPr>
          <w:p w14:paraId="64A297C9">
            <w:pPr>
              <w:widowControl w:val="0"/>
              <w:spacing w:line="320" w:lineRule="exact"/>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w:t>
            </w:r>
          </w:p>
        </w:tc>
        <w:tc>
          <w:tcPr>
            <w:tcW w:w="846" w:type="dxa"/>
            <w:tcMar>
              <w:left w:w="57" w:type="dxa"/>
              <w:right w:w="57" w:type="dxa"/>
            </w:tcMar>
            <w:vAlign w:val="center"/>
          </w:tcPr>
          <w:p w14:paraId="58F83909">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CSS沉积镀膜设备</w:t>
            </w:r>
          </w:p>
        </w:tc>
        <w:tc>
          <w:tcPr>
            <w:tcW w:w="1007" w:type="dxa"/>
            <w:tcMar>
              <w:left w:w="57" w:type="dxa"/>
              <w:right w:w="57" w:type="dxa"/>
            </w:tcMar>
            <w:vAlign w:val="center"/>
          </w:tcPr>
          <w:p w14:paraId="605F76B8">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CSS镀膜废气G1</w:t>
            </w:r>
          </w:p>
        </w:tc>
        <w:tc>
          <w:tcPr>
            <w:tcW w:w="1300" w:type="dxa"/>
            <w:tcMar>
              <w:left w:w="57" w:type="dxa"/>
              <w:right w:w="57" w:type="dxa"/>
            </w:tcMar>
            <w:vAlign w:val="center"/>
          </w:tcPr>
          <w:p w14:paraId="2ECEE90E">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w:t>
            </w:r>
          </w:p>
        </w:tc>
        <w:tc>
          <w:tcPr>
            <w:tcW w:w="3745" w:type="dxa"/>
            <w:tcMar>
              <w:left w:w="57" w:type="dxa"/>
              <w:right w:w="57" w:type="dxa"/>
            </w:tcMar>
            <w:vAlign w:val="center"/>
          </w:tcPr>
          <w:p w14:paraId="428BAE71">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default" w:ascii="Times New Roman" w:hAnsi="Times New Roman" w:eastAsia="宋体" w:cs="Times New Roman"/>
                <w:caps w:val="0"/>
                <w:smallCaps w:val="0"/>
                <w:color w:val="auto"/>
                <w:spacing w:val="0"/>
                <w:kern w:val="0"/>
                <w:sz w:val="21"/>
                <w:szCs w:val="21"/>
                <w:highlight w:val="none"/>
                <w:lang w:val="en-US" w:eastAsia="zh-CN" w:bidi="ar"/>
              </w:rPr>
              <w:t>1</w:t>
            </w:r>
            <w:r>
              <w:rPr>
                <w:rFonts w:hint="eastAsia" w:ascii="Times New Roman" w:hAnsi="Times New Roman" w:eastAsia="宋体" w:cs="Times New Roman"/>
                <w:caps w:val="0"/>
                <w:smallCaps w:val="0"/>
                <w:color w:val="auto"/>
                <w:spacing w:val="0"/>
                <w:kern w:val="0"/>
                <w:sz w:val="21"/>
                <w:szCs w:val="21"/>
                <w:highlight w:val="none"/>
                <w:lang w:val="en-US" w:eastAsia="zh-CN" w:bidi="ar"/>
              </w:rPr>
              <w:t>套</w:t>
            </w:r>
            <w:r>
              <w:rPr>
                <w:rFonts w:hint="default" w:ascii="Times New Roman" w:hAnsi="Times New Roman" w:eastAsia="宋体" w:cs="Times New Roman"/>
                <w:caps w:val="0"/>
                <w:smallCaps w:val="0"/>
                <w:color w:val="auto"/>
                <w:spacing w:val="0"/>
                <w:kern w:val="0"/>
                <w:sz w:val="21"/>
                <w:szCs w:val="21"/>
                <w:highlight w:val="none"/>
                <w:lang w:val="en-US" w:eastAsia="zh-CN" w:bidi="ar"/>
              </w:rPr>
              <w:t>E12</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eastAsia="宋体" w:cs="Times New Roman"/>
                <w:caps w:val="0"/>
                <w:smallCaps w:val="0"/>
                <w:color w:val="auto"/>
                <w:spacing w:val="0"/>
                <w:sz w:val="21"/>
                <w:szCs w:val="21"/>
                <w:highlight w:val="none"/>
              </w:rPr>
              <w:t>+21m排气筒</w:t>
            </w:r>
            <w:r>
              <w:rPr>
                <w:rFonts w:ascii="Times New Roman" w:hAnsi="Times New Roman" w:eastAsia="宋体" w:cs="Times New Roman"/>
                <w:caps w:val="0"/>
                <w:smallCaps w:val="0"/>
                <w:color w:val="auto"/>
                <w:spacing w:val="0"/>
                <w:sz w:val="21"/>
                <w:highlight w:val="none"/>
              </w:rPr>
              <w:t>DA001</w:t>
            </w:r>
          </w:p>
        </w:tc>
        <w:tc>
          <w:tcPr>
            <w:tcW w:w="1028" w:type="dxa"/>
            <w:tcMar>
              <w:left w:w="57" w:type="dxa"/>
              <w:right w:w="57" w:type="dxa"/>
            </w:tcMar>
            <w:vAlign w:val="center"/>
          </w:tcPr>
          <w:p w14:paraId="318BBBD4">
            <w:pPr>
              <w:widowControl w:val="0"/>
              <w:spacing w:line="320" w:lineRule="exact"/>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0FA95ABE">
            <w:pPr>
              <w:widowControl w:val="0"/>
              <w:spacing w:line="320" w:lineRule="exact"/>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2A4A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1FE131B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51B39CEF">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活化炉</w:t>
            </w:r>
          </w:p>
        </w:tc>
        <w:tc>
          <w:tcPr>
            <w:tcW w:w="1007" w:type="dxa"/>
            <w:tcMar>
              <w:left w:w="57" w:type="dxa"/>
              <w:right w:w="57" w:type="dxa"/>
            </w:tcMar>
            <w:vAlign w:val="center"/>
          </w:tcPr>
          <w:p w14:paraId="707AA458">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活化层活化废气G2</w:t>
            </w:r>
          </w:p>
        </w:tc>
        <w:tc>
          <w:tcPr>
            <w:tcW w:w="1300" w:type="dxa"/>
            <w:tcMar>
              <w:left w:w="57" w:type="dxa"/>
              <w:right w:w="57" w:type="dxa"/>
            </w:tcMar>
            <w:vAlign w:val="center"/>
          </w:tcPr>
          <w:p w14:paraId="5B9D1E13">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粉尘（CdCl</w:t>
            </w:r>
            <w:r>
              <w:rPr>
                <w:rFonts w:ascii="Times New Roman" w:hAnsi="Times New Roman" w:eastAsia="宋体" w:cs="Times New Roman"/>
                <w:bCs/>
                <w:caps w:val="0"/>
                <w:smallCaps w:val="0"/>
                <w:color w:val="auto"/>
                <w:spacing w:val="0"/>
                <w:sz w:val="21"/>
                <w:highlight w:val="none"/>
                <w:vertAlign w:val="subscript"/>
              </w:rPr>
              <w:t>2</w:t>
            </w:r>
            <w:r>
              <w:rPr>
                <w:rFonts w:ascii="Times New Roman" w:hAnsi="Times New Roman" w:eastAsia="宋体" w:cs="Times New Roman"/>
                <w:bCs/>
                <w:caps w:val="0"/>
                <w:smallCaps w:val="0"/>
                <w:color w:val="auto"/>
                <w:spacing w:val="0"/>
                <w:sz w:val="21"/>
                <w:highlight w:val="none"/>
              </w:rPr>
              <w:t>）</w:t>
            </w:r>
          </w:p>
        </w:tc>
        <w:tc>
          <w:tcPr>
            <w:tcW w:w="3745" w:type="dxa"/>
            <w:tcMar>
              <w:left w:w="57" w:type="dxa"/>
              <w:right w:w="57" w:type="dxa"/>
            </w:tcMar>
            <w:vAlign w:val="center"/>
          </w:tcPr>
          <w:p w14:paraId="413C046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sz w:val="21"/>
                <w:szCs w:val="21"/>
                <w:highlight w:val="none"/>
                <w:lang w:val="en-US" w:eastAsia="zh-CN"/>
              </w:rPr>
              <w:t>+</w:t>
            </w:r>
            <w:r>
              <w:rPr>
                <w:rFonts w:hint="eastAsia" w:ascii="Times New Roman" w:hAnsi="Times New Roman" w:eastAsia="宋体" w:cs="Times New Roman"/>
                <w:caps w:val="0"/>
                <w:smallCaps w:val="0"/>
                <w:color w:val="auto"/>
                <w:spacing w:val="0"/>
                <w:sz w:val="21"/>
                <w:highlight w:val="none"/>
                <w:lang w:val="en-US" w:eastAsia="zh-CN"/>
              </w:rPr>
              <w:t>1套F7级过滤器+E10级高效离子过滤器+H14级高效过滤器</w:t>
            </w:r>
            <w:r>
              <w:rPr>
                <w:rFonts w:ascii="Times New Roman" w:hAnsi="Times New Roman" w:eastAsia="宋体" w:cs="Times New Roman"/>
                <w:caps w:val="0"/>
                <w:smallCaps w:val="0"/>
                <w:color w:val="auto"/>
                <w:spacing w:val="0"/>
                <w:sz w:val="21"/>
                <w:highlight w:val="none"/>
              </w:rPr>
              <w:t>+21m排气筒（DA001）</w:t>
            </w:r>
          </w:p>
        </w:tc>
        <w:tc>
          <w:tcPr>
            <w:tcW w:w="1028" w:type="dxa"/>
            <w:tcMar>
              <w:left w:w="57" w:type="dxa"/>
              <w:right w:w="57" w:type="dxa"/>
            </w:tcMar>
            <w:vAlign w:val="center"/>
          </w:tcPr>
          <w:p w14:paraId="47F7483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531A7D6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6E38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41E12C7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22E35E27">
            <w:pPr>
              <w:widowControl w:val="0"/>
              <w:spacing w:line="320" w:lineRule="exact"/>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bCs/>
                <w:caps w:val="0"/>
                <w:smallCaps w:val="0"/>
                <w:color w:val="auto"/>
                <w:spacing w:val="0"/>
                <w:sz w:val="21"/>
                <w:highlight w:val="none"/>
                <w:lang w:eastAsia="en-US"/>
              </w:rPr>
              <w:t>蚀刻机</w:t>
            </w:r>
          </w:p>
        </w:tc>
        <w:tc>
          <w:tcPr>
            <w:tcW w:w="1007" w:type="dxa"/>
            <w:tcMar>
              <w:left w:w="57" w:type="dxa"/>
              <w:right w:w="57" w:type="dxa"/>
            </w:tcMar>
            <w:vAlign w:val="center"/>
          </w:tcPr>
          <w:p w14:paraId="7A90DD37">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eastAsia="en-US"/>
              </w:rPr>
              <w:t>活化层清洗、蚀刻G</w:t>
            </w:r>
            <w:r>
              <w:rPr>
                <w:rFonts w:ascii="Times New Roman" w:hAnsi="Times New Roman" w:eastAsia="宋体" w:cs="Times New Roman"/>
                <w:caps w:val="0"/>
                <w:smallCaps w:val="0"/>
                <w:color w:val="auto"/>
                <w:spacing w:val="0"/>
                <w:sz w:val="21"/>
                <w:highlight w:val="none"/>
              </w:rPr>
              <w:t>3</w:t>
            </w:r>
          </w:p>
        </w:tc>
        <w:tc>
          <w:tcPr>
            <w:tcW w:w="1300" w:type="dxa"/>
            <w:tcMar>
              <w:left w:w="57" w:type="dxa"/>
              <w:right w:w="57" w:type="dxa"/>
            </w:tcMar>
            <w:vAlign w:val="center"/>
          </w:tcPr>
          <w:p w14:paraId="11FEEAD1">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硝酸雾、NO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、HCl</w:t>
            </w:r>
          </w:p>
        </w:tc>
        <w:tc>
          <w:tcPr>
            <w:tcW w:w="3745" w:type="dxa"/>
            <w:vMerge w:val="restart"/>
            <w:tcMar>
              <w:left w:w="57" w:type="dxa"/>
              <w:right w:w="57" w:type="dxa"/>
            </w:tcMar>
            <w:vAlign w:val="center"/>
          </w:tcPr>
          <w:p w14:paraId="7C1BD33A">
            <w:pPr>
              <w:widowControl w:val="0"/>
              <w:spacing w:line="320" w:lineRule="exact"/>
              <w:jc w:val="center"/>
              <w:rPr>
                <w:rFonts w:hint="eastAsia" w:ascii="Times New Roman" w:hAnsi="Times New Roman" w:eastAsia="宋体" w:cs="Times New Roman"/>
                <w:caps w:val="0"/>
                <w:smallCaps w:val="0"/>
                <w:color w:val="auto"/>
                <w:spacing w:val="0"/>
                <w:sz w:val="21"/>
                <w:szCs w:val="21"/>
                <w:highlight w:val="none"/>
                <w:lang w:eastAsia="zh-CN"/>
              </w:rPr>
            </w:pPr>
            <w:r>
              <w:rPr>
                <w:rFonts w:ascii="Times New Roman" w:hAnsi="Times New Roman" w:eastAsia="宋体" w:cs="Times New Roman"/>
                <w:caps w:val="0"/>
                <w:smallCaps w:val="0"/>
                <w:color w:val="auto"/>
                <w:spacing w:val="0"/>
                <w:sz w:val="21"/>
                <w:szCs w:val="21"/>
                <w:highlight w:val="none"/>
              </w:rPr>
              <w:t>二级碱液洗涤塔处理后+活性炭吸附+21m排气筒</w:t>
            </w:r>
            <w:r>
              <w:rPr>
                <w:rFonts w:ascii="Times New Roman" w:hAnsi="Times New Roman" w:eastAsia="宋体" w:cs="Times New Roman"/>
                <w:caps w:val="0"/>
                <w:smallCaps w:val="0"/>
                <w:color w:val="auto"/>
                <w:spacing w:val="0"/>
                <w:sz w:val="21"/>
                <w:szCs w:val="21"/>
                <w:highlight w:val="none"/>
              </w:rPr>
              <w:t>DA00</w:t>
            </w:r>
            <w:r>
              <w:rPr>
                <w:rFonts w:hint="eastAsia" w:ascii="Times New Roman" w:hAnsi="Times New Roman" w:eastAsia="宋体" w:cs="Times New Roman"/>
                <w:caps w:val="0"/>
                <w:smallCaps w:val="0"/>
                <w:color w:val="auto"/>
                <w:spacing w:val="0"/>
                <w:sz w:val="21"/>
                <w:szCs w:val="21"/>
                <w:highlight w:val="none"/>
                <w:lang w:val="en-US" w:eastAsia="zh-CN"/>
              </w:rPr>
              <w:t>8</w:t>
            </w:r>
          </w:p>
        </w:tc>
        <w:tc>
          <w:tcPr>
            <w:tcW w:w="1028" w:type="dxa"/>
            <w:vMerge w:val="restart"/>
            <w:tcMar>
              <w:left w:w="57" w:type="dxa"/>
              <w:right w:w="57" w:type="dxa"/>
            </w:tcMar>
            <w:vAlign w:val="center"/>
          </w:tcPr>
          <w:p w14:paraId="256B147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restart"/>
            <w:tcMar>
              <w:left w:w="57" w:type="dxa"/>
              <w:right w:w="57" w:type="dxa"/>
            </w:tcMar>
            <w:vAlign w:val="center"/>
          </w:tcPr>
          <w:p w14:paraId="01C13EC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2504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0D9662C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02833F1E">
            <w:pPr>
              <w:widowControl w:val="0"/>
              <w:spacing w:line="320" w:lineRule="exact"/>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污水处理站</w:t>
            </w:r>
          </w:p>
        </w:tc>
        <w:tc>
          <w:tcPr>
            <w:tcW w:w="1007" w:type="dxa"/>
            <w:tcMar>
              <w:left w:w="57" w:type="dxa"/>
              <w:right w:w="57" w:type="dxa"/>
            </w:tcMar>
            <w:vAlign w:val="center"/>
          </w:tcPr>
          <w:p w14:paraId="66D3BFA4">
            <w:pPr>
              <w:widowControl w:val="0"/>
              <w:spacing w:line="320" w:lineRule="exact"/>
              <w:jc w:val="center"/>
              <w:rPr>
                <w:rFonts w:ascii="Times New Roman" w:hAnsi="Times New Roman" w:eastAsia="宋体" w:cs="Times New Roman"/>
                <w:caps w:val="0"/>
                <w:smallCaps w:val="0"/>
                <w:color w:val="auto"/>
                <w:spacing w:val="0"/>
                <w:sz w:val="21"/>
                <w:highlight w:val="none"/>
                <w:lang w:eastAsia="en-US"/>
              </w:rPr>
            </w:pPr>
            <w:r>
              <w:rPr>
                <w:rFonts w:hint="eastAsia" w:ascii="Times New Roman" w:hAnsi="Times New Roman" w:eastAsia="宋体" w:cs="Times New Roman"/>
                <w:caps w:val="0"/>
                <w:smallCaps w:val="0"/>
                <w:color w:val="auto"/>
                <w:spacing w:val="0"/>
                <w:sz w:val="21"/>
                <w:highlight w:val="none"/>
              </w:rPr>
              <w:t>污水处理站废气</w:t>
            </w:r>
          </w:p>
        </w:tc>
        <w:tc>
          <w:tcPr>
            <w:tcW w:w="1300" w:type="dxa"/>
            <w:tcMar>
              <w:left w:w="57" w:type="dxa"/>
              <w:right w:w="57" w:type="dxa"/>
            </w:tcMar>
            <w:vAlign w:val="center"/>
          </w:tcPr>
          <w:p w14:paraId="40474F6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硫化氢、氨气、臭气浓度</w:t>
            </w:r>
          </w:p>
        </w:tc>
        <w:tc>
          <w:tcPr>
            <w:tcW w:w="3745" w:type="dxa"/>
            <w:vMerge w:val="continue"/>
            <w:tcMar>
              <w:left w:w="57" w:type="dxa"/>
              <w:right w:w="57" w:type="dxa"/>
            </w:tcMar>
            <w:vAlign w:val="center"/>
          </w:tcPr>
          <w:p w14:paraId="5DB63A0C">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p>
        </w:tc>
        <w:tc>
          <w:tcPr>
            <w:tcW w:w="1028" w:type="dxa"/>
            <w:vMerge w:val="continue"/>
            <w:tcMar>
              <w:left w:w="57" w:type="dxa"/>
              <w:right w:w="57" w:type="dxa"/>
            </w:tcMar>
            <w:vAlign w:val="center"/>
          </w:tcPr>
          <w:p w14:paraId="439C0EB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926" w:type="dxa"/>
            <w:vMerge w:val="continue"/>
            <w:tcMar>
              <w:left w:w="57" w:type="dxa"/>
              <w:right w:w="57" w:type="dxa"/>
            </w:tcMar>
            <w:vAlign w:val="center"/>
          </w:tcPr>
          <w:p w14:paraId="50F45AA4">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r w14:paraId="760F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6AB5DFA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shd w:val="clear" w:color="auto" w:fill="auto"/>
            <w:tcMar>
              <w:left w:w="57" w:type="dxa"/>
              <w:right w:w="57" w:type="dxa"/>
            </w:tcMar>
            <w:vAlign w:val="center"/>
          </w:tcPr>
          <w:p w14:paraId="030BD647">
            <w:pPr>
              <w:widowControl w:val="0"/>
              <w:spacing w:line="320" w:lineRule="exact"/>
              <w:jc w:val="center"/>
              <w:rPr>
                <w:rFonts w:hint="eastAsia" w:ascii="Times New Roman" w:hAnsi="Times New Roman" w:eastAsia="宋体" w:cs="Times New Roman"/>
                <w:bCs/>
                <w:caps w:val="0"/>
                <w:smallCaps w:val="0"/>
                <w:color w:val="auto"/>
                <w:spacing w:val="0"/>
                <w:sz w:val="21"/>
                <w:highlight w:val="none"/>
                <w:lang w:val="en-US" w:eastAsia="zh-CN"/>
              </w:rPr>
            </w:pPr>
            <w:r>
              <w:rPr>
                <w:rFonts w:ascii="Times New Roman" w:hAnsi="Times New Roman" w:eastAsia="宋体" w:cs="Times New Roman"/>
                <w:bCs/>
                <w:caps w:val="0"/>
                <w:smallCaps w:val="0"/>
                <w:color w:val="auto"/>
                <w:spacing w:val="0"/>
                <w:sz w:val="21"/>
                <w:highlight w:val="none"/>
              </w:rPr>
              <w:t>膜层溅射</w:t>
            </w:r>
            <w:r>
              <w:rPr>
                <w:rFonts w:hint="eastAsia" w:ascii="Times New Roman" w:hAnsi="Times New Roman" w:eastAsia="宋体" w:cs="Times New Roman"/>
                <w:bCs/>
                <w:caps w:val="0"/>
                <w:smallCaps w:val="0"/>
                <w:color w:val="auto"/>
                <w:spacing w:val="0"/>
                <w:sz w:val="21"/>
                <w:highlight w:val="none"/>
                <w:lang w:val="en-US" w:eastAsia="zh-CN"/>
              </w:rPr>
              <w:t>设备</w:t>
            </w:r>
          </w:p>
        </w:tc>
        <w:tc>
          <w:tcPr>
            <w:tcW w:w="1007" w:type="dxa"/>
            <w:shd w:val="clear" w:color="auto" w:fill="auto"/>
            <w:tcMar>
              <w:left w:w="57" w:type="dxa"/>
              <w:right w:w="57" w:type="dxa"/>
            </w:tcMar>
            <w:vAlign w:val="center"/>
          </w:tcPr>
          <w:p w14:paraId="54D7C8CE">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膜层溅射废气G4</w:t>
            </w:r>
          </w:p>
        </w:tc>
        <w:tc>
          <w:tcPr>
            <w:tcW w:w="1300" w:type="dxa"/>
            <w:shd w:val="clear" w:color="auto" w:fill="auto"/>
            <w:tcMar>
              <w:left w:w="57" w:type="dxa"/>
              <w:right w:w="57" w:type="dxa"/>
            </w:tcMar>
            <w:vAlign w:val="center"/>
          </w:tcPr>
          <w:p w14:paraId="434947A8">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粉尘（ZnTe）</w:t>
            </w:r>
          </w:p>
        </w:tc>
        <w:tc>
          <w:tcPr>
            <w:tcW w:w="3745" w:type="dxa"/>
            <w:tcMar>
              <w:left w:w="57" w:type="dxa"/>
              <w:right w:w="57" w:type="dxa"/>
            </w:tcMar>
            <w:vAlign w:val="center"/>
          </w:tcPr>
          <w:p w14:paraId="6041EBC6">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真空吸尘+H14级高效过滤器除尘+21m排气筒DA002</w:t>
            </w:r>
          </w:p>
        </w:tc>
        <w:tc>
          <w:tcPr>
            <w:tcW w:w="1028" w:type="dxa"/>
            <w:tcMar>
              <w:left w:w="57" w:type="dxa"/>
              <w:right w:w="57" w:type="dxa"/>
            </w:tcMar>
            <w:vAlign w:val="center"/>
          </w:tcPr>
          <w:p w14:paraId="25C863B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10715A8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16B8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793BFDAD">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330B15EB">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w:t>
            </w:r>
          </w:p>
        </w:tc>
        <w:tc>
          <w:tcPr>
            <w:tcW w:w="1007" w:type="dxa"/>
            <w:tcMar>
              <w:left w:w="57" w:type="dxa"/>
              <w:right w:w="57" w:type="dxa"/>
            </w:tcMar>
            <w:vAlign w:val="center"/>
          </w:tcPr>
          <w:p w14:paraId="21600E50">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激光刻划01废气</w:t>
            </w:r>
          </w:p>
          <w:p w14:paraId="5B76A49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（P1刻线废气）G5</w:t>
            </w:r>
          </w:p>
        </w:tc>
        <w:tc>
          <w:tcPr>
            <w:tcW w:w="1300" w:type="dxa"/>
            <w:tcMar>
              <w:left w:w="57" w:type="dxa"/>
              <w:right w:w="57" w:type="dxa"/>
            </w:tcMar>
            <w:vAlign w:val="center"/>
          </w:tcPr>
          <w:p w14:paraId="7D8DB85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粉尘（CdSe、CdTe、SnO</w:t>
            </w:r>
            <w:r>
              <w:rPr>
                <w:rFonts w:ascii="Times New Roman" w:hAnsi="Times New Roman" w:eastAsia="宋体" w:cs="Times New Roman"/>
                <w:bCs/>
                <w:caps w:val="0"/>
                <w:smallCaps w:val="0"/>
                <w:color w:val="auto"/>
                <w:spacing w:val="0"/>
                <w:sz w:val="21"/>
                <w:highlight w:val="none"/>
                <w:vertAlign w:val="subscript"/>
              </w:rPr>
              <w:t>2</w:t>
            </w:r>
            <w:r>
              <w:rPr>
                <w:rFonts w:ascii="Times New Roman" w:hAnsi="Times New Roman" w:eastAsia="宋体" w:cs="Times New Roman"/>
                <w:bCs/>
                <w:caps w:val="0"/>
                <w:smallCaps w:val="0"/>
                <w:color w:val="auto"/>
                <w:spacing w:val="0"/>
                <w:sz w:val="21"/>
                <w:highlight w:val="none"/>
              </w:rPr>
              <w:t>、ZnTe）</w:t>
            </w:r>
          </w:p>
        </w:tc>
        <w:tc>
          <w:tcPr>
            <w:tcW w:w="3745" w:type="dxa"/>
            <w:tcMar>
              <w:left w:w="57" w:type="dxa"/>
              <w:right w:w="57" w:type="dxa"/>
            </w:tcMar>
            <w:vAlign w:val="center"/>
          </w:tcPr>
          <w:p w14:paraId="67FF61D1">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ascii="Times New Roman" w:hAnsi="Times New Roman" w:eastAsia="宋体" w:cs="Times New Roman"/>
                <w:caps w:val="0"/>
                <w:smallCaps w:val="0"/>
                <w:color w:val="auto"/>
                <w:spacing w:val="0"/>
                <w:sz w:val="21"/>
                <w:szCs w:val="21"/>
                <w:highlight w:val="none"/>
              </w:rPr>
              <w:t>+21m排气筒DA001</w:t>
            </w:r>
          </w:p>
        </w:tc>
        <w:tc>
          <w:tcPr>
            <w:tcW w:w="1028" w:type="dxa"/>
            <w:tcMar>
              <w:left w:w="57" w:type="dxa"/>
              <w:right w:w="57" w:type="dxa"/>
            </w:tcMar>
            <w:vAlign w:val="center"/>
          </w:tcPr>
          <w:p w14:paraId="711530F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4F20C36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1620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47FD73C9">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33FB4109">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光刻胶处理系统</w:t>
            </w:r>
          </w:p>
        </w:tc>
        <w:tc>
          <w:tcPr>
            <w:tcW w:w="1007" w:type="dxa"/>
            <w:tcMar>
              <w:left w:w="57" w:type="dxa"/>
              <w:right w:w="57" w:type="dxa"/>
            </w:tcMar>
            <w:vAlign w:val="center"/>
          </w:tcPr>
          <w:p w14:paraId="3B4DA078">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光刻胶干燥曝光废气G6</w:t>
            </w:r>
          </w:p>
        </w:tc>
        <w:tc>
          <w:tcPr>
            <w:tcW w:w="1300" w:type="dxa"/>
            <w:tcMar>
              <w:left w:w="57" w:type="dxa"/>
              <w:right w:w="57" w:type="dxa"/>
            </w:tcMar>
            <w:vAlign w:val="center"/>
          </w:tcPr>
          <w:p w14:paraId="6C76676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非甲烷总烃</w:t>
            </w:r>
          </w:p>
        </w:tc>
        <w:tc>
          <w:tcPr>
            <w:tcW w:w="3745" w:type="dxa"/>
            <w:tcMar>
              <w:left w:w="57" w:type="dxa"/>
              <w:right w:w="57" w:type="dxa"/>
            </w:tcMar>
            <w:vAlign w:val="center"/>
          </w:tcPr>
          <w:p w14:paraId="41776719">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全封闭设备负压收集+二级活性炭吸附+21m排气筒DA007</w:t>
            </w:r>
          </w:p>
        </w:tc>
        <w:tc>
          <w:tcPr>
            <w:tcW w:w="1028" w:type="dxa"/>
            <w:tcMar>
              <w:left w:w="57" w:type="dxa"/>
              <w:right w:w="57" w:type="dxa"/>
            </w:tcMar>
            <w:vAlign w:val="center"/>
          </w:tcPr>
          <w:p w14:paraId="59EEB2B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3D69FEE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7443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4ECEEF98">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restart"/>
            <w:tcMar>
              <w:left w:w="57" w:type="dxa"/>
              <w:right w:w="57" w:type="dxa"/>
            </w:tcMar>
            <w:vAlign w:val="center"/>
          </w:tcPr>
          <w:p w14:paraId="0464AD75">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w:t>
            </w:r>
          </w:p>
        </w:tc>
        <w:tc>
          <w:tcPr>
            <w:tcW w:w="1007" w:type="dxa"/>
            <w:tcMar>
              <w:left w:w="57" w:type="dxa"/>
              <w:right w:w="57" w:type="dxa"/>
            </w:tcMar>
            <w:vAlign w:val="center"/>
          </w:tcPr>
          <w:p w14:paraId="779AAE83">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激光刻划02废气</w:t>
            </w:r>
          </w:p>
          <w:p w14:paraId="78577AB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（P2刻线废气）G7</w:t>
            </w:r>
          </w:p>
        </w:tc>
        <w:tc>
          <w:tcPr>
            <w:tcW w:w="1300" w:type="dxa"/>
            <w:tcMar>
              <w:left w:w="57" w:type="dxa"/>
              <w:right w:w="57" w:type="dxa"/>
            </w:tcMar>
            <w:vAlign w:val="center"/>
          </w:tcPr>
          <w:p w14:paraId="5294E2C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粉尘（CdSe、CdTe、ZnTe）</w:t>
            </w:r>
          </w:p>
        </w:tc>
        <w:tc>
          <w:tcPr>
            <w:tcW w:w="3745" w:type="dxa"/>
            <w:tcMar>
              <w:left w:w="57" w:type="dxa"/>
              <w:right w:w="57" w:type="dxa"/>
            </w:tcMar>
            <w:vAlign w:val="center"/>
          </w:tcPr>
          <w:p w14:paraId="1702C2C0">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ascii="Times New Roman" w:hAnsi="Times New Roman" w:eastAsia="宋体" w:cs="Times New Roman"/>
                <w:caps w:val="0"/>
                <w:smallCaps w:val="0"/>
                <w:color w:val="auto"/>
                <w:spacing w:val="0"/>
                <w:sz w:val="21"/>
                <w:szCs w:val="21"/>
                <w:highlight w:val="none"/>
              </w:rPr>
              <w:t>+21m排气筒DA003</w:t>
            </w:r>
          </w:p>
        </w:tc>
        <w:tc>
          <w:tcPr>
            <w:tcW w:w="1028" w:type="dxa"/>
            <w:tcMar>
              <w:left w:w="57" w:type="dxa"/>
              <w:right w:w="57" w:type="dxa"/>
            </w:tcMar>
            <w:vAlign w:val="center"/>
          </w:tcPr>
          <w:p w14:paraId="4FFC4CD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7AFA882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243C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6331D0B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continue"/>
            <w:shd w:val="clear" w:color="auto" w:fill="auto"/>
            <w:tcMar>
              <w:left w:w="57" w:type="dxa"/>
              <w:right w:w="57" w:type="dxa"/>
            </w:tcMar>
            <w:vAlign w:val="center"/>
          </w:tcPr>
          <w:p w14:paraId="13D44D8B">
            <w:pPr>
              <w:widowControl w:val="0"/>
              <w:spacing w:line="320" w:lineRule="exact"/>
              <w:jc w:val="center"/>
              <w:rPr>
                <w:rFonts w:ascii="Times New Roman" w:hAnsi="Times New Roman" w:eastAsia="宋体" w:cs="Times New Roman"/>
                <w:bCs/>
                <w:caps w:val="0"/>
                <w:smallCaps w:val="0"/>
                <w:color w:val="auto"/>
                <w:spacing w:val="0"/>
                <w:sz w:val="21"/>
                <w:highlight w:val="none"/>
              </w:rPr>
            </w:pPr>
          </w:p>
        </w:tc>
        <w:tc>
          <w:tcPr>
            <w:tcW w:w="1007" w:type="dxa"/>
            <w:shd w:val="clear" w:color="auto" w:fill="auto"/>
            <w:tcMar>
              <w:left w:w="57" w:type="dxa"/>
              <w:right w:w="57" w:type="dxa"/>
            </w:tcMar>
            <w:vAlign w:val="center"/>
          </w:tcPr>
          <w:p w14:paraId="1258BB23">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背电极磁控溅射废气G8</w:t>
            </w:r>
          </w:p>
        </w:tc>
        <w:tc>
          <w:tcPr>
            <w:tcW w:w="1300" w:type="dxa"/>
            <w:shd w:val="clear" w:color="auto" w:fill="auto"/>
            <w:tcMar>
              <w:left w:w="57" w:type="dxa"/>
              <w:right w:w="57" w:type="dxa"/>
            </w:tcMar>
            <w:vAlign w:val="center"/>
          </w:tcPr>
          <w:p w14:paraId="5966E4C7">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粉尘（Mo</w:t>
            </w:r>
            <w:r>
              <w:rPr>
                <w:rFonts w:ascii="Times New Roman" w:hAnsi="Times New Roman" w:eastAsia="宋体" w:cs="Times New Roman"/>
                <w:caps w:val="0"/>
                <w:smallCaps w:val="0"/>
                <w:color w:val="auto"/>
                <w:spacing w:val="0"/>
                <w:sz w:val="21"/>
                <w:highlight w:val="none"/>
                <w:lang w:eastAsia="en-US"/>
              </w:rPr>
              <w:t>、Al、Cr</w:t>
            </w:r>
            <w:r>
              <w:rPr>
                <w:rFonts w:ascii="Times New Roman" w:hAnsi="Times New Roman" w:eastAsia="宋体" w:cs="Times New Roman"/>
                <w:bCs/>
                <w:caps w:val="0"/>
                <w:smallCaps w:val="0"/>
                <w:color w:val="auto"/>
                <w:spacing w:val="0"/>
                <w:sz w:val="21"/>
                <w:highlight w:val="none"/>
              </w:rPr>
              <w:t>）</w:t>
            </w:r>
          </w:p>
        </w:tc>
        <w:tc>
          <w:tcPr>
            <w:tcW w:w="3745" w:type="dxa"/>
            <w:tcMar>
              <w:left w:w="57" w:type="dxa"/>
              <w:right w:w="57" w:type="dxa"/>
            </w:tcMar>
            <w:vAlign w:val="center"/>
          </w:tcPr>
          <w:p w14:paraId="6EEA75B8">
            <w:pPr>
              <w:widowControl w:val="0"/>
              <w:spacing w:line="320" w:lineRule="exact"/>
              <w:jc w:val="center"/>
              <w:rPr>
                <w:rFonts w:hint="eastAsia" w:ascii="Times New Roman" w:hAnsi="Times New Roman" w:eastAsia="宋体" w:cs="Times New Roman"/>
                <w:caps w:val="0"/>
                <w:smallCaps w:val="0"/>
                <w:color w:val="auto"/>
                <w:spacing w:val="0"/>
                <w:sz w:val="21"/>
                <w:szCs w:val="21"/>
                <w:highlight w:val="none"/>
                <w:lang w:eastAsia="zh-CN"/>
              </w:rPr>
            </w:pPr>
            <w:r>
              <w:rPr>
                <w:rFonts w:ascii="Times New Roman" w:hAnsi="Times New Roman" w:eastAsia="宋体" w:cs="Times New Roman"/>
                <w:caps w:val="0"/>
                <w:smallCaps w:val="0"/>
                <w:color w:val="auto"/>
                <w:spacing w:val="0"/>
                <w:sz w:val="21"/>
                <w:szCs w:val="21"/>
                <w:highlight w:val="none"/>
              </w:rPr>
              <w:t>真空吸尘+</w:t>
            </w:r>
            <w:r>
              <w:rPr>
                <w:rFonts w:ascii="Times New Roman" w:hAnsi="Times New Roman" w:eastAsia="宋体" w:cs="Times New Roman"/>
                <w:caps w:val="0"/>
                <w:smallCaps w:val="0"/>
                <w:color w:val="auto"/>
                <w:spacing w:val="0"/>
                <w:kern w:val="0"/>
                <w:sz w:val="21"/>
                <w:szCs w:val="21"/>
                <w:highlight w:val="none"/>
              </w:rPr>
              <w:t>1套H14级高效过滤器除尘器处理后</w:t>
            </w:r>
            <w:r>
              <w:rPr>
                <w:rFonts w:ascii="Times New Roman" w:hAnsi="Times New Roman" w:eastAsia="宋体" w:cs="Times New Roman"/>
                <w:caps w:val="0"/>
                <w:smallCaps w:val="0"/>
                <w:color w:val="auto"/>
                <w:spacing w:val="0"/>
                <w:sz w:val="21"/>
                <w:szCs w:val="21"/>
                <w:highlight w:val="none"/>
              </w:rPr>
              <w:t>+21m排气筒</w:t>
            </w:r>
            <w:r>
              <w:rPr>
                <w:rFonts w:ascii="Times New Roman" w:hAnsi="Times New Roman" w:eastAsia="宋体" w:cs="Times New Roman"/>
                <w:caps w:val="0"/>
                <w:smallCaps w:val="0"/>
                <w:color w:val="auto"/>
                <w:spacing w:val="0"/>
                <w:sz w:val="21"/>
                <w:szCs w:val="21"/>
                <w:highlight w:val="none"/>
              </w:rPr>
              <w:t>DA00</w:t>
            </w:r>
            <w:r>
              <w:rPr>
                <w:rFonts w:hint="eastAsia" w:ascii="Times New Roman" w:hAnsi="Times New Roman" w:eastAsia="宋体" w:cs="Times New Roman"/>
                <w:caps w:val="0"/>
                <w:smallCaps w:val="0"/>
                <w:color w:val="auto"/>
                <w:spacing w:val="0"/>
                <w:sz w:val="21"/>
                <w:szCs w:val="21"/>
                <w:highlight w:val="none"/>
                <w:lang w:val="en-US" w:eastAsia="zh-CN"/>
              </w:rPr>
              <w:t>5</w:t>
            </w:r>
          </w:p>
        </w:tc>
        <w:tc>
          <w:tcPr>
            <w:tcW w:w="1028" w:type="dxa"/>
            <w:tcMar>
              <w:left w:w="57" w:type="dxa"/>
              <w:right w:w="57" w:type="dxa"/>
            </w:tcMar>
            <w:vAlign w:val="center"/>
          </w:tcPr>
          <w:p w14:paraId="6475FC2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62E5392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7B95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18D7E85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continue"/>
            <w:tcMar>
              <w:left w:w="57" w:type="dxa"/>
              <w:right w:w="57" w:type="dxa"/>
            </w:tcMar>
            <w:vAlign w:val="center"/>
          </w:tcPr>
          <w:p w14:paraId="0440EEA3">
            <w:pPr>
              <w:widowControl w:val="0"/>
              <w:spacing w:line="320" w:lineRule="exact"/>
              <w:jc w:val="center"/>
              <w:rPr>
                <w:rFonts w:ascii="Times New Roman" w:hAnsi="Times New Roman" w:eastAsia="宋体" w:cs="Times New Roman"/>
                <w:bCs/>
                <w:caps w:val="0"/>
                <w:smallCaps w:val="0"/>
                <w:color w:val="auto"/>
                <w:spacing w:val="0"/>
                <w:sz w:val="21"/>
                <w:highlight w:val="none"/>
              </w:rPr>
            </w:pPr>
          </w:p>
        </w:tc>
        <w:tc>
          <w:tcPr>
            <w:tcW w:w="1007" w:type="dxa"/>
            <w:tcMar>
              <w:left w:w="57" w:type="dxa"/>
              <w:right w:w="57" w:type="dxa"/>
            </w:tcMar>
            <w:vAlign w:val="center"/>
          </w:tcPr>
          <w:p w14:paraId="1F4B1E0F">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激光刻划03废气</w:t>
            </w:r>
          </w:p>
          <w:p w14:paraId="65D6E84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（P3刻线废气）G9</w:t>
            </w:r>
          </w:p>
        </w:tc>
        <w:tc>
          <w:tcPr>
            <w:tcW w:w="1300" w:type="dxa"/>
            <w:tcMar>
              <w:left w:w="57" w:type="dxa"/>
              <w:right w:w="57" w:type="dxa"/>
            </w:tcMar>
            <w:vAlign w:val="center"/>
          </w:tcPr>
          <w:p w14:paraId="5DFD5B8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粉尘（CdSe、CdTe、ZnTe、</w:t>
            </w:r>
            <w:r>
              <w:rPr>
                <w:rFonts w:ascii="Times New Roman" w:hAnsi="Times New Roman" w:eastAsia="宋体" w:cs="Times New Roman"/>
                <w:caps w:val="0"/>
                <w:smallCaps w:val="0"/>
                <w:color w:val="auto"/>
                <w:spacing w:val="0"/>
                <w:sz w:val="21"/>
                <w:highlight w:val="none"/>
                <w:lang w:eastAsia="en-US"/>
              </w:rPr>
              <w:t>Mo、Al、Cr</w:t>
            </w:r>
            <w:r>
              <w:rPr>
                <w:rFonts w:ascii="Times New Roman" w:hAnsi="Times New Roman" w:eastAsia="宋体" w:cs="Times New Roman"/>
                <w:bCs/>
                <w:caps w:val="0"/>
                <w:smallCaps w:val="0"/>
                <w:color w:val="auto"/>
                <w:spacing w:val="0"/>
                <w:sz w:val="21"/>
                <w:highlight w:val="none"/>
              </w:rPr>
              <w:t>）</w:t>
            </w:r>
          </w:p>
        </w:tc>
        <w:tc>
          <w:tcPr>
            <w:tcW w:w="3745" w:type="dxa"/>
            <w:tcMar>
              <w:left w:w="57" w:type="dxa"/>
              <w:right w:w="57" w:type="dxa"/>
            </w:tcMar>
            <w:vAlign w:val="center"/>
          </w:tcPr>
          <w:p w14:paraId="72B6B80A">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ascii="Times New Roman" w:hAnsi="Times New Roman" w:eastAsia="宋体" w:cs="Times New Roman"/>
                <w:caps w:val="0"/>
                <w:smallCaps w:val="0"/>
                <w:color w:val="auto"/>
                <w:spacing w:val="0"/>
                <w:sz w:val="21"/>
                <w:szCs w:val="21"/>
                <w:highlight w:val="none"/>
              </w:rPr>
              <w:t>+21m排气筒DA004</w:t>
            </w:r>
          </w:p>
        </w:tc>
        <w:tc>
          <w:tcPr>
            <w:tcW w:w="1028" w:type="dxa"/>
            <w:tcMar>
              <w:left w:w="57" w:type="dxa"/>
              <w:right w:w="57" w:type="dxa"/>
            </w:tcMar>
            <w:vAlign w:val="center"/>
          </w:tcPr>
          <w:p w14:paraId="0651FCE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02263C3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3025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563C412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continue"/>
            <w:tcMar>
              <w:left w:w="57" w:type="dxa"/>
              <w:right w:w="57" w:type="dxa"/>
            </w:tcMar>
            <w:vAlign w:val="center"/>
          </w:tcPr>
          <w:p w14:paraId="7CC7B356">
            <w:pPr>
              <w:widowControl w:val="0"/>
              <w:spacing w:line="320" w:lineRule="exact"/>
              <w:jc w:val="center"/>
              <w:rPr>
                <w:rFonts w:ascii="Times New Roman" w:hAnsi="Times New Roman" w:eastAsia="宋体" w:cs="Times New Roman"/>
                <w:bCs/>
                <w:caps w:val="0"/>
                <w:smallCaps w:val="0"/>
                <w:color w:val="auto"/>
                <w:spacing w:val="0"/>
                <w:sz w:val="21"/>
                <w:highlight w:val="none"/>
              </w:rPr>
            </w:pPr>
          </w:p>
        </w:tc>
        <w:tc>
          <w:tcPr>
            <w:tcW w:w="1007" w:type="dxa"/>
            <w:tcMar>
              <w:left w:w="57" w:type="dxa"/>
              <w:right w:w="57" w:type="dxa"/>
            </w:tcMar>
            <w:vAlign w:val="center"/>
          </w:tcPr>
          <w:p w14:paraId="63B58BB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val="en-US" w:eastAsia="zh-CN"/>
              </w:rPr>
              <w:t>P4</w:t>
            </w:r>
            <w:r>
              <w:rPr>
                <w:rFonts w:ascii="Times New Roman" w:hAnsi="Times New Roman" w:eastAsia="宋体" w:cs="Times New Roman"/>
                <w:bCs/>
                <w:caps w:val="0"/>
                <w:smallCaps w:val="0"/>
                <w:color w:val="auto"/>
                <w:spacing w:val="0"/>
                <w:sz w:val="21"/>
                <w:highlight w:val="none"/>
              </w:rPr>
              <w:t>边缘处理废气G10</w:t>
            </w:r>
          </w:p>
        </w:tc>
        <w:tc>
          <w:tcPr>
            <w:tcW w:w="1300" w:type="dxa"/>
            <w:tcMar>
              <w:left w:w="57" w:type="dxa"/>
              <w:right w:w="57" w:type="dxa"/>
            </w:tcMar>
            <w:vAlign w:val="center"/>
          </w:tcPr>
          <w:p w14:paraId="1C078F0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粉尘（CdSe、CdTe、Mo、ZnTe、SnO</w:t>
            </w:r>
            <w:r>
              <w:rPr>
                <w:rFonts w:ascii="Times New Roman" w:hAnsi="Times New Roman" w:eastAsia="宋体" w:cs="Times New Roman"/>
                <w:bCs/>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lang w:eastAsia="en-US"/>
              </w:rPr>
              <w:t>Al、Cr</w:t>
            </w:r>
            <w:r>
              <w:rPr>
                <w:rFonts w:ascii="Times New Roman" w:hAnsi="Times New Roman" w:eastAsia="宋体" w:cs="Times New Roman"/>
                <w:bCs/>
                <w:caps w:val="0"/>
                <w:smallCaps w:val="0"/>
                <w:color w:val="auto"/>
                <w:spacing w:val="0"/>
                <w:sz w:val="21"/>
                <w:highlight w:val="none"/>
              </w:rPr>
              <w:t>）</w:t>
            </w:r>
          </w:p>
        </w:tc>
        <w:tc>
          <w:tcPr>
            <w:tcW w:w="3745" w:type="dxa"/>
            <w:tcMar>
              <w:left w:w="57" w:type="dxa"/>
              <w:right w:w="57" w:type="dxa"/>
            </w:tcMar>
            <w:vAlign w:val="center"/>
          </w:tcPr>
          <w:p w14:paraId="0A153E3A">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eastAsia="宋体" w:cs="Times New Roman"/>
                <w:caps w:val="0"/>
                <w:smallCaps w:val="0"/>
                <w:color w:val="auto"/>
                <w:spacing w:val="0"/>
                <w:sz w:val="21"/>
                <w:szCs w:val="21"/>
                <w:highlight w:val="none"/>
              </w:rPr>
              <w:t>+21m排气筒DA001</w:t>
            </w:r>
          </w:p>
        </w:tc>
        <w:tc>
          <w:tcPr>
            <w:tcW w:w="1028" w:type="dxa"/>
            <w:tcMar>
              <w:left w:w="57" w:type="dxa"/>
              <w:right w:w="57" w:type="dxa"/>
            </w:tcMar>
            <w:vAlign w:val="center"/>
          </w:tcPr>
          <w:p w14:paraId="4790318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7BCB59C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0A94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0B3BB22A">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restart"/>
            <w:tcMar>
              <w:left w:w="57" w:type="dxa"/>
              <w:right w:w="57" w:type="dxa"/>
            </w:tcMar>
            <w:vAlign w:val="center"/>
          </w:tcPr>
          <w:p w14:paraId="3955A04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eastAsia="宋体" w:cs="Times New Roman"/>
                <w:bCs/>
                <w:caps w:val="0"/>
                <w:smallCaps w:val="0"/>
                <w:color w:val="auto"/>
                <w:spacing w:val="0"/>
                <w:sz w:val="21"/>
                <w:highlight w:val="none"/>
                <w:lang w:eastAsia="en-US"/>
              </w:rPr>
              <w:t>激光刻划机</w:t>
            </w:r>
          </w:p>
        </w:tc>
        <w:tc>
          <w:tcPr>
            <w:tcW w:w="1007" w:type="dxa"/>
            <w:tcMar>
              <w:left w:w="57" w:type="dxa"/>
              <w:right w:w="57" w:type="dxa"/>
            </w:tcMar>
            <w:vAlign w:val="center"/>
          </w:tcPr>
          <w:p w14:paraId="759812ED">
            <w:pPr>
              <w:pStyle w:val="105"/>
              <w:widowControl w:val="0"/>
              <w:jc w:val="center"/>
              <w:rPr>
                <w:rFonts w:ascii="Times New Roman" w:hAnsi="Times New Roman" w:cs="Times New Roman"/>
                <w:bCs/>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P5激光工序（G1</w:t>
            </w:r>
            <w:r>
              <w:rPr>
                <w:rFonts w:ascii="Times New Roman" w:hAnsi="Times New Roman" w:cs="Times New Roman"/>
                <w:caps w:val="0"/>
                <w:smallCaps w:val="0"/>
                <w:color w:val="auto"/>
                <w:spacing w:val="0"/>
                <w:sz w:val="21"/>
                <w:szCs w:val="21"/>
                <w:highlight w:val="none"/>
              </w:rPr>
              <w:t>1</w:t>
            </w:r>
            <w:r>
              <w:rPr>
                <w:rFonts w:ascii="Times New Roman" w:hAnsi="Times New Roman" w:cs="Times New Roman"/>
                <w:caps w:val="0"/>
                <w:smallCaps w:val="0"/>
                <w:color w:val="auto"/>
                <w:spacing w:val="0"/>
                <w:sz w:val="21"/>
                <w:szCs w:val="21"/>
                <w:highlight w:val="none"/>
                <w:lang w:eastAsia="en-US"/>
              </w:rPr>
              <w:t>）</w:t>
            </w:r>
          </w:p>
        </w:tc>
        <w:tc>
          <w:tcPr>
            <w:tcW w:w="1300" w:type="dxa"/>
            <w:tcMar>
              <w:left w:w="57" w:type="dxa"/>
              <w:right w:w="57" w:type="dxa"/>
            </w:tcMar>
            <w:vAlign w:val="center"/>
          </w:tcPr>
          <w:p w14:paraId="4EF64EC1">
            <w:pPr>
              <w:widowControl w:val="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w:t>
            </w:r>
            <w:r>
              <w:rPr>
                <w:rFonts w:ascii="Times New Roman" w:hAnsi="Times New Roman" w:eastAsia="宋体" w:cs="Times New Roman"/>
                <w:caps w:val="0"/>
                <w:smallCaps w:val="0"/>
                <w:color w:val="auto"/>
                <w:spacing w:val="0"/>
                <w:sz w:val="21"/>
                <w:highlight w:val="none"/>
                <w:lang w:eastAsia="en-US"/>
              </w:rPr>
              <w:t>CdSe、CdTe、ZnTe、Mo、Al、Cr</w:t>
            </w:r>
            <w:r>
              <w:rPr>
                <w:rFonts w:ascii="Times New Roman" w:hAnsi="Times New Roman" w:eastAsia="宋体" w:cs="Times New Roman"/>
                <w:bCs/>
                <w:caps w:val="0"/>
                <w:smallCaps w:val="0"/>
                <w:color w:val="auto"/>
                <w:spacing w:val="0"/>
                <w:sz w:val="21"/>
                <w:highlight w:val="none"/>
              </w:rPr>
              <w:t>）</w:t>
            </w:r>
          </w:p>
        </w:tc>
        <w:tc>
          <w:tcPr>
            <w:tcW w:w="3745" w:type="dxa"/>
            <w:tcMar>
              <w:left w:w="57" w:type="dxa"/>
              <w:right w:w="57" w:type="dxa"/>
            </w:tcMar>
            <w:vAlign w:val="center"/>
          </w:tcPr>
          <w:p w14:paraId="7645A91E">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cs="Times New Roman"/>
                <w:caps w:val="0"/>
                <w:smallCaps w:val="0"/>
                <w:color w:val="auto"/>
                <w:spacing w:val="0"/>
                <w:sz w:val="21"/>
                <w:szCs w:val="21"/>
                <w:highlight w:val="none"/>
              </w:rPr>
              <w:t>+21m排气筒DA006</w:t>
            </w:r>
          </w:p>
        </w:tc>
        <w:tc>
          <w:tcPr>
            <w:tcW w:w="1028" w:type="dxa"/>
            <w:tcMar>
              <w:left w:w="57" w:type="dxa"/>
              <w:right w:w="57" w:type="dxa"/>
            </w:tcMar>
            <w:vAlign w:val="center"/>
          </w:tcPr>
          <w:p w14:paraId="4952FC8E">
            <w:pPr>
              <w:widowControl w:val="0"/>
              <w:spacing w:line="320" w:lineRule="exact"/>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4651F1B5">
            <w:pPr>
              <w:widowControl w:val="0"/>
              <w:spacing w:line="320" w:lineRule="exact"/>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21E6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111BE936">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continue"/>
            <w:tcMar>
              <w:left w:w="57" w:type="dxa"/>
              <w:right w:w="57" w:type="dxa"/>
            </w:tcMar>
            <w:vAlign w:val="center"/>
          </w:tcPr>
          <w:p w14:paraId="35E2DEDE">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007" w:type="dxa"/>
            <w:tcMar>
              <w:left w:w="57" w:type="dxa"/>
              <w:right w:w="57" w:type="dxa"/>
            </w:tcMar>
            <w:vAlign w:val="center"/>
          </w:tcPr>
          <w:p w14:paraId="0A93AA46">
            <w:pPr>
              <w:pStyle w:val="105"/>
              <w:widowControl w:val="0"/>
              <w:jc w:val="center"/>
              <w:rPr>
                <w:rFonts w:ascii="Times New Roman" w:hAnsi="Times New Roman" w:cs="Times New Roman"/>
                <w:bCs/>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P6激光工序（G1</w:t>
            </w:r>
            <w:r>
              <w:rPr>
                <w:rFonts w:ascii="Times New Roman" w:hAnsi="Times New Roman" w:cs="Times New Roman"/>
                <w:caps w:val="0"/>
                <w:smallCaps w:val="0"/>
                <w:color w:val="auto"/>
                <w:spacing w:val="0"/>
                <w:sz w:val="21"/>
                <w:szCs w:val="21"/>
                <w:highlight w:val="none"/>
              </w:rPr>
              <w:t>2</w:t>
            </w:r>
            <w:r>
              <w:rPr>
                <w:rFonts w:ascii="Times New Roman" w:hAnsi="Times New Roman" w:cs="Times New Roman"/>
                <w:caps w:val="0"/>
                <w:smallCaps w:val="0"/>
                <w:color w:val="auto"/>
                <w:spacing w:val="0"/>
                <w:sz w:val="21"/>
                <w:szCs w:val="21"/>
                <w:highlight w:val="none"/>
                <w:lang w:eastAsia="en-US"/>
              </w:rPr>
              <w:t>）</w:t>
            </w:r>
          </w:p>
        </w:tc>
        <w:tc>
          <w:tcPr>
            <w:tcW w:w="1300" w:type="dxa"/>
            <w:tcMar>
              <w:left w:w="57" w:type="dxa"/>
              <w:right w:w="57" w:type="dxa"/>
            </w:tcMar>
            <w:vAlign w:val="center"/>
          </w:tcPr>
          <w:p w14:paraId="20363902">
            <w:pPr>
              <w:widowControl w:val="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w:t>
            </w:r>
            <w:r>
              <w:rPr>
                <w:rFonts w:ascii="Times New Roman" w:hAnsi="Times New Roman" w:eastAsia="宋体" w:cs="Times New Roman"/>
                <w:caps w:val="0"/>
                <w:smallCaps w:val="0"/>
                <w:color w:val="auto"/>
                <w:spacing w:val="0"/>
                <w:sz w:val="21"/>
                <w:highlight w:val="none"/>
                <w:lang w:eastAsia="en-US"/>
              </w:rPr>
              <w:t>CdSe、CdTe、ZnTe、Mo、Al、Cr</w:t>
            </w:r>
            <w:r>
              <w:rPr>
                <w:rFonts w:ascii="Times New Roman" w:hAnsi="Times New Roman" w:eastAsia="宋体" w:cs="Times New Roman"/>
                <w:bCs/>
                <w:caps w:val="0"/>
                <w:smallCaps w:val="0"/>
                <w:color w:val="auto"/>
                <w:spacing w:val="0"/>
                <w:sz w:val="21"/>
                <w:highlight w:val="none"/>
              </w:rPr>
              <w:t>）</w:t>
            </w:r>
          </w:p>
        </w:tc>
        <w:tc>
          <w:tcPr>
            <w:tcW w:w="3745" w:type="dxa"/>
            <w:tcMar>
              <w:left w:w="57" w:type="dxa"/>
              <w:right w:w="57" w:type="dxa"/>
            </w:tcMar>
            <w:vAlign w:val="center"/>
          </w:tcPr>
          <w:p w14:paraId="5E864670">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cs="Times New Roman"/>
                <w:caps w:val="0"/>
                <w:smallCaps w:val="0"/>
                <w:color w:val="auto"/>
                <w:spacing w:val="0"/>
                <w:sz w:val="21"/>
                <w:szCs w:val="21"/>
                <w:highlight w:val="none"/>
              </w:rPr>
              <w:t>+21m排气筒DA006</w:t>
            </w:r>
          </w:p>
        </w:tc>
        <w:tc>
          <w:tcPr>
            <w:tcW w:w="1028" w:type="dxa"/>
            <w:tcMar>
              <w:left w:w="57" w:type="dxa"/>
              <w:right w:w="57" w:type="dxa"/>
            </w:tcMar>
            <w:vAlign w:val="center"/>
          </w:tcPr>
          <w:p w14:paraId="6B5A5276">
            <w:pPr>
              <w:widowControl w:val="0"/>
              <w:spacing w:line="320" w:lineRule="exact"/>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657E82F3">
            <w:pPr>
              <w:widowControl w:val="0"/>
              <w:spacing w:line="320" w:lineRule="exact"/>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512E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325" w:type="dxa"/>
            <w:vMerge w:val="continue"/>
            <w:tcMar>
              <w:left w:w="57" w:type="dxa"/>
              <w:right w:w="57" w:type="dxa"/>
            </w:tcMar>
            <w:vAlign w:val="center"/>
          </w:tcPr>
          <w:p w14:paraId="5A91CCE5">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51B4DD15">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实验室</w:t>
            </w:r>
          </w:p>
        </w:tc>
        <w:tc>
          <w:tcPr>
            <w:tcW w:w="1007" w:type="dxa"/>
            <w:tcMar>
              <w:left w:w="57" w:type="dxa"/>
              <w:right w:w="57" w:type="dxa"/>
            </w:tcMar>
            <w:vAlign w:val="center"/>
          </w:tcPr>
          <w:p w14:paraId="27384643">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实验室废气</w:t>
            </w:r>
          </w:p>
        </w:tc>
        <w:tc>
          <w:tcPr>
            <w:tcW w:w="1300" w:type="dxa"/>
            <w:tcMar>
              <w:left w:w="57" w:type="dxa"/>
              <w:right w:w="57" w:type="dxa"/>
            </w:tcMar>
            <w:vAlign w:val="center"/>
          </w:tcPr>
          <w:p w14:paraId="55AFA7BB">
            <w:pPr>
              <w:widowControl w:val="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非甲烷总烃、二甲苯、氨气</w:t>
            </w:r>
          </w:p>
        </w:tc>
        <w:tc>
          <w:tcPr>
            <w:tcW w:w="3745" w:type="dxa"/>
            <w:tcMar>
              <w:left w:w="57" w:type="dxa"/>
              <w:right w:w="57" w:type="dxa"/>
            </w:tcMar>
            <w:vAlign w:val="center"/>
          </w:tcPr>
          <w:p w14:paraId="096CAAED">
            <w:pPr>
              <w:pStyle w:val="105"/>
              <w:widowControl w:val="0"/>
              <w:jc w:val="center"/>
              <w:rPr>
                <w:rFonts w:hint="eastAsia" w:ascii="Times New Roman" w:hAnsi="Times New Roman" w:eastAsia="宋体" w:cs="Times New Roman"/>
                <w:b/>
                <w:bCs/>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rPr>
              <w:t>通风柜+活性炭吸附+21m排气筒</w:t>
            </w:r>
            <w:r>
              <w:rPr>
                <w:rFonts w:ascii="Times New Roman" w:hAnsi="Times New Roman" w:cs="Times New Roman"/>
                <w:caps w:val="0"/>
                <w:smallCaps w:val="0"/>
                <w:color w:val="auto"/>
                <w:spacing w:val="0"/>
                <w:sz w:val="21"/>
                <w:szCs w:val="21"/>
                <w:highlight w:val="none"/>
              </w:rPr>
              <w:t>DA00</w:t>
            </w:r>
            <w:r>
              <w:rPr>
                <w:rFonts w:hint="eastAsia" w:ascii="Times New Roman" w:hAnsi="Times New Roman" w:cs="Times New Roman"/>
                <w:caps w:val="0"/>
                <w:smallCaps w:val="0"/>
                <w:color w:val="auto"/>
                <w:spacing w:val="0"/>
                <w:sz w:val="21"/>
                <w:szCs w:val="21"/>
                <w:highlight w:val="none"/>
                <w:lang w:val="en-US" w:eastAsia="zh-CN"/>
              </w:rPr>
              <w:t>9</w:t>
            </w:r>
          </w:p>
        </w:tc>
        <w:tc>
          <w:tcPr>
            <w:tcW w:w="1028" w:type="dxa"/>
            <w:tcMar>
              <w:left w:w="57" w:type="dxa"/>
              <w:right w:w="57" w:type="dxa"/>
            </w:tcMar>
            <w:vAlign w:val="center"/>
          </w:tcPr>
          <w:p w14:paraId="2C018227">
            <w:pPr>
              <w:widowControl w:val="0"/>
              <w:spacing w:line="320" w:lineRule="exact"/>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tcMar>
              <w:left w:w="57" w:type="dxa"/>
              <w:right w:w="57" w:type="dxa"/>
            </w:tcMar>
            <w:vAlign w:val="center"/>
          </w:tcPr>
          <w:p w14:paraId="2186D787">
            <w:pPr>
              <w:widowControl w:val="0"/>
              <w:spacing w:line="320" w:lineRule="exact"/>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3D09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restart"/>
            <w:tcMar>
              <w:left w:w="57" w:type="dxa"/>
              <w:right w:w="57" w:type="dxa"/>
            </w:tcMar>
            <w:vAlign w:val="center"/>
          </w:tcPr>
          <w:p w14:paraId="0026215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废水</w:t>
            </w:r>
          </w:p>
        </w:tc>
        <w:tc>
          <w:tcPr>
            <w:tcW w:w="846" w:type="dxa"/>
            <w:vMerge w:val="restart"/>
            <w:tcMar>
              <w:left w:w="57" w:type="dxa"/>
              <w:right w:w="57" w:type="dxa"/>
            </w:tcMar>
            <w:vAlign w:val="center"/>
          </w:tcPr>
          <w:p w14:paraId="0DF6686C">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清洗机</w:t>
            </w:r>
          </w:p>
        </w:tc>
        <w:tc>
          <w:tcPr>
            <w:tcW w:w="1007" w:type="dxa"/>
            <w:tcMar>
              <w:left w:w="57" w:type="dxa"/>
              <w:right w:w="57" w:type="dxa"/>
            </w:tcMar>
            <w:vAlign w:val="center"/>
          </w:tcPr>
          <w:p w14:paraId="7D68720F">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基片清洗废水</w:t>
            </w:r>
            <w:r>
              <w:rPr>
                <w:rFonts w:ascii="Times New Roman" w:hAnsi="Times New Roman" w:cs="Times New Roman"/>
                <w:caps w:val="0"/>
                <w:smallCaps w:val="0"/>
                <w:color w:val="auto"/>
                <w:spacing w:val="0"/>
                <w:sz w:val="21"/>
                <w:szCs w:val="21"/>
                <w:highlight w:val="none"/>
              </w:rPr>
              <w:t>W1</w:t>
            </w:r>
          </w:p>
        </w:tc>
        <w:tc>
          <w:tcPr>
            <w:tcW w:w="1300" w:type="dxa"/>
            <w:tcMar>
              <w:left w:w="57" w:type="dxa"/>
              <w:right w:w="57" w:type="dxa"/>
            </w:tcMar>
            <w:vAlign w:val="center"/>
          </w:tcPr>
          <w:p w14:paraId="3913E907">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pH、</w:t>
            </w:r>
            <w:r>
              <w:rPr>
                <w:rFonts w:ascii="Times New Roman" w:hAnsi="Times New Roman" w:cs="Times New Roman"/>
                <w:caps w:val="0"/>
                <w:smallCaps w:val="0"/>
                <w:color w:val="auto"/>
                <w:spacing w:val="0"/>
                <w:sz w:val="21"/>
                <w:highlight w:val="none"/>
                <w:lang w:eastAsia="en-US"/>
              </w:rPr>
              <w:t>SS</w:t>
            </w:r>
          </w:p>
        </w:tc>
        <w:tc>
          <w:tcPr>
            <w:tcW w:w="3745" w:type="dxa"/>
            <w:tcMar>
              <w:left w:w="57" w:type="dxa"/>
              <w:right w:w="57" w:type="dxa"/>
            </w:tcMar>
            <w:vAlign w:val="center"/>
          </w:tcPr>
          <w:p w14:paraId="4CFFD625">
            <w:pPr>
              <w:widowControl w:val="0"/>
              <w:spacing w:line="320" w:lineRule="exact"/>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highlight w:val="none"/>
              </w:rPr>
              <w:t>不含镉的废水经中和后直接排入园区排水管网</w:t>
            </w:r>
          </w:p>
        </w:tc>
        <w:tc>
          <w:tcPr>
            <w:tcW w:w="1028" w:type="dxa"/>
            <w:tcMar>
              <w:left w:w="57" w:type="dxa"/>
              <w:right w:w="57" w:type="dxa"/>
            </w:tcMar>
            <w:vAlign w:val="center"/>
          </w:tcPr>
          <w:p w14:paraId="261E8D1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restart"/>
            <w:tcMar>
              <w:left w:w="57" w:type="dxa"/>
              <w:right w:w="57" w:type="dxa"/>
            </w:tcMar>
            <w:vAlign w:val="center"/>
          </w:tcPr>
          <w:p w14:paraId="77FCD21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一般排放口</w:t>
            </w:r>
          </w:p>
        </w:tc>
      </w:tr>
      <w:tr w14:paraId="4867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Mar>
              <w:left w:w="57" w:type="dxa"/>
              <w:right w:w="57" w:type="dxa"/>
            </w:tcMar>
            <w:vAlign w:val="center"/>
          </w:tcPr>
          <w:p w14:paraId="32AB092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vMerge w:val="continue"/>
            <w:tcMar>
              <w:left w:w="57" w:type="dxa"/>
              <w:right w:w="57" w:type="dxa"/>
            </w:tcMar>
            <w:vAlign w:val="center"/>
          </w:tcPr>
          <w:p w14:paraId="57072623">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007" w:type="dxa"/>
            <w:tcMar>
              <w:left w:w="57" w:type="dxa"/>
              <w:right w:w="57" w:type="dxa"/>
            </w:tcMar>
            <w:vAlign w:val="center"/>
          </w:tcPr>
          <w:p w14:paraId="709F1DAD">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涂覆前清洗废水</w:t>
            </w:r>
            <w:r>
              <w:rPr>
                <w:rFonts w:ascii="Times New Roman" w:hAnsi="Times New Roman" w:cs="Times New Roman"/>
                <w:caps w:val="0"/>
                <w:smallCaps w:val="0"/>
                <w:color w:val="auto"/>
                <w:spacing w:val="0"/>
                <w:sz w:val="21"/>
                <w:szCs w:val="21"/>
                <w:highlight w:val="none"/>
              </w:rPr>
              <w:t>W2</w:t>
            </w:r>
          </w:p>
        </w:tc>
        <w:tc>
          <w:tcPr>
            <w:tcW w:w="1300" w:type="dxa"/>
            <w:tcMar>
              <w:left w:w="57" w:type="dxa"/>
              <w:right w:w="57" w:type="dxa"/>
            </w:tcMar>
            <w:vAlign w:val="center"/>
          </w:tcPr>
          <w:p w14:paraId="24140C78">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745" w:type="dxa"/>
            <w:shd w:val="clear" w:color="auto" w:fill="auto"/>
            <w:tcMar>
              <w:left w:w="57" w:type="dxa"/>
              <w:right w:w="57" w:type="dxa"/>
            </w:tcMar>
            <w:vAlign w:val="center"/>
          </w:tcPr>
          <w:p w14:paraId="5C378D77">
            <w:pPr>
              <w:widowControl w:val="0"/>
              <w:spacing w:line="320" w:lineRule="exact"/>
              <w:jc w:val="center"/>
              <w:rPr>
                <w:rFonts w:ascii="Times New Roman" w:hAnsi="Times New Roman" w:eastAsia="宋体" w:cs="Times New Roman"/>
                <w:caps w:val="0"/>
                <w:smallCaps w:val="0"/>
                <w:color w:val="auto"/>
                <w:spacing w:val="0"/>
                <w:kern w:val="2"/>
                <w:sz w:val="21"/>
                <w:szCs w:val="21"/>
                <w:highlight w:val="none"/>
                <w:lang w:val="en-US" w:eastAsia="zh-CN" w:bidi="ar-SA"/>
              </w:rPr>
            </w:pPr>
            <w:r>
              <w:rPr>
                <w:rFonts w:ascii="Times New Roman" w:hAnsi="Times New Roman" w:eastAsia="宋体" w:cs="Times New Roman"/>
                <w:caps w:val="0"/>
                <w:smallCaps w:val="0"/>
                <w:color w:val="auto"/>
                <w:spacing w:val="0"/>
                <w:sz w:val="21"/>
                <w:szCs w:val="21"/>
                <w:highlight w:val="none"/>
              </w:rPr>
              <w:t>属于低浓度废水，进入低浓度废水收集池+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Mar>
              <w:left w:w="57" w:type="dxa"/>
              <w:right w:w="57" w:type="dxa"/>
            </w:tcMar>
            <w:vAlign w:val="center"/>
          </w:tcPr>
          <w:p w14:paraId="088E7FC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Mar>
              <w:left w:w="57" w:type="dxa"/>
              <w:right w:w="57" w:type="dxa"/>
            </w:tcMar>
            <w:vAlign w:val="center"/>
          </w:tcPr>
          <w:p w14:paraId="36E2E1DC">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r w14:paraId="6569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Mar>
              <w:left w:w="57" w:type="dxa"/>
              <w:right w:w="57" w:type="dxa"/>
            </w:tcMar>
            <w:vAlign w:val="center"/>
          </w:tcPr>
          <w:p w14:paraId="24CC164E">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3376BABF">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活化</w:t>
            </w:r>
          </w:p>
        </w:tc>
        <w:tc>
          <w:tcPr>
            <w:tcW w:w="1007" w:type="dxa"/>
            <w:tcMar>
              <w:left w:w="57" w:type="dxa"/>
              <w:right w:w="57" w:type="dxa"/>
            </w:tcMar>
            <w:vAlign w:val="center"/>
          </w:tcPr>
          <w:p w14:paraId="2FC5E5ED">
            <w:pPr>
              <w:pStyle w:val="10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 w:val="21"/>
                <w:szCs w:val="21"/>
                <w:highlight w:val="none"/>
                <w:lang w:eastAsia="en-US"/>
              </w:rPr>
              <w:t>活化层喷涂废液</w:t>
            </w:r>
            <w:r>
              <w:rPr>
                <w:rFonts w:ascii="Times New Roman" w:hAnsi="Times New Roman" w:cs="Times New Roman"/>
                <w:caps w:val="0"/>
                <w:smallCaps w:val="0"/>
                <w:color w:val="auto"/>
                <w:spacing w:val="0"/>
                <w:sz w:val="21"/>
                <w:szCs w:val="21"/>
                <w:highlight w:val="none"/>
              </w:rPr>
              <w:t>W3</w:t>
            </w:r>
          </w:p>
        </w:tc>
        <w:tc>
          <w:tcPr>
            <w:tcW w:w="1300" w:type="dxa"/>
            <w:tcMar>
              <w:left w:w="57" w:type="dxa"/>
              <w:right w:w="57" w:type="dxa"/>
            </w:tcMar>
            <w:vAlign w:val="center"/>
          </w:tcPr>
          <w:p w14:paraId="7CBBE164">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745" w:type="dxa"/>
            <w:shd w:val="clear" w:color="auto" w:fill="auto"/>
            <w:tcMar>
              <w:left w:w="57" w:type="dxa"/>
              <w:right w:w="57" w:type="dxa"/>
            </w:tcMar>
            <w:vAlign w:val="center"/>
          </w:tcPr>
          <w:p w14:paraId="4088089F">
            <w:pPr>
              <w:widowControl w:val="0"/>
              <w:spacing w:line="320" w:lineRule="exact"/>
              <w:jc w:val="center"/>
              <w:rPr>
                <w:rFonts w:ascii="Times New Roman" w:hAnsi="Times New Roman" w:eastAsia="宋体" w:cs="Times New Roman"/>
                <w:caps w:val="0"/>
                <w:smallCaps w:val="0"/>
                <w:color w:val="auto"/>
                <w:spacing w:val="0"/>
                <w:kern w:val="2"/>
                <w:sz w:val="21"/>
                <w:szCs w:val="21"/>
                <w:highlight w:val="none"/>
                <w:lang w:val="en-US" w:eastAsia="zh-CN" w:bidi="ar-SA"/>
              </w:rPr>
            </w:pPr>
            <w:r>
              <w:rPr>
                <w:rFonts w:ascii="Times New Roman" w:hAnsi="Times New Roman" w:eastAsia="宋体" w:cs="Times New Roman"/>
                <w:caps w:val="0"/>
                <w:smallCaps w:val="0"/>
                <w:color w:val="auto"/>
                <w:spacing w:val="0"/>
                <w:sz w:val="21"/>
                <w:szCs w:val="21"/>
                <w:highlight w:val="none"/>
              </w:rPr>
              <w:t>属于高浓度废水，进入高</w:t>
            </w:r>
            <w:r>
              <w:rPr>
                <w:rFonts w:hint="eastAsia" w:ascii="Times New Roman" w:hAnsi="Times New Roman" w:eastAsia="宋体" w:cs="Times New Roman"/>
                <w:caps w:val="0"/>
                <w:smallCaps w:val="0"/>
                <w:color w:val="auto"/>
                <w:spacing w:val="0"/>
                <w:sz w:val="21"/>
                <w:szCs w:val="21"/>
                <w:highlight w:val="none"/>
              </w:rPr>
              <w:t>浓度</w:t>
            </w:r>
            <w:r>
              <w:rPr>
                <w:rFonts w:ascii="Times New Roman" w:hAnsi="Times New Roman" w:eastAsia="宋体" w:cs="Times New Roman"/>
                <w:caps w:val="0"/>
                <w:smallCaps w:val="0"/>
                <w:color w:val="auto"/>
                <w:spacing w:val="0"/>
                <w:sz w:val="21"/>
                <w:szCs w:val="21"/>
                <w:highlight w:val="none"/>
              </w:rPr>
              <w:t>废水收集池+调节pH+</w:t>
            </w:r>
            <w:r>
              <w:rPr>
                <w:rFonts w:hint="eastAsia" w:ascii="Times New Roman" w:hAnsi="Times New Roman" w:eastAsia="宋体" w:cs="Times New Roman"/>
                <w:caps w:val="0"/>
                <w:smallCaps w:val="0"/>
                <w:color w:val="auto"/>
                <w:spacing w:val="0"/>
                <w:sz w:val="21"/>
                <w:szCs w:val="21"/>
                <w:highlight w:val="none"/>
                <w:lang w:val="en-US" w:eastAsia="zh-CN"/>
              </w:rPr>
              <w:t>化学混凝沉淀</w:t>
            </w:r>
            <w:r>
              <w:rPr>
                <w:rFonts w:ascii="Times New Roman" w:hAnsi="Times New Roman" w:eastAsia="宋体" w:cs="Times New Roman"/>
                <w:caps w:val="0"/>
                <w:smallCaps w:val="0"/>
                <w:color w:val="auto"/>
                <w:spacing w:val="0"/>
                <w:sz w:val="21"/>
                <w:szCs w:val="21"/>
                <w:highlight w:val="none"/>
              </w:rPr>
              <w:t>+三效蒸发</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Mar>
              <w:left w:w="57" w:type="dxa"/>
              <w:right w:w="57" w:type="dxa"/>
            </w:tcMar>
            <w:vAlign w:val="center"/>
          </w:tcPr>
          <w:p w14:paraId="735E2CD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Mar>
              <w:left w:w="57" w:type="dxa"/>
              <w:right w:w="57" w:type="dxa"/>
            </w:tcMar>
            <w:vAlign w:val="center"/>
          </w:tcPr>
          <w:p w14:paraId="09AABB29">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r w14:paraId="5E88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Mar>
              <w:left w:w="57" w:type="dxa"/>
              <w:right w:w="57" w:type="dxa"/>
            </w:tcMar>
            <w:vAlign w:val="center"/>
          </w:tcPr>
          <w:p w14:paraId="250D966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Borders>
              <w:bottom w:val="single" w:color="auto" w:sz="8" w:space="0"/>
            </w:tcBorders>
            <w:tcMar>
              <w:left w:w="57" w:type="dxa"/>
              <w:right w:w="57" w:type="dxa"/>
            </w:tcMar>
            <w:vAlign w:val="center"/>
          </w:tcPr>
          <w:p w14:paraId="510F0F33">
            <w:pPr>
              <w:pStyle w:val="105"/>
              <w:widowControl w:val="0"/>
              <w:jc w:val="center"/>
              <w:rPr>
                <w:rFonts w:hint="default"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蚀刻</w:t>
            </w:r>
          </w:p>
        </w:tc>
        <w:tc>
          <w:tcPr>
            <w:tcW w:w="1007" w:type="dxa"/>
            <w:tcBorders>
              <w:bottom w:val="single" w:color="auto" w:sz="8" w:space="0"/>
            </w:tcBorders>
            <w:tcMar>
              <w:left w:w="57" w:type="dxa"/>
              <w:right w:w="57" w:type="dxa"/>
            </w:tcMar>
            <w:vAlign w:val="center"/>
          </w:tcPr>
          <w:p w14:paraId="20829620">
            <w:pPr>
              <w:pStyle w:val="10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 w:val="21"/>
                <w:szCs w:val="21"/>
                <w:highlight w:val="none"/>
              </w:rPr>
              <w:t>活化层清洗、蚀刻废水W4</w:t>
            </w:r>
          </w:p>
        </w:tc>
        <w:tc>
          <w:tcPr>
            <w:tcW w:w="1300" w:type="dxa"/>
            <w:tcBorders>
              <w:bottom w:val="single" w:color="auto" w:sz="8" w:space="0"/>
            </w:tcBorders>
            <w:tcMar>
              <w:left w:w="57" w:type="dxa"/>
              <w:right w:w="57" w:type="dxa"/>
            </w:tcMar>
            <w:vAlign w:val="center"/>
          </w:tcPr>
          <w:p w14:paraId="1CD1698D">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highlight w:val="none"/>
                <w:lang w:eastAsia="en-US"/>
              </w:rPr>
              <w:t>HC</w:t>
            </w:r>
            <w:r>
              <w:rPr>
                <w:rFonts w:ascii="Times New Roman" w:hAnsi="Times New Roman" w:cs="Times New Roman"/>
                <w:caps w:val="0"/>
                <w:smallCaps w:val="0"/>
                <w:color w:val="auto"/>
                <w:spacing w:val="0"/>
                <w:position w:val="2"/>
                <w:sz w:val="21"/>
                <w:highlight w:val="none"/>
              </w:rPr>
              <w:t>l</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highlight w:val="none"/>
                <w:lang w:eastAsia="en-US"/>
              </w:rPr>
              <w:t>HNO</w:t>
            </w:r>
            <w:r>
              <w:rPr>
                <w:rFonts w:ascii="Times New Roman" w:hAnsi="Times New Roman" w:cs="Times New Roman"/>
                <w:caps w:val="0"/>
                <w:smallCaps w:val="0"/>
                <w:color w:val="auto"/>
                <w:spacing w:val="0"/>
                <w:position w:val="2"/>
                <w:sz w:val="21"/>
                <w:highlight w:val="none"/>
                <w:vertAlign w:val="subscript"/>
                <w:lang w:eastAsia="en-US"/>
              </w:rPr>
              <w:t>3</w:t>
            </w:r>
          </w:p>
        </w:tc>
        <w:tc>
          <w:tcPr>
            <w:tcW w:w="3745" w:type="dxa"/>
            <w:tcBorders>
              <w:bottom w:val="single" w:color="auto" w:sz="8" w:space="0"/>
            </w:tcBorders>
            <w:shd w:val="clear" w:color="auto" w:fill="auto"/>
            <w:tcMar>
              <w:left w:w="57" w:type="dxa"/>
              <w:right w:w="57" w:type="dxa"/>
            </w:tcMar>
            <w:vAlign w:val="center"/>
          </w:tcPr>
          <w:p w14:paraId="473D5A68">
            <w:pPr>
              <w:widowControl w:val="0"/>
              <w:spacing w:line="320" w:lineRule="exact"/>
              <w:jc w:val="center"/>
              <w:rPr>
                <w:rFonts w:ascii="Times New Roman" w:hAnsi="Times New Roman" w:eastAsia="宋体" w:cs="Times New Roman"/>
                <w:caps w:val="0"/>
                <w:smallCaps w:val="0"/>
                <w:color w:val="auto"/>
                <w:spacing w:val="0"/>
                <w:kern w:val="2"/>
                <w:sz w:val="21"/>
                <w:szCs w:val="21"/>
                <w:highlight w:val="none"/>
                <w:lang w:val="en-US" w:eastAsia="zh-CN" w:bidi="ar-SA"/>
              </w:rPr>
            </w:pPr>
            <w:r>
              <w:rPr>
                <w:rFonts w:hint="eastAsia" w:ascii="Times New Roman" w:hAnsi="Times New Roman" w:eastAsia="宋体" w:cs="Times New Roman"/>
                <w:caps w:val="0"/>
                <w:smallCaps w:val="0"/>
                <w:color w:val="auto"/>
                <w:spacing w:val="0"/>
                <w:sz w:val="21"/>
                <w:highlight w:val="none"/>
                <w:lang w:val="en-US" w:eastAsia="zh-CN"/>
              </w:rPr>
              <w:t>酸洗及蚀刻</w:t>
            </w:r>
            <w:r>
              <w:rPr>
                <w:rFonts w:ascii="Times New Roman" w:hAnsi="Times New Roman" w:eastAsia="宋体" w:cs="Times New Roman"/>
                <w:caps w:val="0"/>
                <w:smallCaps w:val="0"/>
                <w:color w:val="auto"/>
                <w:spacing w:val="0"/>
                <w:sz w:val="21"/>
                <w:highlight w:val="none"/>
              </w:rPr>
              <w:t>属于高浓度废水，进入高</w:t>
            </w:r>
            <w:r>
              <w:rPr>
                <w:rFonts w:hint="eastAsia" w:ascii="Times New Roman" w:hAnsi="Times New Roman" w:eastAsia="宋体" w:cs="Times New Roman"/>
                <w:caps w:val="0"/>
                <w:smallCaps w:val="0"/>
                <w:color w:val="auto"/>
                <w:spacing w:val="0"/>
                <w:sz w:val="21"/>
                <w:highlight w:val="none"/>
              </w:rPr>
              <w:t>浓度</w:t>
            </w:r>
            <w:r>
              <w:rPr>
                <w:rFonts w:ascii="Times New Roman" w:hAnsi="Times New Roman" w:eastAsia="宋体" w:cs="Times New Roman"/>
                <w:caps w:val="0"/>
                <w:smallCaps w:val="0"/>
                <w:color w:val="auto"/>
                <w:spacing w:val="0"/>
                <w:sz w:val="21"/>
                <w:highlight w:val="none"/>
              </w:rPr>
              <w:t>废水收集池+调节pH+</w:t>
            </w:r>
            <w:r>
              <w:rPr>
                <w:rFonts w:hint="eastAsia" w:ascii="Times New Roman" w:hAnsi="Times New Roman" w:eastAsia="宋体" w:cs="Times New Roman"/>
                <w:caps w:val="0"/>
                <w:smallCaps w:val="0"/>
                <w:color w:val="auto"/>
                <w:spacing w:val="0"/>
                <w:sz w:val="21"/>
                <w:szCs w:val="21"/>
                <w:highlight w:val="none"/>
                <w:lang w:val="en-US" w:eastAsia="zh-CN"/>
              </w:rPr>
              <w:t>化学混凝沉淀</w:t>
            </w:r>
            <w:r>
              <w:rPr>
                <w:rFonts w:ascii="Times New Roman" w:hAnsi="Times New Roman" w:eastAsia="宋体" w:cs="Times New Roman"/>
                <w:caps w:val="0"/>
                <w:smallCaps w:val="0"/>
                <w:color w:val="auto"/>
                <w:spacing w:val="0"/>
                <w:sz w:val="21"/>
                <w:highlight w:val="none"/>
              </w:rPr>
              <w:t>+RO反渗透+三效蒸发</w:t>
            </w:r>
            <w:r>
              <w:rPr>
                <w:rFonts w:hint="eastAsia" w:ascii="Times New Roman" w:hAnsi="Times New Roman" w:eastAsia="宋体" w:cs="Times New Roman"/>
                <w:caps w:val="0"/>
                <w:smallCaps w:val="0"/>
                <w:color w:val="auto"/>
                <w:spacing w:val="0"/>
                <w:sz w:val="21"/>
                <w:highlight w:val="none"/>
                <w:lang w:eastAsia="zh-CN"/>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r>
              <w:rPr>
                <w:rFonts w:hint="eastAsia" w:ascii="Times New Roman" w:hAnsi="Times New Roman" w:eastAsia="宋体" w:cs="Times New Roman"/>
                <w:caps w:val="0"/>
                <w:smallCaps w:val="0"/>
                <w:color w:val="auto"/>
                <w:spacing w:val="0"/>
                <w:sz w:val="21"/>
                <w:szCs w:val="21"/>
                <w:highlight w:val="none"/>
                <w:lang w:eastAsia="zh-CN"/>
              </w:rPr>
              <w:t>；</w:t>
            </w:r>
            <w:r>
              <w:rPr>
                <w:rFonts w:hint="eastAsia" w:ascii="Times New Roman" w:hAnsi="Times New Roman" w:eastAsia="宋体" w:cs="Times New Roman"/>
                <w:caps w:val="0"/>
                <w:smallCaps w:val="0"/>
                <w:color w:val="auto"/>
                <w:spacing w:val="0"/>
                <w:sz w:val="21"/>
                <w:highlight w:val="none"/>
                <w:lang w:val="en-US" w:eastAsia="zh-CN"/>
              </w:rPr>
              <w:t>纯水洗属于浓度</w:t>
            </w:r>
            <w:r>
              <w:rPr>
                <w:rFonts w:ascii="Times New Roman" w:hAnsi="Times New Roman" w:eastAsia="宋体" w:cs="Times New Roman"/>
                <w:caps w:val="0"/>
                <w:smallCaps w:val="0"/>
                <w:color w:val="auto"/>
                <w:spacing w:val="0"/>
                <w:sz w:val="21"/>
                <w:highlight w:val="none"/>
              </w:rPr>
              <w:t>废水，进入低浓度废水收集池+调节pH+TMF膜系统+RO反渗透+三效蒸发</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Borders>
              <w:bottom w:val="single" w:color="auto" w:sz="8" w:space="0"/>
            </w:tcBorders>
            <w:tcMar>
              <w:left w:w="57" w:type="dxa"/>
              <w:right w:w="57" w:type="dxa"/>
            </w:tcMar>
            <w:vAlign w:val="center"/>
          </w:tcPr>
          <w:p w14:paraId="6FEE6B5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Mar>
              <w:left w:w="57" w:type="dxa"/>
              <w:right w:w="57" w:type="dxa"/>
            </w:tcMar>
            <w:vAlign w:val="center"/>
          </w:tcPr>
          <w:p w14:paraId="29F039C6">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r w14:paraId="5A75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Mar>
              <w:left w:w="57" w:type="dxa"/>
              <w:right w:w="57" w:type="dxa"/>
            </w:tcMar>
            <w:vAlign w:val="center"/>
          </w:tcPr>
          <w:p w14:paraId="5F4FF69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Borders>
              <w:top w:val="single" w:color="auto" w:sz="8" w:space="0"/>
            </w:tcBorders>
            <w:tcMar>
              <w:left w:w="57" w:type="dxa"/>
              <w:right w:w="57" w:type="dxa"/>
            </w:tcMar>
            <w:vAlign w:val="center"/>
          </w:tcPr>
          <w:p w14:paraId="0D0CBFA2">
            <w:pPr>
              <w:pStyle w:val="105"/>
              <w:widowControl w:val="0"/>
              <w:jc w:val="center"/>
              <w:rPr>
                <w:rFonts w:ascii="Times New Roman" w:hAnsi="Times New Roman" w:cs="Times New Roman"/>
                <w:b/>
                <w:bCs/>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膜层溅射</w:t>
            </w:r>
          </w:p>
        </w:tc>
        <w:tc>
          <w:tcPr>
            <w:tcW w:w="1007" w:type="dxa"/>
            <w:tcBorders>
              <w:top w:val="single" w:color="auto" w:sz="8" w:space="0"/>
            </w:tcBorders>
            <w:tcMar>
              <w:left w:w="57" w:type="dxa"/>
              <w:right w:w="57" w:type="dxa"/>
            </w:tcMar>
            <w:vAlign w:val="center"/>
          </w:tcPr>
          <w:p w14:paraId="294153CB">
            <w:pPr>
              <w:pStyle w:val="10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 w:val="21"/>
                <w:szCs w:val="21"/>
                <w:highlight w:val="none"/>
              </w:rPr>
              <w:t>ZnTe膜层溅射后清洗废水W5</w:t>
            </w:r>
          </w:p>
        </w:tc>
        <w:tc>
          <w:tcPr>
            <w:tcW w:w="1300" w:type="dxa"/>
            <w:tcBorders>
              <w:top w:val="single" w:color="auto" w:sz="8" w:space="0"/>
            </w:tcBorders>
            <w:tcMar>
              <w:left w:w="57" w:type="dxa"/>
              <w:right w:w="57" w:type="dxa"/>
            </w:tcMar>
            <w:vAlign w:val="center"/>
          </w:tcPr>
          <w:p w14:paraId="713ADFF4">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745" w:type="dxa"/>
            <w:tcBorders>
              <w:top w:val="single" w:color="auto" w:sz="8" w:space="0"/>
            </w:tcBorders>
            <w:shd w:val="clear" w:color="auto" w:fill="auto"/>
            <w:tcMar>
              <w:left w:w="57" w:type="dxa"/>
              <w:right w:w="57" w:type="dxa"/>
            </w:tcMar>
            <w:vAlign w:val="center"/>
          </w:tcPr>
          <w:p w14:paraId="0AE01A2B">
            <w:pPr>
              <w:widowControl w:val="0"/>
              <w:spacing w:line="320" w:lineRule="exact"/>
              <w:rPr>
                <w:rFonts w:ascii="Times New Roman" w:hAnsi="Times New Roman" w:eastAsia="宋体" w:cs="Times New Roman"/>
                <w:caps w:val="0"/>
                <w:smallCaps w:val="0"/>
                <w:color w:val="auto"/>
                <w:spacing w:val="0"/>
                <w:kern w:val="2"/>
                <w:sz w:val="21"/>
                <w:szCs w:val="21"/>
                <w:highlight w:val="none"/>
                <w:lang w:val="en-US" w:eastAsia="zh-CN" w:bidi="ar-SA"/>
              </w:rPr>
            </w:pPr>
            <w:r>
              <w:rPr>
                <w:rFonts w:ascii="Times New Roman" w:hAnsi="Times New Roman" w:eastAsia="宋体" w:cs="Times New Roman"/>
                <w:caps w:val="0"/>
                <w:smallCaps w:val="0"/>
                <w:color w:val="auto"/>
                <w:spacing w:val="0"/>
                <w:sz w:val="21"/>
                <w:szCs w:val="21"/>
                <w:highlight w:val="none"/>
              </w:rPr>
              <w:t>属于低浓度废水，进入低浓度废水收集池+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Borders>
              <w:top w:val="single" w:color="auto" w:sz="8" w:space="0"/>
            </w:tcBorders>
            <w:tcMar>
              <w:left w:w="57" w:type="dxa"/>
              <w:right w:w="57" w:type="dxa"/>
            </w:tcMar>
            <w:vAlign w:val="center"/>
          </w:tcPr>
          <w:p w14:paraId="745DBF3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Mar>
              <w:left w:w="57" w:type="dxa"/>
              <w:right w:w="57" w:type="dxa"/>
            </w:tcMar>
            <w:vAlign w:val="center"/>
          </w:tcPr>
          <w:p w14:paraId="77D2E11B">
            <w:pPr>
              <w:widowControl w:val="0"/>
              <w:spacing w:line="320" w:lineRule="exact"/>
              <w:rPr>
                <w:rFonts w:ascii="Times New Roman" w:hAnsi="Times New Roman" w:eastAsia="宋体" w:cs="Times New Roman"/>
                <w:caps w:val="0"/>
                <w:smallCaps w:val="0"/>
                <w:color w:val="auto"/>
                <w:spacing w:val="0"/>
                <w:sz w:val="21"/>
                <w:highlight w:val="none"/>
              </w:rPr>
            </w:pPr>
          </w:p>
        </w:tc>
      </w:tr>
      <w:tr w14:paraId="6787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Mar>
              <w:left w:w="57" w:type="dxa"/>
              <w:right w:w="57" w:type="dxa"/>
            </w:tcMar>
            <w:vAlign w:val="center"/>
          </w:tcPr>
          <w:p w14:paraId="21603B7B">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599E28C8">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显影</w:t>
            </w:r>
          </w:p>
        </w:tc>
        <w:tc>
          <w:tcPr>
            <w:tcW w:w="1007" w:type="dxa"/>
            <w:tcMar>
              <w:left w:w="57" w:type="dxa"/>
              <w:right w:w="57" w:type="dxa"/>
            </w:tcMar>
            <w:vAlign w:val="center"/>
          </w:tcPr>
          <w:p w14:paraId="7159BA81">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rPr>
              <w:t>显影及显影清洗废水W6。</w:t>
            </w:r>
          </w:p>
        </w:tc>
        <w:tc>
          <w:tcPr>
            <w:tcW w:w="1300" w:type="dxa"/>
            <w:tcMar>
              <w:left w:w="57" w:type="dxa"/>
              <w:right w:w="57" w:type="dxa"/>
            </w:tcMar>
            <w:vAlign w:val="center"/>
          </w:tcPr>
          <w:p w14:paraId="05FD7475">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szCs w:val="21"/>
                <w:highlight w:val="none"/>
                <w:lang w:eastAsia="en-US"/>
              </w:rPr>
              <w:t>H</w:t>
            </w:r>
            <w:r>
              <w:rPr>
                <w:rFonts w:ascii="Times New Roman" w:hAnsi="Times New Roman" w:cs="Times New Roman"/>
                <w:caps w:val="0"/>
                <w:smallCaps w:val="0"/>
                <w:color w:val="auto"/>
                <w:spacing w:val="0"/>
                <w:sz w:val="13"/>
                <w:szCs w:val="13"/>
                <w:highlight w:val="none"/>
                <w:lang w:eastAsia="en-US"/>
              </w:rPr>
              <w:t>2</w:t>
            </w:r>
            <w:r>
              <w:rPr>
                <w:rFonts w:ascii="Times New Roman" w:hAnsi="Times New Roman" w:cs="Times New Roman"/>
                <w:caps w:val="0"/>
                <w:smallCaps w:val="0"/>
                <w:color w:val="auto"/>
                <w:spacing w:val="0"/>
                <w:position w:val="2"/>
                <w:sz w:val="21"/>
                <w:szCs w:val="21"/>
                <w:highlight w:val="none"/>
                <w:lang w:eastAsia="en-US"/>
              </w:rPr>
              <w:t>O</w:t>
            </w:r>
            <w:r>
              <w:rPr>
                <w:rFonts w:ascii="Times New Roman" w:hAnsi="Times New Roman" w:cs="Times New Roman"/>
                <w:caps w:val="0"/>
                <w:smallCaps w:val="0"/>
                <w:color w:val="auto"/>
                <w:spacing w:val="0"/>
                <w:sz w:val="13"/>
                <w:szCs w:val="13"/>
                <w:highlight w:val="none"/>
                <w:lang w:eastAsia="en-US"/>
              </w:rPr>
              <w:t>2</w:t>
            </w:r>
            <w:r>
              <w:rPr>
                <w:rFonts w:hint="eastAsia" w:ascii="Times New Roman" w:hAnsi="Times New Roman" w:cs="Times New Roman"/>
                <w:caps w:val="0"/>
                <w:smallCaps w:val="0"/>
                <w:color w:val="auto"/>
                <w:spacing w:val="0"/>
                <w:sz w:val="13"/>
                <w:szCs w:val="13"/>
                <w:highlight w:val="none"/>
              </w:rPr>
              <w:t>、</w:t>
            </w:r>
            <w:r>
              <w:rPr>
                <w:rFonts w:hint="eastAsia" w:ascii="Times New Roman" w:hAnsi="Times New Roman" w:cs="Times New Roman"/>
                <w:caps w:val="0"/>
                <w:smallCaps w:val="0"/>
                <w:color w:val="auto"/>
                <w:spacing w:val="0"/>
                <w:sz w:val="21"/>
                <w:szCs w:val="21"/>
                <w:highlight w:val="none"/>
                <w:vertAlign w:val="baseline"/>
                <w:lang w:val="en-US" w:eastAsia="zh-CN"/>
              </w:rPr>
              <w:t>COD</w:t>
            </w:r>
          </w:p>
        </w:tc>
        <w:tc>
          <w:tcPr>
            <w:tcW w:w="3745" w:type="dxa"/>
            <w:shd w:val="clear" w:color="auto" w:fill="auto"/>
            <w:tcMar>
              <w:left w:w="57" w:type="dxa"/>
              <w:right w:w="57" w:type="dxa"/>
            </w:tcMar>
            <w:vAlign w:val="center"/>
          </w:tcPr>
          <w:p w14:paraId="7A63FBF9">
            <w:pPr>
              <w:widowControl w:val="0"/>
              <w:spacing w:line="320" w:lineRule="exact"/>
              <w:jc w:val="both"/>
              <w:rPr>
                <w:rFonts w:ascii="Times New Roman" w:hAnsi="Times New Roman" w:eastAsia="宋体" w:cs="Times New Roman"/>
                <w:caps w:val="0"/>
                <w:smallCaps w:val="0"/>
                <w:color w:val="auto"/>
                <w:spacing w:val="0"/>
                <w:kern w:val="2"/>
                <w:sz w:val="21"/>
                <w:szCs w:val="21"/>
                <w:highlight w:val="none"/>
                <w:lang w:val="en-US" w:eastAsia="zh-CN" w:bidi="ar-SA"/>
              </w:rPr>
            </w:pPr>
            <w:r>
              <w:rPr>
                <w:rFonts w:ascii="Times New Roman" w:hAnsi="Times New Roman" w:eastAsia="宋体" w:cs="Times New Roman"/>
                <w:caps w:val="0"/>
                <w:smallCaps w:val="0"/>
                <w:color w:val="auto"/>
                <w:spacing w:val="0"/>
                <w:sz w:val="21"/>
                <w:szCs w:val="21"/>
                <w:highlight w:val="none"/>
              </w:rPr>
              <w:t>属于显影废水，进入显影废水收集池+预沉淀+催化</w:t>
            </w:r>
            <w:r>
              <w:rPr>
                <w:rFonts w:hint="eastAsia"/>
                <w:color w:val="auto"/>
                <w:sz w:val="21"/>
                <w:szCs w:val="21"/>
                <w:highlight w:val="none"/>
                <w:lang w:eastAsia="zh-CN"/>
              </w:rPr>
              <w:t>（</w:t>
            </w:r>
            <w:r>
              <w:rPr>
                <w:rFonts w:hint="eastAsia" w:ascii="Times New Roman" w:hAnsi="Times New Roman" w:eastAsia="宋体" w:cs="Times New Roman"/>
                <w:caps w:val="0"/>
                <w:smallCaps w:val="0"/>
                <w:color w:val="auto"/>
                <w:spacing w:val="0"/>
                <w:sz w:val="21"/>
                <w:szCs w:val="21"/>
                <w:highlight w:val="none"/>
                <w:lang w:val="en-US" w:eastAsia="zh-CN"/>
              </w:rPr>
              <w:t>电催化+光氧催化</w:t>
            </w:r>
            <w:r>
              <w:rPr>
                <w:rFonts w:hint="eastAsia"/>
                <w:color w:val="auto"/>
                <w:sz w:val="21"/>
                <w:szCs w:val="21"/>
                <w:highlight w:val="none"/>
                <w:lang w:eastAsia="zh-CN"/>
              </w:rPr>
              <w:t>）</w:t>
            </w:r>
            <w:r>
              <w:rPr>
                <w:rFonts w:ascii="Times New Roman" w:hAnsi="Times New Roman" w:eastAsia="宋体" w:cs="Times New Roman"/>
                <w:caps w:val="0"/>
                <w:smallCaps w:val="0"/>
                <w:color w:val="auto"/>
                <w:spacing w:val="0"/>
                <w:sz w:val="21"/>
                <w:szCs w:val="21"/>
                <w:highlight w:val="none"/>
              </w:rPr>
              <w:t>+气浮+</w:t>
            </w:r>
            <w:r>
              <w:rPr>
                <w:rFonts w:hint="eastAsia" w:ascii="Times New Roman" w:hAnsi="Times New Roman" w:eastAsia="宋体" w:cs="Times New Roman"/>
                <w:caps w:val="0"/>
                <w:smallCaps w:val="0"/>
                <w:color w:val="auto"/>
                <w:spacing w:val="0"/>
                <w:sz w:val="21"/>
                <w:szCs w:val="21"/>
                <w:highlight w:val="none"/>
                <w:lang w:val="en-US" w:eastAsia="zh-CN"/>
              </w:rPr>
              <w:t>好氧+厌氧</w:t>
            </w:r>
            <w:r>
              <w:rPr>
                <w:rFonts w:ascii="Times New Roman" w:hAnsi="Times New Roman" w:eastAsia="宋体" w:cs="Times New Roman"/>
                <w:caps w:val="0"/>
                <w:smallCaps w:val="0"/>
                <w:color w:val="auto"/>
                <w:spacing w:val="0"/>
                <w:sz w:val="21"/>
                <w:szCs w:val="21"/>
                <w:highlight w:val="none"/>
              </w:rPr>
              <w:t>+MBR</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Mar>
              <w:left w:w="57" w:type="dxa"/>
              <w:right w:w="57" w:type="dxa"/>
            </w:tcMar>
            <w:vAlign w:val="center"/>
          </w:tcPr>
          <w:p w14:paraId="412A2FD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Mar>
              <w:left w:w="57" w:type="dxa"/>
              <w:right w:w="57" w:type="dxa"/>
            </w:tcMar>
            <w:vAlign w:val="center"/>
          </w:tcPr>
          <w:p w14:paraId="065635F7">
            <w:pPr>
              <w:widowControl w:val="0"/>
              <w:spacing w:line="320" w:lineRule="exact"/>
              <w:jc w:val="both"/>
              <w:rPr>
                <w:rFonts w:ascii="Times New Roman" w:hAnsi="Times New Roman" w:eastAsia="宋体" w:cs="Times New Roman"/>
                <w:caps w:val="0"/>
                <w:smallCaps w:val="0"/>
                <w:color w:val="auto"/>
                <w:spacing w:val="0"/>
                <w:sz w:val="21"/>
                <w:highlight w:val="none"/>
              </w:rPr>
            </w:pPr>
          </w:p>
        </w:tc>
      </w:tr>
      <w:tr w14:paraId="76AD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Mar>
              <w:left w:w="57" w:type="dxa"/>
              <w:right w:w="57" w:type="dxa"/>
            </w:tcMar>
            <w:vAlign w:val="center"/>
          </w:tcPr>
          <w:p w14:paraId="5C8AF71F">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Mar>
              <w:left w:w="57" w:type="dxa"/>
              <w:right w:w="57" w:type="dxa"/>
            </w:tcMar>
            <w:vAlign w:val="center"/>
          </w:tcPr>
          <w:p w14:paraId="45342D4F">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背电极镀膜</w:t>
            </w:r>
          </w:p>
        </w:tc>
        <w:tc>
          <w:tcPr>
            <w:tcW w:w="1007" w:type="dxa"/>
            <w:tcMar>
              <w:left w:w="57" w:type="dxa"/>
              <w:right w:w="57" w:type="dxa"/>
            </w:tcMar>
            <w:vAlign w:val="center"/>
          </w:tcPr>
          <w:p w14:paraId="1B7006C1">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rPr>
              <w:t>背电极镀膜前清洗废水W7</w:t>
            </w:r>
          </w:p>
        </w:tc>
        <w:tc>
          <w:tcPr>
            <w:tcW w:w="1300" w:type="dxa"/>
            <w:tcMar>
              <w:left w:w="57" w:type="dxa"/>
              <w:right w:w="57" w:type="dxa"/>
            </w:tcMar>
            <w:vAlign w:val="center"/>
          </w:tcPr>
          <w:p w14:paraId="3223D032">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745" w:type="dxa"/>
            <w:shd w:val="clear" w:color="auto" w:fill="auto"/>
            <w:tcMar>
              <w:left w:w="57" w:type="dxa"/>
              <w:right w:w="57" w:type="dxa"/>
            </w:tcMar>
            <w:vAlign w:val="center"/>
          </w:tcPr>
          <w:p w14:paraId="3A349BAE">
            <w:pPr>
              <w:widowControl w:val="0"/>
              <w:spacing w:line="320" w:lineRule="exact"/>
              <w:rPr>
                <w:rFonts w:ascii="Times New Roman" w:hAnsi="Times New Roman" w:eastAsia="宋体" w:cs="Times New Roman"/>
                <w:caps w:val="0"/>
                <w:smallCaps w:val="0"/>
                <w:color w:val="auto"/>
                <w:spacing w:val="0"/>
                <w:kern w:val="2"/>
                <w:sz w:val="21"/>
                <w:szCs w:val="21"/>
                <w:highlight w:val="none"/>
                <w:lang w:val="en-US" w:eastAsia="zh-CN" w:bidi="ar-SA"/>
              </w:rPr>
            </w:pPr>
            <w:r>
              <w:rPr>
                <w:rFonts w:ascii="Times New Roman" w:hAnsi="Times New Roman" w:eastAsia="宋体" w:cs="Times New Roman"/>
                <w:caps w:val="0"/>
                <w:smallCaps w:val="0"/>
                <w:color w:val="auto"/>
                <w:spacing w:val="0"/>
                <w:sz w:val="21"/>
                <w:szCs w:val="21"/>
                <w:highlight w:val="none"/>
              </w:rPr>
              <w:t>属于低浓度废水，进入低浓度废水收集池+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Mar>
              <w:left w:w="57" w:type="dxa"/>
              <w:right w:w="57" w:type="dxa"/>
            </w:tcMar>
            <w:vAlign w:val="center"/>
          </w:tcPr>
          <w:p w14:paraId="15502DD3">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Mar>
              <w:left w:w="57" w:type="dxa"/>
              <w:right w:w="57" w:type="dxa"/>
            </w:tcMar>
            <w:vAlign w:val="center"/>
          </w:tcPr>
          <w:p w14:paraId="3285EF62">
            <w:pPr>
              <w:widowControl w:val="0"/>
              <w:spacing w:line="320" w:lineRule="exact"/>
              <w:rPr>
                <w:rFonts w:ascii="Times New Roman" w:hAnsi="Times New Roman" w:eastAsia="宋体" w:cs="Times New Roman"/>
                <w:caps w:val="0"/>
                <w:smallCaps w:val="0"/>
                <w:color w:val="auto"/>
                <w:spacing w:val="0"/>
                <w:sz w:val="21"/>
                <w:highlight w:val="none"/>
              </w:rPr>
            </w:pPr>
          </w:p>
        </w:tc>
      </w:tr>
      <w:tr w14:paraId="3CDE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325" w:type="dxa"/>
            <w:vMerge w:val="continue"/>
            <w:tcBorders>
              <w:bottom w:val="single" w:color="auto" w:sz="8" w:space="0"/>
            </w:tcBorders>
            <w:tcMar>
              <w:left w:w="57" w:type="dxa"/>
              <w:right w:w="57" w:type="dxa"/>
            </w:tcMar>
            <w:vAlign w:val="center"/>
          </w:tcPr>
          <w:p w14:paraId="4C1010F7">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846" w:type="dxa"/>
            <w:tcBorders>
              <w:bottom w:val="single" w:color="auto" w:sz="8" w:space="0"/>
            </w:tcBorders>
            <w:tcMar>
              <w:left w:w="57" w:type="dxa"/>
              <w:right w:w="57" w:type="dxa"/>
            </w:tcMar>
            <w:vAlign w:val="center"/>
          </w:tcPr>
          <w:p w14:paraId="5E1D17D4">
            <w:pPr>
              <w:pStyle w:val="105"/>
              <w:widowControl w:val="0"/>
              <w:jc w:val="center"/>
              <w:rPr>
                <w:rFonts w:hint="eastAsia" w:ascii="Times New Roman" w:hAnsi="Times New Roman" w:eastAsia="宋体"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碱液喷淋</w:t>
            </w:r>
          </w:p>
        </w:tc>
        <w:tc>
          <w:tcPr>
            <w:tcW w:w="1007" w:type="dxa"/>
            <w:tcBorders>
              <w:bottom w:val="single" w:color="auto" w:sz="8" w:space="0"/>
            </w:tcBorders>
            <w:tcMar>
              <w:left w:w="57" w:type="dxa"/>
              <w:right w:w="57" w:type="dxa"/>
            </w:tcMar>
            <w:vAlign w:val="center"/>
          </w:tcPr>
          <w:p w14:paraId="60D7CA6A">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cs="Times New Roman"/>
                <w:caps w:val="0"/>
                <w:smallCaps w:val="0"/>
                <w:color w:val="auto"/>
                <w:spacing w:val="0"/>
                <w:sz w:val="21"/>
                <w:szCs w:val="21"/>
                <w:highlight w:val="none"/>
              </w:rPr>
              <w:t>喷淋塔喷淋废水</w:t>
            </w:r>
          </w:p>
        </w:tc>
        <w:tc>
          <w:tcPr>
            <w:tcW w:w="1300" w:type="dxa"/>
            <w:tcBorders>
              <w:bottom w:val="single" w:color="auto" w:sz="8" w:space="0"/>
            </w:tcBorders>
            <w:tcMar>
              <w:left w:w="57" w:type="dxa"/>
              <w:right w:w="57" w:type="dxa"/>
            </w:tcMar>
            <w:vAlign w:val="center"/>
          </w:tcPr>
          <w:p w14:paraId="6E73B48F">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cs="Times New Roman"/>
                <w:caps w:val="0"/>
                <w:smallCaps w:val="0"/>
                <w:color w:val="auto"/>
                <w:spacing w:val="0"/>
                <w:sz w:val="21"/>
                <w:szCs w:val="21"/>
                <w:highlight w:val="none"/>
                <w:lang w:val="en-US" w:eastAsia="zh-CN"/>
              </w:rPr>
              <w:t>pH、</w:t>
            </w:r>
            <w:r>
              <w:rPr>
                <w:rFonts w:hint="eastAsia" w:ascii="Times New Roman" w:hAnsi="Times New Roman" w:cs="Times New Roman"/>
                <w:caps w:val="0"/>
                <w:smallCaps w:val="0"/>
                <w:color w:val="auto"/>
                <w:spacing w:val="0"/>
                <w:sz w:val="21"/>
                <w:szCs w:val="21"/>
                <w:highlight w:val="none"/>
              </w:rPr>
              <w:t>高盐水</w:t>
            </w:r>
          </w:p>
        </w:tc>
        <w:tc>
          <w:tcPr>
            <w:tcW w:w="3745" w:type="dxa"/>
            <w:tcBorders>
              <w:bottom w:val="single" w:color="auto" w:sz="8" w:space="0"/>
            </w:tcBorders>
            <w:shd w:val="clear" w:color="auto" w:fill="auto"/>
            <w:tcMar>
              <w:left w:w="57" w:type="dxa"/>
              <w:right w:w="57" w:type="dxa"/>
            </w:tcMar>
            <w:vAlign w:val="center"/>
          </w:tcPr>
          <w:p w14:paraId="356DF813">
            <w:pPr>
              <w:widowControl w:val="0"/>
              <w:spacing w:line="320" w:lineRule="exact"/>
              <w:rPr>
                <w:rFonts w:ascii="Times New Roman" w:hAnsi="Times New Roman" w:eastAsia="宋体" w:cs="Times New Roman"/>
                <w:caps w:val="0"/>
                <w:smallCaps w:val="0"/>
                <w:color w:val="auto"/>
                <w:spacing w:val="0"/>
                <w:kern w:val="2"/>
                <w:sz w:val="21"/>
                <w:szCs w:val="21"/>
                <w:highlight w:val="none"/>
                <w:lang w:val="en-US" w:eastAsia="zh-CN" w:bidi="ar-SA"/>
              </w:rPr>
            </w:pPr>
            <w:r>
              <w:rPr>
                <w:rFonts w:ascii="Times New Roman" w:hAnsi="Times New Roman" w:eastAsia="宋体" w:cs="Times New Roman"/>
                <w:caps w:val="0"/>
                <w:smallCaps w:val="0"/>
                <w:color w:val="auto"/>
                <w:spacing w:val="0"/>
                <w:sz w:val="21"/>
                <w:szCs w:val="21"/>
                <w:highlight w:val="none"/>
              </w:rPr>
              <w:t>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1028" w:type="dxa"/>
            <w:tcBorders>
              <w:bottom w:val="single" w:color="auto" w:sz="8" w:space="0"/>
            </w:tcBorders>
            <w:tcMar>
              <w:left w:w="57" w:type="dxa"/>
              <w:right w:w="57" w:type="dxa"/>
            </w:tcMar>
            <w:vAlign w:val="center"/>
          </w:tcPr>
          <w:p w14:paraId="3E96E05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是</w:t>
            </w:r>
          </w:p>
        </w:tc>
        <w:tc>
          <w:tcPr>
            <w:tcW w:w="926" w:type="dxa"/>
            <w:vMerge w:val="continue"/>
            <w:tcBorders>
              <w:bottom w:val="single" w:color="auto" w:sz="8" w:space="0"/>
            </w:tcBorders>
            <w:tcMar>
              <w:left w:w="57" w:type="dxa"/>
              <w:right w:w="57" w:type="dxa"/>
            </w:tcMar>
            <w:vAlign w:val="center"/>
          </w:tcPr>
          <w:p w14:paraId="17E69BF7">
            <w:pPr>
              <w:widowControl w:val="0"/>
              <w:spacing w:line="320" w:lineRule="exact"/>
              <w:rPr>
                <w:rFonts w:ascii="Times New Roman" w:hAnsi="Times New Roman" w:eastAsia="宋体" w:cs="Times New Roman"/>
                <w:caps w:val="0"/>
                <w:smallCaps w:val="0"/>
                <w:color w:val="auto"/>
                <w:spacing w:val="0"/>
                <w:sz w:val="21"/>
                <w:highlight w:val="none"/>
              </w:rPr>
            </w:pPr>
          </w:p>
        </w:tc>
      </w:tr>
    </w:tbl>
    <w:p w14:paraId="0C13C1AE">
      <w:pPr>
        <w:widowControl w:val="0"/>
        <w:spacing w:before="13"/>
        <w:rPr>
          <w:rFonts w:ascii="Times New Roman" w:hAnsi="Times New Roman" w:eastAsia="宋体" w:cs="Times New Roman"/>
          <w:b/>
          <w:bCs/>
          <w:caps w:val="0"/>
          <w:smallCaps w:val="0"/>
          <w:color w:val="auto"/>
          <w:spacing w:val="0"/>
          <w:sz w:val="3"/>
          <w:szCs w:val="3"/>
          <w:highlight w:val="none"/>
        </w:rPr>
      </w:pPr>
    </w:p>
    <w:p w14:paraId="78CE288B">
      <w:pPr>
        <w:pStyle w:val="6"/>
        <w:widowControl w:val="0"/>
        <w:rPr>
          <w:rFonts w:eastAsia="宋体"/>
          <w:caps w:val="0"/>
          <w:smallCaps w:val="0"/>
          <w:color w:val="auto"/>
          <w:spacing w:val="0"/>
          <w:highlight w:val="none"/>
        </w:rPr>
      </w:pPr>
      <w:r>
        <w:rPr>
          <w:rFonts w:eastAsia="宋体"/>
          <w:caps w:val="0"/>
          <w:smallCaps w:val="0"/>
          <w:color w:val="auto"/>
          <w:spacing w:val="0"/>
          <w:highlight w:val="none"/>
        </w:rPr>
        <w:t>3.5.1.1废水</w:t>
      </w:r>
    </w:p>
    <w:p w14:paraId="3A335EA2">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项目生产废水主要包括含镉废水和不含镉废水。</w:t>
      </w:r>
    </w:p>
    <w:p w14:paraId="763FD94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含镉废水主要为涂覆前清洗废水、ZnTe膜层溅射后清洗废水、显影后清洗废水、背电极镀膜前清洗废水</w:t>
      </w:r>
      <w:r>
        <w:rPr>
          <w:rFonts w:hint="eastAsia" w:ascii="Times New Roman" w:hAnsi="Times New Roman" w:eastAsia="宋体" w:cs="Times New Roman"/>
          <w:caps w:val="0"/>
          <w:smallCaps w:val="0"/>
          <w:color w:val="auto"/>
          <w:spacing w:val="0"/>
          <w:kern w:val="0"/>
          <w:szCs w:val="24"/>
          <w:highlight w:val="none"/>
          <w:lang w:bidi="ar"/>
        </w:rPr>
        <w:t>、</w:t>
      </w:r>
      <w:r>
        <w:rPr>
          <w:rFonts w:ascii="Times New Roman" w:hAnsi="Times New Roman" w:eastAsia="宋体" w:cs="Times New Roman"/>
          <w:caps w:val="0"/>
          <w:smallCaps w:val="0"/>
          <w:color w:val="auto"/>
          <w:spacing w:val="0"/>
          <w:kern w:val="0"/>
          <w:szCs w:val="24"/>
          <w:highlight w:val="none"/>
          <w:lang w:bidi="ar"/>
        </w:rPr>
        <w:t>碱性喷淋塔废水，经废水处理设施处理后产生的纯水全部回用于生产工序，实现含镉废水零排放。</w:t>
      </w:r>
      <w:r>
        <w:rPr>
          <w:rFonts w:ascii="Times New Roman" w:hAnsi="Times New Roman" w:eastAsia="宋体" w:cs="Times New Roman"/>
          <w:caps w:val="0"/>
          <w:smallCaps w:val="0"/>
          <w:color w:val="auto"/>
          <w:spacing w:val="0"/>
          <w:szCs w:val="24"/>
          <w:highlight w:val="none"/>
        </w:rPr>
        <w:t>项目建设一座污水处理站，站内设有高浓度含镉废水、低浓度含镉废水、显影废水及碱性废水处理设施。</w:t>
      </w:r>
    </w:p>
    <w:p w14:paraId="51A76C73">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position w:val="2"/>
          <w:highlight w:val="none"/>
        </w:rPr>
      </w:pPr>
      <w:r>
        <w:rPr>
          <w:rFonts w:ascii="Times New Roman" w:hAnsi="Times New Roman" w:eastAsia="宋体" w:cs="Times New Roman"/>
          <w:caps w:val="0"/>
          <w:smallCaps w:val="0"/>
          <w:color w:val="auto"/>
          <w:spacing w:val="0"/>
          <w:kern w:val="0"/>
          <w:szCs w:val="24"/>
          <w:highlight w:val="none"/>
          <w:lang w:bidi="ar"/>
        </w:rPr>
        <w:t>其他生产废水为基片清洗经厂区污水处理站中和调节pH达标</w:t>
      </w:r>
      <w:r>
        <w:rPr>
          <w:rFonts w:hint="eastAsia" w:ascii="Times New Roman" w:hAnsi="Times New Roman" w:eastAsia="宋体" w:cs="Times New Roman"/>
          <w:caps w:val="0"/>
          <w:smallCaps w:val="0"/>
          <w:color w:val="auto"/>
          <w:spacing w:val="0"/>
          <w:kern w:val="0"/>
          <w:szCs w:val="24"/>
          <w:highlight w:val="none"/>
          <w:lang w:bidi="ar"/>
        </w:rPr>
        <w:t>与</w:t>
      </w:r>
      <w:r>
        <w:rPr>
          <w:rFonts w:ascii="Times New Roman" w:hAnsi="Times New Roman" w:eastAsia="宋体" w:cs="Times New Roman"/>
          <w:caps w:val="0"/>
          <w:smallCaps w:val="0"/>
          <w:color w:val="auto"/>
          <w:spacing w:val="0"/>
          <w:kern w:val="0"/>
          <w:szCs w:val="24"/>
          <w:highlight w:val="none"/>
          <w:lang w:bidi="ar"/>
        </w:rPr>
        <w:t>及</w:t>
      </w:r>
      <w:r>
        <w:rPr>
          <w:rFonts w:hint="eastAsia" w:ascii="Times New Roman" w:hAnsi="Times New Roman" w:eastAsia="宋体" w:cs="Times New Roman"/>
          <w:caps w:val="0"/>
          <w:smallCaps w:val="0"/>
          <w:color w:val="auto"/>
          <w:spacing w:val="0"/>
          <w:kern w:val="0"/>
          <w:szCs w:val="24"/>
          <w:highlight w:val="none"/>
          <w:lang w:bidi="ar"/>
        </w:rPr>
        <w:t>纯水制备废水</w:t>
      </w:r>
      <w:r>
        <w:rPr>
          <w:rFonts w:ascii="Times New Roman" w:hAnsi="Times New Roman" w:eastAsia="宋体" w:cs="Times New Roman"/>
          <w:caps w:val="0"/>
          <w:smallCaps w:val="0"/>
          <w:color w:val="auto"/>
          <w:spacing w:val="0"/>
          <w:kern w:val="0"/>
          <w:szCs w:val="24"/>
          <w:highlight w:val="none"/>
          <w:lang w:bidi="ar"/>
        </w:rPr>
        <w:t>经市政污水管网进入佳木斯高新区污水处理厂。</w:t>
      </w:r>
    </w:p>
    <w:p w14:paraId="673C3FF9">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position w:val="2"/>
          <w:highlight w:val="none"/>
        </w:rPr>
      </w:pPr>
      <w:r>
        <w:rPr>
          <w:rFonts w:ascii="Times New Roman" w:hAnsi="Times New Roman" w:eastAsia="宋体" w:cs="Times New Roman"/>
          <w:caps w:val="0"/>
          <w:smallCaps w:val="0"/>
          <w:color w:val="auto"/>
          <w:spacing w:val="0"/>
          <w:position w:val="2"/>
          <w:highlight w:val="none"/>
        </w:rPr>
        <w:t>根据成都中建材光电材料有限公司年产80兆瓦碲化镉薄膜太阳能电池生产线项目验收检测，总排口污染物浓度分别为：pH值6.82-6.97、SS30-32</w:t>
      </w:r>
      <w:r>
        <w:rPr>
          <w:rFonts w:ascii="Times New Roman" w:hAnsi="Times New Roman" w:eastAsia="宋体" w:cs="Times New Roman"/>
          <w:caps w:val="0"/>
          <w:smallCaps w:val="0"/>
          <w:color w:val="auto"/>
          <w:spacing w:val="0"/>
          <w:highlight w:val="none"/>
        </w:rPr>
        <w:t>mg/L、</w:t>
      </w:r>
      <w:r>
        <w:rPr>
          <w:rFonts w:ascii="Times New Roman" w:hAnsi="Times New Roman" w:eastAsia="宋体" w:cs="Times New Roman"/>
          <w:caps w:val="0"/>
          <w:smallCaps w:val="0"/>
          <w:color w:val="auto"/>
          <w:spacing w:val="0"/>
          <w:position w:val="2"/>
          <w:highlight w:val="none"/>
        </w:rPr>
        <w:t>BOD</w:t>
      </w:r>
      <w:r>
        <w:rPr>
          <w:rFonts w:ascii="Times New Roman" w:hAnsi="Times New Roman" w:eastAsia="宋体" w:cs="Times New Roman"/>
          <w:caps w:val="0"/>
          <w:smallCaps w:val="0"/>
          <w:color w:val="auto"/>
          <w:spacing w:val="0"/>
          <w:szCs w:val="24"/>
          <w:highlight w:val="none"/>
          <w:vertAlign w:val="subscript"/>
        </w:rPr>
        <w:t>5</w:t>
      </w:r>
      <w:r>
        <w:rPr>
          <w:rFonts w:ascii="Times New Roman" w:hAnsi="Times New Roman" w:eastAsia="宋体" w:cs="Times New Roman"/>
          <w:caps w:val="0"/>
          <w:smallCaps w:val="0"/>
          <w:color w:val="auto"/>
          <w:spacing w:val="0"/>
          <w:highlight w:val="none"/>
        </w:rPr>
        <w:t>26.4-26.5mg/L、COD84-85mg/L、石油类1.10-1.24mg/L、</w:t>
      </w:r>
      <w:r>
        <w:rPr>
          <w:rFonts w:hint="eastAsia" w:ascii="Times New Roman" w:hAnsi="Times New Roman" w:eastAsia="宋体" w:cs="Times New Roman"/>
          <w:caps w:val="0"/>
          <w:smallCaps w:val="0"/>
          <w:color w:val="auto"/>
          <w:spacing w:val="0"/>
          <w:highlight w:val="none"/>
        </w:rPr>
        <w:t>动植物</w:t>
      </w:r>
      <w:r>
        <w:rPr>
          <w:rFonts w:ascii="Times New Roman" w:hAnsi="Times New Roman" w:eastAsia="宋体" w:cs="Times New Roman"/>
          <w:caps w:val="0"/>
          <w:smallCaps w:val="0"/>
          <w:color w:val="auto"/>
          <w:spacing w:val="0"/>
          <w:highlight w:val="none"/>
        </w:rPr>
        <w:t>油0.22-0.44mg/L、氨氮8.87-10mg/L、总磷0.79-0.99mg/L、阴离子表面活性剂0.086-0.278mg/L，总镉未检出，本项目和成都</w:t>
      </w:r>
      <w:r>
        <w:rPr>
          <w:rFonts w:ascii="Times New Roman" w:hAnsi="Times New Roman" w:eastAsia="宋体" w:cs="Times New Roman"/>
          <w:caps w:val="0"/>
          <w:smallCaps w:val="0"/>
          <w:color w:val="auto"/>
          <w:spacing w:val="0"/>
          <w:position w:val="2"/>
          <w:highlight w:val="none"/>
        </w:rPr>
        <w:t>中建材光电材料有限公司年产80兆瓦碲化镉薄膜太阳能电池生产线项目生产工艺相同，且含镉污水同为处理后不外排，其他不含镉工艺污水直接排放，</w:t>
      </w:r>
      <w:r>
        <w:rPr>
          <w:rFonts w:ascii="Times New Roman" w:hAnsi="Times New Roman" w:eastAsia="宋体" w:cs="Times New Roman"/>
          <w:caps w:val="0"/>
          <w:smallCaps w:val="0"/>
          <w:color w:val="auto"/>
          <w:spacing w:val="0"/>
          <w:position w:val="2"/>
          <w:highlight w:val="none"/>
        </w:rPr>
        <w:t>本项目与成都中建材光电材料有限公司年产80兆瓦碲化镉薄膜太阳能电池生产线项</w:t>
      </w:r>
      <w:r>
        <w:rPr>
          <w:rFonts w:hint="eastAsia" w:ascii="Times New Roman" w:hAnsi="Times New Roman" w:eastAsia="宋体" w:cs="Times New Roman"/>
          <w:caps w:val="0"/>
          <w:smallCaps w:val="0"/>
          <w:color w:val="auto"/>
          <w:spacing w:val="0"/>
          <w:position w:val="2"/>
          <w:highlight w:val="none"/>
        </w:rPr>
        <w:t>目数</w:t>
      </w:r>
      <w:r>
        <w:rPr>
          <w:rFonts w:ascii="Times New Roman" w:hAnsi="Times New Roman" w:eastAsia="宋体" w:cs="Times New Roman"/>
          <w:caps w:val="0"/>
          <w:smallCaps w:val="0"/>
          <w:color w:val="auto"/>
          <w:spacing w:val="0"/>
          <w:position w:val="2"/>
          <w:highlight w:val="none"/>
        </w:rPr>
        <w:t>据相似，可类比其数据</w:t>
      </w:r>
      <w:r>
        <w:rPr>
          <w:rFonts w:hint="eastAsia" w:ascii="Times New Roman" w:hAnsi="Times New Roman" w:eastAsia="宋体" w:cs="Times New Roman"/>
          <w:caps w:val="0"/>
          <w:smallCaps w:val="0"/>
          <w:color w:val="auto"/>
          <w:spacing w:val="0"/>
          <w:position w:val="2"/>
          <w:highlight w:val="none"/>
        </w:rPr>
        <w:t>，</w:t>
      </w:r>
      <w:r>
        <w:rPr>
          <w:rFonts w:ascii="Times New Roman" w:hAnsi="Times New Roman" w:eastAsia="宋体" w:cs="Times New Roman"/>
          <w:caps w:val="0"/>
          <w:smallCaps w:val="0"/>
          <w:color w:val="auto"/>
          <w:spacing w:val="0"/>
          <w:position w:val="2"/>
          <w:highlight w:val="none"/>
        </w:rPr>
        <w:t>成都中建材光电材料有限公司</w:t>
      </w:r>
      <w:r>
        <w:rPr>
          <w:rFonts w:hint="eastAsia" w:ascii="Times New Roman" w:hAnsi="Times New Roman" w:eastAsia="宋体" w:cs="Times New Roman"/>
          <w:caps w:val="0"/>
          <w:smallCaps w:val="0"/>
          <w:color w:val="auto"/>
          <w:spacing w:val="0"/>
          <w:position w:val="2"/>
          <w:highlight w:val="none"/>
          <w:lang w:val="en-US" w:eastAsia="zh-CN"/>
        </w:rPr>
        <w:t>总排口数据包括生活污水，本项目建成后也通过总排口与生活污水共同排放，鉴于基片清洗废水与纯水制备废水无其他类比数据，因此本项目对已验收的生活污水与基片清洗废水与纯水制备废水共同核算。</w:t>
      </w:r>
      <w:r>
        <w:rPr>
          <w:rFonts w:hint="eastAsia" w:ascii="Times New Roman" w:hAnsi="Times New Roman" w:eastAsia="宋体" w:cs="Times New Roman"/>
          <w:caps w:val="0"/>
          <w:smallCaps w:val="0"/>
          <w:color w:val="auto"/>
          <w:spacing w:val="0"/>
          <w:position w:val="2"/>
          <w:highlight w:val="none"/>
        </w:rPr>
        <w:t>该项目与本工程对比情况见下表</w:t>
      </w:r>
      <w:r>
        <w:rPr>
          <w:rFonts w:ascii="Times New Roman" w:hAnsi="Times New Roman" w:eastAsia="宋体" w:cs="Times New Roman"/>
          <w:caps w:val="0"/>
          <w:smallCaps w:val="0"/>
          <w:color w:val="auto"/>
          <w:spacing w:val="0"/>
          <w:position w:val="2"/>
          <w:highlight w:val="none"/>
        </w:rPr>
        <w:t>。</w:t>
      </w:r>
    </w:p>
    <w:p w14:paraId="1BA514A6">
      <w:pPr>
        <w:pStyle w:val="66"/>
        <w:widowControl w:val="0"/>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hint="eastAsia" w:ascii="Times New Roman" w:hAnsi="Times New Roman" w:eastAsia="宋体" w:cs="Times New Roman"/>
          <w:b/>
          <w:bCs/>
          <w:caps w:val="0"/>
          <w:smallCaps w:val="0"/>
          <w:color w:val="auto"/>
          <w:spacing w:val="0"/>
          <w:sz w:val="24"/>
          <w:szCs w:val="24"/>
          <w:highlight w:val="none"/>
        </w:rPr>
        <w:t>表3.5-2本工程与同类项目对比表</w:t>
      </w:r>
    </w:p>
    <w:tbl>
      <w:tblPr>
        <w:tblStyle w:val="37"/>
        <w:tblW w:w="5003"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9"/>
        <w:gridCol w:w="2712"/>
        <w:gridCol w:w="3057"/>
        <w:gridCol w:w="2612"/>
        <w:gridCol w:w="10"/>
      </w:tblGrid>
      <w:tr w14:paraId="5606F1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397" w:hRule="atLeast"/>
          <w:tblHeader/>
        </w:trPr>
        <w:tc>
          <w:tcPr>
            <w:tcW w:w="893" w:type="dxa"/>
            <w:tcBorders>
              <w:tl2br w:val="nil"/>
              <w:tr2bl w:val="nil"/>
            </w:tcBorders>
            <w:vAlign w:val="center"/>
          </w:tcPr>
          <w:p w14:paraId="0249F0B9">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项目</w:t>
            </w:r>
          </w:p>
        </w:tc>
        <w:tc>
          <w:tcPr>
            <w:tcW w:w="2721" w:type="dxa"/>
            <w:gridSpan w:val="2"/>
            <w:tcBorders>
              <w:tl2br w:val="nil"/>
              <w:tr2bl w:val="nil"/>
            </w:tcBorders>
            <w:vAlign w:val="center"/>
          </w:tcPr>
          <w:p w14:paraId="120DC6C2">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本工程</w:t>
            </w:r>
          </w:p>
        </w:tc>
        <w:tc>
          <w:tcPr>
            <w:tcW w:w="3057" w:type="dxa"/>
            <w:tcBorders>
              <w:tl2br w:val="nil"/>
              <w:tr2bl w:val="nil"/>
            </w:tcBorders>
            <w:vAlign w:val="center"/>
          </w:tcPr>
          <w:p w14:paraId="2DF522AC">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成都中建材光电材料有限公司年产80兆瓦碲化镉薄膜太阳能电池生产线项目</w:t>
            </w:r>
          </w:p>
        </w:tc>
        <w:tc>
          <w:tcPr>
            <w:tcW w:w="2612" w:type="dxa"/>
            <w:tcBorders>
              <w:tl2br w:val="nil"/>
              <w:tr2bl w:val="nil"/>
            </w:tcBorders>
            <w:vAlign w:val="center"/>
          </w:tcPr>
          <w:p w14:paraId="57244768">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说明</w:t>
            </w:r>
          </w:p>
        </w:tc>
      </w:tr>
      <w:tr w14:paraId="1D556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397" w:hRule="atLeast"/>
        </w:trPr>
        <w:tc>
          <w:tcPr>
            <w:tcW w:w="893" w:type="dxa"/>
            <w:tcBorders>
              <w:tl2br w:val="nil"/>
              <w:tr2bl w:val="nil"/>
            </w:tcBorders>
            <w:vAlign w:val="center"/>
          </w:tcPr>
          <w:p w14:paraId="56D8FCFF">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产能</w:t>
            </w:r>
          </w:p>
        </w:tc>
        <w:tc>
          <w:tcPr>
            <w:tcW w:w="2721" w:type="dxa"/>
            <w:gridSpan w:val="2"/>
            <w:tcBorders>
              <w:tl2br w:val="nil"/>
              <w:tr2bl w:val="nil"/>
            </w:tcBorders>
            <w:vAlign w:val="center"/>
          </w:tcPr>
          <w:p w14:paraId="601EEC24">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年产100MW碲化镉薄膜发电玻璃</w:t>
            </w:r>
          </w:p>
        </w:tc>
        <w:tc>
          <w:tcPr>
            <w:tcW w:w="3057" w:type="dxa"/>
            <w:tcBorders>
              <w:tl2br w:val="nil"/>
              <w:tr2bl w:val="nil"/>
            </w:tcBorders>
            <w:vAlign w:val="center"/>
          </w:tcPr>
          <w:p w14:paraId="2ED40695">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年产80MW碲化镉薄膜发电玻璃</w:t>
            </w:r>
          </w:p>
        </w:tc>
        <w:tc>
          <w:tcPr>
            <w:tcW w:w="2612" w:type="dxa"/>
            <w:tcBorders>
              <w:tl2br w:val="nil"/>
              <w:tr2bl w:val="nil"/>
            </w:tcBorders>
            <w:vAlign w:val="center"/>
          </w:tcPr>
          <w:p w14:paraId="39D85F28">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w:t>
            </w:r>
          </w:p>
        </w:tc>
      </w:tr>
      <w:tr w14:paraId="5CAF9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397" w:hRule="atLeast"/>
        </w:trPr>
        <w:tc>
          <w:tcPr>
            <w:tcW w:w="893" w:type="dxa"/>
            <w:tcBorders>
              <w:tl2br w:val="nil"/>
              <w:tr2bl w:val="nil"/>
            </w:tcBorders>
            <w:vAlign w:val="center"/>
          </w:tcPr>
          <w:p w14:paraId="56D218FA">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生产工艺</w:t>
            </w:r>
          </w:p>
        </w:tc>
        <w:tc>
          <w:tcPr>
            <w:tcW w:w="2721" w:type="dxa"/>
            <w:gridSpan w:val="2"/>
            <w:tcBorders>
              <w:tl2br w:val="nil"/>
              <w:tr2bl w:val="nil"/>
            </w:tcBorders>
            <w:vAlign w:val="center"/>
          </w:tcPr>
          <w:p w14:paraId="13F252C0">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生产线由前段镀膜线和后段封装线组成，前段镀膜线包含CSS镀膜、CdCl</w:t>
            </w:r>
            <w:r>
              <w:rPr>
                <w:rFonts w:ascii="Times New Roman" w:hAnsi="Times New Roman" w:eastAsia="宋体" w:cs="Times New Roman"/>
                <w:bCs/>
                <w:caps w:val="0"/>
                <w:smallCaps w:val="0"/>
                <w:color w:val="auto"/>
                <w:spacing w:val="0"/>
                <w:szCs w:val="21"/>
                <w:highlight w:val="none"/>
                <w:vertAlign w:val="subscript"/>
              </w:rPr>
              <w:t>2</w:t>
            </w:r>
            <w:r>
              <w:rPr>
                <w:rFonts w:ascii="Times New Roman" w:hAnsi="Times New Roman" w:eastAsia="宋体" w:cs="Times New Roman"/>
                <w:bCs/>
                <w:caps w:val="0"/>
                <w:smallCaps w:val="0"/>
                <w:color w:val="auto"/>
                <w:spacing w:val="0"/>
                <w:szCs w:val="21"/>
                <w:highlight w:val="none"/>
              </w:rPr>
              <w:t>活化、激光刻线、背电极制备等工序，后段封装线包含封装、产品测试等工序</w:t>
            </w:r>
          </w:p>
        </w:tc>
        <w:tc>
          <w:tcPr>
            <w:tcW w:w="3057" w:type="dxa"/>
            <w:tcBorders>
              <w:tl2br w:val="nil"/>
              <w:tr2bl w:val="nil"/>
            </w:tcBorders>
            <w:vAlign w:val="center"/>
          </w:tcPr>
          <w:p w14:paraId="58AA9B5C">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生产线由前段镀膜线和后段封装线组成，前段镀膜线包含CSS镀膜、CdCl</w:t>
            </w:r>
            <w:r>
              <w:rPr>
                <w:rFonts w:ascii="Times New Roman" w:hAnsi="Times New Roman" w:eastAsia="宋体" w:cs="Times New Roman"/>
                <w:bCs/>
                <w:caps w:val="0"/>
                <w:smallCaps w:val="0"/>
                <w:color w:val="auto"/>
                <w:spacing w:val="0"/>
                <w:szCs w:val="21"/>
                <w:highlight w:val="none"/>
                <w:vertAlign w:val="subscript"/>
              </w:rPr>
              <w:t>2</w:t>
            </w:r>
            <w:r>
              <w:rPr>
                <w:rFonts w:ascii="Times New Roman" w:hAnsi="Times New Roman" w:eastAsia="宋体" w:cs="Times New Roman"/>
                <w:bCs/>
                <w:caps w:val="0"/>
                <w:smallCaps w:val="0"/>
                <w:color w:val="auto"/>
                <w:spacing w:val="0"/>
                <w:szCs w:val="21"/>
                <w:highlight w:val="none"/>
              </w:rPr>
              <w:t>活化、激光刻线、背电极制备等工序，后段封装线包含封装、产品测试等工序</w:t>
            </w:r>
          </w:p>
        </w:tc>
        <w:tc>
          <w:tcPr>
            <w:tcW w:w="2612" w:type="dxa"/>
            <w:tcBorders>
              <w:tl2br w:val="nil"/>
              <w:tr2bl w:val="nil"/>
            </w:tcBorders>
            <w:vAlign w:val="center"/>
          </w:tcPr>
          <w:p w14:paraId="215DA96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生产工艺相同</w:t>
            </w:r>
          </w:p>
        </w:tc>
      </w:tr>
      <w:tr w14:paraId="68552F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397" w:hRule="atLeast"/>
        </w:trPr>
        <w:tc>
          <w:tcPr>
            <w:tcW w:w="893" w:type="dxa"/>
            <w:tcBorders>
              <w:tl2br w:val="nil"/>
              <w:tr2bl w:val="nil"/>
            </w:tcBorders>
            <w:vAlign w:val="center"/>
          </w:tcPr>
          <w:p w14:paraId="79F1F8A4">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主要原辅材料</w:t>
            </w:r>
          </w:p>
        </w:tc>
        <w:tc>
          <w:tcPr>
            <w:tcW w:w="2721" w:type="dxa"/>
            <w:gridSpan w:val="2"/>
            <w:tcBorders>
              <w:tl2br w:val="nil"/>
              <w:tr2bl w:val="nil"/>
            </w:tcBorders>
            <w:vAlign w:val="center"/>
          </w:tcPr>
          <w:p w14:paraId="60BABB8E">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原材料：TCO玻璃基板、背板玻璃；</w:t>
            </w:r>
          </w:p>
          <w:p w14:paraId="1CE45F35">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含镉物料：碲化镉、硒化镉、氯化镉；</w:t>
            </w:r>
          </w:p>
          <w:p w14:paraId="30B35C34">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靶材：钼靶材、碲化锌靶材</w:t>
            </w:r>
          </w:p>
        </w:tc>
        <w:tc>
          <w:tcPr>
            <w:tcW w:w="3057" w:type="dxa"/>
            <w:tcBorders>
              <w:tl2br w:val="nil"/>
              <w:tr2bl w:val="nil"/>
            </w:tcBorders>
            <w:vAlign w:val="center"/>
          </w:tcPr>
          <w:p w14:paraId="0DAD91A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原材料：TCO玻璃基板、背板玻璃；</w:t>
            </w:r>
          </w:p>
          <w:p w14:paraId="6983826C">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含镉物料：碲化镉、硫化镉、氯化镉；</w:t>
            </w:r>
          </w:p>
          <w:p w14:paraId="692F6E0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靶材：钼靶材、镍靶材</w:t>
            </w:r>
          </w:p>
        </w:tc>
        <w:tc>
          <w:tcPr>
            <w:tcW w:w="2612" w:type="dxa"/>
            <w:tcBorders>
              <w:tl2br w:val="nil"/>
              <w:tr2bl w:val="nil"/>
            </w:tcBorders>
          </w:tcPr>
          <w:p w14:paraId="68DED3D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主要原辅材料基本相同，由于本工程采用的是目前最先进的生产工艺，n型半导体选用化学性质更加稳定的CdSe，靶材选用与碲化镉更</w:t>
            </w:r>
            <w:r>
              <w:rPr>
                <w:rFonts w:hint="eastAsia" w:ascii="Times New Roman" w:hAnsi="Times New Roman" w:eastAsia="宋体" w:cs="Times New Roman"/>
                <w:bCs/>
                <w:caps w:val="0"/>
                <w:smallCaps w:val="0"/>
                <w:color w:val="auto"/>
                <w:spacing w:val="0"/>
                <w:szCs w:val="21"/>
                <w:highlight w:val="none"/>
              </w:rPr>
              <w:t>相像</w:t>
            </w:r>
            <w:r>
              <w:rPr>
                <w:rFonts w:ascii="Times New Roman" w:hAnsi="Times New Roman" w:eastAsia="宋体" w:cs="Times New Roman"/>
                <w:bCs/>
                <w:caps w:val="0"/>
                <w:smallCaps w:val="0"/>
                <w:color w:val="auto"/>
                <w:spacing w:val="0"/>
                <w:szCs w:val="21"/>
                <w:highlight w:val="none"/>
              </w:rPr>
              <w:t>的碲化锌靶材</w:t>
            </w:r>
          </w:p>
        </w:tc>
      </w:tr>
      <w:tr w14:paraId="408F02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2" w:type="dxa"/>
            <w:gridSpan w:val="2"/>
            <w:tcBorders>
              <w:tl2br w:val="nil"/>
              <w:tr2bl w:val="nil"/>
            </w:tcBorders>
          </w:tcPr>
          <w:p w14:paraId="49DFABA4">
            <w:pPr>
              <w:pStyle w:val="66"/>
              <w:spacing w:line="320" w:lineRule="exact"/>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废水</w:t>
            </w:r>
          </w:p>
        </w:tc>
        <w:tc>
          <w:tcPr>
            <w:tcW w:w="2712" w:type="dxa"/>
            <w:tcBorders>
              <w:tl2br w:val="nil"/>
              <w:tr2bl w:val="nil"/>
            </w:tcBorders>
          </w:tcPr>
          <w:p w14:paraId="4E0C8463">
            <w:pPr>
              <w:pStyle w:val="66"/>
              <w:spacing w:line="320" w:lineRule="exact"/>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含镉废水采用化学沉淀、离子交换处理工艺，处理后满足相应标准要求</w:t>
            </w:r>
          </w:p>
        </w:tc>
        <w:tc>
          <w:tcPr>
            <w:tcW w:w="3057" w:type="dxa"/>
            <w:tcBorders>
              <w:tl2br w:val="nil"/>
              <w:tr2bl w:val="nil"/>
            </w:tcBorders>
          </w:tcPr>
          <w:p w14:paraId="48BF3290">
            <w:pPr>
              <w:pStyle w:val="66"/>
              <w:spacing w:line="320" w:lineRule="exact"/>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含镉废水采用化学沉淀、膜处理工艺，处理后满足相应标准要求</w:t>
            </w:r>
          </w:p>
        </w:tc>
        <w:tc>
          <w:tcPr>
            <w:tcW w:w="2622" w:type="dxa"/>
            <w:gridSpan w:val="2"/>
            <w:tcBorders>
              <w:tl2br w:val="nil"/>
              <w:tr2bl w:val="nil"/>
            </w:tcBorders>
          </w:tcPr>
          <w:p w14:paraId="174F29FA">
            <w:pPr>
              <w:pStyle w:val="66"/>
              <w:spacing w:line="320" w:lineRule="exact"/>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本工程与成都中建材含镉废水处理后均能满足相应标准要求</w:t>
            </w:r>
          </w:p>
        </w:tc>
      </w:tr>
    </w:tbl>
    <w:p w14:paraId="2E1B85CB">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本项目外排废水为基片清洗废水及纯水制备废水，本项目废水组成及污水源强见下表。</w:t>
      </w:r>
    </w:p>
    <w:p w14:paraId="6165968A">
      <w:pPr>
        <w:pStyle w:val="66"/>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w:t>
      </w:r>
      <w:r>
        <w:rPr>
          <w:rFonts w:hint="eastAsia" w:ascii="Times New Roman" w:hAnsi="Times New Roman" w:eastAsia="宋体" w:cs="Times New Roman"/>
          <w:b/>
          <w:bCs/>
          <w:caps w:val="0"/>
          <w:smallCaps w:val="0"/>
          <w:color w:val="auto"/>
          <w:spacing w:val="0"/>
          <w:sz w:val="24"/>
          <w:szCs w:val="24"/>
          <w:highlight w:val="none"/>
        </w:rPr>
        <w:t>5.2-1</w:t>
      </w:r>
      <w:r>
        <w:rPr>
          <w:rFonts w:ascii="Times New Roman" w:hAnsi="Times New Roman" w:eastAsia="宋体" w:cs="Times New Roman"/>
          <w:b/>
          <w:bCs/>
          <w:caps w:val="0"/>
          <w:smallCaps w:val="0"/>
          <w:color w:val="auto"/>
          <w:spacing w:val="0"/>
          <w:sz w:val="24"/>
          <w:szCs w:val="24"/>
          <w:highlight w:val="none"/>
        </w:rPr>
        <w:t>本项目污水污染物源强一览表</w:t>
      </w:r>
    </w:p>
    <w:tbl>
      <w:tblPr>
        <w:tblStyle w:val="37"/>
        <w:tblW w:w="5000" w:type="pct"/>
        <w:jc w:val="center"/>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96"/>
        <w:gridCol w:w="352"/>
        <w:gridCol w:w="813"/>
        <w:gridCol w:w="57"/>
        <w:gridCol w:w="722"/>
        <w:gridCol w:w="654"/>
        <w:gridCol w:w="1552"/>
        <w:gridCol w:w="834"/>
        <w:gridCol w:w="1129"/>
        <w:gridCol w:w="834"/>
        <w:gridCol w:w="724"/>
        <w:gridCol w:w="919"/>
      </w:tblGrid>
      <w:tr w14:paraId="7A9C906A">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restart"/>
            <w:tcBorders>
              <w:tl2br w:val="nil"/>
              <w:tr2bl w:val="nil"/>
            </w:tcBorders>
            <w:vAlign w:val="center"/>
          </w:tcPr>
          <w:p w14:paraId="3516F789">
            <w:pPr>
              <w:pStyle w:val="66"/>
              <w:ind w:left="0"/>
              <w:rPr>
                <w:rFonts w:ascii="Times New Roman" w:hAnsi="Times New Roman" w:eastAsia="宋体" w:cs="Times New Roman"/>
                <w:bCs/>
                <w:caps w:val="0"/>
                <w:smallCaps w:val="0"/>
                <w:color w:val="auto"/>
                <w:spacing w:val="0"/>
                <w:highlight w:val="none"/>
              </w:rPr>
            </w:pPr>
          </w:p>
        </w:tc>
        <w:tc>
          <w:tcPr>
            <w:tcW w:w="352" w:type="dxa"/>
            <w:vMerge w:val="restart"/>
            <w:tcBorders>
              <w:tl2br w:val="nil"/>
              <w:tr2bl w:val="nil"/>
            </w:tcBorders>
            <w:vAlign w:val="center"/>
          </w:tcPr>
          <w:p w14:paraId="5BCF6E36">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序号</w:t>
            </w:r>
          </w:p>
        </w:tc>
        <w:tc>
          <w:tcPr>
            <w:tcW w:w="813" w:type="dxa"/>
            <w:vMerge w:val="restart"/>
            <w:tcBorders>
              <w:tl2br w:val="nil"/>
              <w:tr2bl w:val="nil"/>
            </w:tcBorders>
            <w:vAlign w:val="center"/>
          </w:tcPr>
          <w:p w14:paraId="5F35A121">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污染源名称</w:t>
            </w:r>
          </w:p>
        </w:tc>
        <w:tc>
          <w:tcPr>
            <w:tcW w:w="779" w:type="dxa"/>
            <w:gridSpan w:val="2"/>
            <w:vMerge w:val="restart"/>
            <w:tcBorders>
              <w:tl2br w:val="nil"/>
              <w:tr2bl w:val="nil"/>
            </w:tcBorders>
            <w:vAlign w:val="center"/>
          </w:tcPr>
          <w:p w14:paraId="50466CB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污水来源</w:t>
            </w:r>
          </w:p>
        </w:tc>
        <w:tc>
          <w:tcPr>
            <w:tcW w:w="2206" w:type="dxa"/>
            <w:gridSpan w:val="2"/>
            <w:vMerge w:val="restart"/>
            <w:tcBorders>
              <w:tl2br w:val="nil"/>
              <w:tr2bl w:val="nil"/>
            </w:tcBorders>
            <w:vAlign w:val="center"/>
          </w:tcPr>
          <w:p w14:paraId="338F671F">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污水去向</w:t>
            </w:r>
          </w:p>
        </w:tc>
        <w:tc>
          <w:tcPr>
            <w:tcW w:w="834" w:type="dxa"/>
            <w:tcBorders>
              <w:tl2br w:val="nil"/>
              <w:tr2bl w:val="nil"/>
            </w:tcBorders>
            <w:vAlign w:val="center"/>
          </w:tcPr>
          <w:p w14:paraId="4F367F7E">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污水产生量</w:t>
            </w:r>
          </w:p>
        </w:tc>
        <w:tc>
          <w:tcPr>
            <w:tcW w:w="3606" w:type="dxa"/>
            <w:gridSpan w:val="4"/>
            <w:tcBorders>
              <w:tl2br w:val="nil"/>
              <w:tr2bl w:val="nil"/>
            </w:tcBorders>
            <w:vAlign w:val="center"/>
          </w:tcPr>
          <w:p w14:paraId="4C09A631">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污染物浓度（mg/L）</w:t>
            </w:r>
          </w:p>
        </w:tc>
      </w:tr>
      <w:tr w14:paraId="4576667E">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continue"/>
            <w:tcBorders>
              <w:tl2br w:val="nil"/>
              <w:tr2bl w:val="nil"/>
            </w:tcBorders>
            <w:vAlign w:val="center"/>
          </w:tcPr>
          <w:p w14:paraId="32F26BB7">
            <w:pPr>
              <w:pStyle w:val="66"/>
              <w:ind w:left="0"/>
              <w:rPr>
                <w:rFonts w:ascii="Times New Roman" w:hAnsi="Times New Roman" w:eastAsia="宋体" w:cs="Times New Roman"/>
                <w:bCs/>
                <w:caps w:val="0"/>
                <w:smallCaps w:val="0"/>
                <w:color w:val="auto"/>
                <w:spacing w:val="0"/>
                <w:highlight w:val="none"/>
              </w:rPr>
            </w:pPr>
          </w:p>
        </w:tc>
        <w:tc>
          <w:tcPr>
            <w:tcW w:w="352" w:type="dxa"/>
            <w:vMerge w:val="continue"/>
            <w:tcBorders>
              <w:tl2br w:val="nil"/>
              <w:tr2bl w:val="nil"/>
            </w:tcBorders>
            <w:vAlign w:val="center"/>
          </w:tcPr>
          <w:p w14:paraId="06F96A67">
            <w:pPr>
              <w:pStyle w:val="66"/>
              <w:ind w:left="0"/>
              <w:rPr>
                <w:rFonts w:ascii="Times New Roman" w:hAnsi="Times New Roman" w:eastAsia="宋体" w:cs="Times New Roman"/>
                <w:bCs/>
                <w:caps w:val="0"/>
                <w:smallCaps w:val="0"/>
                <w:color w:val="auto"/>
                <w:spacing w:val="0"/>
                <w:highlight w:val="none"/>
              </w:rPr>
            </w:pPr>
          </w:p>
        </w:tc>
        <w:tc>
          <w:tcPr>
            <w:tcW w:w="813" w:type="dxa"/>
            <w:vMerge w:val="continue"/>
            <w:tcBorders>
              <w:tl2br w:val="nil"/>
              <w:tr2bl w:val="nil"/>
            </w:tcBorders>
            <w:vAlign w:val="center"/>
          </w:tcPr>
          <w:p w14:paraId="058ED89F">
            <w:pPr>
              <w:pStyle w:val="66"/>
              <w:ind w:left="0"/>
              <w:rPr>
                <w:rFonts w:ascii="Times New Roman" w:hAnsi="Times New Roman" w:eastAsia="宋体" w:cs="Times New Roman"/>
                <w:bCs/>
                <w:caps w:val="0"/>
                <w:smallCaps w:val="0"/>
                <w:color w:val="auto"/>
                <w:spacing w:val="0"/>
                <w:highlight w:val="none"/>
              </w:rPr>
            </w:pPr>
          </w:p>
        </w:tc>
        <w:tc>
          <w:tcPr>
            <w:tcW w:w="779" w:type="dxa"/>
            <w:gridSpan w:val="2"/>
            <w:vMerge w:val="continue"/>
            <w:tcBorders>
              <w:tl2br w:val="nil"/>
              <w:tr2bl w:val="nil"/>
            </w:tcBorders>
            <w:vAlign w:val="center"/>
          </w:tcPr>
          <w:p w14:paraId="06084390">
            <w:pPr>
              <w:pStyle w:val="66"/>
              <w:ind w:left="0"/>
              <w:rPr>
                <w:rFonts w:ascii="Times New Roman" w:hAnsi="Times New Roman" w:eastAsia="宋体" w:cs="Times New Roman"/>
                <w:bCs/>
                <w:caps w:val="0"/>
                <w:smallCaps w:val="0"/>
                <w:color w:val="auto"/>
                <w:spacing w:val="0"/>
                <w:highlight w:val="none"/>
              </w:rPr>
            </w:pPr>
          </w:p>
        </w:tc>
        <w:tc>
          <w:tcPr>
            <w:tcW w:w="2206" w:type="dxa"/>
            <w:gridSpan w:val="2"/>
            <w:vMerge w:val="continue"/>
            <w:tcBorders>
              <w:tl2br w:val="nil"/>
              <w:tr2bl w:val="nil"/>
            </w:tcBorders>
            <w:vAlign w:val="center"/>
          </w:tcPr>
          <w:p w14:paraId="57903043">
            <w:pPr>
              <w:pStyle w:val="66"/>
              <w:ind w:left="0"/>
              <w:rPr>
                <w:rFonts w:ascii="Times New Roman" w:hAnsi="Times New Roman" w:eastAsia="宋体" w:cs="Times New Roman"/>
                <w:bCs/>
                <w:caps w:val="0"/>
                <w:smallCaps w:val="0"/>
                <w:color w:val="auto"/>
                <w:spacing w:val="0"/>
                <w:highlight w:val="none"/>
              </w:rPr>
            </w:pPr>
          </w:p>
        </w:tc>
        <w:tc>
          <w:tcPr>
            <w:tcW w:w="834" w:type="dxa"/>
            <w:tcBorders>
              <w:tl2br w:val="nil"/>
              <w:tr2bl w:val="nil"/>
            </w:tcBorders>
            <w:vAlign w:val="center"/>
          </w:tcPr>
          <w:p w14:paraId="2225A749">
            <w:pPr>
              <w:pStyle w:val="66"/>
              <w:ind w:left="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rPr>
              <w:t>(</w:t>
            </w:r>
            <w:r>
              <w:rPr>
                <w:rFonts w:ascii="Times New Roman" w:hAnsi="Times New Roman" w:eastAsia="宋体" w:cs="Times New Roman"/>
                <w:bCs/>
                <w:caps w:val="0"/>
                <w:smallCaps w:val="0"/>
                <w:color w:val="auto"/>
                <w:spacing w:val="0"/>
                <w:highlight w:val="none"/>
              </w:rPr>
              <w:t>t/a</w:t>
            </w:r>
            <w:r>
              <w:rPr>
                <w:rFonts w:hint="eastAsia" w:ascii="Times New Roman" w:hAnsi="Times New Roman" w:eastAsia="宋体" w:cs="Times New Roman"/>
                <w:bCs/>
                <w:caps w:val="0"/>
                <w:smallCaps w:val="0"/>
                <w:color w:val="auto"/>
                <w:spacing w:val="0"/>
                <w:highlight w:val="none"/>
              </w:rPr>
              <w:t>)</w:t>
            </w:r>
          </w:p>
        </w:tc>
        <w:tc>
          <w:tcPr>
            <w:tcW w:w="1129" w:type="dxa"/>
            <w:tcBorders>
              <w:tl2br w:val="nil"/>
              <w:tr2bl w:val="nil"/>
            </w:tcBorders>
            <w:vAlign w:val="center"/>
          </w:tcPr>
          <w:p w14:paraId="39B55A9F">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COD</w:t>
            </w:r>
          </w:p>
        </w:tc>
        <w:tc>
          <w:tcPr>
            <w:tcW w:w="834" w:type="dxa"/>
            <w:tcBorders>
              <w:tl2br w:val="nil"/>
              <w:tr2bl w:val="nil"/>
            </w:tcBorders>
            <w:vAlign w:val="center"/>
          </w:tcPr>
          <w:p w14:paraId="7DEF8C94">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BOD</w:t>
            </w:r>
            <w:r>
              <w:rPr>
                <w:rFonts w:ascii="Times New Roman" w:hAnsi="Times New Roman" w:eastAsia="宋体" w:cs="Times New Roman"/>
                <w:bCs/>
                <w:caps w:val="0"/>
                <w:smallCaps w:val="0"/>
                <w:color w:val="auto"/>
                <w:spacing w:val="0"/>
                <w:highlight w:val="none"/>
                <w:vertAlign w:val="subscript"/>
              </w:rPr>
              <w:t>5</w:t>
            </w:r>
          </w:p>
        </w:tc>
        <w:tc>
          <w:tcPr>
            <w:tcW w:w="724" w:type="dxa"/>
            <w:tcBorders>
              <w:tl2br w:val="nil"/>
              <w:tr2bl w:val="nil"/>
            </w:tcBorders>
            <w:vAlign w:val="center"/>
          </w:tcPr>
          <w:p w14:paraId="6DDF4496">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氨氮</w:t>
            </w:r>
          </w:p>
        </w:tc>
        <w:tc>
          <w:tcPr>
            <w:tcW w:w="919" w:type="dxa"/>
            <w:tcBorders>
              <w:tl2br w:val="nil"/>
              <w:tr2bl w:val="nil"/>
            </w:tcBorders>
            <w:vAlign w:val="center"/>
          </w:tcPr>
          <w:p w14:paraId="76890A6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SS</w:t>
            </w:r>
          </w:p>
        </w:tc>
      </w:tr>
      <w:tr w14:paraId="2DC2CA4F">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restart"/>
            <w:tcBorders>
              <w:tl2br w:val="nil"/>
              <w:tr2bl w:val="nil"/>
            </w:tcBorders>
            <w:vAlign w:val="center"/>
          </w:tcPr>
          <w:p w14:paraId="32763B3D">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本次新增</w:t>
            </w:r>
          </w:p>
        </w:tc>
        <w:tc>
          <w:tcPr>
            <w:tcW w:w="352" w:type="dxa"/>
            <w:tcBorders>
              <w:tl2br w:val="nil"/>
              <w:tr2bl w:val="nil"/>
            </w:tcBorders>
            <w:vAlign w:val="center"/>
          </w:tcPr>
          <w:p w14:paraId="59DA2A9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w:t>
            </w:r>
          </w:p>
        </w:tc>
        <w:tc>
          <w:tcPr>
            <w:tcW w:w="813" w:type="dxa"/>
            <w:tcBorders>
              <w:tl2br w:val="nil"/>
              <w:tr2bl w:val="nil"/>
            </w:tcBorders>
            <w:vAlign w:val="center"/>
          </w:tcPr>
          <w:p w14:paraId="23F12631">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生产</w:t>
            </w:r>
          </w:p>
          <w:p w14:paraId="7F6E53BF">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w:t>
            </w:r>
          </w:p>
        </w:tc>
        <w:tc>
          <w:tcPr>
            <w:tcW w:w="779" w:type="dxa"/>
            <w:gridSpan w:val="2"/>
            <w:tcBorders>
              <w:tl2br w:val="nil"/>
              <w:tr2bl w:val="nil"/>
            </w:tcBorders>
            <w:vAlign w:val="center"/>
          </w:tcPr>
          <w:p w14:paraId="4739B0BA">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基片清洗废水</w:t>
            </w:r>
          </w:p>
        </w:tc>
        <w:tc>
          <w:tcPr>
            <w:tcW w:w="2206" w:type="dxa"/>
            <w:gridSpan w:val="2"/>
            <w:tcBorders>
              <w:tl2br w:val="nil"/>
              <w:tr2bl w:val="nil"/>
            </w:tcBorders>
            <w:vAlign w:val="center"/>
          </w:tcPr>
          <w:p w14:paraId="5BC51189">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经厂区污水处理站收集pH中和调节后达标排放至园区污水管网，进入佳木斯市高新区污水处理厂</w:t>
            </w:r>
          </w:p>
        </w:tc>
        <w:tc>
          <w:tcPr>
            <w:tcW w:w="834" w:type="dxa"/>
            <w:tcBorders>
              <w:tl2br w:val="nil"/>
              <w:tr2bl w:val="nil"/>
            </w:tcBorders>
            <w:vAlign w:val="center"/>
          </w:tcPr>
          <w:p w14:paraId="2AF07D66">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5513.7</w:t>
            </w:r>
          </w:p>
        </w:tc>
        <w:tc>
          <w:tcPr>
            <w:tcW w:w="1129" w:type="dxa"/>
            <w:tcBorders>
              <w:tl2br w:val="nil"/>
              <w:tr2bl w:val="nil"/>
            </w:tcBorders>
            <w:vAlign w:val="center"/>
          </w:tcPr>
          <w:p w14:paraId="0CDA34A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834" w:type="dxa"/>
            <w:tcBorders>
              <w:tl2br w:val="nil"/>
              <w:tr2bl w:val="nil"/>
            </w:tcBorders>
            <w:vAlign w:val="center"/>
          </w:tcPr>
          <w:p w14:paraId="51F0BDA8">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724" w:type="dxa"/>
            <w:tcBorders>
              <w:tl2br w:val="nil"/>
              <w:tr2bl w:val="nil"/>
            </w:tcBorders>
            <w:vAlign w:val="center"/>
          </w:tcPr>
          <w:p w14:paraId="101CE40E">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19" w:type="dxa"/>
            <w:tcBorders>
              <w:tl2br w:val="nil"/>
              <w:tr2bl w:val="nil"/>
            </w:tcBorders>
            <w:vAlign w:val="center"/>
          </w:tcPr>
          <w:p w14:paraId="21EC6CD2">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1373EDF7">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continue"/>
            <w:tcBorders>
              <w:tl2br w:val="nil"/>
              <w:tr2bl w:val="nil"/>
            </w:tcBorders>
            <w:vAlign w:val="center"/>
          </w:tcPr>
          <w:p w14:paraId="6934DFE7">
            <w:pPr>
              <w:pStyle w:val="66"/>
              <w:ind w:left="0"/>
              <w:rPr>
                <w:rFonts w:ascii="Times New Roman" w:hAnsi="Times New Roman" w:eastAsia="宋体" w:cs="Times New Roman"/>
                <w:bCs/>
                <w:caps w:val="0"/>
                <w:smallCaps w:val="0"/>
                <w:color w:val="auto"/>
                <w:spacing w:val="0"/>
                <w:highlight w:val="none"/>
              </w:rPr>
            </w:pPr>
          </w:p>
        </w:tc>
        <w:tc>
          <w:tcPr>
            <w:tcW w:w="352" w:type="dxa"/>
            <w:tcBorders>
              <w:tl2br w:val="nil"/>
              <w:tr2bl w:val="nil"/>
            </w:tcBorders>
            <w:vAlign w:val="center"/>
          </w:tcPr>
          <w:p w14:paraId="5076A3B2">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w:t>
            </w:r>
          </w:p>
        </w:tc>
        <w:tc>
          <w:tcPr>
            <w:tcW w:w="813" w:type="dxa"/>
            <w:tcBorders>
              <w:tl2br w:val="nil"/>
              <w:tr2bl w:val="nil"/>
            </w:tcBorders>
            <w:vAlign w:val="center"/>
          </w:tcPr>
          <w:p w14:paraId="24E34EC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辅助</w:t>
            </w:r>
          </w:p>
          <w:p w14:paraId="7353BA9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设施</w:t>
            </w:r>
          </w:p>
        </w:tc>
        <w:tc>
          <w:tcPr>
            <w:tcW w:w="779" w:type="dxa"/>
            <w:gridSpan w:val="2"/>
            <w:tcBorders>
              <w:tl2br w:val="nil"/>
              <w:tr2bl w:val="nil"/>
            </w:tcBorders>
            <w:vAlign w:val="center"/>
          </w:tcPr>
          <w:p w14:paraId="5E04C239">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纯水制备废水</w:t>
            </w:r>
          </w:p>
        </w:tc>
        <w:tc>
          <w:tcPr>
            <w:tcW w:w="2206" w:type="dxa"/>
            <w:gridSpan w:val="2"/>
            <w:tcBorders>
              <w:tl2br w:val="nil"/>
              <w:tr2bl w:val="nil"/>
            </w:tcBorders>
            <w:vAlign w:val="center"/>
          </w:tcPr>
          <w:p w14:paraId="439EA019">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排放至园区污水管网，进入佳木斯市高新区污水处理厂</w:t>
            </w:r>
          </w:p>
        </w:tc>
        <w:tc>
          <w:tcPr>
            <w:tcW w:w="834" w:type="dxa"/>
            <w:tcBorders>
              <w:tl2br w:val="nil"/>
              <w:tr2bl w:val="nil"/>
            </w:tcBorders>
            <w:vAlign w:val="center"/>
          </w:tcPr>
          <w:p w14:paraId="3CB9C0C0">
            <w:pPr>
              <w:pStyle w:val="66"/>
              <w:ind w:left="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rPr>
              <w:t>4542.3</w:t>
            </w:r>
          </w:p>
        </w:tc>
        <w:tc>
          <w:tcPr>
            <w:tcW w:w="1129" w:type="dxa"/>
            <w:tcBorders>
              <w:tl2br w:val="nil"/>
              <w:tr2bl w:val="nil"/>
            </w:tcBorders>
            <w:vAlign w:val="center"/>
          </w:tcPr>
          <w:p w14:paraId="2DC8728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834" w:type="dxa"/>
            <w:tcBorders>
              <w:tl2br w:val="nil"/>
              <w:tr2bl w:val="nil"/>
            </w:tcBorders>
            <w:vAlign w:val="center"/>
          </w:tcPr>
          <w:p w14:paraId="45CAE64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724" w:type="dxa"/>
            <w:tcBorders>
              <w:tl2br w:val="nil"/>
              <w:tr2bl w:val="nil"/>
            </w:tcBorders>
            <w:vAlign w:val="center"/>
          </w:tcPr>
          <w:p w14:paraId="6F84078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19" w:type="dxa"/>
            <w:tcBorders>
              <w:tl2br w:val="nil"/>
              <w:tr2bl w:val="nil"/>
            </w:tcBorders>
            <w:vAlign w:val="center"/>
          </w:tcPr>
          <w:p w14:paraId="3EC77EA4">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64BA0109">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restart"/>
            <w:tcBorders>
              <w:tl2br w:val="nil"/>
              <w:tr2bl w:val="nil"/>
            </w:tcBorders>
            <w:vAlign w:val="center"/>
          </w:tcPr>
          <w:p w14:paraId="6008CA08">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现有工程</w:t>
            </w:r>
          </w:p>
        </w:tc>
        <w:tc>
          <w:tcPr>
            <w:tcW w:w="352" w:type="dxa"/>
            <w:tcBorders>
              <w:tl2br w:val="nil"/>
              <w:tr2bl w:val="nil"/>
            </w:tcBorders>
            <w:vAlign w:val="center"/>
          </w:tcPr>
          <w:p w14:paraId="1DD6675C">
            <w:pPr>
              <w:pStyle w:val="66"/>
              <w:ind w:left="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3</w:t>
            </w:r>
          </w:p>
        </w:tc>
        <w:tc>
          <w:tcPr>
            <w:tcW w:w="813" w:type="dxa"/>
            <w:tcBorders>
              <w:tl2br w:val="nil"/>
              <w:tr2bl w:val="nil"/>
            </w:tcBorders>
            <w:vAlign w:val="center"/>
          </w:tcPr>
          <w:p w14:paraId="4E290657">
            <w:pPr>
              <w:pStyle w:val="66"/>
              <w:ind w:left="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生活污水</w:t>
            </w:r>
          </w:p>
        </w:tc>
        <w:tc>
          <w:tcPr>
            <w:tcW w:w="779" w:type="dxa"/>
            <w:gridSpan w:val="2"/>
            <w:tcBorders>
              <w:tl2br w:val="nil"/>
              <w:tr2bl w:val="nil"/>
            </w:tcBorders>
            <w:vAlign w:val="center"/>
          </w:tcPr>
          <w:p w14:paraId="5126108B">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生活废水</w:t>
            </w:r>
          </w:p>
        </w:tc>
        <w:tc>
          <w:tcPr>
            <w:tcW w:w="2206" w:type="dxa"/>
            <w:gridSpan w:val="2"/>
            <w:tcBorders>
              <w:tl2br w:val="nil"/>
              <w:tr2bl w:val="nil"/>
            </w:tcBorders>
            <w:vAlign w:val="center"/>
          </w:tcPr>
          <w:p w14:paraId="5D6523F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排放至园区污水管网，进入佳木斯市高新区污水处理厂</w:t>
            </w:r>
          </w:p>
        </w:tc>
        <w:tc>
          <w:tcPr>
            <w:tcW w:w="834" w:type="dxa"/>
            <w:tcBorders>
              <w:tl2br w:val="nil"/>
              <w:tr2bl w:val="nil"/>
            </w:tcBorders>
            <w:vAlign w:val="center"/>
          </w:tcPr>
          <w:p w14:paraId="2ACC9E34">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12000</w:t>
            </w:r>
          </w:p>
        </w:tc>
        <w:tc>
          <w:tcPr>
            <w:tcW w:w="1129" w:type="dxa"/>
            <w:tcBorders>
              <w:tl2br w:val="nil"/>
              <w:tr2bl w:val="nil"/>
            </w:tcBorders>
            <w:vAlign w:val="center"/>
          </w:tcPr>
          <w:p w14:paraId="47F300EF">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834" w:type="dxa"/>
            <w:tcBorders>
              <w:tl2br w:val="nil"/>
              <w:tr2bl w:val="nil"/>
            </w:tcBorders>
            <w:vAlign w:val="center"/>
          </w:tcPr>
          <w:p w14:paraId="2DD4D44A">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724" w:type="dxa"/>
            <w:tcBorders>
              <w:tl2br w:val="nil"/>
              <w:tr2bl w:val="nil"/>
            </w:tcBorders>
            <w:vAlign w:val="center"/>
          </w:tcPr>
          <w:p w14:paraId="515C6922">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19" w:type="dxa"/>
            <w:tcBorders>
              <w:tl2br w:val="nil"/>
              <w:tr2bl w:val="nil"/>
            </w:tcBorders>
            <w:vAlign w:val="center"/>
          </w:tcPr>
          <w:p w14:paraId="47896674">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7407F0EA">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continue"/>
            <w:tcBorders>
              <w:tl2br w:val="nil"/>
              <w:tr2bl w:val="nil"/>
            </w:tcBorders>
            <w:vAlign w:val="center"/>
          </w:tcPr>
          <w:p w14:paraId="3525B27E">
            <w:pPr>
              <w:pStyle w:val="66"/>
              <w:ind w:left="0"/>
              <w:rPr>
                <w:rFonts w:hint="eastAsia" w:ascii="Times New Roman" w:hAnsi="Times New Roman" w:eastAsia="宋体" w:cs="Times New Roman"/>
                <w:bCs/>
                <w:caps w:val="0"/>
                <w:smallCaps w:val="0"/>
                <w:color w:val="auto"/>
                <w:spacing w:val="0"/>
                <w:highlight w:val="none"/>
                <w:lang w:val="en-US" w:eastAsia="zh-CN"/>
              </w:rPr>
            </w:pPr>
          </w:p>
        </w:tc>
        <w:tc>
          <w:tcPr>
            <w:tcW w:w="352" w:type="dxa"/>
            <w:tcBorders>
              <w:tl2br w:val="nil"/>
              <w:tr2bl w:val="nil"/>
            </w:tcBorders>
            <w:vAlign w:val="center"/>
          </w:tcPr>
          <w:p w14:paraId="472CED85">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4</w:t>
            </w:r>
          </w:p>
        </w:tc>
        <w:tc>
          <w:tcPr>
            <w:tcW w:w="813" w:type="dxa"/>
            <w:tcBorders>
              <w:tl2br w:val="nil"/>
              <w:tr2bl w:val="nil"/>
            </w:tcBorders>
            <w:vAlign w:val="center"/>
          </w:tcPr>
          <w:p w14:paraId="440840EF">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生产</w:t>
            </w:r>
          </w:p>
          <w:p w14:paraId="075B3339">
            <w:pPr>
              <w:pStyle w:val="66"/>
              <w:ind w:left="0" w:leftChars="0"/>
              <w:rPr>
                <w:rFonts w:hint="eastAsia" w:ascii="Times New Roman" w:hAnsi="Times New Roman" w:eastAsia="宋体" w:cs="Times New Roman"/>
                <w:bCs/>
                <w:caps w:val="0"/>
                <w:smallCaps w:val="0"/>
                <w:color w:val="auto"/>
                <w:spacing w:val="0"/>
                <w:highlight w:val="none"/>
                <w:lang w:val="en-US" w:eastAsia="zh-CN"/>
              </w:rPr>
            </w:pPr>
            <w:r>
              <w:rPr>
                <w:rFonts w:ascii="Times New Roman" w:hAnsi="Times New Roman" w:eastAsia="宋体" w:cs="Times New Roman"/>
                <w:bCs/>
                <w:caps w:val="0"/>
                <w:smallCaps w:val="0"/>
                <w:color w:val="auto"/>
                <w:spacing w:val="0"/>
                <w:highlight w:val="none"/>
              </w:rPr>
              <w:t>污水</w:t>
            </w:r>
          </w:p>
        </w:tc>
        <w:tc>
          <w:tcPr>
            <w:tcW w:w="779" w:type="dxa"/>
            <w:gridSpan w:val="2"/>
            <w:tcBorders>
              <w:tl2br w:val="nil"/>
              <w:tr2bl w:val="nil"/>
            </w:tcBorders>
            <w:vAlign w:val="center"/>
          </w:tcPr>
          <w:p w14:paraId="4B365C4E">
            <w:pPr>
              <w:pStyle w:val="66"/>
              <w:ind w:left="0"/>
              <w:rPr>
                <w:rFonts w:hint="eastAsia" w:ascii="Times New Roman" w:hAnsi="Times New Roman" w:eastAsia="宋体" w:cs="Times New Roman"/>
                <w:bCs/>
                <w:caps w:val="0"/>
                <w:smallCaps w:val="0"/>
                <w:color w:val="auto"/>
                <w:spacing w:val="0"/>
                <w:highlight w:val="none"/>
                <w:lang w:val="en-US" w:eastAsia="zh-CN"/>
              </w:rPr>
            </w:pPr>
            <w:r>
              <w:rPr>
                <w:rFonts w:ascii="Times New Roman" w:hAnsi="Times New Roman" w:eastAsia="宋体" w:cs="Times New Roman"/>
                <w:caps w:val="0"/>
                <w:smallCaps w:val="0"/>
                <w:color w:val="auto"/>
                <w:spacing w:val="0"/>
                <w:highlight w:val="none"/>
              </w:rPr>
              <w:t>背板玻璃清洗废水</w:t>
            </w:r>
          </w:p>
        </w:tc>
        <w:tc>
          <w:tcPr>
            <w:tcW w:w="2206" w:type="dxa"/>
            <w:gridSpan w:val="2"/>
            <w:tcBorders>
              <w:tl2br w:val="nil"/>
              <w:tr2bl w:val="nil"/>
            </w:tcBorders>
            <w:vAlign w:val="center"/>
          </w:tcPr>
          <w:p w14:paraId="0A5EAD89">
            <w:pPr>
              <w:ind w:left="0"/>
              <w:rPr>
                <w:rFonts w:ascii="Times New Roman" w:hAnsi="Times New Roman" w:eastAsia="宋体" w:cs="Times New Roman"/>
                <w:bCs/>
                <w:caps w:val="0"/>
                <w:smallCaps w:val="0"/>
                <w:color w:val="auto"/>
                <w:spacing w:val="0"/>
                <w:kern w:val="2"/>
                <w:sz w:val="21"/>
                <w:szCs w:val="20"/>
                <w:highlight w:val="none"/>
                <w:lang w:val="en-US" w:eastAsia="zh-CN" w:bidi="ar-SA"/>
              </w:rPr>
            </w:pPr>
            <w:r>
              <w:rPr>
                <w:rFonts w:ascii="Times New Roman" w:hAnsi="Times New Roman" w:eastAsia="宋体" w:cs="Times New Roman"/>
                <w:bCs/>
                <w:caps w:val="0"/>
                <w:smallCaps w:val="0"/>
                <w:color w:val="auto"/>
                <w:spacing w:val="0"/>
                <w:kern w:val="2"/>
                <w:sz w:val="21"/>
                <w:szCs w:val="20"/>
                <w:highlight w:val="none"/>
                <w:lang w:val="en-US" w:eastAsia="zh-CN" w:bidi="ar-SA"/>
              </w:rPr>
              <w:t>排放至园区污水管网，进入佳木斯市高新区污水处理厂</w:t>
            </w:r>
          </w:p>
        </w:tc>
        <w:tc>
          <w:tcPr>
            <w:tcW w:w="834" w:type="dxa"/>
            <w:tcBorders>
              <w:tl2br w:val="nil"/>
              <w:tr2bl w:val="nil"/>
            </w:tcBorders>
            <w:vAlign w:val="center"/>
          </w:tcPr>
          <w:p w14:paraId="6E74D24B">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9000</w:t>
            </w:r>
          </w:p>
        </w:tc>
        <w:tc>
          <w:tcPr>
            <w:tcW w:w="1129" w:type="dxa"/>
            <w:tcBorders>
              <w:tl2br w:val="nil"/>
              <w:tr2bl w:val="nil"/>
            </w:tcBorders>
            <w:vAlign w:val="center"/>
          </w:tcPr>
          <w:p w14:paraId="7AC15A0A">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834" w:type="dxa"/>
            <w:tcBorders>
              <w:tl2br w:val="nil"/>
              <w:tr2bl w:val="nil"/>
            </w:tcBorders>
            <w:vAlign w:val="center"/>
          </w:tcPr>
          <w:p w14:paraId="68F44904">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724" w:type="dxa"/>
            <w:tcBorders>
              <w:tl2br w:val="nil"/>
              <w:tr2bl w:val="nil"/>
            </w:tcBorders>
            <w:vAlign w:val="center"/>
          </w:tcPr>
          <w:p w14:paraId="58ECEF9F">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19" w:type="dxa"/>
            <w:tcBorders>
              <w:tl2br w:val="nil"/>
              <w:tr2bl w:val="nil"/>
            </w:tcBorders>
            <w:vAlign w:val="center"/>
          </w:tcPr>
          <w:p w14:paraId="4FD0BAD6">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0DF51406">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continue"/>
            <w:tcBorders>
              <w:tl2br w:val="nil"/>
              <w:tr2bl w:val="nil"/>
            </w:tcBorders>
            <w:vAlign w:val="center"/>
          </w:tcPr>
          <w:p w14:paraId="5D9D941D">
            <w:pPr>
              <w:pStyle w:val="66"/>
              <w:ind w:left="0"/>
              <w:rPr>
                <w:rFonts w:hint="eastAsia" w:ascii="Times New Roman" w:hAnsi="Times New Roman" w:eastAsia="宋体" w:cs="Times New Roman"/>
                <w:bCs/>
                <w:caps w:val="0"/>
                <w:smallCaps w:val="0"/>
                <w:color w:val="auto"/>
                <w:spacing w:val="0"/>
                <w:highlight w:val="none"/>
                <w:lang w:val="en-US" w:eastAsia="zh-CN"/>
              </w:rPr>
            </w:pPr>
          </w:p>
        </w:tc>
        <w:tc>
          <w:tcPr>
            <w:tcW w:w="352" w:type="dxa"/>
            <w:tcBorders>
              <w:tl2br w:val="nil"/>
              <w:tr2bl w:val="nil"/>
            </w:tcBorders>
            <w:vAlign w:val="center"/>
          </w:tcPr>
          <w:p w14:paraId="291CE248">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5</w:t>
            </w:r>
          </w:p>
        </w:tc>
        <w:tc>
          <w:tcPr>
            <w:tcW w:w="813" w:type="dxa"/>
            <w:tcBorders>
              <w:tl2br w:val="nil"/>
              <w:tr2bl w:val="nil"/>
            </w:tcBorders>
            <w:vAlign w:val="center"/>
          </w:tcPr>
          <w:p w14:paraId="395ED600">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辅助</w:t>
            </w:r>
          </w:p>
          <w:p w14:paraId="790271F3">
            <w:pPr>
              <w:pStyle w:val="66"/>
              <w:ind w:left="0" w:leftChars="0"/>
              <w:rPr>
                <w:rFonts w:hint="eastAsia" w:ascii="Times New Roman" w:hAnsi="Times New Roman" w:eastAsia="宋体" w:cs="Times New Roman"/>
                <w:bCs/>
                <w:caps w:val="0"/>
                <w:smallCaps w:val="0"/>
                <w:color w:val="auto"/>
                <w:spacing w:val="0"/>
                <w:highlight w:val="none"/>
                <w:lang w:val="en-US" w:eastAsia="zh-CN"/>
              </w:rPr>
            </w:pPr>
            <w:r>
              <w:rPr>
                <w:rFonts w:ascii="Times New Roman" w:hAnsi="Times New Roman" w:eastAsia="宋体" w:cs="Times New Roman"/>
                <w:bCs/>
                <w:caps w:val="0"/>
                <w:smallCaps w:val="0"/>
                <w:color w:val="auto"/>
                <w:spacing w:val="0"/>
                <w:highlight w:val="none"/>
              </w:rPr>
              <w:t>设施</w:t>
            </w:r>
          </w:p>
        </w:tc>
        <w:tc>
          <w:tcPr>
            <w:tcW w:w="779" w:type="dxa"/>
            <w:gridSpan w:val="2"/>
            <w:tcBorders>
              <w:tl2br w:val="nil"/>
              <w:tr2bl w:val="nil"/>
            </w:tcBorders>
            <w:vAlign w:val="center"/>
          </w:tcPr>
          <w:p w14:paraId="129681B2">
            <w:pPr>
              <w:pStyle w:val="66"/>
              <w:ind w:left="0"/>
              <w:rPr>
                <w:rFonts w:hint="eastAsia" w:ascii="Times New Roman" w:hAnsi="Times New Roman" w:eastAsia="宋体" w:cs="Times New Roman"/>
                <w:bCs/>
                <w:caps w:val="0"/>
                <w:smallCaps w:val="0"/>
                <w:color w:val="auto"/>
                <w:spacing w:val="0"/>
                <w:highlight w:val="none"/>
                <w:lang w:val="en-US" w:eastAsia="zh-CN"/>
              </w:rPr>
            </w:pPr>
            <w:r>
              <w:rPr>
                <w:rFonts w:ascii="Times New Roman" w:hAnsi="Times New Roman" w:eastAsia="宋体" w:cs="Times New Roman"/>
                <w:caps w:val="0"/>
                <w:smallCaps w:val="0"/>
                <w:color w:val="auto"/>
                <w:spacing w:val="0"/>
                <w:highlight w:val="none"/>
              </w:rPr>
              <w:t>纯水制备</w:t>
            </w:r>
            <w:r>
              <w:rPr>
                <w:rFonts w:hint="eastAsia" w:ascii="Times New Roman" w:hAnsi="Times New Roman" w:eastAsia="宋体" w:cs="Times New Roman"/>
                <w:caps w:val="0"/>
                <w:smallCaps w:val="0"/>
                <w:color w:val="auto"/>
                <w:spacing w:val="0"/>
                <w:highlight w:val="none"/>
                <w:lang w:val="en-US" w:eastAsia="zh-CN"/>
              </w:rPr>
              <w:t>废水</w:t>
            </w:r>
          </w:p>
        </w:tc>
        <w:tc>
          <w:tcPr>
            <w:tcW w:w="2206" w:type="dxa"/>
            <w:gridSpan w:val="2"/>
            <w:tcBorders>
              <w:tl2br w:val="nil"/>
              <w:tr2bl w:val="nil"/>
            </w:tcBorders>
            <w:vAlign w:val="center"/>
          </w:tcPr>
          <w:p w14:paraId="55F7D00C">
            <w:pPr>
              <w:ind w:left="0"/>
              <w:rPr>
                <w:rFonts w:ascii="Times New Roman" w:hAnsi="Times New Roman" w:eastAsia="宋体" w:cs="Times New Roman"/>
                <w:bCs/>
                <w:caps w:val="0"/>
                <w:smallCaps w:val="0"/>
                <w:color w:val="auto"/>
                <w:spacing w:val="0"/>
                <w:kern w:val="2"/>
                <w:sz w:val="21"/>
                <w:szCs w:val="20"/>
                <w:highlight w:val="none"/>
                <w:lang w:val="en-US" w:eastAsia="zh-CN" w:bidi="ar-SA"/>
              </w:rPr>
            </w:pPr>
            <w:r>
              <w:rPr>
                <w:rFonts w:ascii="Times New Roman" w:hAnsi="Times New Roman" w:eastAsia="宋体" w:cs="Times New Roman"/>
                <w:bCs/>
                <w:caps w:val="0"/>
                <w:smallCaps w:val="0"/>
                <w:color w:val="auto"/>
                <w:spacing w:val="0"/>
                <w:kern w:val="2"/>
                <w:sz w:val="21"/>
                <w:szCs w:val="20"/>
                <w:highlight w:val="none"/>
                <w:lang w:val="en-US" w:eastAsia="zh-CN" w:bidi="ar-SA"/>
              </w:rPr>
              <w:t>排放至园区污水管网，进入佳木斯市高新区污水处理厂</w:t>
            </w:r>
          </w:p>
        </w:tc>
        <w:tc>
          <w:tcPr>
            <w:tcW w:w="834" w:type="dxa"/>
            <w:tcBorders>
              <w:tl2br w:val="nil"/>
              <w:tr2bl w:val="nil"/>
            </w:tcBorders>
            <w:vAlign w:val="center"/>
          </w:tcPr>
          <w:p w14:paraId="33D6154C">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3290</w:t>
            </w:r>
          </w:p>
        </w:tc>
        <w:tc>
          <w:tcPr>
            <w:tcW w:w="1129" w:type="dxa"/>
            <w:tcBorders>
              <w:tl2br w:val="nil"/>
              <w:tr2bl w:val="nil"/>
            </w:tcBorders>
            <w:vAlign w:val="center"/>
          </w:tcPr>
          <w:p w14:paraId="323CE746">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834" w:type="dxa"/>
            <w:tcBorders>
              <w:tl2br w:val="nil"/>
              <w:tr2bl w:val="nil"/>
            </w:tcBorders>
            <w:vAlign w:val="center"/>
          </w:tcPr>
          <w:p w14:paraId="46A0F985">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724" w:type="dxa"/>
            <w:tcBorders>
              <w:tl2br w:val="nil"/>
              <w:tr2bl w:val="nil"/>
            </w:tcBorders>
            <w:vAlign w:val="center"/>
          </w:tcPr>
          <w:p w14:paraId="4094D049">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19" w:type="dxa"/>
            <w:tcBorders>
              <w:tl2br w:val="nil"/>
              <w:tr2bl w:val="nil"/>
            </w:tcBorders>
            <w:vAlign w:val="center"/>
          </w:tcPr>
          <w:p w14:paraId="5ABBD83D">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0B33983D">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6" w:type="dxa"/>
            <w:vMerge w:val="continue"/>
            <w:tcBorders>
              <w:tl2br w:val="nil"/>
              <w:tr2bl w:val="nil"/>
            </w:tcBorders>
            <w:vAlign w:val="center"/>
          </w:tcPr>
          <w:p w14:paraId="34A24870">
            <w:pPr>
              <w:pStyle w:val="66"/>
              <w:ind w:left="0"/>
              <w:rPr>
                <w:rFonts w:hint="eastAsia" w:ascii="Times New Roman" w:hAnsi="Times New Roman" w:eastAsia="宋体" w:cs="Times New Roman"/>
                <w:bCs/>
                <w:caps w:val="0"/>
                <w:smallCaps w:val="0"/>
                <w:color w:val="auto"/>
                <w:spacing w:val="0"/>
                <w:highlight w:val="none"/>
                <w:lang w:val="en-US" w:eastAsia="zh-CN"/>
              </w:rPr>
            </w:pPr>
          </w:p>
        </w:tc>
        <w:tc>
          <w:tcPr>
            <w:tcW w:w="4150" w:type="dxa"/>
            <w:gridSpan w:val="6"/>
            <w:tcBorders>
              <w:tl2br w:val="nil"/>
              <w:tr2bl w:val="nil"/>
            </w:tcBorders>
            <w:vAlign w:val="center"/>
          </w:tcPr>
          <w:p w14:paraId="1FB92629">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厂区总排口</w:t>
            </w:r>
          </w:p>
        </w:tc>
        <w:tc>
          <w:tcPr>
            <w:tcW w:w="834" w:type="dxa"/>
            <w:tcBorders>
              <w:tl2br w:val="nil"/>
              <w:tr2bl w:val="nil"/>
            </w:tcBorders>
            <w:vAlign w:val="center"/>
          </w:tcPr>
          <w:p w14:paraId="7A502EDC">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34346</w:t>
            </w:r>
          </w:p>
        </w:tc>
        <w:tc>
          <w:tcPr>
            <w:tcW w:w="1129" w:type="dxa"/>
            <w:tcBorders>
              <w:tl2br w:val="nil"/>
              <w:tr2bl w:val="nil"/>
            </w:tcBorders>
            <w:vAlign w:val="center"/>
          </w:tcPr>
          <w:p w14:paraId="2EA68E35">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834" w:type="dxa"/>
            <w:tcBorders>
              <w:tl2br w:val="nil"/>
              <w:tr2bl w:val="nil"/>
            </w:tcBorders>
            <w:vAlign w:val="center"/>
          </w:tcPr>
          <w:p w14:paraId="448A52E0">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724" w:type="dxa"/>
            <w:tcBorders>
              <w:tl2br w:val="nil"/>
              <w:tr2bl w:val="nil"/>
            </w:tcBorders>
            <w:vAlign w:val="center"/>
          </w:tcPr>
          <w:p w14:paraId="29AF5D2A">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19" w:type="dxa"/>
            <w:tcBorders>
              <w:tl2br w:val="nil"/>
              <w:tr2bl w:val="nil"/>
            </w:tcBorders>
            <w:vAlign w:val="center"/>
          </w:tcPr>
          <w:p w14:paraId="76C4A661">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32330107">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286" w:type="dxa"/>
            <w:gridSpan w:val="12"/>
            <w:tcBorders>
              <w:tl2br w:val="nil"/>
              <w:tr2bl w:val="nil"/>
            </w:tcBorders>
            <w:vAlign w:val="center"/>
          </w:tcPr>
          <w:p w14:paraId="133150C2">
            <w:pPr>
              <w:pStyle w:val="66"/>
              <w:ind w:left="0"/>
              <w:jc w:val="both"/>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备注：由于本项目锅炉现已停用因此不参与基准排水量的核算，厂区总排口废水污染物执行《电池工业污染物排放标准》（</w:t>
            </w:r>
            <w:r>
              <w:rPr>
                <w:rFonts w:ascii="Times New Roman" w:hAnsi="Times New Roman" w:eastAsia="宋体" w:cs="Times New Roman"/>
                <w:bCs/>
                <w:caps w:val="0"/>
                <w:smallCaps w:val="0"/>
                <w:color w:val="auto"/>
                <w:spacing w:val="0"/>
                <w:highlight w:val="none"/>
                <w:lang w:val="en-US" w:eastAsia="zh-CN"/>
              </w:rPr>
              <w:t>GB30484-2013</w:t>
            </w:r>
            <w:r>
              <w:rPr>
                <w:rFonts w:hint="eastAsia" w:ascii="Times New Roman" w:hAnsi="Times New Roman" w:eastAsia="宋体" w:cs="Times New Roman"/>
                <w:bCs/>
                <w:caps w:val="0"/>
                <w:smallCaps w:val="0"/>
                <w:color w:val="auto"/>
                <w:spacing w:val="0"/>
                <w:highlight w:val="none"/>
                <w:lang w:val="en-US" w:eastAsia="zh-CN"/>
              </w:rPr>
              <w:t>）表</w:t>
            </w:r>
            <w:r>
              <w:rPr>
                <w:rFonts w:hint="default" w:ascii="Times New Roman" w:hAnsi="Times New Roman" w:eastAsia="宋体" w:cs="Times New Roman"/>
                <w:bCs/>
                <w:caps w:val="0"/>
                <w:smallCaps w:val="0"/>
                <w:color w:val="auto"/>
                <w:spacing w:val="0"/>
                <w:highlight w:val="none"/>
                <w:lang w:val="en-US" w:eastAsia="zh-CN"/>
              </w:rPr>
              <w:t>2</w:t>
            </w:r>
            <w:r>
              <w:rPr>
                <w:rFonts w:hint="eastAsia" w:ascii="Times New Roman" w:hAnsi="Times New Roman" w:eastAsia="宋体" w:cs="Times New Roman"/>
                <w:bCs/>
                <w:caps w:val="0"/>
                <w:smallCaps w:val="0"/>
                <w:color w:val="auto"/>
                <w:spacing w:val="0"/>
                <w:highlight w:val="none"/>
                <w:lang w:val="en-US" w:eastAsia="zh-CN"/>
              </w:rPr>
              <w:t>间接排放限值，本工程排水量为114.5</w:t>
            </w:r>
            <w:r>
              <w:rPr>
                <w:rFonts w:hint="default" w:ascii="Times New Roman" w:hAnsi="Times New Roman" w:eastAsia="宋体" w:cs="Times New Roman"/>
                <w:bCs/>
                <w:caps w:val="0"/>
                <w:smallCaps w:val="0"/>
                <w:color w:val="auto"/>
                <w:spacing w:val="0"/>
                <w:highlight w:val="none"/>
                <w:lang w:val="en-US" w:eastAsia="zh-CN"/>
              </w:rPr>
              <w:t>m</w:t>
            </w:r>
            <w:r>
              <w:rPr>
                <w:rFonts w:hint="default" w:ascii="Times New Roman" w:hAnsi="Times New Roman" w:eastAsia="宋体" w:cs="Times New Roman"/>
                <w:bCs/>
                <w:caps w:val="0"/>
                <w:smallCaps w:val="0"/>
                <w:color w:val="auto"/>
                <w:spacing w:val="0"/>
                <w:highlight w:val="none"/>
                <w:vertAlign w:val="superscript"/>
                <w:lang w:val="en-US" w:eastAsia="zh-CN"/>
              </w:rPr>
              <w:t>3</w:t>
            </w:r>
            <w:r>
              <w:rPr>
                <w:rFonts w:hint="default" w:ascii="Times New Roman" w:hAnsi="Times New Roman" w:eastAsia="宋体" w:cs="Times New Roman"/>
                <w:bCs/>
                <w:caps w:val="0"/>
                <w:smallCaps w:val="0"/>
                <w:color w:val="auto"/>
                <w:spacing w:val="0"/>
                <w:highlight w:val="none"/>
                <w:lang w:val="en-US" w:eastAsia="zh-CN"/>
              </w:rPr>
              <w:t>/d</w:t>
            </w:r>
            <w:r>
              <w:rPr>
                <w:rFonts w:hint="eastAsia" w:ascii="Times New Roman" w:hAnsi="Times New Roman" w:eastAsia="宋体" w:cs="Times New Roman"/>
                <w:bCs/>
                <w:caps w:val="0"/>
                <w:smallCaps w:val="0"/>
                <w:color w:val="auto"/>
                <w:spacing w:val="0"/>
                <w:highlight w:val="none"/>
                <w:lang w:val="en-US" w:eastAsia="zh-CN"/>
              </w:rPr>
              <w:t>，单位产品实际排水量为0.343</w:t>
            </w:r>
            <w:r>
              <w:rPr>
                <w:rFonts w:hint="default" w:ascii="Times New Roman" w:hAnsi="Times New Roman" w:eastAsia="宋体" w:cs="Times New Roman"/>
                <w:bCs/>
                <w:caps w:val="0"/>
                <w:smallCaps w:val="0"/>
                <w:color w:val="auto"/>
                <w:spacing w:val="0"/>
                <w:highlight w:val="none"/>
                <w:lang w:val="en-US" w:eastAsia="zh-CN"/>
              </w:rPr>
              <w:t>m</w:t>
            </w:r>
            <w:r>
              <w:rPr>
                <w:rFonts w:hint="default" w:ascii="Times New Roman" w:hAnsi="Times New Roman" w:eastAsia="宋体" w:cs="Times New Roman"/>
                <w:bCs/>
                <w:caps w:val="0"/>
                <w:smallCaps w:val="0"/>
                <w:color w:val="auto"/>
                <w:spacing w:val="0"/>
                <w:highlight w:val="none"/>
                <w:vertAlign w:val="superscript"/>
                <w:lang w:val="en-US" w:eastAsia="zh-CN"/>
              </w:rPr>
              <w:t>3</w:t>
            </w:r>
            <w:r>
              <w:rPr>
                <w:rFonts w:hint="default" w:ascii="Times New Roman" w:hAnsi="Times New Roman" w:eastAsia="宋体" w:cs="Times New Roman"/>
                <w:bCs/>
                <w:caps w:val="0"/>
                <w:smallCaps w:val="0"/>
                <w:color w:val="auto"/>
                <w:spacing w:val="0"/>
                <w:highlight w:val="none"/>
                <w:lang w:val="en-US" w:eastAsia="zh-CN"/>
              </w:rPr>
              <w:t>/kW</w:t>
            </w:r>
            <w:r>
              <w:rPr>
                <w:rFonts w:hint="eastAsia" w:ascii="Times New Roman" w:hAnsi="Times New Roman" w:eastAsia="宋体" w:cs="Times New Roman"/>
                <w:bCs/>
                <w:caps w:val="0"/>
                <w:smallCaps w:val="0"/>
                <w:color w:val="auto"/>
                <w:spacing w:val="0"/>
                <w:highlight w:val="none"/>
                <w:lang w:val="en-US" w:eastAsia="zh-CN"/>
              </w:rPr>
              <w:t>，碲化镉薄膜太阳电池基准排水量同非晶硅太阳电池为</w:t>
            </w:r>
            <w:r>
              <w:rPr>
                <w:rFonts w:hint="default" w:ascii="Times New Roman" w:hAnsi="Times New Roman" w:eastAsia="宋体" w:cs="Times New Roman"/>
                <w:bCs/>
                <w:caps w:val="0"/>
                <w:smallCaps w:val="0"/>
                <w:color w:val="auto"/>
                <w:spacing w:val="0"/>
                <w:highlight w:val="none"/>
                <w:lang w:val="en-US" w:eastAsia="zh-CN"/>
              </w:rPr>
              <w:t>0.2m</w:t>
            </w:r>
            <w:r>
              <w:rPr>
                <w:rFonts w:hint="default" w:ascii="Times New Roman" w:hAnsi="Times New Roman" w:eastAsia="宋体" w:cs="Times New Roman"/>
                <w:bCs/>
                <w:caps w:val="0"/>
                <w:smallCaps w:val="0"/>
                <w:color w:val="auto"/>
                <w:spacing w:val="0"/>
                <w:highlight w:val="none"/>
                <w:vertAlign w:val="superscript"/>
                <w:lang w:val="en-US" w:eastAsia="zh-CN"/>
              </w:rPr>
              <w:t>3</w:t>
            </w:r>
            <w:r>
              <w:rPr>
                <w:rFonts w:hint="default" w:ascii="Times New Roman" w:hAnsi="Times New Roman" w:eastAsia="宋体" w:cs="Times New Roman"/>
                <w:bCs/>
                <w:caps w:val="0"/>
                <w:smallCaps w:val="0"/>
                <w:color w:val="auto"/>
                <w:spacing w:val="0"/>
                <w:highlight w:val="none"/>
                <w:lang w:val="en-US" w:eastAsia="zh-CN"/>
              </w:rPr>
              <w:t>/kW</w:t>
            </w:r>
            <w:r>
              <w:rPr>
                <w:rFonts w:hint="eastAsia" w:ascii="Times New Roman" w:hAnsi="Times New Roman" w:eastAsia="宋体" w:cs="Times New Roman"/>
                <w:bCs/>
                <w:caps w:val="0"/>
                <w:smallCaps w:val="0"/>
                <w:color w:val="auto"/>
                <w:spacing w:val="0"/>
                <w:highlight w:val="none"/>
                <w:lang w:val="en-US" w:eastAsia="zh-CN"/>
              </w:rPr>
              <w:t>，由于单位产品实际水量超过单位产品基准水量，需将实测水污染物浓度换算为水污染物基准排水量排放浓度，并以水污染物基准排水量排放浓度作为判定排放是否达标的依据，换算公式如下：</w:t>
            </w:r>
          </w:p>
          <w:p w14:paraId="1B871658">
            <w:pPr>
              <w:pStyle w:val="66"/>
              <w:ind w:left="0"/>
              <w:rPr>
                <w:color w:val="auto"/>
                <w:highlight w:val="none"/>
              </w:rPr>
            </w:pPr>
            <w:r>
              <w:rPr>
                <w:color w:val="auto"/>
                <w:highlight w:val="none"/>
              </w:rPr>
              <w:drawing>
                <wp:inline distT="0" distB="0" distL="114300" distR="114300">
                  <wp:extent cx="1419225" cy="398780"/>
                  <wp:effectExtent l="0" t="0" r="0" b="0"/>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54"/>
                          <a:srcRect t="4848" r="1325"/>
                          <a:stretch>
                            <a:fillRect/>
                          </a:stretch>
                        </pic:blipFill>
                        <pic:spPr>
                          <a:xfrm>
                            <a:off x="0" y="0"/>
                            <a:ext cx="1419225" cy="398780"/>
                          </a:xfrm>
                          <a:prstGeom prst="rect">
                            <a:avLst/>
                          </a:prstGeom>
                          <a:noFill/>
                          <a:ln>
                            <a:noFill/>
                          </a:ln>
                        </pic:spPr>
                      </pic:pic>
                    </a:graphicData>
                  </a:graphic>
                </wp:inline>
              </w:drawing>
            </w:r>
          </w:p>
          <w:p w14:paraId="7AD8B6DC">
            <w:pPr>
              <w:pStyle w:val="66"/>
              <w:ind w:left="0"/>
              <w:jc w:val="both"/>
              <w:rPr>
                <w:rFonts w:hint="eastAsia" w:ascii="Times New Roman" w:hAnsi="Times New Roman" w:eastAsia="宋体" w:cs="Times New Roman"/>
                <w:bCs/>
                <w:caps w:val="0"/>
                <w:smallCaps w:val="0"/>
                <w:color w:val="auto"/>
                <w:spacing w:val="0"/>
                <w:highlight w:val="none"/>
                <w:lang w:val="en-US" w:eastAsia="zh-CN"/>
              </w:rPr>
            </w:pPr>
            <w:r>
              <w:rPr>
                <w:rFonts w:hint="eastAsia"/>
                <w:color w:val="auto"/>
                <w:highlight w:val="none"/>
                <w:lang w:val="en-US" w:eastAsia="zh-CN"/>
              </w:rPr>
              <w:t>式</w:t>
            </w:r>
            <w:r>
              <w:rPr>
                <w:rFonts w:hint="eastAsia" w:ascii="Times New Roman" w:hAnsi="Times New Roman" w:eastAsia="宋体" w:cs="Times New Roman"/>
                <w:bCs/>
                <w:caps w:val="0"/>
                <w:smallCaps w:val="0"/>
                <w:color w:val="auto"/>
                <w:spacing w:val="0"/>
                <w:highlight w:val="none"/>
                <w:lang w:val="en-US" w:eastAsia="zh-CN"/>
              </w:rPr>
              <w:t>中：</w:t>
            </w:r>
            <w:r>
              <w:rPr>
                <w:rFonts w:hint="default" w:ascii="Times New Roman" w:hAnsi="Times New Roman" w:eastAsia="微软雅黑" w:cs="Times New Roman"/>
                <w:bCs/>
                <w:caps w:val="0"/>
                <w:smallCaps w:val="0"/>
                <w:color w:val="auto"/>
                <w:spacing w:val="0"/>
                <w:highlight w:val="none"/>
                <w:lang w:val="en-US" w:eastAsia="zh-CN"/>
              </w:rPr>
              <w:t>ρ</w:t>
            </w:r>
            <w:r>
              <w:rPr>
                <w:rFonts w:hint="eastAsia" w:ascii="Times New Roman" w:hAnsi="Times New Roman" w:eastAsia="宋体" w:cs="Times New Roman"/>
                <w:bCs/>
                <w:caps w:val="0"/>
                <w:smallCaps w:val="0"/>
                <w:color w:val="auto"/>
                <w:spacing w:val="0"/>
                <w:highlight w:val="none"/>
                <w:lang w:val="en-US" w:eastAsia="zh-CN"/>
              </w:rPr>
              <w:t>基——水污染物基准排水量排放浓度，mg/L；Q总——排水总量，m</w:t>
            </w:r>
            <w:r>
              <w:rPr>
                <w:rFonts w:hint="eastAsia" w:ascii="Times New Roman" w:hAnsi="Times New Roman" w:eastAsia="宋体" w:cs="Times New Roman"/>
                <w:bCs/>
                <w:caps w:val="0"/>
                <w:smallCaps w:val="0"/>
                <w:color w:val="auto"/>
                <w:spacing w:val="0"/>
                <w:highlight w:val="none"/>
                <w:vertAlign w:val="superscript"/>
                <w:lang w:val="en-US" w:eastAsia="zh-CN"/>
              </w:rPr>
              <w:t>3</w:t>
            </w:r>
            <w:r>
              <w:rPr>
                <w:rFonts w:hint="eastAsia" w:ascii="Times New Roman" w:hAnsi="Times New Roman" w:eastAsia="宋体" w:cs="Times New Roman"/>
                <w:bCs/>
                <w:caps w:val="0"/>
                <w:smallCaps w:val="0"/>
                <w:color w:val="auto"/>
                <w:spacing w:val="0"/>
                <w:highlight w:val="none"/>
                <w:lang w:val="en-US" w:eastAsia="zh-CN"/>
              </w:rPr>
              <w:t>；Yi——产品产量，kW；Qi基——产品的单位产品基准排水量，m</w:t>
            </w:r>
            <w:r>
              <w:rPr>
                <w:rFonts w:hint="eastAsia" w:ascii="Times New Roman" w:hAnsi="Times New Roman" w:eastAsia="宋体" w:cs="Times New Roman"/>
                <w:bCs/>
                <w:caps w:val="0"/>
                <w:smallCaps w:val="0"/>
                <w:color w:val="auto"/>
                <w:spacing w:val="0"/>
                <w:highlight w:val="none"/>
                <w:vertAlign w:val="superscript"/>
                <w:lang w:val="en-US" w:eastAsia="zh-CN"/>
              </w:rPr>
              <w:t>3</w:t>
            </w:r>
            <w:r>
              <w:rPr>
                <w:rFonts w:hint="eastAsia" w:ascii="Times New Roman" w:hAnsi="Times New Roman" w:eastAsia="宋体" w:cs="Times New Roman"/>
                <w:bCs/>
                <w:caps w:val="0"/>
                <w:smallCaps w:val="0"/>
                <w:color w:val="auto"/>
                <w:spacing w:val="0"/>
                <w:highlight w:val="none"/>
                <w:lang w:val="en-US" w:eastAsia="zh-CN"/>
              </w:rPr>
              <w:t>/kW；</w:t>
            </w:r>
            <w:r>
              <w:rPr>
                <w:rFonts w:hint="default" w:ascii="Times New Roman" w:hAnsi="Times New Roman" w:eastAsia="微软雅黑" w:cs="Times New Roman"/>
                <w:bCs/>
                <w:caps w:val="0"/>
                <w:smallCaps w:val="0"/>
                <w:color w:val="auto"/>
                <w:spacing w:val="0"/>
                <w:highlight w:val="none"/>
                <w:lang w:val="en-US" w:eastAsia="zh-CN"/>
              </w:rPr>
              <w:t>ρ</w:t>
            </w:r>
            <w:r>
              <w:rPr>
                <w:rFonts w:hint="eastAsia" w:ascii="Times New Roman" w:hAnsi="Times New Roman" w:eastAsia="宋体" w:cs="Times New Roman"/>
                <w:bCs/>
                <w:caps w:val="0"/>
                <w:smallCaps w:val="0"/>
                <w:color w:val="auto"/>
                <w:spacing w:val="0"/>
                <w:highlight w:val="none"/>
                <w:lang w:val="en-US" w:eastAsia="zh-CN"/>
              </w:rPr>
              <w:t>实——实测水污染物排放浓度，mg/L</w:t>
            </w:r>
          </w:p>
          <w:p w14:paraId="16F3F677">
            <w:pPr>
              <w:pStyle w:val="66"/>
              <w:ind w:left="0"/>
              <w:jc w:val="both"/>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换算后的排放浓度限值见下表。</w:t>
            </w:r>
          </w:p>
        </w:tc>
      </w:tr>
      <w:tr w14:paraId="655C2BB1">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918" w:type="dxa"/>
            <w:gridSpan w:val="4"/>
            <w:tcBorders>
              <w:tl2br w:val="nil"/>
              <w:tr2bl w:val="nil"/>
            </w:tcBorders>
            <w:vAlign w:val="center"/>
          </w:tcPr>
          <w:p w14:paraId="77E112B1">
            <w:pPr>
              <w:pStyle w:val="66"/>
              <w:ind w:left="0"/>
              <w:jc w:val="center"/>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实测水污染物排放浓度（单位：mg/L，pH值除外）</w:t>
            </w:r>
          </w:p>
        </w:tc>
        <w:tc>
          <w:tcPr>
            <w:tcW w:w="1376" w:type="dxa"/>
            <w:gridSpan w:val="2"/>
            <w:tcBorders>
              <w:tl2br w:val="nil"/>
              <w:tr2bl w:val="nil"/>
            </w:tcBorders>
            <w:vAlign w:val="center"/>
          </w:tcPr>
          <w:p w14:paraId="3AAAAB70">
            <w:pPr>
              <w:pStyle w:val="66"/>
              <w:ind w:left="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产品产量（kW）</w:t>
            </w:r>
          </w:p>
        </w:tc>
        <w:tc>
          <w:tcPr>
            <w:tcW w:w="1552" w:type="dxa"/>
            <w:tcBorders>
              <w:tl2br w:val="nil"/>
              <w:tr2bl w:val="nil"/>
            </w:tcBorders>
            <w:vAlign w:val="center"/>
          </w:tcPr>
          <w:p w14:paraId="4A8E5ECB">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产品的单位产品基准排水量（m</w:t>
            </w:r>
            <w:r>
              <w:rPr>
                <w:rFonts w:hint="eastAsia" w:ascii="Times New Roman" w:hAnsi="Times New Roman" w:eastAsia="宋体" w:cs="Times New Roman"/>
                <w:bCs/>
                <w:caps w:val="0"/>
                <w:smallCaps w:val="0"/>
                <w:color w:val="auto"/>
                <w:spacing w:val="0"/>
                <w:highlight w:val="none"/>
                <w:vertAlign w:val="superscript"/>
                <w:lang w:val="en-US" w:eastAsia="zh-CN"/>
              </w:rPr>
              <w:t>3</w:t>
            </w:r>
            <w:r>
              <w:rPr>
                <w:rFonts w:hint="eastAsia" w:ascii="Times New Roman" w:hAnsi="Times New Roman" w:eastAsia="宋体" w:cs="Times New Roman"/>
                <w:bCs/>
                <w:caps w:val="0"/>
                <w:smallCaps w:val="0"/>
                <w:color w:val="auto"/>
                <w:spacing w:val="0"/>
                <w:highlight w:val="none"/>
                <w:lang w:val="en-US" w:eastAsia="zh-CN"/>
              </w:rPr>
              <w:t>/kW）</w:t>
            </w:r>
          </w:p>
        </w:tc>
        <w:tc>
          <w:tcPr>
            <w:tcW w:w="1963" w:type="dxa"/>
            <w:gridSpan w:val="2"/>
            <w:tcBorders>
              <w:tl2br w:val="nil"/>
              <w:tr2bl w:val="nil"/>
            </w:tcBorders>
            <w:vAlign w:val="center"/>
          </w:tcPr>
          <w:p w14:paraId="229B5359">
            <w:pPr>
              <w:pStyle w:val="66"/>
              <w:ind w:left="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水污染物基准排水量排放浓度（单位：mg/L，pH值除外）</w:t>
            </w:r>
          </w:p>
        </w:tc>
        <w:tc>
          <w:tcPr>
            <w:tcW w:w="2477" w:type="dxa"/>
            <w:gridSpan w:val="3"/>
            <w:tcBorders>
              <w:tl2br w:val="nil"/>
              <w:tr2bl w:val="nil"/>
            </w:tcBorders>
            <w:vAlign w:val="center"/>
          </w:tcPr>
          <w:p w14:paraId="68F7323E">
            <w:pPr>
              <w:pStyle w:val="66"/>
              <w:ind w:left="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GB30484-2013表2间接排放限值（单位：mg/L，pH值除外）</w:t>
            </w:r>
          </w:p>
        </w:tc>
      </w:tr>
      <w:tr w14:paraId="5F1ED215">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48" w:type="dxa"/>
            <w:gridSpan w:val="2"/>
            <w:tcBorders>
              <w:tl2br w:val="nil"/>
              <w:tr2bl w:val="nil"/>
            </w:tcBorders>
            <w:vAlign w:val="center"/>
          </w:tcPr>
          <w:p w14:paraId="675F0920">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pH</w:t>
            </w:r>
          </w:p>
        </w:tc>
        <w:tc>
          <w:tcPr>
            <w:tcW w:w="870" w:type="dxa"/>
            <w:gridSpan w:val="2"/>
            <w:tcBorders>
              <w:tl2br w:val="nil"/>
              <w:tr2bl w:val="nil"/>
            </w:tcBorders>
            <w:vAlign w:val="center"/>
          </w:tcPr>
          <w:p w14:paraId="17374335">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6-9</w:t>
            </w:r>
          </w:p>
        </w:tc>
        <w:tc>
          <w:tcPr>
            <w:tcW w:w="1376" w:type="dxa"/>
            <w:gridSpan w:val="2"/>
            <w:vMerge w:val="restart"/>
            <w:tcBorders>
              <w:tl2br w:val="nil"/>
              <w:tr2bl w:val="nil"/>
            </w:tcBorders>
            <w:vAlign w:val="center"/>
          </w:tcPr>
          <w:p w14:paraId="09B2B433">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1.0</w:t>
            </w:r>
          </w:p>
        </w:tc>
        <w:tc>
          <w:tcPr>
            <w:tcW w:w="1552" w:type="dxa"/>
            <w:vMerge w:val="restart"/>
            <w:tcBorders>
              <w:tl2br w:val="nil"/>
              <w:tr2bl w:val="nil"/>
            </w:tcBorders>
            <w:vAlign w:val="center"/>
          </w:tcPr>
          <w:p w14:paraId="4EE6380F">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0.2</w:t>
            </w:r>
          </w:p>
        </w:tc>
        <w:tc>
          <w:tcPr>
            <w:tcW w:w="834" w:type="dxa"/>
            <w:tcBorders>
              <w:tl2br w:val="nil"/>
              <w:tr2bl w:val="nil"/>
            </w:tcBorders>
            <w:vAlign w:val="center"/>
          </w:tcPr>
          <w:p w14:paraId="0BABD57B">
            <w:pPr>
              <w:pStyle w:val="66"/>
              <w:ind w:left="0" w:leftChars="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pH</w:t>
            </w:r>
          </w:p>
        </w:tc>
        <w:tc>
          <w:tcPr>
            <w:tcW w:w="1129" w:type="dxa"/>
            <w:tcBorders>
              <w:tl2br w:val="nil"/>
              <w:tr2bl w:val="nil"/>
            </w:tcBorders>
            <w:vAlign w:val="center"/>
          </w:tcPr>
          <w:p w14:paraId="50036D7F">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6-9</w:t>
            </w:r>
          </w:p>
        </w:tc>
        <w:tc>
          <w:tcPr>
            <w:tcW w:w="834" w:type="dxa"/>
            <w:tcBorders>
              <w:tl2br w:val="nil"/>
              <w:tr2bl w:val="nil"/>
            </w:tcBorders>
            <w:vAlign w:val="center"/>
          </w:tcPr>
          <w:p w14:paraId="7378BE95">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pH</w:t>
            </w:r>
          </w:p>
        </w:tc>
        <w:tc>
          <w:tcPr>
            <w:tcW w:w="1643" w:type="dxa"/>
            <w:gridSpan w:val="2"/>
            <w:tcBorders>
              <w:tl2br w:val="nil"/>
              <w:tr2bl w:val="nil"/>
            </w:tcBorders>
            <w:vAlign w:val="center"/>
          </w:tcPr>
          <w:p w14:paraId="67604396">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6-9</w:t>
            </w:r>
          </w:p>
        </w:tc>
      </w:tr>
      <w:tr w14:paraId="76D696E5">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48" w:type="dxa"/>
            <w:gridSpan w:val="2"/>
            <w:tcBorders>
              <w:tl2br w:val="nil"/>
              <w:tr2bl w:val="nil"/>
            </w:tcBorders>
            <w:vAlign w:val="center"/>
          </w:tcPr>
          <w:p w14:paraId="72E7B1DB">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COD</w:t>
            </w:r>
          </w:p>
        </w:tc>
        <w:tc>
          <w:tcPr>
            <w:tcW w:w="870" w:type="dxa"/>
            <w:gridSpan w:val="2"/>
            <w:tcBorders>
              <w:tl2br w:val="nil"/>
              <w:tr2bl w:val="nil"/>
            </w:tcBorders>
            <w:vAlign w:val="center"/>
          </w:tcPr>
          <w:p w14:paraId="38C43663">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85</w:t>
            </w:r>
          </w:p>
        </w:tc>
        <w:tc>
          <w:tcPr>
            <w:tcW w:w="1376" w:type="dxa"/>
            <w:gridSpan w:val="2"/>
            <w:vMerge w:val="continue"/>
            <w:tcBorders>
              <w:tl2br w:val="nil"/>
              <w:tr2bl w:val="nil"/>
            </w:tcBorders>
            <w:vAlign w:val="center"/>
          </w:tcPr>
          <w:p w14:paraId="09D1C64F">
            <w:pPr>
              <w:pStyle w:val="66"/>
              <w:ind w:left="0"/>
              <w:rPr>
                <w:rFonts w:ascii="Times New Roman" w:hAnsi="Times New Roman" w:eastAsia="宋体" w:cs="Times New Roman"/>
                <w:bCs/>
                <w:caps w:val="0"/>
                <w:smallCaps w:val="0"/>
                <w:color w:val="auto"/>
                <w:spacing w:val="0"/>
                <w:highlight w:val="none"/>
              </w:rPr>
            </w:pPr>
          </w:p>
        </w:tc>
        <w:tc>
          <w:tcPr>
            <w:tcW w:w="1552" w:type="dxa"/>
            <w:vMerge w:val="continue"/>
            <w:tcBorders>
              <w:tl2br w:val="nil"/>
              <w:tr2bl w:val="nil"/>
            </w:tcBorders>
            <w:vAlign w:val="center"/>
          </w:tcPr>
          <w:p w14:paraId="470B6F26">
            <w:pPr>
              <w:pStyle w:val="66"/>
              <w:ind w:left="0"/>
              <w:rPr>
                <w:rFonts w:ascii="Times New Roman" w:hAnsi="Times New Roman" w:eastAsia="宋体" w:cs="Times New Roman"/>
                <w:bCs/>
                <w:caps w:val="0"/>
                <w:smallCaps w:val="0"/>
                <w:color w:val="auto"/>
                <w:spacing w:val="0"/>
                <w:highlight w:val="none"/>
              </w:rPr>
            </w:pPr>
          </w:p>
        </w:tc>
        <w:tc>
          <w:tcPr>
            <w:tcW w:w="834" w:type="dxa"/>
            <w:tcBorders>
              <w:tl2br w:val="nil"/>
              <w:tr2bl w:val="nil"/>
            </w:tcBorders>
            <w:vAlign w:val="center"/>
          </w:tcPr>
          <w:p w14:paraId="7A1F6DF1">
            <w:pPr>
              <w:pStyle w:val="66"/>
              <w:ind w:left="0" w:leftChars="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COD</w:t>
            </w:r>
          </w:p>
        </w:tc>
        <w:tc>
          <w:tcPr>
            <w:tcW w:w="1129" w:type="dxa"/>
            <w:tcBorders>
              <w:tl2br w:val="nil"/>
              <w:tr2bl w:val="nil"/>
            </w:tcBorders>
            <w:vAlign w:val="center"/>
          </w:tcPr>
          <w:p w14:paraId="4336D85C">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146</w:t>
            </w:r>
          </w:p>
        </w:tc>
        <w:tc>
          <w:tcPr>
            <w:tcW w:w="834" w:type="dxa"/>
            <w:tcBorders>
              <w:tl2br w:val="nil"/>
              <w:tr2bl w:val="nil"/>
            </w:tcBorders>
            <w:vAlign w:val="center"/>
          </w:tcPr>
          <w:p w14:paraId="53703D2B">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COD</w:t>
            </w:r>
          </w:p>
        </w:tc>
        <w:tc>
          <w:tcPr>
            <w:tcW w:w="1643" w:type="dxa"/>
            <w:gridSpan w:val="2"/>
            <w:tcBorders>
              <w:tl2br w:val="nil"/>
              <w:tr2bl w:val="nil"/>
            </w:tcBorders>
            <w:vAlign w:val="center"/>
          </w:tcPr>
          <w:p w14:paraId="53661590">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150</w:t>
            </w:r>
          </w:p>
        </w:tc>
      </w:tr>
      <w:tr w14:paraId="13333B1C">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48" w:type="dxa"/>
            <w:gridSpan w:val="2"/>
            <w:tcBorders>
              <w:tl2br w:val="nil"/>
              <w:tr2bl w:val="nil"/>
            </w:tcBorders>
            <w:vAlign w:val="center"/>
          </w:tcPr>
          <w:p w14:paraId="1347537A">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SS</w:t>
            </w:r>
          </w:p>
        </w:tc>
        <w:tc>
          <w:tcPr>
            <w:tcW w:w="870" w:type="dxa"/>
            <w:gridSpan w:val="2"/>
            <w:tcBorders>
              <w:tl2br w:val="nil"/>
              <w:tr2bl w:val="nil"/>
            </w:tcBorders>
            <w:vAlign w:val="center"/>
          </w:tcPr>
          <w:p w14:paraId="79ADD166">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32</w:t>
            </w:r>
          </w:p>
        </w:tc>
        <w:tc>
          <w:tcPr>
            <w:tcW w:w="1376" w:type="dxa"/>
            <w:gridSpan w:val="2"/>
            <w:vMerge w:val="continue"/>
            <w:tcBorders>
              <w:tl2br w:val="nil"/>
              <w:tr2bl w:val="nil"/>
            </w:tcBorders>
            <w:vAlign w:val="center"/>
          </w:tcPr>
          <w:p w14:paraId="032D91FD">
            <w:pPr>
              <w:pStyle w:val="66"/>
              <w:ind w:left="0"/>
              <w:rPr>
                <w:rFonts w:ascii="Times New Roman" w:hAnsi="Times New Roman" w:eastAsia="宋体" w:cs="Times New Roman"/>
                <w:bCs/>
                <w:caps w:val="0"/>
                <w:smallCaps w:val="0"/>
                <w:color w:val="auto"/>
                <w:spacing w:val="0"/>
                <w:highlight w:val="none"/>
              </w:rPr>
            </w:pPr>
          </w:p>
        </w:tc>
        <w:tc>
          <w:tcPr>
            <w:tcW w:w="1552" w:type="dxa"/>
            <w:vMerge w:val="continue"/>
            <w:tcBorders>
              <w:tl2br w:val="nil"/>
              <w:tr2bl w:val="nil"/>
            </w:tcBorders>
            <w:vAlign w:val="center"/>
          </w:tcPr>
          <w:p w14:paraId="4394B284">
            <w:pPr>
              <w:pStyle w:val="66"/>
              <w:ind w:left="0"/>
              <w:rPr>
                <w:rFonts w:ascii="Times New Roman" w:hAnsi="Times New Roman" w:eastAsia="宋体" w:cs="Times New Roman"/>
                <w:bCs/>
                <w:caps w:val="0"/>
                <w:smallCaps w:val="0"/>
                <w:color w:val="auto"/>
                <w:spacing w:val="0"/>
                <w:highlight w:val="none"/>
              </w:rPr>
            </w:pPr>
          </w:p>
        </w:tc>
        <w:tc>
          <w:tcPr>
            <w:tcW w:w="834" w:type="dxa"/>
            <w:tcBorders>
              <w:tl2br w:val="nil"/>
              <w:tr2bl w:val="nil"/>
            </w:tcBorders>
            <w:vAlign w:val="center"/>
          </w:tcPr>
          <w:p w14:paraId="4B7740CD">
            <w:pPr>
              <w:pStyle w:val="66"/>
              <w:ind w:left="0" w:leftChars="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SS</w:t>
            </w:r>
          </w:p>
        </w:tc>
        <w:tc>
          <w:tcPr>
            <w:tcW w:w="1129" w:type="dxa"/>
            <w:tcBorders>
              <w:tl2br w:val="nil"/>
              <w:tr2bl w:val="nil"/>
            </w:tcBorders>
            <w:vAlign w:val="center"/>
          </w:tcPr>
          <w:p w14:paraId="541A0879">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55</w:t>
            </w:r>
          </w:p>
        </w:tc>
        <w:tc>
          <w:tcPr>
            <w:tcW w:w="834" w:type="dxa"/>
            <w:tcBorders>
              <w:tl2br w:val="nil"/>
              <w:tr2bl w:val="nil"/>
            </w:tcBorders>
            <w:vAlign w:val="center"/>
          </w:tcPr>
          <w:p w14:paraId="1E505D71">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SS</w:t>
            </w:r>
          </w:p>
        </w:tc>
        <w:tc>
          <w:tcPr>
            <w:tcW w:w="1643" w:type="dxa"/>
            <w:gridSpan w:val="2"/>
            <w:tcBorders>
              <w:tl2br w:val="nil"/>
              <w:tr2bl w:val="nil"/>
            </w:tcBorders>
            <w:vAlign w:val="center"/>
          </w:tcPr>
          <w:p w14:paraId="081412A2">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140</w:t>
            </w:r>
          </w:p>
        </w:tc>
      </w:tr>
      <w:tr w14:paraId="1BD6E552">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048" w:type="dxa"/>
            <w:gridSpan w:val="2"/>
            <w:tcBorders>
              <w:tl2br w:val="nil"/>
              <w:tr2bl w:val="nil"/>
            </w:tcBorders>
            <w:vAlign w:val="center"/>
          </w:tcPr>
          <w:p w14:paraId="00F937D5">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氨氮</w:t>
            </w:r>
          </w:p>
        </w:tc>
        <w:tc>
          <w:tcPr>
            <w:tcW w:w="870" w:type="dxa"/>
            <w:gridSpan w:val="2"/>
            <w:tcBorders>
              <w:tl2br w:val="nil"/>
              <w:tr2bl w:val="nil"/>
            </w:tcBorders>
            <w:vAlign w:val="center"/>
          </w:tcPr>
          <w:p w14:paraId="1F398637">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10.0</w:t>
            </w:r>
          </w:p>
        </w:tc>
        <w:tc>
          <w:tcPr>
            <w:tcW w:w="1376" w:type="dxa"/>
            <w:gridSpan w:val="2"/>
            <w:vMerge w:val="continue"/>
            <w:tcBorders>
              <w:tl2br w:val="nil"/>
              <w:tr2bl w:val="nil"/>
            </w:tcBorders>
            <w:vAlign w:val="center"/>
          </w:tcPr>
          <w:p w14:paraId="37B88B29">
            <w:pPr>
              <w:pStyle w:val="66"/>
              <w:ind w:left="0"/>
              <w:rPr>
                <w:rFonts w:ascii="Times New Roman" w:hAnsi="Times New Roman" w:eastAsia="宋体" w:cs="Times New Roman"/>
                <w:bCs/>
                <w:caps w:val="0"/>
                <w:smallCaps w:val="0"/>
                <w:color w:val="auto"/>
                <w:spacing w:val="0"/>
                <w:highlight w:val="none"/>
              </w:rPr>
            </w:pPr>
          </w:p>
        </w:tc>
        <w:tc>
          <w:tcPr>
            <w:tcW w:w="1552" w:type="dxa"/>
            <w:vMerge w:val="continue"/>
            <w:tcBorders>
              <w:tl2br w:val="nil"/>
              <w:tr2bl w:val="nil"/>
            </w:tcBorders>
            <w:vAlign w:val="center"/>
          </w:tcPr>
          <w:p w14:paraId="7DB30973">
            <w:pPr>
              <w:pStyle w:val="66"/>
              <w:ind w:left="0"/>
              <w:rPr>
                <w:rFonts w:ascii="Times New Roman" w:hAnsi="Times New Roman" w:eastAsia="宋体" w:cs="Times New Roman"/>
                <w:bCs/>
                <w:caps w:val="0"/>
                <w:smallCaps w:val="0"/>
                <w:color w:val="auto"/>
                <w:spacing w:val="0"/>
                <w:highlight w:val="none"/>
              </w:rPr>
            </w:pPr>
          </w:p>
        </w:tc>
        <w:tc>
          <w:tcPr>
            <w:tcW w:w="834" w:type="dxa"/>
            <w:tcBorders>
              <w:tl2br w:val="nil"/>
              <w:tr2bl w:val="nil"/>
            </w:tcBorders>
            <w:vAlign w:val="center"/>
          </w:tcPr>
          <w:p w14:paraId="7A15C623">
            <w:pPr>
              <w:pStyle w:val="66"/>
              <w:ind w:left="0" w:leftChars="0"/>
              <w:rPr>
                <w:rFonts w:hint="eastAsia"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氨氮</w:t>
            </w:r>
          </w:p>
        </w:tc>
        <w:tc>
          <w:tcPr>
            <w:tcW w:w="1129" w:type="dxa"/>
            <w:tcBorders>
              <w:tl2br w:val="nil"/>
              <w:tr2bl w:val="nil"/>
            </w:tcBorders>
            <w:vAlign w:val="center"/>
          </w:tcPr>
          <w:p w14:paraId="22141EA8">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17</w:t>
            </w:r>
          </w:p>
        </w:tc>
        <w:tc>
          <w:tcPr>
            <w:tcW w:w="834" w:type="dxa"/>
            <w:tcBorders>
              <w:tl2br w:val="nil"/>
              <w:tr2bl w:val="nil"/>
            </w:tcBorders>
            <w:vAlign w:val="center"/>
          </w:tcPr>
          <w:p w14:paraId="071CFF9B">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氨氮</w:t>
            </w:r>
          </w:p>
        </w:tc>
        <w:tc>
          <w:tcPr>
            <w:tcW w:w="1643" w:type="dxa"/>
            <w:gridSpan w:val="2"/>
            <w:tcBorders>
              <w:tl2br w:val="nil"/>
              <w:tr2bl w:val="nil"/>
            </w:tcBorders>
            <w:vAlign w:val="center"/>
          </w:tcPr>
          <w:p w14:paraId="428BEB44">
            <w:pPr>
              <w:pStyle w:val="66"/>
              <w:ind w:left="0"/>
              <w:rPr>
                <w:rFonts w:hint="default" w:ascii="Times New Roman" w:hAnsi="Times New Roman" w:eastAsia="宋体" w:cs="Times New Roman"/>
                <w:bCs/>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highlight w:val="none"/>
                <w:lang w:val="en-US" w:eastAsia="zh-CN"/>
              </w:rPr>
              <w:t>30</w:t>
            </w:r>
          </w:p>
        </w:tc>
      </w:tr>
    </w:tbl>
    <w:p w14:paraId="2023BA7C">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position w:val="2"/>
          <w:highlight w:val="none"/>
        </w:rPr>
      </w:pPr>
      <w:r>
        <w:rPr>
          <w:rFonts w:ascii="Times New Roman" w:hAnsi="Times New Roman" w:eastAsia="宋体" w:cs="Times New Roman"/>
          <w:caps w:val="0"/>
          <w:smallCaps w:val="0"/>
          <w:color w:val="auto"/>
          <w:spacing w:val="0"/>
          <w:highlight w:val="none"/>
        </w:rPr>
        <w:t>项目含镉污水经污水处理站处理后回用于生产工艺，不外排，基片清洗废水经厂区污水处理站调节pH后与纯水制备废水一同排放至园区污水管网，经污水处理厂处理达标后，</w:t>
      </w:r>
      <w:r>
        <w:rPr>
          <w:rFonts w:hint="eastAsia" w:ascii="Times New Roman" w:hAnsi="Times New Roman" w:eastAsia="宋体" w:cs="Times New Roman"/>
          <w:caps w:val="0"/>
          <w:smallCaps w:val="0"/>
          <w:color w:val="auto"/>
          <w:spacing w:val="0"/>
          <w:highlight w:val="none"/>
          <w:lang w:val="en-US" w:eastAsia="zh-CN"/>
        </w:rPr>
        <w:t>排放至铃铛麦河途经音达木河最终进入松花江。</w:t>
      </w:r>
      <w:r>
        <w:rPr>
          <w:rFonts w:ascii="Times New Roman" w:hAnsi="Times New Roman" w:eastAsia="宋体" w:cs="Times New Roman"/>
          <w:caps w:val="0"/>
          <w:smallCaps w:val="0"/>
          <w:color w:val="auto"/>
          <w:spacing w:val="0"/>
          <w:highlight w:val="none"/>
        </w:rPr>
        <w:t>根据上表中污染物浓度计算本项目污染物的排放量（间接排放量）为，</w:t>
      </w:r>
      <w:r>
        <w:rPr>
          <w:rFonts w:ascii="Times New Roman" w:hAnsi="Times New Roman" w:eastAsia="宋体" w:cs="Times New Roman"/>
          <w:caps w:val="0"/>
          <w:smallCaps w:val="0"/>
          <w:color w:val="auto"/>
          <w:spacing w:val="0"/>
          <w:highlight w:val="none"/>
        </w:rPr>
        <w:t>COD：</w:t>
      </w:r>
      <w:r>
        <w:rPr>
          <w:rFonts w:hint="eastAsia" w:ascii="Times New Roman" w:hAnsi="Times New Roman" w:eastAsia="宋体" w:cs="Times New Roman"/>
          <w:caps w:val="0"/>
          <w:smallCaps w:val="0"/>
          <w:color w:val="auto"/>
          <w:spacing w:val="0"/>
          <w:highlight w:val="none"/>
          <w:lang w:val="en-US" w:eastAsia="zh-CN"/>
        </w:rPr>
        <w:t>2.079</w:t>
      </w:r>
      <w:r>
        <w:rPr>
          <w:rFonts w:ascii="Times New Roman" w:hAnsi="Times New Roman" w:eastAsia="宋体" w:cs="Times New Roman"/>
          <w:caps w:val="0"/>
          <w:smallCaps w:val="0"/>
          <w:color w:val="auto"/>
          <w:spacing w:val="0"/>
          <w:highlight w:val="none"/>
        </w:rPr>
        <w:t>t/a、BOD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：0.</w:t>
      </w:r>
      <w:r>
        <w:rPr>
          <w:rFonts w:hint="eastAsia" w:ascii="Times New Roman" w:hAnsi="Times New Roman" w:eastAsia="宋体" w:cs="Times New Roman"/>
          <w:caps w:val="0"/>
          <w:smallCaps w:val="0"/>
          <w:color w:val="auto"/>
          <w:spacing w:val="0"/>
          <w:highlight w:val="none"/>
          <w:lang w:val="en-US" w:eastAsia="zh-CN"/>
        </w:rPr>
        <w:t>648</w:t>
      </w:r>
      <w:r>
        <w:rPr>
          <w:rFonts w:ascii="Times New Roman" w:hAnsi="Times New Roman" w:eastAsia="宋体" w:cs="Times New Roman"/>
          <w:caps w:val="0"/>
          <w:smallCaps w:val="0"/>
          <w:color w:val="auto"/>
          <w:spacing w:val="0"/>
          <w:highlight w:val="none"/>
        </w:rPr>
        <w:t>t/a、氨氮：0</w:t>
      </w:r>
      <w:r>
        <w:rPr>
          <w:rFonts w:hint="eastAsia" w:ascii="Times New Roman" w:hAnsi="Times New Roman" w:eastAsia="宋体" w:cs="Times New Roman"/>
          <w:caps w:val="0"/>
          <w:smallCaps w:val="0"/>
          <w:color w:val="auto"/>
          <w:spacing w:val="0"/>
          <w:highlight w:val="none"/>
          <w:lang w:val="en-US" w:eastAsia="zh-CN"/>
        </w:rPr>
        <w:t>.245</w:t>
      </w:r>
      <w:r>
        <w:rPr>
          <w:rFonts w:ascii="Times New Roman" w:hAnsi="Times New Roman" w:eastAsia="宋体" w:cs="Times New Roman"/>
          <w:caps w:val="0"/>
          <w:smallCaps w:val="0"/>
          <w:color w:val="auto"/>
          <w:spacing w:val="0"/>
          <w:highlight w:val="none"/>
        </w:rPr>
        <w:t>t/a、SS：0.</w:t>
      </w:r>
      <w:r>
        <w:rPr>
          <w:rFonts w:hint="eastAsia" w:ascii="Times New Roman" w:hAnsi="Times New Roman" w:eastAsia="宋体" w:cs="Times New Roman"/>
          <w:caps w:val="0"/>
          <w:smallCaps w:val="0"/>
          <w:color w:val="auto"/>
          <w:spacing w:val="0"/>
          <w:highlight w:val="none"/>
          <w:lang w:val="en-US" w:eastAsia="zh-CN"/>
        </w:rPr>
        <w:t>783</w:t>
      </w:r>
      <w:r>
        <w:rPr>
          <w:rFonts w:ascii="Times New Roman" w:hAnsi="Times New Roman" w:eastAsia="宋体" w:cs="Times New Roman"/>
          <w:caps w:val="0"/>
          <w:smallCaps w:val="0"/>
          <w:color w:val="auto"/>
          <w:spacing w:val="0"/>
          <w:highlight w:val="none"/>
        </w:rPr>
        <w:t>t/a。</w:t>
      </w:r>
    </w:p>
    <w:p w14:paraId="1AAEF118">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position w:val="2"/>
          <w:highlight w:val="none"/>
          <w:lang w:val="en-US" w:eastAsia="zh-CN"/>
        </w:rPr>
        <w:t>本工程废水换算为基准排水量排放浓度满足《电池工业污染物排放标准》（</w:t>
      </w:r>
      <w:r>
        <w:rPr>
          <w:rFonts w:ascii="Times New Roman" w:hAnsi="Times New Roman" w:eastAsia="宋体" w:cs="Times New Roman"/>
          <w:caps w:val="0"/>
          <w:smallCaps w:val="0"/>
          <w:color w:val="auto"/>
          <w:spacing w:val="0"/>
          <w:position w:val="2"/>
          <w:highlight w:val="none"/>
          <w:lang w:val="en-US" w:eastAsia="zh-CN"/>
        </w:rPr>
        <w:t>GB30484-2013</w:t>
      </w:r>
      <w:r>
        <w:rPr>
          <w:rFonts w:hint="eastAsia" w:ascii="Times New Roman" w:hAnsi="Times New Roman" w:eastAsia="宋体" w:cs="Times New Roman"/>
          <w:caps w:val="0"/>
          <w:smallCaps w:val="0"/>
          <w:color w:val="auto"/>
          <w:spacing w:val="0"/>
          <w:position w:val="2"/>
          <w:highlight w:val="none"/>
          <w:lang w:val="en-US" w:eastAsia="zh-CN"/>
        </w:rPr>
        <w:t>）表</w:t>
      </w:r>
      <w:r>
        <w:rPr>
          <w:rFonts w:hint="default" w:ascii="Times New Roman" w:hAnsi="Times New Roman" w:eastAsia="宋体" w:cs="Times New Roman"/>
          <w:caps w:val="0"/>
          <w:smallCaps w:val="0"/>
          <w:color w:val="auto"/>
          <w:spacing w:val="0"/>
          <w:position w:val="2"/>
          <w:highlight w:val="none"/>
          <w:lang w:val="en-US" w:eastAsia="zh-CN"/>
        </w:rPr>
        <w:t>2</w:t>
      </w:r>
      <w:r>
        <w:rPr>
          <w:rFonts w:hint="eastAsia" w:ascii="Times New Roman" w:hAnsi="Times New Roman" w:eastAsia="宋体" w:cs="Times New Roman"/>
          <w:caps w:val="0"/>
          <w:smallCaps w:val="0"/>
          <w:color w:val="auto"/>
          <w:spacing w:val="0"/>
          <w:position w:val="2"/>
          <w:highlight w:val="none"/>
          <w:lang w:val="en-US" w:eastAsia="zh-CN"/>
        </w:rPr>
        <w:t>间接排放限值要求</w:t>
      </w:r>
      <w:r>
        <w:rPr>
          <w:rFonts w:ascii="Times New Roman" w:hAnsi="Times New Roman" w:eastAsia="宋体" w:cs="Times New Roman"/>
          <w:caps w:val="0"/>
          <w:smallCaps w:val="0"/>
          <w:color w:val="auto"/>
          <w:spacing w:val="0"/>
          <w:highlight w:val="none"/>
        </w:rPr>
        <w:t>，排入污水管网，最终进入</w:t>
      </w:r>
      <w:r>
        <w:rPr>
          <w:rFonts w:ascii="Times New Roman" w:hAnsi="Times New Roman" w:eastAsia="宋体" w:cs="Times New Roman"/>
          <w:caps w:val="0"/>
          <w:smallCaps w:val="0"/>
          <w:color w:val="auto"/>
          <w:spacing w:val="0"/>
          <w:szCs w:val="28"/>
          <w:highlight w:val="none"/>
        </w:rPr>
        <w:t>佳木斯市高新区污水处理厂</w:t>
      </w:r>
      <w:r>
        <w:rPr>
          <w:rFonts w:ascii="Times New Roman" w:hAnsi="Times New Roman" w:eastAsia="宋体" w:cs="Times New Roman"/>
          <w:caps w:val="0"/>
          <w:smallCaps w:val="0"/>
          <w:color w:val="auto"/>
          <w:spacing w:val="0"/>
          <w:highlight w:val="none"/>
        </w:rPr>
        <w:t>处理。</w:t>
      </w:r>
    </w:p>
    <w:p w14:paraId="677C6ED0">
      <w:pPr>
        <w:pStyle w:val="6"/>
        <w:widowControl w:val="0"/>
        <w:rPr>
          <w:rFonts w:eastAsia="宋体"/>
          <w:caps w:val="0"/>
          <w:smallCaps w:val="0"/>
          <w:color w:val="auto"/>
          <w:spacing w:val="0"/>
          <w:highlight w:val="none"/>
        </w:rPr>
      </w:pPr>
      <w:r>
        <w:rPr>
          <w:rFonts w:eastAsia="宋体"/>
          <w:caps w:val="0"/>
          <w:smallCaps w:val="0"/>
          <w:color w:val="auto"/>
          <w:spacing w:val="0"/>
          <w:highlight w:val="none"/>
        </w:rPr>
        <w:t>3.5.1.2废气</w:t>
      </w:r>
    </w:p>
    <w:p w14:paraId="7E0BD82A">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eastAsia" w:ascii="Times New Roman" w:hAnsi="Times New Roman" w:eastAsia="宋体" w:cs="Times New Roman"/>
          <w:caps w:val="0"/>
          <w:smallCaps w:val="0"/>
          <w:color w:val="auto"/>
          <w:spacing w:val="0"/>
          <w:kern w:val="0"/>
          <w:szCs w:val="24"/>
          <w:highlight w:val="none"/>
          <w:lang w:val="en-US" w:eastAsia="zh-CN" w:bidi="ar"/>
        </w:rPr>
        <w:t>本工程大气污染源生产工序及辅助工程进行划分，生产工序废气主要为</w:t>
      </w:r>
      <w:r>
        <w:rPr>
          <w:rFonts w:hint="default" w:ascii="Times New Roman" w:hAnsi="Times New Roman" w:eastAsia="宋体" w:cs="Times New Roman"/>
          <w:caps w:val="0"/>
          <w:smallCaps w:val="0"/>
          <w:color w:val="auto"/>
          <w:spacing w:val="0"/>
          <w:kern w:val="0"/>
          <w:szCs w:val="24"/>
          <w:highlight w:val="none"/>
          <w:lang w:val="en-US" w:eastAsia="zh-CN" w:bidi="ar"/>
        </w:rPr>
        <w:t>CSS</w:t>
      </w:r>
      <w:r>
        <w:rPr>
          <w:rFonts w:hint="eastAsia" w:ascii="Times New Roman" w:hAnsi="Times New Roman" w:eastAsia="宋体" w:cs="Times New Roman"/>
          <w:caps w:val="0"/>
          <w:smallCaps w:val="0"/>
          <w:color w:val="auto"/>
          <w:spacing w:val="0"/>
          <w:kern w:val="0"/>
          <w:szCs w:val="24"/>
          <w:highlight w:val="none"/>
          <w:lang w:val="en-US" w:eastAsia="zh-CN" w:bidi="ar"/>
        </w:rPr>
        <w:t>镀膜废气</w:t>
      </w:r>
      <w:r>
        <w:rPr>
          <w:rFonts w:hint="default" w:ascii="Times New Roman" w:hAnsi="Times New Roman" w:eastAsia="宋体" w:cs="Times New Roman"/>
          <w:caps w:val="0"/>
          <w:smallCaps w:val="0"/>
          <w:color w:val="auto"/>
          <w:spacing w:val="0"/>
          <w:kern w:val="0"/>
          <w:szCs w:val="24"/>
          <w:highlight w:val="none"/>
          <w:lang w:val="en-US" w:eastAsia="zh-CN" w:bidi="ar"/>
        </w:rPr>
        <w:t>G1</w:t>
      </w:r>
      <w:r>
        <w:rPr>
          <w:rFonts w:hint="eastAsia" w:ascii="Times New Roman" w:hAnsi="Times New Roman" w:eastAsia="宋体" w:cs="Times New Roman"/>
          <w:caps w:val="0"/>
          <w:smallCaps w:val="0"/>
          <w:color w:val="auto"/>
          <w:spacing w:val="0"/>
          <w:kern w:val="0"/>
          <w:szCs w:val="24"/>
          <w:highlight w:val="none"/>
          <w:lang w:val="en-US" w:eastAsia="zh-CN" w:bidi="ar"/>
        </w:rPr>
        <w:t>、活化层活化废气G2、</w:t>
      </w:r>
      <w:r>
        <w:rPr>
          <w:rFonts w:hint="eastAsia" w:ascii="Times New Roman" w:hAnsi="Times New Roman" w:eastAsia="宋体" w:cs="Times New Roman"/>
          <w:caps w:val="0"/>
          <w:smallCaps w:val="0"/>
          <w:color w:val="auto"/>
          <w:spacing w:val="0"/>
          <w:kern w:val="0"/>
          <w:szCs w:val="24"/>
          <w:highlight w:val="none"/>
          <w:lang w:val="en-US" w:eastAsia="en-US" w:bidi="ar"/>
        </w:rPr>
        <w:t>活化层清洗、蚀刻G</w:t>
      </w:r>
      <w:r>
        <w:rPr>
          <w:rFonts w:hint="eastAsia" w:ascii="Times New Roman" w:hAnsi="Times New Roman" w:eastAsia="宋体" w:cs="Times New Roman"/>
          <w:caps w:val="0"/>
          <w:smallCaps w:val="0"/>
          <w:color w:val="auto"/>
          <w:spacing w:val="0"/>
          <w:kern w:val="0"/>
          <w:szCs w:val="24"/>
          <w:highlight w:val="none"/>
          <w:lang w:val="en-US" w:eastAsia="zh-CN" w:bidi="ar"/>
        </w:rPr>
        <w:t>3、膜层溅射废气G4、P1刻线废气G5、光刻胶干燥曝光废气G6、P2刻线废气G7、背电极磁控溅射废气G8、激光刻划03废气（P3刻线废气）G9、P4边缘处理废气G10、</w:t>
      </w:r>
      <w:r>
        <w:rPr>
          <w:rFonts w:hint="eastAsia" w:ascii="Times New Roman" w:hAnsi="Times New Roman" w:eastAsia="宋体" w:cs="Times New Roman"/>
          <w:caps w:val="0"/>
          <w:smallCaps w:val="0"/>
          <w:color w:val="auto"/>
          <w:spacing w:val="0"/>
          <w:kern w:val="0"/>
          <w:szCs w:val="24"/>
          <w:highlight w:val="none"/>
          <w:lang w:val="en-US" w:eastAsia="en-US" w:bidi="ar"/>
        </w:rPr>
        <w:t>P5激光工序G1</w:t>
      </w:r>
      <w:r>
        <w:rPr>
          <w:rFonts w:hint="eastAsia"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en-US" w:bidi="ar"/>
        </w:rPr>
        <w:t>P6激光工序G1</w:t>
      </w:r>
      <w:r>
        <w:rPr>
          <w:rFonts w:hint="eastAsia" w:ascii="Times New Roman" w:hAnsi="Times New Roman" w:eastAsia="宋体" w:cs="Times New Roman"/>
          <w:caps w:val="0"/>
          <w:smallCaps w:val="0"/>
          <w:color w:val="auto"/>
          <w:spacing w:val="0"/>
          <w:kern w:val="0"/>
          <w:szCs w:val="24"/>
          <w:highlight w:val="none"/>
          <w:lang w:val="en-US" w:eastAsia="zh-CN" w:bidi="ar"/>
        </w:rPr>
        <w:t>2，辅助工程废气为污水处理站废气及实验室废气。</w:t>
      </w:r>
    </w:p>
    <w:p w14:paraId="05C3836B">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val="en-US" w:eastAsia="zh-CN" w:bidi="ar"/>
        </w:rPr>
        <w:t>根据《污染源强核算技术指南 准则》（</w:t>
      </w:r>
      <w:r>
        <w:rPr>
          <w:rFonts w:hint="default" w:ascii="Times New Roman" w:hAnsi="Times New Roman" w:eastAsia="宋体" w:cs="Times New Roman"/>
          <w:caps w:val="0"/>
          <w:smallCaps w:val="0"/>
          <w:color w:val="auto"/>
          <w:spacing w:val="0"/>
          <w:kern w:val="0"/>
          <w:szCs w:val="24"/>
          <w:highlight w:val="none"/>
          <w:lang w:val="en-US" w:eastAsia="zh-CN" w:bidi="ar"/>
        </w:rPr>
        <w:t>HJ884-2018</w:t>
      </w:r>
      <w:r>
        <w:rPr>
          <w:rFonts w:hint="eastAsia" w:ascii="Times New Roman" w:hAnsi="Times New Roman" w:eastAsia="宋体" w:cs="Times New Roman"/>
          <w:caps w:val="0"/>
          <w:smallCaps w:val="0"/>
          <w:color w:val="auto"/>
          <w:spacing w:val="0"/>
          <w:kern w:val="0"/>
          <w:szCs w:val="24"/>
          <w:highlight w:val="none"/>
          <w:lang w:val="en-US" w:eastAsia="zh-CN" w:bidi="ar"/>
        </w:rPr>
        <w:t>），本工程废气污染源强采用物料衡算法、产物系数法和类比法确定。</w:t>
      </w:r>
    </w:p>
    <w:p w14:paraId="5536B4B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（1）CSS镀膜废气</w:t>
      </w:r>
    </w:p>
    <w:p w14:paraId="354F3A5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本项目CdSe和CdTe均采用近空间升华法进行镀膜，镀膜过程污染物随氮气、氩气等保护气排出，废气主要成分为CdSe、CdTe粉尘。</w:t>
      </w:r>
    </w:p>
    <w:p w14:paraId="3E259DBA">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default" w:ascii="Times New Roman" w:hAnsi="Times New Roman" w:eastAsia="宋体" w:cs="Times New Roman"/>
          <w:caps w:val="0"/>
          <w:smallCaps w:val="0"/>
          <w:color w:val="auto"/>
          <w:spacing w:val="0"/>
          <w:kern w:val="0"/>
          <w:szCs w:val="24"/>
          <w:highlight w:val="none"/>
          <w:lang w:val="en-US" w:eastAsia="zh-CN" w:bidi="ar"/>
        </w:rPr>
        <w:t>CSS</w:t>
      </w:r>
      <w:r>
        <w:rPr>
          <w:rFonts w:hint="eastAsia" w:ascii="Times New Roman" w:hAnsi="Times New Roman" w:eastAsia="宋体" w:cs="Times New Roman"/>
          <w:caps w:val="0"/>
          <w:smallCaps w:val="0"/>
          <w:color w:val="auto"/>
          <w:spacing w:val="0"/>
          <w:kern w:val="0"/>
          <w:szCs w:val="24"/>
          <w:highlight w:val="none"/>
          <w:lang w:val="en-US" w:eastAsia="zh-CN" w:bidi="ar"/>
        </w:rPr>
        <w:t>镀膜废气</w:t>
      </w:r>
      <w:r>
        <w:rPr>
          <w:rFonts w:hint="default" w:ascii="Times New Roman" w:hAnsi="Times New Roman" w:eastAsia="宋体" w:cs="Times New Roman"/>
          <w:caps w:val="0"/>
          <w:smallCaps w:val="0"/>
          <w:color w:val="auto"/>
          <w:spacing w:val="0"/>
          <w:kern w:val="0"/>
          <w:szCs w:val="24"/>
          <w:highlight w:val="none"/>
          <w:lang w:val="en-US" w:eastAsia="zh-CN" w:bidi="ar"/>
        </w:rPr>
        <w:t>G1</w:t>
      </w:r>
      <w:r>
        <w:rPr>
          <w:rFonts w:hint="eastAsia" w:ascii="Times New Roman" w:hAnsi="Times New Roman" w:eastAsia="宋体" w:cs="Times New Roman"/>
          <w:caps w:val="0"/>
          <w:smallCaps w:val="0"/>
          <w:color w:val="auto"/>
          <w:spacing w:val="0"/>
          <w:kern w:val="0"/>
          <w:szCs w:val="24"/>
          <w:highlight w:val="none"/>
          <w:lang w:val="en-US" w:eastAsia="zh-CN" w:bidi="ar"/>
        </w:rPr>
        <w:t>先经设备自带冷却器冷却至</w:t>
      </w:r>
      <w:r>
        <w:rPr>
          <w:rFonts w:hint="default" w:ascii="Times New Roman" w:hAnsi="Times New Roman" w:eastAsia="宋体" w:cs="Times New Roman"/>
          <w:caps w:val="0"/>
          <w:smallCaps w:val="0"/>
          <w:color w:val="auto"/>
          <w:spacing w:val="0"/>
          <w:kern w:val="0"/>
          <w:szCs w:val="24"/>
          <w:highlight w:val="none"/>
          <w:lang w:val="en-US" w:eastAsia="zh-CN" w:bidi="ar"/>
        </w:rPr>
        <w:t>100</w:t>
      </w:r>
      <w:r>
        <w:rPr>
          <w:rFonts w:hint="eastAsia" w:ascii="Times New Roman" w:hAnsi="Times New Roman" w:eastAsia="宋体" w:cs="Times New Roman"/>
          <w:caps w:val="0"/>
          <w:smallCaps w:val="0"/>
          <w:color w:val="auto"/>
          <w:spacing w:val="0"/>
          <w:kern w:val="0"/>
          <w:szCs w:val="24"/>
          <w:highlight w:val="none"/>
          <w:lang w:val="en-US" w:eastAsia="zh-CN" w:bidi="ar"/>
        </w:rPr>
        <w:t>℃以下、集气装置收集，再经</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套</w:t>
      </w:r>
      <w:r>
        <w:rPr>
          <w:rFonts w:hint="default" w:ascii="Times New Roman" w:hAnsi="Times New Roman" w:eastAsia="宋体" w:cs="Times New Roman"/>
          <w:caps w:val="0"/>
          <w:smallCaps w:val="0"/>
          <w:color w:val="auto"/>
          <w:spacing w:val="0"/>
          <w:kern w:val="0"/>
          <w:szCs w:val="24"/>
          <w:highlight w:val="none"/>
          <w:lang w:val="en-US" w:eastAsia="zh-CN" w:bidi="ar"/>
        </w:rPr>
        <w:t>E12</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w:t>
      </w:r>
      <w:r>
        <w:rPr>
          <w:rFonts w:hint="default" w:ascii="Times New Roman" w:hAnsi="Times New Roman" w:eastAsia="宋体" w:cs="Times New Roman"/>
          <w:caps w:val="0"/>
          <w:smallCaps w:val="0"/>
          <w:color w:val="auto"/>
          <w:spacing w:val="0"/>
          <w:kern w:val="0"/>
          <w:szCs w:val="24"/>
          <w:highlight w:val="none"/>
          <w:lang w:val="en-US" w:eastAsia="zh-CN" w:bidi="ar"/>
        </w:rPr>
        <w:t>+H14</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级高效离子过滤器两级过滤处理后，通过</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 xml:space="preserve"> m</w:t>
      </w:r>
      <w:r>
        <w:rPr>
          <w:rFonts w:hint="eastAsia" w:ascii="Times New Roman" w:hAnsi="Times New Roman" w:eastAsia="宋体" w:cs="Times New Roman"/>
          <w:caps w:val="0"/>
          <w:smallCaps w:val="0"/>
          <w:color w:val="auto"/>
          <w:spacing w:val="0"/>
          <w:kern w:val="0"/>
          <w:szCs w:val="24"/>
          <w:highlight w:val="none"/>
          <w:lang w:val="en-US" w:eastAsia="zh-CN" w:bidi="ar"/>
        </w:rPr>
        <w:t>高排气筒DA00</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排放。</w:t>
      </w:r>
    </w:p>
    <w:p w14:paraId="5CE38860">
      <w:pPr>
        <w:widowControl w:val="0"/>
        <w:numPr>
          <w:ilvl w:val="0"/>
          <w:numId w:val="11"/>
        </w:numPr>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膜层磁控溅射</w:t>
      </w:r>
    </w:p>
    <w:p w14:paraId="4D11A6F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default" w:ascii="Times New Roman" w:hAnsi="Times New Roman" w:eastAsia="宋体" w:cs="Times New Roman"/>
          <w:caps w:val="0"/>
          <w:smallCaps w:val="0"/>
          <w:color w:val="auto"/>
          <w:spacing w:val="0"/>
          <w:kern w:val="0"/>
          <w:szCs w:val="24"/>
          <w:highlight w:val="none"/>
          <w:lang w:val="en-US" w:eastAsia="zh-CN" w:bidi="ar"/>
        </w:rPr>
        <w:t>ZnTe膜层溅射过程</w:t>
      </w:r>
      <w:r>
        <w:rPr>
          <w:rFonts w:hint="eastAsia" w:ascii="Times New Roman" w:hAnsi="Times New Roman" w:eastAsia="宋体" w:cs="Times New Roman"/>
          <w:caps w:val="0"/>
          <w:smallCaps w:val="0"/>
          <w:color w:val="auto"/>
          <w:spacing w:val="0"/>
          <w:kern w:val="0"/>
          <w:szCs w:val="24"/>
          <w:highlight w:val="none"/>
          <w:lang w:val="en-US" w:eastAsia="zh-CN" w:bidi="ar"/>
        </w:rPr>
        <w:t>中，部分</w:t>
      </w:r>
      <w:r>
        <w:rPr>
          <w:rFonts w:hint="default" w:ascii="Times New Roman" w:hAnsi="Times New Roman" w:eastAsia="宋体" w:cs="Times New Roman"/>
          <w:caps w:val="0"/>
          <w:smallCaps w:val="0"/>
          <w:color w:val="auto"/>
          <w:spacing w:val="0"/>
          <w:kern w:val="0"/>
          <w:szCs w:val="24"/>
          <w:highlight w:val="none"/>
          <w:lang w:val="en-US" w:eastAsia="zh-CN" w:bidi="ar"/>
        </w:rPr>
        <w:t>ZnTe</w:t>
      </w:r>
      <w:r>
        <w:rPr>
          <w:rFonts w:hint="eastAsia" w:ascii="Times New Roman" w:hAnsi="Times New Roman" w:eastAsia="宋体" w:cs="Times New Roman"/>
          <w:caps w:val="0"/>
          <w:smallCaps w:val="0"/>
          <w:color w:val="auto"/>
          <w:spacing w:val="0"/>
          <w:kern w:val="0"/>
          <w:szCs w:val="24"/>
          <w:highlight w:val="none"/>
          <w:lang w:val="en-US" w:eastAsia="zh-CN" w:bidi="ar"/>
        </w:rPr>
        <w:t>随氩气抽出，遇电子转化为固态颗粒物。膜层溅射废气（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4）收集后，经</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套H14级高效离子过滤器处理后，通过</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m</w:t>
      </w:r>
      <w:r>
        <w:rPr>
          <w:rFonts w:hint="eastAsia" w:ascii="Times New Roman" w:hAnsi="Times New Roman" w:eastAsia="宋体" w:cs="Times New Roman"/>
          <w:caps w:val="0"/>
          <w:smallCaps w:val="0"/>
          <w:color w:val="auto"/>
          <w:spacing w:val="0"/>
          <w:kern w:val="0"/>
          <w:szCs w:val="24"/>
          <w:highlight w:val="none"/>
          <w:lang w:val="en-US" w:eastAsia="zh-CN" w:bidi="ar"/>
        </w:rPr>
        <w:t>高排气筒DA002排放。</w:t>
      </w:r>
    </w:p>
    <w:p w14:paraId="22800862">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3</w:t>
      </w:r>
      <w:r>
        <w:rPr>
          <w:rFonts w:ascii="Times New Roman" w:hAnsi="Times New Roman" w:eastAsia="宋体" w:cs="Times New Roman"/>
          <w:caps w:val="0"/>
          <w:smallCaps w:val="0"/>
          <w:color w:val="auto"/>
          <w:spacing w:val="0"/>
          <w:kern w:val="0"/>
          <w:szCs w:val="24"/>
          <w:highlight w:val="none"/>
          <w:lang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激光</w:t>
      </w:r>
      <w:r>
        <w:rPr>
          <w:rFonts w:ascii="Times New Roman" w:hAnsi="Times New Roman" w:eastAsia="宋体" w:cs="Times New Roman"/>
          <w:caps w:val="0"/>
          <w:smallCaps w:val="0"/>
          <w:color w:val="auto"/>
          <w:spacing w:val="0"/>
          <w:kern w:val="0"/>
          <w:szCs w:val="24"/>
          <w:highlight w:val="none"/>
          <w:lang w:bidi="ar"/>
        </w:rPr>
        <w:t>刻</w:t>
      </w:r>
      <w:r>
        <w:rPr>
          <w:rFonts w:hint="eastAsia" w:ascii="Times New Roman" w:hAnsi="Times New Roman" w:eastAsia="宋体" w:cs="Times New Roman"/>
          <w:caps w:val="0"/>
          <w:smallCaps w:val="0"/>
          <w:color w:val="auto"/>
          <w:spacing w:val="0"/>
          <w:kern w:val="0"/>
          <w:szCs w:val="24"/>
          <w:highlight w:val="none"/>
          <w:lang w:val="en-US" w:eastAsia="zh-CN" w:bidi="ar"/>
        </w:rPr>
        <w:t>线</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P1-P3</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与边缘处理（P4-P6）</w:t>
      </w:r>
      <w:r>
        <w:rPr>
          <w:rFonts w:ascii="Times New Roman" w:hAnsi="Times New Roman" w:eastAsia="宋体" w:cs="Times New Roman"/>
          <w:caps w:val="0"/>
          <w:smallCaps w:val="0"/>
          <w:color w:val="auto"/>
          <w:spacing w:val="0"/>
          <w:kern w:val="0"/>
          <w:szCs w:val="24"/>
          <w:highlight w:val="none"/>
          <w:lang w:bidi="ar"/>
        </w:rPr>
        <w:t>废气</w:t>
      </w:r>
    </w:p>
    <w:p w14:paraId="2BF1C4F2">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eastAsia" w:ascii="Times New Roman" w:hAnsi="Times New Roman" w:eastAsia="宋体" w:cs="Times New Roman"/>
          <w:caps w:val="0"/>
          <w:smallCaps w:val="0"/>
          <w:color w:val="auto"/>
          <w:spacing w:val="0"/>
          <w:kern w:val="0"/>
          <w:szCs w:val="24"/>
          <w:highlight w:val="none"/>
          <w:lang w:val="en-US" w:eastAsia="zh-CN" w:bidi="ar"/>
        </w:rPr>
        <w:t>本工程采用激光对衬底沉积薄膜进行刻线处理和边缘去除，产生的废气主要成份为</w:t>
      </w:r>
      <w:r>
        <w:rPr>
          <w:rFonts w:hint="default" w:ascii="Times New Roman" w:hAnsi="Times New Roman" w:eastAsia="宋体" w:cs="Times New Roman"/>
          <w:caps w:val="0"/>
          <w:smallCaps w:val="0"/>
          <w:color w:val="auto"/>
          <w:spacing w:val="0"/>
          <w:kern w:val="0"/>
          <w:szCs w:val="24"/>
          <w:highlight w:val="none"/>
          <w:lang w:val="en-US" w:eastAsia="zh-CN" w:bidi="ar"/>
        </w:rPr>
        <w:t>CdSe</w:t>
      </w:r>
      <w:r>
        <w:rPr>
          <w:rFonts w:hint="eastAsia" w:ascii="Times New Roman" w:hAnsi="Times New Roman" w:eastAsia="宋体" w:cs="Times New Roman"/>
          <w:caps w:val="0"/>
          <w:smallCaps w:val="0"/>
          <w:color w:val="auto"/>
          <w:spacing w:val="0"/>
          <w:kern w:val="0"/>
          <w:szCs w:val="24"/>
          <w:highlight w:val="none"/>
          <w:lang w:val="en-US" w:eastAsia="zh-CN" w:bidi="ar"/>
        </w:rPr>
        <w:t>、</w:t>
      </w:r>
      <w:r>
        <w:rPr>
          <w:rFonts w:hint="default" w:ascii="Times New Roman" w:hAnsi="Times New Roman" w:eastAsia="宋体" w:cs="Times New Roman"/>
          <w:caps w:val="0"/>
          <w:smallCaps w:val="0"/>
          <w:color w:val="auto"/>
          <w:spacing w:val="0"/>
          <w:kern w:val="0"/>
          <w:szCs w:val="24"/>
          <w:highlight w:val="none"/>
          <w:lang w:val="en-US" w:eastAsia="zh-CN" w:bidi="ar"/>
        </w:rPr>
        <w:t>CdTe</w:t>
      </w:r>
      <w:r>
        <w:rPr>
          <w:rFonts w:hint="eastAsia" w:ascii="Times New Roman" w:hAnsi="Times New Roman" w:eastAsia="宋体" w:cs="Times New Roman"/>
          <w:caps w:val="0"/>
          <w:smallCaps w:val="0"/>
          <w:color w:val="auto"/>
          <w:spacing w:val="0"/>
          <w:kern w:val="0"/>
          <w:szCs w:val="24"/>
          <w:highlight w:val="none"/>
          <w:lang w:val="en-US" w:eastAsia="zh-CN" w:bidi="ar"/>
        </w:rPr>
        <w:t>、</w:t>
      </w:r>
      <w:r>
        <w:rPr>
          <w:rFonts w:hint="default" w:ascii="Times New Roman" w:hAnsi="Times New Roman" w:eastAsia="宋体" w:cs="Times New Roman"/>
          <w:caps w:val="0"/>
          <w:smallCaps w:val="0"/>
          <w:color w:val="auto"/>
          <w:spacing w:val="0"/>
          <w:kern w:val="0"/>
          <w:szCs w:val="24"/>
          <w:highlight w:val="none"/>
          <w:lang w:val="en-US" w:eastAsia="zh-CN" w:bidi="ar"/>
        </w:rPr>
        <w:t>Mo</w:t>
      </w:r>
      <w:r>
        <w:rPr>
          <w:rFonts w:hint="eastAsia" w:ascii="Times New Roman" w:hAnsi="Times New Roman" w:eastAsia="宋体" w:cs="Times New Roman"/>
          <w:caps w:val="0"/>
          <w:smallCaps w:val="0"/>
          <w:color w:val="auto"/>
          <w:spacing w:val="0"/>
          <w:kern w:val="0"/>
          <w:szCs w:val="24"/>
          <w:highlight w:val="none"/>
          <w:lang w:val="en-US" w:eastAsia="zh-CN" w:bidi="ar"/>
        </w:rPr>
        <w:t>、Al、Cr、</w:t>
      </w:r>
      <w:r>
        <w:rPr>
          <w:rFonts w:hint="default" w:ascii="Times New Roman" w:hAnsi="Times New Roman" w:eastAsia="宋体" w:cs="Times New Roman"/>
          <w:caps w:val="0"/>
          <w:smallCaps w:val="0"/>
          <w:color w:val="auto"/>
          <w:spacing w:val="0"/>
          <w:kern w:val="0"/>
          <w:szCs w:val="24"/>
          <w:highlight w:val="none"/>
          <w:lang w:val="en-US" w:eastAsia="zh-CN" w:bidi="ar"/>
        </w:rPr>
        <w:t>ZnTe</w:t>
      </w:r>
      <w:r>
        <w:rPr>
          <w:rFonts w:hint="eastAsia" w:ascii="Times New Roman" w:hAnsi="Times New Roman" w:eastAsia="宋体" w:cs="Times New Roman"/>
          <w:caps w:val="0"/>
          <w:smallCaps w:val="0"/>
          <w:color w:val="auto"/>
          <w:spacing w:val="0"/>
          <w:kern w:val="0"/>
          <w:szCs w:val="24"/>
          <w:highlight w:val="none"/>
          <w:lang w:val="en-US" w:eastAsia="zh-CN" w:bidi="ar"/>
        </w:rPr>
        <w:t>和</w:t>
      </w:r>
      <w:r>
        <w:rPr>
          <w:rFonts w:hint="default" w:ascii="Times New Roman" w:hAnsi="Times New Roman" w:eastAsia="宋体" w:cs="Times New Roman"/>
          <w:caps w:val="0"/>
          <w:smallCaps w:val="0"/>
          <w:color w:val="auto"/>
          <w:spacing w:val="0"/>
          <w:kern w:val="0"/>
          <w:szCs w:val="24"/>
          <w:highlight w:val="none"/>
          <w:lang w:val="en-US" w:eastAsia="zh-CN" w:bidi="ar"/>
        </w:rPr>
        <w:t>SnO2</w:t>
      </w:r>
      <w:r>
        <w:rPr>
          <w:rFonts w:hint="eastAsia" w:ascii="Times New Roman" w:hAnsi="Times New Roman" w:eastAsia="宋体" w:cs="Times New Roman"/>
          <w:caps w:val="0"/>
          <w:smallCaps w:val="0"/>
          <w:color w:val="auto"/>
          <w:spacing w:val="0"/>
          <w:kern w:val="0"/>
          <w:szCs w:val="24"/>
          <w:highlight w:val="none"/>
          <w:lang w:val="en-US" w:eastAsia="zh-CN" w:bidi="ar"/>
        </w:rPr>
        <w:t>粉尘。</w:t>
      </w:r>
    </w:p>
    <w:p w14:paraId="4CA3D582">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default" w:ascii="Times New Roman" w:hAnsi="Times New Roman" w:eastAsia="宋体" w:cs="Times New Roman"/>
          <w:caps w:val="0"/>
          <w:smallCaps w:val="0"/>
          <w:color w:val="auto"/>
          <w:spacing w:val="0"/>
          <w:kern w:val="0"/>
          <w:szCs w:val="24"/>
          <w:highlight w:val="none"/>
          <w:lang w:val="en-US" w:eastAsia="zh-CN" w:bidi="ar"/>
        </w:rPr>
        <w:t>P1</w:t>
      </w:r>
      <w:r>
        <w:rPr>
          <w:rFonts w:hint="eastAsia" w:ascii="Times New Roman" w:hAnsi="Times New Roman" w:eastAsia="宋体" w:cs="Times New Roman"/>
          <w:caps w:val="0"/>
          <w:smallCaps w:val="0"/>
          <w:color w:val="auto"/>
          <w:spacing w:val="0"/>
          <w:kern w:val="0"/>
          <w:szCs w:val="24"/>
          <w:highlight w:val="none"/>
          <w:lang w:val="en-US" w:eastAsia="zh-CN" w:bidi="ar"/>
        </w:rPr>
        <w:t>刻线废气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5经收集后通过</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套2级初效过滤器+H14级高效离子过滤器过滤处理，</w:t>
      </w:r>
      <w:r>
        <w:rPr>
          <w:rFonts w:hint="default" w:ascii="Times New Roman" w:hAnsi="Times New Roman" w:eastAsia="宋体" w:cs="Times New Roman"/>
          <w:caps w:val="0"/>
          <w:smallCaps w:val="0"/>
          <w:color w:val="auto"/>
          <w:spacing w:val="0"/>
          <w:kern w:val="0"/>
          <w:szCs w:val="24"/>
          <w:highlight w:val="none"/>
          <w:lang w:val="en-US" w:eastAsia="zh-CN" w:bidi="ar"/>
        </w:rPr>
        <w:t>P</w:t>
      </w:r>
      <w:r>
        <w:rPr>
          <w:rFonts w:hint="eastAsia" w:ascii="Times New Roman" w:hAnsi="Times New Roman" w:eastAsia="宋体" w:cs="Times New Roman"/>
          <w:caps w:val="0"/>
          <w:smallCaps w:val="0"/>
          <w:color w:val="auto"/>
          <w:spacing w:val="0"/>
          <w:kern w:val="0"/>
          <w:szCs w:val="24"/>
          <w:highlight w:val="none"/>
          <w:lang w:val="en-US" w:eastAsia="zh-CN" w:bidi="ar"/>
        </w:rPr>
        <w:t>4边缘处理废气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10经收集后通过H13级高效离子过滤器</w:t>
      </w:r>
      <w:r>
        <w:rPr>
          <w:rFonts w:hint="default" w:ascii="Times New Roman" w:hAnsi="Times New Roman" w:eastAsia="宋体" w:cs="Times New Roman"/>
          <w:caps w:val="0"/>
          <w:smallCaps w:val="0"/>
          <w:color w:val="auto"/>
          <w:spacing w:val="0"/>
          <w:kern w:val="0"/>
          <w:szCs w:val="24"/>
          <w:highlight w:val="none"/>
          <w:lang w:val="en-US" w:eastAsia="zh-CN" w:bidi="ar"/>
        </w:rPr>
        <w:t>+H14</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级高效离子过滤器过滤处理，均由</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m</w:t>
      </w:r>
      <w:r>
        <w:rPr>
          <w:rFonts w:hint="eastAsia" w:ascii="Times New Roman" w:hAnsi="Times New Roman" w:eastAsia="宋体" w:cs="Times New Roman"/>
          <w:caps w:val="0"/>
          <w:smallCaps w:val="0"/>
          <w:color w:val="auto"/>
          <w:spacing w:val="0"/>
          <w:kern w:val="0"/>
          <w:szCs w:val="24"/>
          <w:highlight w:val="none"/>
          <w:lang w:val="en-US" w:eastAsia="zh-CN" w:bidi="ar"/>
        </w:rPr>
        <w:t>高排气筒DA001排放。</w:t>
      </w:r>
    </w:p>
    <w:p w14:paraId="258048AA">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default" w:ascii="Times New Roman" w:hAnsi="Times New Roman" w:eastAsia="宋体" w:cs="Times New Roman"/>
          <w:caps w:val="0"/>
          <w:smallCaps w:val="0"/>
          <w:color w:val="auto"/>
          <w:spacing w:val="0"/>
          <w:kern w:val="0"/>
          <w:szCs w:val="24"/>
          <w:highlight w:val="none"/>
          <w:lang w:val="en-US" w:eastAsia="zh-CN" w:bidi="ar"/>
        </w:rPr>
        <w:t>P</w:t>
      </w:r>
      <w:r>
        <w:rPr>
          <w:rFonts w:hint="eastAsia" w:ascii="Times New Roman" w:hAnsi="Times New Roman" w:eastAsia="宋体" w:cs="Times New Roman"/>
          <w:caps w:val="0"/>
          <w:smallCaps w:val="0"/>
          <w:color w:val="auto"/>
          <w:spacing w:val="0"/>
          <w:kern w:val="0"/>
          <w:szCs w:val="24"/>
          <w:highlight w:val="none"/>
          <w:lang w:val="en-US" w:eastAsia="zh-CN" w:bidi="ar"/>
        </w:rPr>
        <w:t>2刻线废气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7、</w:t>
      </w:r>
      <w:r>
        <w:rPr>
          <w:rFonts w:hint="default" w:ascii="Times New Roman" w:hAnsi="Times New Roman" w:eastAsia="宋体" w:cs="Times New Roman"/>
          <w:caps w:val="0"/>
          <w:smallCaps w:val="0"/>
          <w:color w:val="auto"/>
          <w:spacing w:val="0"/>
          <w:kern w:val="0"/>
          <w:szCs w:val="24"/>
          <w:highlight w:val="none"/>
          <w:lang w:val="en-US" w:eastAsia="zh-CN" w:bidi="ar"/>
        </w:rPr>
        <w:t>P</w:t>
      </w:r>
      <w:r>
        <w:rPr>
          <w:rFonts w:hint="eastAsia" w:ascii="Times New Roman" w:hAnsi="Times New Roman" w:eastAsia="宋体" w:cs="Times New Roman"/>
          <w:caps w:val="0"/>
          <w:smallCaps w:val="0"/>
          <w:color w:val="auto"/>
          <w:spacing w:val="0"/>
          <w:kern w:val="0"/>
          <w:szCs w:val="24"/>
          <w:highlight w:val="none"/>
          <w:lang w:val="en-US" w:eastAsia="zh-CN" w:bidi="ar"/>
        </w:rPr>
        <w:t>3刻线废气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9经收集后分别通过各自的</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套2级初效过滤器+H14级高效离子过滤器过滤处理后，分别经由</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m</w:t>
      </w:r>
      <w:r>
        <w:rPr>
          <w:rFonts w:hint="eastAsia" w:ascii="Times New Roman" w:hAnsi="Times New Roman" w:eastAsia="宋体" w:cs="Times New Roman"/>
          <w:caps w:val="0"/>
          <w:smallCaps w:val="0"/>
          <w:color w:val="auto"/>
          <w:spacing w:val="0"/>
          <w:kern w:val="0"/>
          <w:szCs w:val="24"/>
          <w:highlight w:val="none"/>
          <w:lang w:val="en-US" w:eastAsia="zh-CN" w:bidi="ar"/>
        </w:rPr>
        <w:t>高排气筒DA003、DA004排放。</w:t>
      </w:r>
    </w:p>
    <w:p w14:paraId="7F95FB49">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default" w:ascii="Times New Roman" w:hAnsi="Times New Roman" w:eastAsia="宋体" w:cs="Times New Roman"/>
          <w:caps w:val="0"/>
          <w:smallCaps w:val="0"/>
          <w:color w:val="auto"/>
          <w:spacing w:val="0"/>
          <w:kern w:val="0"/>
          <w:szCs w:val="24"/>
          <w:highlight w:val="none"/>
          <w:lang w:val="en-US" w:eastAsia="zh-CN" w:bidi="ar"/>
        </w:rPr>
        <w:t>P</w:t>
      </w:r>
      <w:r>
        <w:rPr>
          <w:rFonts w:hint="eastAsia" w:ascii="Times New Roman" w:hAnsi="Times New Roman" w:eastAsia="宋体" w:cs="Times New Roman"/>
          <w:caps w:val="0"/>
          <w:smallCaps w:val="0"/>
          <w:color w:val="auto"/>
          <w:spacing w:val="0"/>
          <w:kern w:val="0"/>
          <w:szCs w:val="24"/>
          <w:highlight w:val="none"/>
          <w:lang w:val="en-US" w:eastAsia="zh-CN" w:bidi="ar"/>
        </w:rPr>
        <w:t>5激光工序废气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11、</w:t>
      </w:r>
      <w:r>
        <w:rPr>
          <w:rFonts w:hint="default" w:ascii="Times New Roman" w:hAnsi="Times New Roman" w:eastAsia="宋体" w:cs="Times New Roman"/>
          <w:caps w:val="0"/>
          <w:smallCaps w:val="0"/>
          <w:color w:val="auto"/>
          <w:spacing w:val="0"/>
          <w:kern w:val="0"/>
          <w:szCs w:val="24"/>
          <w:highlight w:val="none"/>
          <w:lang w:val="en-US" w:eastAsia="zh-CN" w:bidi="ar"/>
        </w:rPr>
        <w:t>P</w:t>
      </w:r>
      <w:r>
        <w:rPr>
          <w:rFonts w:hint="eastAsia" w:ascii="Times New Roman" w:hAnsi="Times New Roman" w:eastAsia="宋体" w:cs="Times New Roman"/>
          <w:caps w:val="0"/>
          <w:smallCaps w:val="0"/>
          <w:color w:val="auto"/>
          <w:spacing w:val="0"/>
          <w:kern w:val="0"/>
          <w:szCs w:val="24"/>
          <w:highlight w:val="none"/>
          <w:lang w:val="en-US" w:eastAsia="zh-CN" w:bidi="ar"/>
        </w:rPr>
        <w:t>6激光工序废气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12经收集后通过各自的H13级高效离子过滤器</w:t>
      </w:r>
      <w:r>
        <w:rPr>
          <w:rFonts w:hint="default" w:ascii="Times New Roman" w:hAnsi="Times New Roman" w:eastAsia="宋体" w:cs="Times New Roman"/>
          <w:caps w:val="0"/>
          <w:smallCaps w:val="0"/>
          <w:color w:val="auto"/>
          <w:spacing w:val="0"/>
          <w:kern w:val="0"/>
          <w:szCs w:val="24"/>
          <w:highlight w:val="none"/>
          <w:lang w:val="en-US" w:eastAsia="zh-CN" w:bidi="ar"/>
        </w:rPr>
        <w:t>+H14</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级高效离子过滤器过滤处理后，经由</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m</w:t>
      </w:r>
      <w:r>
        <w:rPr>
          <w:rFonts w:hint="eastAsia" w:ascii="Times New Roman" w:hAnsi="Times New Roman" w:eastAsia="宋体" w:cs="Times New Roman"/>
          <w:caps w:val="0"/>
          <w:smallCaps w:val="0"/>
          <w:color w:val="auto"/>
          <w:spacing w:val="0"/>
          <w:kern w:val="0"/>
          <w:szCs w:val="24"/>
          <w:highlight w:val="none"/>
          <w:lang w:val="en-US" w:eastAsia="zh-CN" w:bidi="ar"/>
        </w:rPr>
        <w:t>高排气筒DA006排放。</w:t>
      </w:r>
    </w:p>
    <w:p w14:paraId="16ED70B3">
      <w:pPr>
        <w:widowControl w:val="0"/>
        <w:numPr>
          <w:ilvl w:val="0"/>
          <w:numId w:val="0"/>
        </w:numPr>
        <w:spacing w:line="360" w:lineRule="auto"/>
        <w:ind w:left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4</w:t>
      </w:r>
      <w:r>
        <w:rPr>
          <w:rFonts w:hint="eastAsia" w:ascii="Times New Roman" w:hAnsi="Times New Roman" w:eastAsia="宋体" w:cs="Times New Roman"/>
          <w:caps w:val="0"/>
          <w:smallCaps w:val="0"/>
          <w:color w:val="auto"/>
          <w:spacing w:val="0"/>
          <w:kern w:val="0"/>
          <w:szCs w:val="24"/>
          <w:highlight w:val="none"/>
          <w:lang w:eastAsia="zh-CN" w:bidi="ar"/>
        </w:rPr>
        <w:t>）</w:t>
      </w:r>
      <w:r>
        <w:rPr>
          <w:rFonts w:ascii="Times New Roman" w:hAnsi="Times New Roman" w:eastAsia="宋体" w:cs="Times New Roman"/>
          <w:caps w:val="0"/>
          <w:smallCaps w:val="0"/>
          <w:color w:val="auto"/>
          <w:spacing w:val="0"/>
          <w:kern w:val="0"/>
          <w:szCs w:val="24"/>
          <w:highlight w:val="none"/>
          <w:lang w:bidi="ar"/>
        </w:rPr>
        <w:t>背电极</w:t>
      </w:r>
      <w:r>
        <w:rPr>
          <w:rFonts w:ascii="Times New Roman" w:hAnsi="Times New Roman" w:eastAsia="宋体" w:cs="Times New Roman"/>
          <w:caps w:val="0"/>
          <w:smallCaps w:val="0"/>
          <w:color w:val="auto"/>
          <w:spacing w:val="0"/>
          <w:highlight w:val="none"/>
        </w:rPr>
        <w:t>磁控溅射</w:t>
      </w:r>
      <w:r>
        <w:rPr>
          <w:rFonts w:ascii="Times New Roman" w:hAnsi="Times New Roman" w:eastAsia="宋体" w:cs="Times New Roman"/>
          <w:caps w:val="0"/>
          <w:smallCaps w:val="0"/>
          <w:color w:val="auto"/>
          <w:spacing w:val="0"/>
          <w:kern w:val="0"/>
          <w:szCs w:val="24"/>
          <w:highlight w:val="none"/>
          <w:lang w:bidi="ar"/>
        </w:rPr>
        <w:t>镀膜废气</w:t>
      </w:r>
    </w:p>
    <w:p w14:paraId="645F3CC4">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eastAsia" w:ascii="Times New Roman" w:hAnsi="Times New Roman" w:eastAsia="宋体" w:cs="Times New Roman"/>
          <w:caps w:val="0"/>
          <w:smallCaps w:val="0"/>
          <w:color w:val="auto"/>
          <w:spacing w:val="0"/>
          <w:kern w:val="0"/>
          <w:szCs w:val="24"/>
          <w:highlight w:val="none"/>
          <w:lang w:val="en-US" w:eastAsia="zh-CN" w:bidi="ar"/>
        </w:rPr>
        <w:t>背电极磁控溅射过程，少量</w:t>
      </w:r>
      <w:r>
        <w:rPr>
          <w:rFonts w:hint="default" w:ascii="Times New Roman" w:hAnsi="Times New Roman" w:eastAsia="宋体" w:cs="Times New Roman"/>
          <w:caps w:val="0"/>
          <w:smallCaps w:val="0"/>
          <w:color w:val="auto"/>
          <w:spacing w:val="0"/>
          <w:kern w:val="0"/>
          <w:szCs w:val="24"/>
          <w:highlight w:val="none"/>
          <w:lang w:val="en-US" w:eastAsia="zh-CN" w:bidi="ar"/>
        </w:rPr>
        <w:t>Mo</w:t>
      </w:r>
      <w:r>
        <w:rPr>
          <w:rFonts w:hint="eastAsia" w:ascii="Times New Roman" w:hAnsi="Times New Roman" w:eastAsia="宋体" w:cs="Times New Roman"/>
          <w:caps w:val="0"/>
          <w:smallCaps w:val="0"/>
          <w:color w:val="auto"/>
          <w:spacing w:val="0"/>
          <w:kern w:val="0"/>
          <w:szCs w:val="24"/>
          <w:highlight w:val="none"/>
          <w:lang w:val="en-US" w:eastAsia="zh-CN" w:bidi="ar"/>
        </w:rPr>
        <w:t xml:space="preserve">、Al、Cr离子随氩气抽出，遇电子转化为固态颗粒物。 </w:t>
      </w:r>
    </w:p>
    <w:p w14:paraId="569DFBDA">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hint="eastAsia" w:ascii="Times New Roman" w:hAnsi="Times New Roman" w:eastAsia="宋体" w:cs="Times New Roman"/>
          <w:caps w:val="0"/>
          <w:smallCaps w:val="0"/>
          <w:color w:val="auto"/>
          <w:spacing w:val="0"/>
          <w:kern w:val="0"/>
          <w:szCs w:val="24"/>
          <w:highlight w:val="none"/>
          <w:lang w:val="en-US" w:eastAsia="zh-CN" w:bidi="ar"/>
        </w:rPr>
        <w:t>背电极磁控溅射废气（</w:t>
      </w:r>
      <w:r>
        <w:rPr>
          <w:rFonts w:hint="default" w:ascii="Times New Roman" w:hAnsi="Times New Roman" w:eastAsia="宋体" w:cs="Times New Roman"/>
          <w:caps w:val="0"/>
          <w:smallCaps w:val="0"/>
          <w:color w:val="auto"/>
          <w:spacing w:val="0"/>
          <w:kern w:val="0"/>
          <w:szCs w:val="24"/>
          <w:highlight w:val="none"/>
          <w:lang w:val="en-US" w:eastAsia="zh-CN" w:bidi="ar"/>
        </w:rPr>
        <w:t>G8</w:t>
      </w:r>
      <w:r>
        <w:rPr>
          <w:rFonts w:hint="eastAsia" w:ascii="Times New Roman" w:hAnsi="Times New Roman" w:eastAsia="宋体" w:cs="Times New Roman"/>
          <w:caps w:val="0"/>
          <w:smallCaps w:val="0"/>
          <w:color w:val="auto"/>
          <w:spacing w:val="0"/>
          <w:kern w:val="0"/>
          <w:szCs w:val="24"/>
          <w:highlight w:val="none"/>
          <w:lang w:val="en-US" w:eastAsia="zh-CN" w:bidi="ar"/>
        </w:rPr>
        <w:t>）收集后，经1套H14级高效过滤器除尘器处理后，通过</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m</w:t>
      </w:r>
      <w:r>
        <w:rPr>
          <w:rFonts w:hint="eastAsia" w:ascii="Times New Roman" w:hAnsi="Times New Roman" w:eastAsia="宋体" w:cs="Times New Roman"/>
          <w:caps w:val="0"/>
          <w:smallCaps w:val="0"/>
          <w:color w:val="auto"/>
          <w:spacing w:val="0"/>
          <w:kern w:val="0"/>
          <w:szCs w:val="24"/>
          <w:highlight w:val="none"/>
          <w:lang w:val="en-US" w:eastAsia="zh-CN" w:bidi="ar"/>
        </w:rPr>
        <w:t xml:space="preserve">高排气筒DA005排放。 </w:t>
      </w:r>
    </w:p>
    <w:p w14:paraId="2A3FBB7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5</w:t>
      </w:r>
      <w:r>
        <w:rPr>
          <w:rFonts w:ascii="Times New Roman" w:hAnsi="Times New Roman" w:eastAsia="宋体" w:cs="Times New Roman"/>
          <w:caps w:val="0"/>
          <w:smallCaps w:val="0"/>
          <w:color w:val="auto"/>
          <w:spacing w:val="0"/>
          <w:kern w:val="0"/>
          <w:szCs w:val="24"/>
          <w:highlight w:val="none"/>
          <w:lang w:bidi="ar"/>
        </w:rPr>
        <w:t>）活化层活化废气</w:t>
      </w:r>
    </w:p>
    <w:p w14:paraId="7C26273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活化层活化目的是改善CdSe、CdTe的扩散途径，并未在衬底表面形成CdCl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层，因此除活化过程除部分CdCl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以废气形式排出，其余CdCl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则在活化层清洗工段清洗进入废水中。</w:t>
      </w:r>
    </w:p>
    <w:p w14:paraId="3644DE6B">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val="en-US" w:eastAsia="zh-CN" w:bidi="ar"/>
        </w:rPr>
      </w:pPr>
      <w:r>
        <w:rPr>
          <w:rFonts w:ascii="Times New Roman" w:hAnsi="Times New Roman" w:eastAsia="宋体" w:cs="Times New Roman"/>
          <w:caps w:val="0"/>
          <w:smallCaps w:val="0"/>
          <w:color w:val="auto"/>
          <w:spacing w:val="0"/>
          <w:kern w:val="0"/>
          <w:szCs w:val="24"/>
          <w:highlight w:val="none"/>
          <w:lang w:bidi="ar"/>
        </w:rPr>
        <w:t>CdCl</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活化层活化</w:t>
      </w:r>
      <w:r>
        <w:rPr>
          <w:rFonts w:ascii="Times New Roman" w:hAnsi="Times New Roman" w:eastAsia="宋体" w:cs="Times New Roman"/>
          <w:caps w:val="0"/>
          <w:smallCaps w:val="0"/>
          <w:color w:val="auto"/>
          <w:spacing w:val="0"/>
          <w:kern w:val="0"/>
          <w:szCs w:val="24"/>
          <w:highlight w:val="none"/>
          <w:lang w:bidi="ar"/>
        </w:rPr>
        <w:t>废气</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G2</w:t>
      </w:r>
      <w:r>
        <w:rPr>
          <w:rFonts w:hint="eastAsia" w:ascii="Times New Roman" w:hAnsi="Times New Roman" w:eastAsia="宋体" w:cs="Times New Roman"/>
          <w:caps w:val="0"/>
          <w:smallCaps w:val="0"/>
          <w:color w:val="auto"/>
          <w:spacing w:val="0"/>
          <w:kern w:val="0"/>
          <w:szCs w:val="24"/>
          <w:highlight w:val="none"/>
          <w:lang w:eastAsia="zh-CN" w:bidi="ar"/>
        </w:rPr>
        <w:t>）</w:t>
      </w:r>
      <w:r>
        <w:rPr>
          <w:rFonts w:ascii="Times New Roman" w:hAnsi="Times New Roman" w:eastAsia="宋体" w:cs="Times New Roman"/>
          <w:caps w:val="0"/>
          <w:smallCaps w:val="0"/>
          <w:color w:val="auto"/>
          <w:spacing w:val="0"/>
          <w:kern w:val="0"/>
          <w:szCs w:val="24"/>
          <w:highlight w:val="none"/>
          <w:lang w:bidi="ar"/>
        </w:rPr>
        <w:t>经</w:t>
      </w:r>
      <w:r>
        <w:rPr>
          <w:rFonts w:hint="eastAsia" w:ascii="Times New Roman" w:hAnsi="Times New Roman" w:eastAsia="宋体" w:cs="Times New Roman"/>
          <w:caps w:val="0"/>
          <w:smallCaps w:val="0"/>
          <w:color w:val="auto"/>
          <w:spacing w:val="0"/>
          <w:kern w:val="0"/>
          <w:szCs w:val="24"/>
          <w:highlight w:val="none"/>
          <w:lang w:val="en-US" w:eastAsia="zh-CN" w:bidi="ar"/>
        </w:rPr>
        <w:t>1套F7级过滤器+E10级高效离子过滤器+H14级高效过滤器</w:t>
      </w:r>
      <w:r>
        <w:rPr>
          <w:rFonts w:ascii="Times New Roman" w:hAnsi="Times New Roman" w:eastAsia="宋体" w:cs="Times New Roman"/>
          <w:caps w:val="0"/>
          <w:smallCaps w:val="0"/>
          <w:color w:val="auto"/>
          <w:spacing w:val="0"/>
          <w:kern w:val="0"/>
          <w:szCs w:val="24"/>
          <w:highlight w:val="none"/>
          <w:lang w:bidi="ar"/>
        </w:rPr>
        <w:t>过滤处理+21m高排气筒(DA001)排放。</w:t>
      </w:r>
      <w:r>
        <w:rPr>
          <w:rFonts w:hint="eastAsia" w:ascii="Times New Roman" w:hAnsi="Times New Roman" w:eastAsia="宋体" w:cs="Times New Roman"/>
          <w:caps w:val="0"/>
          <w:smallCaps w:val="0"/>
          <w:color w:val="auto"/>
          <w:spacing w:val="0"/>
          <w:kern w:val="0"/>
          <w:szCs w:val="24"/>
          <w:highlight w:val="none"/>
          <w:lang w:val="en-US" w:eastAsia="zh-CN" w:bidi="ar"/>
        </w:rPr>
        <w:t>上述CSS沉积镀膜废气（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1）、P1刻线废气（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5）、P4边缘处理废气（</w:t>
      </w:r>
      <w:r>
        <w:rPr>
          <w:rFonts w:hint="default" w:ascii="Times New Roman" w:hAnsi="Times New Roman" w:eastAsia="宋体" w:cs="Times New Roman"/>
          <w:caps w:val="0"/>
          <w:smallCaps w:val="0"/>
          <w:color w:val="auto"/>
          <w:spacing w:val="0"/>
          <w:kern w:val="0"/>
          <w:szCs w:val="24"/>
          <w:highlight w:val="none"/>
          <w:lang w:val="en-US" w:eastAsia="zh-CN" w:bidi="ar"/>
        </w:rPr>
        <w:t>G</w:t>
      </w:r>
      <w:r>
        <w:rPr>
          <w:rFonts w:hint="eastAsia" w:ascii="Times New Roman" w:hAnsi="Times New Roman" w:eastAsia="宋体" w:cs="Times New Roman"/>
          <w:caps w:val="0"/>
          <w:smallCaps w:val="0"/>
          <w:color w:val="auto"/>
          <w:spacing w:val="0"/>
          <w:kern w:val="0"/>
          <w:szCs w:val="24"/>
          <w:highlight w:val="none"/>
          <w:lang w:val="en-US" w:eastAsia="zh-CN" w:bidi="ar"/>
        </w:rPr>
        <w:t>10）和活化层活化废气（G2）收集后分别经各自处理措施处理后，最终一并由</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根21</w:t>
      </w:r>
      <w:r>
        <w:rPr>
          <w:rFonts w:hint="default" w:ascii="Times New Roman" w:hAnsi="Times New Roman" w:eastAsia="宋体" w:cs="Times New Roman"/>
          <w:caps w:val="0"/>
          <w:smallCaps w:val="0"/>
          <w:color w:val="auto"/>
          <w:spacing w:val="0"/>
          <w:kern w:val="0"/>
          <w:szCs w:val="24"/>
          <w:highlight w:val="none"/>
          <w:lang w:val="en-US" w:eastAsia="zh-CN" w:bidi="ar"/>
        </w:rPr>
        <w:t>m</w:t>
      </w:r>
      <w:r>
        <w:rPr>
          <w:rFonts w:hint="eastAsia" w:ascii="Times New Roman" w:hAnsi="Times New Roman" w:eastAsia="宋体" w:cs="Times New Roman"/>
          <w:caps w:val="0"/>
          <w:smallCaps w:val="0"/>
          <w:color w:val="auto"/>
          <w:spacing w:val="0"/>
          <w:kern w:val="0"/>
          <w:szCs w:val="24"/>
          <w:highlight w:val="none"/>
          <w:lang w:val="en-US" w:eastAsia="zh-CN" w:bidi="ar"/>
        </w:rPr>
        <w:t>高排气筒DA001排放。</w:t>
      </w:r>
    </w:p>
    <w:p w14:paraId="3A0A7535">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6</w:t>
      </w:r>
      <w:r>
        <w:rPr>
          <w:rFonts w:ascii="Times New Roman" w:hAnsi="Times New Roman" w:eastAsia="宋体" w:cs="Times New Roman"/>
          <w:caps w:val="0"/>
          <w:smallCaps w:val="0"/>
          <w:color w:val="auto"/>
          <w:spacing w:val="0"/>
          <w:kern w:val="0"/>
          <w:szCs w:val="24"/>
          <w:highlight w:val="none"/>
          <w:lang w:bidi="ar"/>
        </w:rPr>
        <w:t>）活化层清洗蚀刻废气</w:t>
      </w:r>
    </w:p>
    <w:p w14:paraId="3E38B97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本项目清洗过程中采用稀硝酸</w:t>
      </w:r>
      <w:r>
        <w:rPr>
          <w:rFonts w:hint="eastAsia" w:ascii="Times New Roman" w:hAnsi="Times New Roman" w:eastAsia="宋体" w:cs="Times New Roman"/>
          <w:caps w:val="0"/>
          <w:smallCaps w:val="0"/>
          <w:color w:val="auto"/>
          <w:spacing w:val="0"/>
          <w:kern w:val="0"/>
          <w:szCs w:val="24"/>
          <w:highlight w:val="none"/>
          <w:lang w:bidi="ar"/>
        </w:rPr>
        <w:t>和稀盐酸</w:t>
      </w:r>
      <w:r>
        <w:rPr>
          <w:rFonts w:ascii="Times New Roman" w:hAnsi="Times New Roman" w:eastAsia="宋体" w:cs="Times New Roman"/>
          <w:caps w:val="0"/>
          <w:smallCaps w:val="0"/>
          <w:color w:val="auto"/>
          <w:spacing w:val="0"/>
          <w:kern w:val="0"/>
          <w:szCs w:val="24"/>
          <w:highlight w:val="none"/>
          <w:lang w:bidi="ar"/>
        </w:rPr>
        <w:t>，基本无酸雾产生。酸雾主要在配置过程产生。</w:t>
      </w:r>
    </w:p>
    <w:p w14:paraId="25803AD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酸桶放置在刻划工序自动配液系统上，配液过程由设备自动完成。酸雾抽取过程中连接有废气收集装置，采用全封闭收集。</w:t>
      </w:r>
    </w:p>
    <w:p w14:paraId="2712DAEC">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活化层清洗过程采用30%硝酸溶液和0.5%盐酸溶液浸泡，由于硝酸、盐酸均有挥发性，清洗过程挥发产生NO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、HCl酸性气体，且硝酸与衬底CdTe反应生成NO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，这部分酸性气体经收集后，通过碱液洗涤塔处理后通过1根21m高排气筒</w:t>
      </w:r>
      <w:r>
        <w:rPr>
          <w:rFonts w:ascii="Times New Roman" w:hAnsi="Times New Roman" w:eastAsia="宋体" w:cs="Times New Roman"/>
          <w:caps w:val="0"/>
          <w:smallCaps w:val="0"/>
          <w:color w:val="auto"/>
          <w:spacing w:val="0"/>
          <w:kern w:val="0"/>
          <w:szCs w:val="24"/>
          <w:highlight w:val="none"/>
          <w:lang w:bidi="ar"/>
        </w:rPr>
        <w:t>DA00</w:t>
      </w:r>
      <w:r>
        <w:rPr>
          <w:rFonts w:hint="eastAsia" w:ascii="Times New Roman" w:hAnsi="Times New Roman" w:eastAsia="宋体" w:cs="Times New Roman"/>
          <w:caps w:val="0"/>
          <w:smallCaps w:val="0"/>
          <w:color w:val="auto"/>
          <w:spacing w:val="0"/>
          <w:kern w:val="0"/>
          <w:szCs w:val="24"/>
          <w:highlight w:val="none"/>
          <w:lang w:val="en-US" w:eastAsia="zh-CN" w:bidi="ar"/>
        </w:rPr>
        <w:t>8</w:t>
      </w:r>
      <w:r>
        <w:rPr>
          <w:rFonts w:ascii="Times New Roman" w:hAnsi="Times New Roman" w:eastAsia="宋体" w:cs="Times New Roman"/>
          <w:caps w:val="0"/>
          <w:smallCaps w:val="0"/>
          <w:color w:val="auto"/>
          <w:spacing w:val="0"/>
          <w:kern w:val="0"/>
          <w:szCs w:val="24"/>
          <w:highlight w:val="none"/>
          <w:lang w:bidi="ar"/>
        </w:rPr>
        <w:t>排放，具体产生情况如下：</w:t>
      </w:r>
    </w:p>
    <w:p w14:paraId="083E58E0">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highlight w:val="none"/>
        </w:rPr>
        <w:t>①挥发产生酸性气体</w:t>
      </w:r>
    </w:p>
    <w:p w14:paraId="4C34E51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根据环境统计手册（方品贤等，四川科学技术出版社），酸液蒸发量的计算公式如下：</w:t>
      </w:r>
    </w:p>
    <w:p w14:paraId="790A318C">
      <w:pPr>
        <w:widowControl w:val="0"/>
        <w:spacing w:line="360" w:lineRule="auto"/>
        <w:ind w:firstLine="2400" w:firstLineChars="10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Gz==M(0.000352+0.000786V)·P·F</w:t>
      </w:r>
    </w:p>
    <w:p w14:paraId="71792D09">
      <w:pPr>
        <w:widowControl w:val="0"/>
        <w:spacing w:line="360" w:lineRule="auto"/>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式中：Gz——液体的蒸发量（kg/h）；</w:t>
      </w:r>
    </w:p>
    <w:p w14:paraId="3A0BE140">
      <w:pPr>
        <w:widowControl w:val="0"/>
        <w:spacing w:line="360" w:lineRule="auto"/>
        <w:ind w:firstLine="720" w:firstLineChars="3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M——液体的分子量；</w:t>
      </w:r>
    </w:p>
    <w:p w14:paraId="43B3274C">
      <w:pPr>
        <w:widowControl w:val="0"/>
        <w:spacing w:line="360" w:lineRule="auto"/>
        <w:ind w:firstLine="720" w:firstLineChars="3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V——蒸发液体表面上的空气流速（m/s）；</w:t>
      </w:r>
    </w:p>
    <w:p w14:paraId="0F9C69E8">
      <w:pPr>
        <w:widowControl w:val="0"/>
        <w:spacing w:line="360" w:lineRule="auto"/>
        <w:ind w:firstLine="720" w:firstLineChars="3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P——相应于液体温度下的空气中的蒸汽分压力(mm汞柱)；</w:t>
      </w:r>
    </w:p>
    <w:p w14:paraId="119F6689">
      <w:pPr>
        <w:widowControl w:val="0"/>
        <w:spacing w:line="360" w:lineRule="auto"/>
        <w:ind w:firstLine="720" w:firstLineChars="3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F——液体蒸发面的表面积（m</w:t>
      </w:r>
      <w:r>
        <w:rPr>
          <w:rFonts w:ascii="Times New Roman" w:hAnsi="Times New Roman" w:eastAsia="宋体" w:cs="Times New Roman"/>
          <w:caps w:val="0"/>
          <w:smallCaps w:val="0"/>
          <w:color w:val="auto"/>
          <w:spacing w:val="0"/>
          <w:kern w:val="0"/>
          <w:szCs w:val="24"/>
          <w:highlight w:val="none"/>
          <w:vertAlign w:val="superscript"/>
          <w:lang w:bidi="ar"/>
        </w:rPr>
        <w:t>2</w:t>
      </w:r>
      <w:r>
        <w:rPr>
          <w:rFonts w:ascii="Times New Roman" w:hAnsi="Times New Roman" w:eastAsia="宋体" w:cs="Times New Roman"/>
          <w:caps w:val="0"/>
          <w:smallCaps w:val="0"/>
          <w:color w:val="auto"/>
          <w:spacing w:val="0"/>
          <w:kern w:val="0"/>
          <w:szCs w:val="24"/>
          <w:highlight w:val="none"/>
          <w:lang w:bidi="ar"/>
        </w:rPr>
        <w:t>）</w:t>
      </w:r>
    </w:p>
    <w:p w14:paraId="4BCF5590">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参数选取及计算情况见下表。</w:t>
      </w:r>
    </w:p>
    <w:p w14:paraId="2E158AEC">
      <w:pPr>
        <w:widowControl w:val="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highlight w:val="none"/>
        </w:rPr>
        <w:drawing>
          <wp:inline distT="0" distB="0" distL="114300" distR="114300">
            <wp:extent cx="5272405" cy="648335"/>
            <wp:effectExtent l="0" t="0" r="4445" b="1841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55"/>
                    <a:stretch>
                      <a:fillRect/>
                    </a:stretch>
                  </pic:blipFill>
                  <pic:spPr>
                    <a:xfrm>
                      <a:off x="0" y="0"/>
                      <a:ext cx="5272405" cy="648335"/>
                    </a:xfrm>
                    <a:prstGeom prst="rect">
                      <a:avLst/>
                    </a:prstGeom>
                    <a:noFill/>
                    <a:ln>
                      <a:noFill/>
                    </a:ln>
                  </pic:spPr>
                </pic:pic>
              </a:graphicData>
            </a:graphic>
          </wp:inline>
        </w:drawing>
      </w:r>
    </w:p>
    <w:p w14:paraId="629808AA">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通过上式计算，酸性气体量为NO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0.200t/a，HCl0.055t/a。</w:t>
      </w:r>
    </w:p>
    <w:p w14:paraId="79630DD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活化层清洗和输送均为密闭过程，收集效率按100%计，此处设备设置风量为3786m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/h。该部分通过二级碱液洗涤塔处理后在通过活性炭吸附最后经1根21m高排气筒</w:t>
      </w:r>
      <w:r>
        <w:rPr>
          <w:rFonts w:ascii="Times New Roman" w:hAnsi="Times New Roman" w:eastAsia="宋体" w:cs="Times New Roman"/>
          <w:caps w:val="0"/>
          <w:smallCaps w:val="0"/>
          <w:color w:val="auto"/>
          <w:spacing w:val="0"/>
          <w:kern w:val="0"/>
          <w:szCs w:val="24"/>
          <w:highlight w:val="none"/>
          <w:lang w:bidi="ar"/>
        </w:rPr>
        <w:t>DA00</w:t>
      </w:r>
      <w:r>
        <w:rPr>
          <w:rFonts w:hint="eastAsia" w:ascii="Times New Roman" w:hAnsi="Times New Roman" w:eastAsia="宋体" w:cs="Times New Roman"/>
          <w:caps w:val="0"/>
          <w:smallCaps w:val="0"/>
          <w:color w:val="auto"/>
          <w:spacing w:val="0"/>
          <w:kern w:val="0"/>
          <w:szCs w:val="24"/>
          <w:highlight w:val="none"/>
          <w:lang w:val="en-US" w:eastAsia="zh-CN" w:bidi="ar"/>
        </w:rPr>
        <w:t>8</w:t>
      </w:r>
      <w:r>
        <w:rPr>
          <w:rFonts w:ascii="Times New Roman" w:hAnsi="Times New Roman" w:eastAsia="宋体" w:cs="Times New Roman"/>
          <w:caps w:val="0"/>
          <w:smallCaps w:val="0"/>
          <w:color w:val="auto"/>
          <w:spacing w:val="0"/>
          <w:kern w:val="0"/>
          <w:szCs w:val="24"/>
          <w:highlight w:val="none"/>
          <w:lang w:bidi="ar"/>
        </w:rPr>
        <w:t>排放</w:t>
      </w:r>
      <w:r>
        <w:rPr>
          <w:rFonts w:hint="eastAsia" w:ascii="Times New Roman" w:hAnsi="Times New Roman" w:eastAsia="宋体" w:cs="Times New Roman"/>
          <w:caps w:val="0"/>
          <w:smallCaps w:val="0"/>
          <w:color w:val="auto"/>
          <w:spacing w:val="0"/>
          <w:kern w:val="0"/>
          <w:szCs w:val="24"/>
          <w:highlight w:val="none"/>
          <w:lang w:bidi="ar"/>
        </w:rPr>
        <w:t>，此处起到去除作用的为</w:t>
      </w:r>
      <w:r>
        <w:rPr>
          <w:rFonts w:ascii="Times New Roman" w:hAnsi="Times New Roman" w:eastAsia="宋体" w:cs="Times New Roman"/>
          <w:caps w:val="0"/>
          <w:smallCaps w:val="0"/>
          <w:color w:val="auto"/>
          <w:spacing w:val="0"/>
          <w:kern w:val="0"/>
          <w:szCs w:val="24"/>
          <w:highlight w:val="none"/>
          <w:lang w:bidi="ar"/>
        </w:rPr>
        <w:t>二级碱液洗涤塔</w:t>
      </w:r>
      <w:r>
        <w:rPr>
          <w:rFonts w:hint="eastAsia" w:ascii="Times New Roman" w:hAnsi="Times New Roman" w:eastAsia="宋体" w:cs="Times New Roman"/>
          <w:caps w:val="0"/>
          <w:smallCaps w:val="0"/>
          <w:color w:val="auto"/>
          <w:spacing w:val="0"/>
          <w:kern w:val="0"/>
          <w:szCs w:val="24"/>
          <w:highlight w:val="none"/>
          <w:lang w:bidi="ar"/>
        </w:rPr>
        <w:t>，活性炭主要为去除共用一套环保设施的污水处理站的臭气。</w:t>
      </w:r>
    </w:p>
    <w:p w14:paraId="1F737B71">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②反应产生酸性气体</w:t>
      </w:r>
    </w:p>
    <w:p w14:paraId="06662933">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活化层清洗过程372.80kg/aCdTe（占比2.5%）以离子态进入活化层清洗废水和废槽液中。根据物料平衡，CdTe和硝酸反应产生的NO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量为0.143t/a。</w:t>
      </w:r>
    </w:p>
    <w:p w14:paraId="431B11E2">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综上，活化层清洗过程硝酸雾（NO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）产生量为0.343t/a，HCl0.055t/a，活化层清洗和输送均为密闭过程，收集效率按100%计，</w:t>
      </w:r>
      <w:r>
        <w:rPr>
          <w:rFonts w:ascii="Times New Roman" w:hAnsi="Times New Roman" w:eastAsia="宋体" w:cs="Times New Roman"/>
          <w:caps w:val="0"/>
          <w:smallCaps w:val="0"/>
          <w:color w:val="auto"/>
          <w:spacing w:val="0"/>
          <w:kern w:val="0"/>
          <w:szCs w:val="24"/>
          <w:highlight w:val="none"/>
          <w:lang w:bidi="ar"/>
        </w:rPr>
        <w:t>通过二级碱液喷淋塔处理后及过活性炭吸附</w:t>
      </w:r>
      <w:r>
        <w:rPr>
          <w:rFonts w:ascii="Times New Roman" w:hAnsi="Times New Roman" w:eastAsia="宋体" w:cs="Times New Roman"/>
          <w:caps w:val="0"/>
          <w:smallCaps w:val="0"/>
          <w:color w:val="auto"/>
          <w:spacing w:val="0"/>
          <w:highlight w:val="none"/>
        </w:rPr>
        <w:t>HCl和NO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净化效率为80%，硝酸雾（NO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）排放量为0.0686t/a，HCl0.011t/a</w:t>
      </w:r>
    </w:p>
    <w:p w14:paraId="07C468E2">
      <w:pPr>
        <w:widowControl w:val="0"/>
        <w:spacing w:line="360" w:lineRule="auto"/>
        <w:ind w:left="480" w:left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（7）光刻胶涂覆曝光固化废气</w:t>
      </w:r>
    </w:p>
    <w:p w14:paraId="77439BD0">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项目生产过程中使用的光刻胶为液体光刻胶，涂布曝光过程中光刻胶内所含的有机</w:t>
      </w:r>
    </w:p>
    <w:p w14:paraId="6F9A0468">
      <w:pPr>
        <w:widowControl w:val="0"/>
        <w:spacing w:line="360" w:lineRule="auto"/>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废气会挥发，以非甲烷总烃计，项目用胶主要为</w:t>
      </w:r>
      <w:r>
        <w:rPr>
          <w:rFonts w:ascii="Times New Roman" w:hAnsi="Times New Roman" w:eastAsia="宋体" w:cs="Times New Roman"/>
          <w:caps w:val="0"/>
          <w:smallCaps w:val="0"/>
          <w:color w:val="auto"/>
          <w:spacing w:val="0"/>
          <w:szCs w:val="24"/>
          <w:highlight w:val="none"/>
        </w:rPr>
        <w:t>丙烯酸酯类</w:t>
      </w:r>
      <w:r>
        <w:rPr>
          <w:rFonts w:ascii="Times New Roman" w:hAnsi="Times New Roman" w:eastAsia="宋体" w:cs="Times New Roman"/>
          <w:caps w:val="0"/>
          <w:smallCaps w:val="0"/>
          <w:color w:val="auto"/>
          <w:spacing w:val="0"/>
          <w:kern w:val="0"/>
          <w:szCs w:val="24"/>
          <w:highlight w:val="none"/>
          <w:lang w:bidi="ar"/>
        </w:rPr>
        <w:t>，属于水基型胶粘剂，本次评价参考《胶粘剂挥发性有机物化合物限量》(GB33372-2020)表2水基型胶粘剂VOC含量限量中</w:t>
      </w:r>
      <w:r>
        <w:rPr>
          <w:rFonts w:ascii="Times New Roman" w:hAnsi="Times New Roman" w:eastAsia="宋体" w:cs="Times New Roman"/>
          <w:caps w:val="0"/>
          <w:smallCaps w:val="0"/>
          <w:color w:val="auto"/>
          <w:spacing w:val="0"/>
          <w:szCs w:val="24"/>
          <w:highlight w:val="none"/>
        </w:rPr>
        <w:t>丙烯酸酯</w:t>
      </w:r>
      <w:r>
        <w:rPr>
          <w:rFonts w:ascii="Times New Roman" w:hAnsi="Times New Roman" w:eastAsia="宋体" w:cs="Times New Roman"/>
          <w:caps w:val="0"/>
          <w:smallCaps w:val="0"/>
          <w:color w:val="auto"/>
          <w:spacing w:val="0"/>
          <w:kern w:val="0"/>
          <w:szCs w:val="24"/>
          <w:highlight w:val="none"/>
          <w:lang w:bidi="ar"/>
        </w:rPr>
        <w:t>类限值50g/L的要求进行污染源源强核算，项目生产用胶总量约16656L/a，则光刻胶涂覆曝光固化工序产生的有机废气量(以非甲烷总烃计)约832.8kg/a。</w:t>
      </w:r>
    </w:p>
    <w:p w14:paraId="5F787352">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光刻胶涂覆曝光固化过程为全封闭负压过程且废气排口直连，废气收集率95%计，设置风量4506m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/h，则收集的非甲烷总烃产生量为791.16kg/a、产生速率为0.110kg/h、产生浓度24.37mg/m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，废气经全封闭设备负压收集+两级活性炭吸附装置处理+21m高排气筒(DA007)排放，</w:t>
      </w:r>
      <w:r>
        <w:rPr>
          <w:rFonts w:hint="eastAsia" w:ascii="Times New Roman" w:hAnsi="Times New Roman" w:eastAsia="宋体" w:cs="Times New Roman"/>
          <w:caps w:val="0"/>
          <w:smallCaps w:val="0"/>
          <w:color w:val="auto"/>
          <w:spacing w:val="0"/>
          <w:kern w:val="0"/>
          <w:szCs w:val="24"/>
          <w:highlight w:val="none"/>
          <w:lang w:bidi="ar"/>
        </w:rPr>
        <w:t>处理效率90%，</w:t>
      </w:r>
      <w:r>
        <w:rPr>
          <w:rFonts w:ascii="Times New Roman" w:hAnsi="Times New Roman" w:eastAsia="宋体" w:cs="Times New Roman"/>
          <w:caps w:val="0"/>
          <w:smallCaps w:val="0"/>
          <w:color w:val="auto"/>
          <w:spacing w:val="0"/>
          <w:kern w:val="0"/>
          <w:szCs w:val="24"/>
          <w:highlight w:val="none"/>
          <w:lang w:bidi="ar"/>
        </w:rPr>
        <w:t>非甲烷总烃有组织废气排放量为</w:t>
      </w:r>
      <w:r>
        <w:rPr>
          <w:rFonts w:hint="eastAsia" w:ascii="Times New Roman" w:hAnsi="Times New Roman" w:eastAsia="宋体" w:cs="Times New Roman"/>
          <w:caps w:val="0"/>
          <w:smallCaps w:val="0"/>
          <w:color w:val="auto"/>
          <w:spacing w:val="0"/>
          <w:kern w:val="0"/>
          <w:szCs w:val="24"/>
          <w:highlight w:val="none"/>
          <w:lang w:bidi="ar"/>
        </w:rPr>
        <w:t>79.116</w:t>
      </w:r>
      <w:r>
        <w:rPr>
          <w:rFonts w:ascii="Times New Roman" w:hAnsi="Times New Roman" w:eastAsia="宋体" w:cs="Times New Roman"/>
          <w:caps w:val="0"/>
          <w:smallCaps w:val="0"/>
          <w:color w:val="auto"/>
          <w:spacing w:val="0"/>
          <w:kern w:val="0"/>
          <w:szCs w:val="24"/>
          <w:highlight w:val="none"/>
          <w:lang w:bidi="ar"/>
        </w:rPr>
        <w:t>kg/a、产生速率为0.0</w:t>
      </w:r>
      <w:r>
        <w:rPr>
          <w:rFonts w:hint="eastAsia" w:ascii="Times New Roman" w:hAnsi="Times New Roman" w:eastAsia="宋体" w:cs="Times New Roman"/>
          <w:caps w:val="0"/>
          <w:smallCaps w:val="0"/>
          <w:color w:val="auto"/>
          <w:spacing w:val="0"/>
          <w:kern w:val="0"/>
          <w:szCs w:val="24"/>
          <w:highlight w:val="none"/>
          <w:lang w:bidi="ar"/>
        </w:rPr>
        <w:t>110</w:t>
      </w:r>
      <w:r>
        <w:rPr>
          <w:rFonts w:ascii="Times New Roman" w:hAnsi="Times New Roman" w:eastAsia="宋体" w:cs="Times New Roman"/>
          <w:caps w:val="0"/>
          <w:smallCaps w:val="0"/>
          <w:color w:val="auto"/>
          <w:spacing w:val="0"/>
          <w:kern w:val="0"/>
          <w:szCs w:val="24"/>
          <w:highlight w:val="none"/>
          <w:lang w:bidi="ar"/>
        </w:rPr>
        <w:t>kg/h、产生浓度</w:t>
      </w:r>
      <w:r>
        <w:rPr>
          <w:rFonts w:hint="eastAsia" w:ascii="Times New Roman" w:hAnsi="Times New Roman" w:eastAsia="宋体" w:cs="Times New Roman"/>
          <w:caps w:val="0"/>
          <w:smallCaps w:val="0"/>
          <w:color w:val="auto"/>
          <w:spacing w:val="0"/>
          <w:kern w:val="0"/>
          <w:szCs w:val="24"/>
          <w:highlight w:val="none"/>
          <w:lang w:bidi="ar"/>
        </w:rPr>
        <w:t>2.44</w:t>
      </w:r>
      <w:r>
        <w:rPr>
          <w:rFonts w:ascii="Times New Roman" w:hAnsi="Times New Roman" w:eastAsia="宋体" w:cs="Times New Roman"/>
          <w:caps w:val="0"/>
          <w:smallCaps w:val="0"/>
          <w:color w:val="auto"/>
          <w:spacing w:val="0"/>
          <w:kern w:val="0"/>
          <w:szCs w:val="24"/>
          <w:highlight w:val="none"/>
          <w:lang w:bidi="ar"/>
        </w:rPr>
        <w:t>mg/m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；未收集的非甲烷总烃无组织排放量为41.64kg/a、排放速率为0.0058kg/h。</w:t>
      </w:r>
    </w:p>
    <w:p w14:paraId="4192EC23">
      <w:pPr>
        <w:widowControl w:val="0"/>
        <w:numPr>
          <w:ilvl w:val="0"/>
          <w:numId w:val="0"/>
        </w:numPr>
        <w:tabs>
          <w:tab w:val="left" w:pos="447"/>
          <w:tab w:val="left" w:pos="459"/>
        </w:tabs>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8</w:t>
      </w:r>
      <w:r>
        <w:rPr>
          <w:rFonts w:hint="eastAsia" w:ascii="Times New Roman" w:hAnsi="Times New Roman" w:eastAsia="宋体" w:cs="Times New Roman"/>
          <w:caps w:val="0"/>
          <w:smallCaps w:val="0"/>
          <w:color w:val="auto"/>
          <w:spacing w:val="0"/>
          <w:kern w:val="0"/>
          <w:szCs w:val="24"/>
          <w:highlight w:val="none"/>
          <w:lang w:eastAsia="zh-CN" w:bidi="ar"/>
        </w:rPr>
        <w:t>）</w:t>
      </w:r>
      <w:r>
        <w:rPr>
          <w:rFonts w:ascii="Times New Roman" w:hAnsi="Times New Roman" w:eastAsia="宋体" w:cs="Times New Roman"/>
          <w:caps w:val="0"/>
          <w:smallCaps w:val="0"/>
          <w:color w:val="auto"/>
          <w:spacing w:val="0"/>
          <w:kern w:val="0"/>
          <w:szCs w:val="24"/>
          <w:highlight w:val="none"/>
          <w:lang w:bidi="ar"/>
        </w:rPr>
        <w:t>实验室废气</w:t>
      </w:r>
    </w:p>
    <w:p w14:paraId="220FD69B">
      <w:pPr>
        <w:pStyle w:val="213"/>
        <w:widowControl w:val="0"/>
        <w:wordWrap w:val="0"/>
        <w:ind w:firstLine="48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本实验室主要承担产品质量检测，实验过程中将使用化学试剂，实验室废气主要为样品前处理及检测分析过程中有机溶剂的挥发，项目使用的试剂均长期保持密封状态，主要污染因子为挥发性有机废气。</w:t>
      </w:r>
    </w:p>
    <w:p w14:paraId="6C68429C">
      <w:pPr>
        <w:pStyle w:val="213"/>
        <w:widowControl w:val="0"/>
        <w:wordWrap w:val="0"/>
        <w:ind w:firstLine="48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根据美国国家环保局编写的《工业污染源调查与研究》第四章“蒸发损失源”中有机液体储存等相关资料，实验室所用有机试剂挥发量基本在原料量的1%-5%之间，出于保守考虑，本项目试剂挥发比例均取高值，即挥发比例取5%。</w:t>
      </w:r>
    </w:p>
    <w:p w14:paraId="289CE5F8">
      <w:pPr>
        <w:pStyle w:val="13"/>
        <w:widowControl w:val="0"/>
        <w:spacing w:line="360" w:lineRule="auto"/>
        <w:ind w:firstLine="480" w:firstLineChars="200"/>
        <w:jc w:val="both"/>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本项目在实验室操作区设置1台通风柜，实验过程中产生的挥发性有机物（以非甲烷总烃计）收集后，经独立管道引至所在建筑楼顶一套活性炭装置处理后有组织排放，排气筒</w:t>
      </w:r>
      <w:r>
        <w:rPr>
          <w:rFonts w:ascii="Times New Roman" w:hAnsi="Times New Roman" w:eastAsia="宋体" w:cs="Times New Roman"/>
          <w:caps w:val="0"/>
          <w:smallCaps w:val="0"/>
          <w:color w:val="auto"/>
          <w:spacing w:val="0"/>
          <w:kern w:val="0"/>
          <w:szCs w:val="24"/>
          <w:highlight w:val="none"/>
          <w:lang w:bidi="ar"/>
        </w:rPr>
        <w:t>DA00</w:t>
      </w:r>
      <w:r>
        <w:rPr>
          <w:rFonts w:hint="eastAsia" w:ascii="Times New Roman" w:hAnsi="Times New Roman" w:eastAsia="宋体" w:cs="Times New Roman"/>
          <w:caps w:val="0"/>
          <w:smallCaps w:val="0"/>
          <w:color w:val="auto"/>
          <w:spacing w:val="0"/>
          <w:kern w:val="0"/>
          <w:szCs w:val="24"/>
          <w:highlight w:val="none"/>
          <w:lang w:val="en-US" w:eastAsia="zh-CN" w:bidi="ar"/>
        </w:rPr>
        <w:t>9</w:t>
      </w:r>
      <w:r>
        <w:rPr>
          <w:rFonts w:ascii="Times New Roman" w:hAnsi="Times New Roman" w:eastAsia="宋体" w:cs="Times New Roman"/>
          <w:caps w:val="0"/>
          <w:smallCaps w:val="0"/>
          <w:color w:val="auto"/>
          <w:spacing w:val="0"/>
          <w:kern w:val="0"/>
          <w:szCs w:val="24"/>
          <w:highlight w:val="none"/>
          <w:lang w:bidi="ar"/>
        </w:rPr>
        <w:t>，距地面高度21m。实验室共设置1个排气筒，通风柜集气效率按90%计算，活性炭吸附效率按照90%计算，评价以废气处理装置引风机风量（2000m</w:t>
      </w:r>
      <w:r>
        <w:rPr>
          <w:rFonts w:ascii="Times New Roman" w:hAnsi="Times New Roman" w:eastAsia="宋体" w:cs="Times New Roman"/>
          <w:caps w:val="0"/>
          <w:smallCaps w:val="0"/>
          <w:color w:val="auto"/>
          <w:spacing w:val="0"/>
          <w:kern w:val="0"/>
          <w:szCs w:val="24"/>
          <w:highlight w:val="none"/>
          <w:vertAlign w:val="superscript"/>
          <w:lang w:bidi="ar"/>
        </w:rPr>
        <w:t>3</w:t>
      </w:r>
      <w:r>
        <w:rPr>
          <w:rFonts w:ascii="Times New Roman" w:hAnsi="Times New Roman" w:eastAsia="宋体" w:cs="Times New Roman"/>
          <w:caps w:val="0"/>
          <w:smallCaps w:val="0"/>
          <w:color w:val="auto"/>
          <w:spacing w:val="0"/>
          <w:kern w:val="0"/>
          <w:szCs w:val="24"/>
          <w:highlight w:val="none"/>
          <w:lang w:bidi="ar"/>
        </w:rPr>
        <w:t>/h）计算废气量，平均运行时间约为8h/d，年运行300天，则年约2400h</w:t>
      </w:r>
      <w:r>
        <w:rPr>
          <w:rFonts w:ascii="Times New Roman" w:hAnsi="Times New Roman" w:eastAsia="宋体" w:cs="Times New Roman"/>
          <w:bCs/>
          <w:caps w:val="0"/>
          <w:smallCaps w:val="0"/>
          <w:color w:val="auto"/>
          <w:spacing w:val="0"/>
          <w:highlight w:val="none"/>
        </w:rPr>
        <w:t>。废气排放量见下表：</w:t>
      </w:r>
    </w:p>
    <w:p w14:paraId="04BD94B7">
      <w:pPr>
        <w:pStyle w:val="13"/>
        <w:widowControl w:val="0"/>
        <w:spacing w:after="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表3.5-2</w:t>
      </w:r>
      <w:r>
        <w:rPr>
          <w:rFonts w:ascii="Times New Roman" w:hAnsi="Times New Roman" w:eastAsia="宋体" w:cs="Times New Roman"/>
          <w:b/>
          <w:bCs/>
          <w:caps w:val="0"/>
          <w:smallCaps w:val="0"/>
          <w:color w:val="auto"/>
          <w:spacing w:val="0"/>
          <w:highlight w:val="none"/>
        </w:rPr>
        <w:t>有机废气产生量一览表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4"/>
        <w:gridCol w:w="572"/>
        <w:gridCol w:w="763"/>
        <w:gridCol w:w="801"/>
        <w:gridCol w:w="877"/>
        <w:gridCol w:w="966"/>
        <w:gridCol w:w="852"/>
        <w:gridCol w:w="928"/>
        <w:gridCol w:w="1042"/>
        <w:gridCol w:w="1068"/>
        <w:gridCol w:w="1073"/>
      </w:tblGrid>
      <w:tr w14:paraId="3098C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344" w:type="dxa"/>
            <w:tcBorders>
              <w:top w:val="single" w:color="auto" w:sz="8" w:space="0"/>
              <w:bottom w:val="single" w:color="auto" w:sz="8" w:space="0"/>
              <w:tl2br w:val="nil"/>
              <w:tr2bl w:val="nil"/>
            </w:tcBorders>
            <w:vAlign w:val="center"/>
          </w:tcPr>
          <w:p w14:paraId="679A2A3F">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序号</w:t>
            </w:r>
          </w:p>
        </w:tc>
        <w:tc>
          <w:tcPr>
            <w:tcW w:w="572" w:type="dxa"/>
            <w:tcBorders>
              <w:top w:val="single" w:color="auto" w:sz="8" w:space="0"/>
              <w:bottom w:val="single" w:color="auto" w:sz="8" w:space="0"/>
              <w:tl2br w:val="nil"/>
              <w:tr2bl w:val="nil"/>
            </w:tcBorders>
            <w:vAlign w:val="center"/>
          </w:tcPr>
          <w:p w14:paraId="11FFE559">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试剂名称</w:t>
            </w:r>
          </w:p>
        </w:tc>
        <w:tc>
          <w:tcPr>
            <w:tcW w:w="763" w:type="dxa"/>
            <w:tcBorders>
              <w:top w:val="single" w:color="auto" w:sz="8" w:space="0"/>
              <w:bottom w:val="single" w:color="auto" w:sz="8" w:space="0"/>
              <w:tl2br w:val="nil"/>
              <w:tr2bl w:val="nil"/>
            </w:tcBorders>
            <w:vAlign w:val="center"/>
          </w:tcPr>
          <w:p w14:paraId="57EF35CB">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年使用量（mL）</w:t>
            </w:r>
          </w:p>
        </w:tc>
        <w:tc>
          <w:tcPr>
            <w:tcW w:w="801" w:type="dxa"/>
            <w:tcBorders>
              <w:top w:val="single" w:color="auto" w:sz="8" w:space="0"/>
              <w:bottom w:val="single" w:color="auto" w:sz="8" w:space="0"/>
              <w:tl2br w:val="nil"/>
              <w:tr2bl w:val="nil"/>
            </w:tcBorders>
            <w:vAlign w:val="center"/>
          </w:tcPr>
          <w:p w14:paraId="3547C191">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相对密度（g/ml）</w:t>
            </w:r>
          </w:p>
        </w:tc>
        <w:tc>
          <w:tcPr>
            <w:tcW w:w="877" w:type="dxa"/>
            <w:tcBorders>
              <w:top w:val="single" w:color="auto" w:sz="8" w:space="0"/>
              <w:bottom w:val="single" w:color="auto" w:sz="8" w:space="0"/>
              <w:tl2br w:val="nil"/>
              <w:tr2bl w:val="nil"/>
            </w:tcBorders>
            <w:vAlign w:val="center"/>
          </w:tcPr>
          <w:p w14:paraId="73101A50">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原料</w:t>
            </w:r>
          </w:p>
          <w:p w14:paraId="5C961FFB">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用量（kg/a）</w:t>
            </w:r>
          </w:p>
        </w:tc>
        <w:tc>
          <w:tcPr>
            <w:tcW w:w="966" w:type="dxa"/>
            <w:tcBorders>
              <w:top w:val="single" w:color="auto" w:sz="8" w:space="0"/>
              <w:bottom w:val="single" w:color="auto" w:sz="8" w:space="0"/>
              <w:tl2br w:val="nil"/>
              <w:tr2bl w:val="nil"/>
            </w:tcBorders>
            <w:vAlign w:val="center"/>
          </w:tcPr>
          <w:p w14:paraId="42ABC6B9">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有机废气产生量（kg/a）（按5%计）</w:t>
            </w:r>
          </w:p>
        </w:tc>
        <w:tc>
          <w:tcPr>
            <w:tcW w:w="852" w:type="dxa"/>
            <w:tcBorders>
              <w:top w:val="single" w:color="auto" w:sz="8" w:space="0"/>
              <w:bottom w:val="single" w:color="auto" w:sz="8" w:space="0"/>
              <w:tl2br w:val="nil"/>
              <w:tr2bl w:val="nil"/>
            </w:tcBorders>
            <w:vAlign w:val="center"/>
          </w:tcPr>
          <w:p w14:paraId="444BB10C">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处理效率（%）</w:t>
            </w:r>
          </w:p>
        </w:tc>
        <w:tc>
          <w:tcPr>
            <w:tcW w:w="928" w:type="dxa"/>
            <w:tcBorders>
              <w:top w:val="single" w:color="auto" w:sz="8" w:space="0"/>
              <w:bottom w:val="single" w:color="auto" w:sz="8" w:space="0"/>
              <w:tl2br w:val="nil"/>
              <w:tr2bl w:val="nil"/>
            </w:tcBorders>
            <w:vAlign w:val="center"/>
          </w:tcPr>
          <w:p w14:paraId="3DC40D55">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有组织排放量（kg/a）</w:t>
            </w:r>
          </w:p>
        </w:tc>
        <w:tc>
          <w:tcPr>
            <w:tcW w:w="1042" w:type="dxa"/>
            <w:tcBorders>
              <w:top w:val="single" w:color="auto" w:sz="8" w:space="0"/>
              <w:bottom w:val="single" w:color="auto" w:sz="8" w:space="0"/>
              <w:tl2br w:val="nil"/>
              <w:tr2bl w:val="nil"/>
            </w:tcBorders>
            <w:vAlign w:val="center"/>
          </w:tcPr>
          <w:p w14:paraId="1F4E12AA">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非甲烷总烃排放浓度（mg/m</w:t>
            </w:r>
            <w:r>
              <w:rPr>
                <w:rFonts w:cs="Times New Roman"/>
                <w:caps w:val="0"/>
                <w:smallCaps w:val="0"/>
                <w:color w:val="auto"/>
                <w:spacing w:val="0"/>
                <w:sz w:val="21"/>
                <w:szCs w:val="21"/>
                <w:highlight w:val="none"/>
                <w:vertAlign w:val="superscript"/>
              </w:rPr>
              <w:t>3</w:t>
            </w:r>
            <w:r>
              <w:rPr>
                <w:rFonts w:cs="Times New Roman"/>
                <w:caps w:val="0"/>
                <w:smallCaps w:val="0"/>
                <w:color w:val="auto"/>
                <w:spacing w:val="0"/>
                <w:sz w:val="21"/>
                <w:szCs w:val="21"/>
                <w:highlight w:val="none"/>
              </w:rPr>
              <w:t>）</w:t>
            </w:r>
          </w:p>
        </w:tc>
        <w:tc>
          <w:tcPr>
            <w:tcW w:w="1068" w:type="dxa"/>
            <w:tcBorders>
              <w:top w:val="single" w:color="auto" w:sz="8" w:space="0"/>
              <w:bottom w:val="single" w:color="auto" w:sz="8" w:space="0"/>
              <w:tl2br w:val="nil"/>
              <w:tr2bl w:val="nil"/>
            </w:tcBorders>
            <w:vAlign w:val="center"/>
          </w:tcPr>
          <w:p w14:paraId="28DBBF3E">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非甲烷总烃排放速率</w:t>
            </w:r>
          </w:p>
          <w:p w14:paraId="632AFEE1">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（kg/h）</w:t>
            </w:r>
          </w:p>
        </w:tc>
        <w:tc>
          <w:tcPr>
            <w:tcW w:w="1073" w:type="dxa"/>
            <w:tcBorders>
              <w:top w:val="single" w:color="auto" w:sz="8" w:space="0"/>
              <w:bottom w:val="single" w:color="auto" w:sz="8" w:space="0"/>
              <w:tl2br w:val="nil"/>
              <w:tr2bl w:val="nil"/>
            </w:tcBorders>
            <w:vAlign w:val="center"/>
          </w:tcPr>
          <w:p w14:paraId="3AE20F56">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无组织废气排放量（kg/a）</w:t>
            </w:r>
          </w:p>
        </w:tc>
      </w:tr>
      <w:tr w14:paraId="009EE9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44" w:type="dxa"/>
            <w:tcBorders>
              <w:top w:val="single" w:color="auto" w:sz="8" w:space="0"/>
              <w:bottom w:val="single" w:color="auto" w:sz="8" w:space="0"/>
              <w:tl2br w:val="nil"/>
              <w:tr2bl w:val="nil"/>
            </w:tcBorders>
            <w:vAlign w:val="center"/>
          </w:tcPr>
          <w:p w14:paraId="2DD0124C">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1</w:t>
            </w:r>
          </w:p>
        </w:tc>
        <w:tc>
          <w:tcPr>
            <w:tcW w:w="572" w:type="dxa"/>
            <w:tcBorders>
              <w:top w:val="single" w:color="auto" w:sz="8" w:space="0"/>
              <w:bottom w:val="single" w:color="auto" w:sz="8" w:space="0"/>
              <w:tl2br w:val="nil"/>
              <w:tr2bl w:val="nil"/>
            </w:tcBorders>
            <w:vAlign w:val="center"/>
          </w:tcPr>
          <w:p w14:paraId="50159563">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乙醇</w:t>
            </w:r>
          </w:p>
        </w:tc>
        <w:tc>
          <w:tcPr>
            <w:tcW w:w="763" w:type="dxa"/>
            <w:tcBorders>
              <w:top w:val="single" w:color="auto" w:sz="8" w:space="0"/>
              <w:bottom w:val="single" w:color="auto" w:sz="8" w:space="0"/>
              <w:tl2br w:val="nil"/>
              <w:tr2bl w:val="nil"/>
            </w:tcBorders>
            <w:vAlign w:val="center"/>
          </w:tcPr>
          <w:p w14:paraId="4194E7DE">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3000</w:t>
            </w:r>
          </w:p>
        </w:tc>
        <w:tc>
          <w:tcPr>
            <w:tcW w:w="801" w:type="dxa"/>
            <w:tcBorders>
              <w:top w:val="single" w:color="auto" w:sz="8" w:space="0"/>
              <w:bottom w:val="single" w:color="auto" w:sz="8" w:space="0"/>
              <w:tl2br w:val="nil"/>
              <w:tr2bl w:val="nil"/>
            </w:tcBorders>
            <w:vAlign w:val="center"/>
          </w:tcPr>
          <w:p w14:paraId="00512D83">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0.789</w:t>
            </w:r>
          </w:p>
        </w:tc>
        <w:tc>
          <w:tcPr>
            <w:tcW w:w="877" w:type="dxa"/>
            <w:tcBorders>
              <w:top w:val="single" w:color="auto" w:sz="8" w:space="0"/>
              <w:bottom w:val="single" w:color="auto" w:sz="8" w:space="0"/>
              <w:tl2br w:val="nil"/>
              <w:tr2bl w:val="nil"/>
            </w:tcBorders>
            <w:vAlign w:val="center"/>
          </w:tcPr>
          <w:p w14:paraId="6FBDA81C">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2.367</w:t>
            </w:r>
          </w:p>
        </w:tc>
        <w:tc>
          <w:tcPr>
            <w:tcW w:w="966" w:type="dxa"/>
            <w:tcBorders>
              <w:top w:val="single" w:color="auto" w:sz="8" w:space="0"/>
              <w:bottom w:val="single" w:color="auto" w:sz="8" w:space="0"/>
              <w:tl2br w:val="nil"/>
              <w:tr2bl w:val="nil"/>
            </w:tcBorders>
            <w:vAlign w:val="center"/>
          </w:tcPr>
          <w:p w14:paraId="73C26F1D">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0.118</w:t>
            </w:r>
          </w:p>
        </w:tc>
        <w:tc>
          <w:tcPr>
            <w:tcW w:w="852" w:type="dxa"/>
            <w:tcBorders>
              <w:top w:val="single" w:color="auto" w:sz="8" w:space="0"/>
              <w:bottom w:val="single" w:color="auto" w:sz="8" w:space="0"/>
              <w:tl2br w:val="nil"/>
              <w:tr2bl w:val="nil"/>
            </w:tcBorders>
            <w:vAlign w:val="center"/>
          </w:tcPr>
          <w:p w14:paraId="1BB98798">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90</w:t>
            </w:r>
          </w:p>
        </w:tc>
        <w:tc>
          <w:tcPr>
            <w:tcW w:w="928" w:type="dxa"/>
            <w:tcBorders>
              <w:top w:val="single" w:color="auto" w:sz="8" w:space="0"/>
              <w:bottom w:val="single" w:color="auto" w:sz="8" w:space="0"/>
              <w:tl2br w:val="nil"/>
              <w:tr2bl w:val="nil"/>
            </w:tcBorders>
            <w:vAlign w:val="center"/>
          </w:tcPr>
          <w:p w14:paraId="4A0175F3">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0.0000106</w:t>
            </w:r>
          </w:p>
        </w:tc>
        <w:tc>
          <w:tcPr>
            <w:tcW w:w="1042" w:type="dxa"/>
            <w:tcBorders>
              <w:top w:val="single" w:color="auto" w:sz="8" w:space="0"/>
              <w:bottom w:val="single" w:color="auto" w:sz="8" w:space="0"/>
              <w:tl2br w:val="nil"/>
              <w:tr2bl w:val="nil"/>
            </w:tcBorders>
            <w:vAlign w:val="center"/>
          </w:tcPr>
          <w:p w14:paraId="5E9496BD">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0.00221</w:t>
            </w:r>
          </w:p>
        </w:tc>
        <w:tc>
          <w:tcPr>
            <w:tcW w:w="1068" w:type="dxa"/>
            <w:tcBorders>
              <w:top w:val="single" w:color="auto" w:sz="8" w:space="0"/>
              <w:bottom w:val="single" w:color="auto" w:sz="8" w:space="0"/>
              <w:tl2br w:val="nil"/>
              <w:tr2bl w:val="nil"/>
            </w:tcBorders>
            <w:vAlign w:val="center"/>
          </w:tcPr>
          <w:p w14:paraId="67E55888">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0.00000443</w:t>
            </w:r>
          </w:p>
        </w:tc>
        <w:tc>
          <w:tcPr>
            <w:tcW w:w="1073" w:type="dxa"/>
            <w:tcBorders>
              <w:top w:val="single" w:color="auto" w:sz="8" w:space="0"/>
              <w:bottom w:val="single" w:color="auto" w:sz="8" w:space="0"/>
              <w:tl2br w:val="nil"/>
              <w:tr2bl w:val="nil"/>
            </w:tcBorders>
            <w:vAlign w:val="center"/>
          </w:tcPr>
          <w:p w14:paraId="48D4B905">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0.0000118</w:t>
            </w:r>
          </w:p>
        </w:tc>
      </w:tr>
    </w:tbl>
    <w:p w14:paraId="434645B0">
      <w:pPr>
        <w:widowControl w:val="0"/>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表3.5-3实验室无机废气产生量一览表</w:t>
      </w:r>
    </w:p>
    <w:tbl>
      <w:tblPr>
        <w:tblStyle w:val="38"/>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9"/>
        <w:gridCol w:w="540"/>
        <w:gridCol w:w="794"/>
        <w:gridCol w:w="789"/>
        <w:gridCol w:w="851"/>
        <w:gridCol w:w="1014"/>
        <w:gridCol w:w="791"/>
        <w:gridCol w:w="939"/>
        <w:gridCol w:w="1066"/>
        <w:gridCol w:w="1192"/>
        <w:gridCol w:w="940"/>
      </w:tblGrid>
      <w:tr w14:paraId="3FFAC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9" w:type="dxa"/>
            <w:tcBorders>
              <w:top w:val="single" w:color="auto" w:sz="8" w:space="0"/>
              <w:bottom w:val="single" w:color="auto" w:sz="8" w:space="0"/>
              <w:tl2br w:val="nil"/>
              <w:tr2bl w:val="nil"/>
            </w:tcBorders>
            <w:vAlign w:val="center"/>
          </w:tcPr>
          <w:p w14:paraId="4EAAF81E">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序号</w:t>
            </w:r>
          </w:p>
        </w:tc>
        <w:tc>
          <w:tcPr>
            <w:tcW w:w="540" w:type="dxa"/>
            <w:tcBorders>
              <w:top w:val="single" w:color="auto" w:sz="8" w:space="0"/>
              <w:bottom w:val="single" w:color="auto" w:sz="8" w:space="0"/>
              <w:tl2br w:val="nil"/>
              <w:tr2bl w:val="nil"/>
            </w:tcBorders>
            <w:vAlign w:val="center"/>
          </w:tcPr>
          <w:p w14:paraId="172531E1">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试剂名称</w:t>
            </w:r>
          </w:p>
        </w:tc>
        <w:tc>
          <w:tcPr>
            <w:tcW w:w="794" w:type="dxa"/>
            <w:tcBorders>
              <w:top w:val="single" w:color="auto" w:sz="8" w:space="0"/>
              <w:bottom w:val="single" w:color="auto" w:sz="8" w:space="0"/>
              <w:tl2br w:val="nil"/>
              <w:tr2bl w:val="nil"/>
            </w:tcBorders>
            <w:vAlign w:val="center"/>
          </w:tcPr>
          <w:p w14:paraId="4E33A489">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年使用量（mL）</w:t>
            </w:r>
          </w:p>
        </w:tc>
        <w:tc>
          <w:tcPr>
            <w:tcW w:w="789" w:type="dxa"/>
            <w:tcBorders>
              <w:top w:val="single" w:color="auto" w:sz="8" w:space="0"/>
              <w:bottom w:val="single" w:color="auto" w:sz="8" w:space="0"/>
              <w:tl2br w:val="nil"/>
              <w:tr2bl w:val="nil"/>
            </w:tcBorders>
            <w:vAlign w:val="center"/>
          </w:tcPr>
          <w:p w14:paraId="2981F6E7">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相对密度（g/ml）</w:t>
            </w:r>
          </w:p>
        </w:tc>
        <w:tc>
          <w:tcPr>
            <w:tcW w:w="851" w:type="dxa"/>
            <w:tcBorders>
              <w:top w:val="single" w:color="auto" w:sz="8" w:space="0"/>
              <w:bottom w:val="single" w:color="auto" w:sz="8" w:space="0"/>
              <w:tl2br w:val="nil"/>
              <w:tr2bl w:val="nil"/>
            </w:tcBorders>
            <w:vAlign w:val="center"/>
          </w:tcPr>
          <w:p w14:paraId="3991CA75">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原料用量（kg/a）</w:t>
            </w:r>
          </w:p>
        </w:tc>
        <w:tc>
          <w:tcPr>
            <w:tcW w:w="1014" w:type="dxa"/>
            <w:tcBorders>
              <w:top w:val="single" w:color="auto" w:sz="8" w:space="0"/>
              <w:bottom w:val="single" w:color="auto" w:sz="8" w:space="0"/>
              <w:tl2br w:val="nil"/>
              <w:tr2bl w:val="nil"/>
            </w:tcBorders>
            <w:vAlign w:val="center"/>
          </w:tcPr>
          <w:p w14:paraId="45D1AC28">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无机废气产生量（kg/a）（按5%计）</w:t>
            </w:r>
          </w:p>
        </w:tc>
        <w:tc>
          <w:tcPr>
            <w:tcW w:w="791" w:type="dxa"/>
            <w:tcBorders>
              <w:top w:val="single" w:color="auto" w:sz="8" w:space="0"/>
              <w:bottom w:val="single" w:color="auto" w:sz="8" w:space="0"/>
              <w:tl2br w:val="nil"/>
              <w:tr2bl w:val="nil"/>
            </w:tcBorders>
            <w:vAlign w:val="center"/>
          </w:tcPr>
          <w:p w14:paraId="1C8B1E97">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处理效率（%）</w:t>
            </w:r>
          </w:p>
        </w:tc>
        <w:tc>
          <w:tcPr>
            <w:tcW w:w="939" w:type="dxa"/>
            <w:tcBorders>
              <w:top w:val="single" w:color="auto" w:sz="8" w:space="0"/>
              <w:bottom w:val="single" w:color="auto" w:sz="8" w:space="0"/>
              <w:tl2br w:val="nil"/>
              <w:tr2bl w:val="nil"/>
            </w:tcBorders>
            <w:vAlign w:val="center"/>
          </w:tcPr>
          <w:p w14:paraId="6E8E7DFB">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有组织排放量（kg/a）</w:t>
            </w:r>
          </w:p>
        </w:tc>
        <w:tc>
          <w:tcPr>
            <w:tcW w:w="1066" w:type="dxa"/>
            <w:tcBorders>
              <w:top w:val="single" w:color="auto" w:sz="8" w:space="0"/>
              <w:bottom w:val="single" w:color="auto" w:sz="8" w:space="0"/>
              <w:tl2br w:val="nil"/>
              <w:tr2bl w:val="nil"/>
            </w:tcBorders>
            <w:vAlign w:val="center"/>
          </w:tcPr>
          <w:p w14:paraId="739F8417">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氨</w:t>
            </w:r>
            <w:r>
              <w:rPr>
                <w:rFonts w:hint="eastAsia" w:cs="Times New Roman"/>
                <w:caps w:val="0"/>
                <w:smallCaps w:val="0"/>
                <w:color w:val="auto"/>
                <w:spacing w:val="0"/>
                <w:sz w:val="21"/>
                <w:szCs w:val="21"/>
                <w:highlight w:val="none"/>
              </w:rPr>
              <w:t>气</w:t>
            </w:r>
            <w:r>
              <w:rPr>
                <w:rFonts w:cs="Times New Roman"/>
                <w:caps w:val="0"/>
                <w:smallCaps w:val="0"/>
                <w:color w:val="auto"/>
                <w:spacing w:val="0"/>
                <w:sz w:val="21"/>
                <w:szCs w:val="21"/>
                <w:highlight w:val="none"/>
              </w:rPr>
              <w:t>排放浓度（mg/m</w:t>
            </w:r>
            <w:r>
              <w:rPr>
                <w:rFonts w:cs="Times New Roman"/>
                <w:caps w:val="0"/>
                <w:smallCaps w:val="0"/>
                <w:color w:val="auto"/>
                <w:spacing w:val="0"/>
                <w:sz w:val="21"/>
                <w:szCs w:val="21"/>
                <w:highlight w:val="none"/>
                <w:vertAlign w:val="superscript"/>
              </w:rPr>
              <w:t>3</w:t>
            </w:r>
            <w:r>
              <w:rPr>
                <w:rFonts w:cs="Times New Roman"/>
                <w:caps w:val="0"/>
                <w:smallCaps w:val="0"/>
                <w:color w:val="auto"/>
                <w:spacing w:val="0"/>
                <w:sz w:val="21"/>
                <w:szCs w:val="21"/>
                <w:highlight w:val="none"/>
              </w:rPr>
              <w:t>）</w:t>
            </w:r>
          </w:p>
        </w:tc>
        <w:tc>
          <w:tcPr>
            <w:tcW w:w="1192" w:type="dxa"/>
            <w:tcBorders>
              <w:top w:val="single" w:color="auto" w:sz="8" w:space="0"/>
              <w:bottom w:val="single" w:color="auto" w:sz="8" w:space="0"/>
              <w:tl2br w:val="nil"/>
              <w:tr2bl w:val="nil"/>
            </w:tcBorders>
            <w:vAlign w:val="center"/>
          </w:tcPr>
          <w:p w14:paraId="4D487E27">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氨</w:t>
            </w:r>
            <w:r>
              <w:rPr>
                <w:rFonts w:hint="eastAsia" w:cs="Times New Roman"/>
                <w:caps w:val="0"/>
                <w:smallCaps w:val="0"/>
                <w:color w:val="auto"/>
                <w:spacing w:val="0"/>
                <w:sz w:val="21"/>
                <w:szCs w:val="21"/>
                <w:highlight w:val="none"/>
              </w:rPr>
              <w:t>气</w:t>
            </w:r>
            <w:r>
              <w:rPr>
                <w:rFonts w:cs="Times New Roman"/>
                <w:caps w:val="0"/>
                <w:smallCaps w:val="0"/>
                <w:color w:val="auto"/>
                <w:spacing w:val="0"/>
                <w:sz w:val="21"/>
                <w:szCs w:val="21"/>
                <w:highlight w:val="none"/>
              </w:rPr>
              <w:t>排放速率</w:t>
            </w:r>
          </w:p>
          <w:p w14:paraId="4712EF1B">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（kg/h）</w:t>
            </w:r>
          </w:p>
        </w:tc>
        <w:tc>
          <w:tcPr>
            <w:tcW w:w="940" w:type="dxa"/>
            <w:tcBorders>
              <w:top w:val="single" w:color="auto" w:sz="8" w:space="0"/>
              <w:bottom w:val="single" w:color="auto" w:sz="8" w:space="0"/>
              <w:tl2br w:val="nil"/>
              <w:tr2bl w:val="nil"/>
            </w:tcBorders>
            <w:vAlign w:val="center"/>
          </w:tcPr>
          <w:p w14:paraId="769BBE8A">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无组织废气排放量（kg/a）</w:t>
            </w:r>
          </w:p>
        </w:tc>
      </w:tr>
      <w:tr w14:paraId="581178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9" w:type="dxa"/>
            <w:tcBorders>
              <w:top w:val="single" w:color="auto" w:sz="8" w:space="0"/>
              <w:bottom w:val="single" w:color="auto" w:sz="8" w:space="0"/>
              <w:tl2br w:val="nil"/>
              <w:tr2bl w:val="nil"/>
            </w:tcBorders>
            <w:vAlign w:val="center"/>
          </w:tcPr>
          <w:p w14:paraId="1954B246">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1</w:t>
            </w:r>
          </w:p>
        </w:tc>
        <w:tc>
          <w:tcPr>
            <w:tcW w:w="540" w:type="dxa"/>
            <w:tcBorders>
              <w:top w:val="single" w:color="auto" w:sz="8" w:space="0"/>
              <w:bottom w:val="single" w:color="auto" w:sz="8" w:space="0"/>
              <w:tl2br w:val="nil"/>
              <w:tr2bl w:val="nil"/>
            </w:tcBorders>
            <w:vAlign w:val="center"/>
          </w:tcPr>
          <w:p w14:paraId="3320192F">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氨水</w:t>
            </w:r>
          </w:p>
        </w:tc>
        <w:tc>
          <w:tcPr>
            <w:tcW w:w="794" w:type="dxa"/>
            <w:tcBorders>
              <w:top w:val="single" w:color="auto" w:sz="8" w:space="0"/>
              <w:bottom w:val="single" w:color="auto" w:sz="8" w:space="0"/>
              <w:tl2br w:val="nil"/>
              <w:tr2bl w:val="nil"/>
            </w:tcBorders>
            <w:vAlign w:val="center"/>
          </w:tcPr>
          <w:p w14:paraId="5E1B8E18">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500</w:t>
            </w:r>
          </w:p>
        </w:tc>
        <w:tc>
          <w:tcPr>
            <w:tcW w:w="789" w:type="dxa"/>
            <w:tcBorders>
              <w:top w:val="single" w:color="auto" w:sz="8" w:space="0"/>
              <w:bottom w:val="single" w:color="auto" w:sz="8" w:space="0"/>
              <w:tl2br w:val="nil"/>
              <w:tr2bl w:val="nil"/>
            </w:tcBorders>
            <w:vAlign w:val="center"/>
          </w:tcPr>
          <w:p w14:paraId="2B3D5967">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0.907</w:t>
            </w:r>
          </w:p>
        </w:tc>
        <w:tc>
          <w:tcPr>
            <w:tcW w:w="851" w:type="dxa"/>
            <w:tcBorders>
              <w:top w:val="single" w:color="auto" w:sz="8" w:space="0"/>
              <w:bottom w:val="single" w:color="auto" w:sz="8" w:space="0"/>
              <w:tl2br w:val="nil"/>
              <w:tr2bl w:val="nil"/>
            </w:tcBorders>
            <w:vAlign w:val="center"/>
          </w:tcPr>
          <w:p w14:paraId="325F6616">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0.454</w:t>
            </w:r>
          </w:p>
        </w:tc>
        <w:tc>
          <w:tcPr>
            <w:tcW w:w="1014" w:type="dxa"/>
            <w:tcBorders>
              <w:top w:val="single" w:color="auto" w:sz="8" w:space="0"/>
              <w:bottom w:val="single" w:color="auto" w:sz="8" w:space="0"/>
              <w:tl2br w:val="nil"/>
              <w:tr2bl w:val="nil"/>
            </w:tcBorders>
            <w:vAlign w:val="center"/>
          </w:tcPr>
          <w:p w14:paraId="3AAFA762">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0.0227</w:t>
            </w:r>
          </w:p>
        </w:tc>
        <w:tc>
          <w:tcPr>
            <w:tcW w:w="791" w:type="dxa"/>
            <w:tcBorders>
              <w:top w:val="single" w:color="auto" w:sz="8" w:space="0"/>
              <w:bottom w:val="single" w:color="auto" w:sz="8" w:space="0"/>
              <w:tl2br w:val="nil"/>
              <w:tr2bl w:val="nil"/>
            </w:tcBorders>
            <w:vAlign w:val="center"/>
          </w:tcPr>
          <w:p w14:paraId="423CD8A1">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90</w:t>
            </w:r>
          </w:p>
        </w:tc>
        <w:tc>
          <w:tcPr>
            <w:tcW w:w="939" w:type="dxa"/>
            <w:tcBorders>
              <w:top w:val="single" w:color="auto" w:sz="8" w:space="0"/>
              <w:bottom w:val="single" w:color="auto" w:sz="8" w:space="0"/>
              <w:tl2br w:val="nil"/>
              <w:tr2bl w:val="nil"/>
            </w:tcBorders>
            <w:vAlign w:val="center"/>
          </w:tcPr>
          <w:p w14:paraId="34B33F5B">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0.00000204</w:t>
            </w:r>
          </w:p>
        </w:tc>
        <w:tc>
          <w:tcPr>
            <w:tcW w:w="1066" w:type="dxa"/>
            <w:tcBorders>
              <w:top w:val="single" w:color="auto" w:sz="8" w:space="0"/>
              <w:bottom w:val="single" w:color="auto" w:sz="8" w:space="0"/>
              <w:tl2br w:val="nil"/>
              <w:tr2bl w:val="nil"/>
            </w:tcBorders>
            <w:vAlign w:val="center"/>
          </w:tcPr>
          <w:p w14:paraId="1391AD6A">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0.000426</w:t>
            </w:r>
          </w:p>
        </w:tc>
        <w:tc>
          <w:tcPr>
            <w:tcW w:w="1192" w:type="dxa"/>
            <w:tcBorders>
              <w:top w:val="single" w:color="auto" w:sz="8" w:space="0"/>
              <w:bottom w:val="single" w:color="auto" w:sz="8" w:space="0"/>
              <w:tl2br w:val="nil"/>
              <w:tr2bl w:val="nil"/>
            </w:tcBorders>
            <w:vAlign w:val="center"/>
          </w:tcPr>
          <w:p w14:paraId="2CE6161D">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0.000000851</w:t>
            </w:r>
          </w:p>
        </w:tc>
        <w:tc>
          <w:tcPr>
            <w:tcW w:w="940" w:type="dxa"/>
            <w:tcBorders>
              <w:top w:val="single" w:color="auto" w:sz="8" w:space="0"/>
              <w:bottom w:val="single" w:color="auto" w:sz="8" w:space="0"/>
              <w:tl2br w:val="nil"/>
              <w:tr2bl w:val="nil"/>
            </w:tcBorders>
            <w:vAlign w:val="center"/>
          </w:tcPr>
          <w:p w14:paraId="4C6DAD83">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0.0000227</w:t>
            </w:r>
          </w:p>
        </w:tc>
      </w:tr>
    </w:tbl>
    <w:p w14:paraId="6433B76A">
      <w:pPr>
        <w:widowControl w:val="0"/>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表3.5-4实验室二甲苯废气产生量一览表</w:t>
      </w:r>
    </w:p>
    <w:tbl>
      <w:tblPr>
        <w:tblStyle w:val="38"/>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9"/>
        <w:gridCol w:w="537"/>
        <w:gridCol w:w="804"/>
        <w:gridCol w:w="769"/>
        <w:gridCol w:w="841"/>
        <w:gridCol w:w="1037"/>
        <w:gridCol w:w="780"/>
        <w:gridCol w:w="915"/>
        <w:gridCol w:w="1110"/>
        <w:gridCol w:w="1219"/>
        <w:gridCol w:w="904"/>
      </w:tblGrid>
      <w:tr w14:paraId="21224A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9" w:type="dxa"/>
            <w:tcBorders>
              <w:top w:val="single" w:color="auto" w:sz="8" w:space="0"/>
              <w:bottom w:val="single" w:color="auto" w:sz="8" w:space="0"/>
              <w:tl2br w:val="nil"/>
              <w:tr2bl w:val="nil"/>
            </w:tcBorders>
            <w:vAlign w:val="center"/>
          </w:tcPr>
          <w:p w14:paraId="6B28B2EB">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序号</w:t>
            </w:r>
          </w:p>
        </w:tc>
        <w:tc>
          <w:tcPr>
            <w:tcW w:w="537" w:type="dxa"/>
            <w:tcBorders>
              <w:top w:val="single" w:color="auto" w:sz="8" w:space="0"/>
              <w:bottom w:val="single" w:color="auto" w:sz="8" w:space="0"/>
              <w:tl2br w:val="nil"/>
              <w:tr2bl w:val="nil"/>
            </w:tcBorders>
            <w:vAlign w:val="center"/>
          </w:tcPr>
          <w:p w14:paraId="2DA1BDEA">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试剂名称</w:t>
            </w:r>
          </w:p>
        </w:tc>
        <w:tc>
          <w:tcPr>
            <w:tcW w:w="804" w:type="dxa"/>
            <w:tcBorders>
              <w:top w:val="single" w:color="auto" w:sz="8" w:space="0"/>
              <w:bottom w:val="single" w:color="auto" w:sz="8" w:space="0"/>
              <w:tl2br w:val="nil"/>
              <w:tr2bl w:val="nil"/>
            </w:tcBorders>
            <w:vAlign w:val="center"/>
          </w:tcPr>
          <w:p w14:paraId="25D5E8F4">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年使用量（mL）</w:t>
            </w:r>
          </w:p>
        </w:tc>
        <w:tc>
          <w:tcPr>
            <w:tcW w:w="769" w:type="dxa"/>
            <w:tcBorders>
              <w:top w:val="single" w:color="auto" w:sz="8" w:space="0"/>
              <w:bottom w:val="single" w:color="auto" w:sz="8" w:space="0"/>
              <w:tl2br w:val="nil"/>
              <w:tr2bl w:val="nil"/>
            </w:tcBorders>
            <w:vAlign w:val="center"/>
          </w:tcPr>
          <w:p w14:paraId="3685CFA0">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相对密度（g/ml）</w:t>
            </w:r>
          </w:p>
        </w:tc>
        <w:tc>
          <w:tcPr>
            <w:tcW w:w="841" w:type="dxa"/>
            <w:tcBorders>
              <w:top w:val="single" w:color="auto" w:sz="8" w:space="0"/>
              <w:bottom w:val="single" w:color="auto" w:sz="8" w:space="0"/>
              <w:tl2br w:val="nil"/>
              <w:tr2bl w:val="nil"/>
            </w:tcBorders>
            <w:vAlign w:val="center"/>
          </w:tcPr>
          <w:p w14:paraId="6DB5DC05">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原料用量（kg/a）</w:t>
            </w:r>
          </w:p>
        </w:tc>
        <w:tc>
          <w:tcPr>
            <w:tcW w:w="1037" w:type="dxa"/>
            <w:tcBorders>
              <w:top w:val="single" w:color="auto" w:sz="8" w:space="0"/>
              <w:bottom w:val="single" w:color="auto" w:sz="8" w:space="0"/>
              <w:tl2br w:val="nil"/>
              <w:tr2bl w:val="nil"/>
            </w:tcBorders>
            <w:vAlign w:val="center"/>
          </w:tcPr>
          <w:p w14:paraId="7FCB85F6">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无机废气产生量（kg/a）（按5%计）</w:t>
            </w:r>
          </w:p>
        </w:tc>
        <w:tc>
          <w:tcPr>
            <w:tcW w:w="780" w:type="dxa"/>
            <w:tcBorders>
              <w:top w:val="single" w:color="auto" w:sz="8" w:space="0"/>
              <w:bottom w:val="single" w:color="auto" w:sz="8" w:space="0"/>
              <w:tl2br w:val="nil"/>
              <w:tr2bl w:val="nil"/>
            </w:tcBorders>
            <w:vAlign w:val="center"/>
          </w:tcPr>
          <w:p w14:paraId="587075CB">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处理效率（%）</w:t>
            </w:r>
          </w:p>
        </w:tc>
        <w:tc>
          <w:tcPr>
            <w:tcW w:w="915" w:type="dxa"/>
            <w:tcBorders>
              <w:top w:val="single" w:color="auto" w:sz="8" w:space="0"/>
              <w:bottom w:val="single" w:color="auto" w:sz="8" w:space="0"/>
              <w:tl2br w:val="nil"/>
              <w:tr2bl w:val="nil"/>
            </w:tcBorders>
            <w:vAlign w:val="center"/>
          </w:tcPr>
          <w:p w14:paraId="01A9D4BF">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有组织排放量（kg/a）</w:t>
            </w:r>
          </w:p>
        </w:tc>
        <w:tc>
          <w:tcPr>
            <w:tcW w:w="1110" w:type="dxa"/>
            <w:tcBorders>
              <w:top w:val="single" w:color="auto" w:sz="8" w:space="0"/>
              <w:bottom w:val="single" w:color="auto" w:sz="8" w:space="0"/>
              <w:tl2br w:val="nil"/>
              <w:tr2bl w:val="nil"/>
            </w:tcBorders>
            <w:vAlign w:val="center"/>
          </w:tcPr>
          <w:p w14:paraId="2C717F51">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二甲苯排放浓度（mg/m</w:t>
            </w:r>
            <w:r>
              <w:rPr>
                <w:rFonts w:cs="Times New Roman"/>
                <w:caps w:val="0"/>
                <w:smallCaps w:val="0"/>
                <w:color w:val="auto"/>
                <w:spacing w:val="0"/>
                <w:sz w:val="21"/>
                <w:szCs w:val="21"/>
                <w:highlight w:val="none"/>
                <w:vertAlign w:val="superscript"/>
              </w:rPr>
              <w:t>3</w:t>
            </w:r>
            <w:r>
              <w:rPr>
                <w:rFonts w:cs="Times New Roman"/>
                <w:caps w:val="0"/>
                <w:smallCaps w:val="0"/>
                <w:color w:val="auto"/>
                <w:spacing w:val="0"/>
                <w:sz w:val="21"/>
                <w:szCs w:val="21"/>
                <w:highlight w:val="none"/>
              </w:rPr>
              <w:t>）</w:t>
            </w:r>
          </w:p>
        </w:tc>
        <w:tc>
          <w:tcPr>
            <w:tcW w:w="1219" w:type="dxa"/>
            <w:tcBorders>
              <w:top w:val="single" w:color="auto" w:sz="8" w:space="0"/>
              <w:bottom w:val="single" w:color="auto" w:sz="8" w:space="0"/>
              <w:tl2br w:val="nil"/>
              <w:tr2bl w:val="nil"/>
            </w:tcBorders>
            <w:vAlign w:val="center"/>
          </w:tcPr>
          <w:p w14:paraId="59C28A0A">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二甲苯</w:t>
            </w:r>
          </w:p>
          <w:p w14:paraId="1A086819">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排放速率</w:t>
            </w:r>
          </w:p>
          <w:p w14:paraId="29407B1A">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（kg/h）</w:t>
            </w:r>
          </w:p>
        </w:tc>
        <w:tc>
          <w:tcPr>
            <w:tcW w:w="904" w:type="dxa"/>
            <w:tcBorders>
              <w:top w:val="single" w:color="auto" w:sz="8" w:space="0"/>
              <w:bottom w:val="single" w:color="auto" w:sz="8" w:space="0"/>
              <w:tl2br w:val="nil"/>
              <w:tr2bl w:val="nil"/>
            </w:tcBorders>
            <w:vAlign w:val="center"/>
          </w:tcPr>
          <w:p w14:paraId="1125275D">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无组织废气排放量（kg/a）</w:t>
            </w:r>
          </w:p>
        </w:tc>
      </w:tr>
      <w:tr w14:paraId="5D4298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9" w:type="dxa"/>
            <w:tcBorders>
              <w:top w:val="single" w:color="auto" w:sz="8" w:space="0"/>
              <w:bottom w:val="single" w:color="auto" w:sz="8" w:space="0"/>
              <w:tl2br w:val="nil"/>
              <w:tr2bl w:val="nil"/>
            </w:tcBorders>
            <w:vAlign w:val="center"/>
          </w:tcPr>
          <w:p w14:paraId="7A36C241">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1</w:t>
            </w:r>
          </w:p>
        </w:tc>
        <w:tc>
          <w:tcPr>
            <w:tcW w:w="537" w:type="dxa"/>
            <w:tcBorders>
              <w:top w:val="single" w:color="auto" w:sz="8" w:space="0"/>
              <w:bottom w:val="single" w:color="auto" w:sz="8" w:space="0"/>
              <w:tl2br w:val="nil"/>
              <w:tr2bl w:val="nil"/>
            </w:tcBorders>
            <w:vAlign w:val="center"/>
          </w:tcPr>
          <w:p w14:paraId="113A0D0C">
            <w:pPr>
              <w:pStyle w:val="206"/>
              <w:widowControl w:val="0"/>
              <w:spacing w:before="0" w:beforeLines="0" w:after="0" w:afterLines="0" w:line="240" w:lineRule="auto"/>
              <w:rPr>
                <w:rFonts w:cs="Times New Roman"/>
                <w:caps w:val="0"/>
                <w:smallCaps w:val="0"/>
                <w:color w:val="auto"/>
                <w:spacing w:val="0"/>
                <w:sz w:val="21"/>
                <w:szCs w:val="21"/>
                <w:highlight w:val="none"/>
              </w:rPr>
            </w:pPr>
            <w:r>
              <w:rPr>
                <w:rFonts w:cs="Times New Roman"/>
                <w:caps w:val="0"/>
                <w:smallCaps w:val="0"/>
                <w:color w:val="auto"/>
                <w:spacing w:val="0"/>
                <w:sz w:val="21"/>
                <w:szCs w:val="21"/>
                <w:highlight w:val="none"/>
              </w:rPr>
              <w:t>二甲苯</w:t>
            </w:r>
          </w:p>
        </w:tc>
        <w:tc>
          <w:tcPr>
            <w:tcW w:w="804" w:type="dxa"/>
            <w:tcBorders>
              <w:top w:val="single" w:color="auto" w:sz="8" w:space="0"/>
              <w:bottom w:val="single" w:color="auto" w:sz="8" w:space="0"/>
              <w:tl2br w:val="nil"/>
              <w:tr2bl w:val="nil"/>
            </w:tcBorders>
            <w:vAlign w:val="center"/>
          </w:tcPr>
          <w:p w14:paraId="5415DFFB">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500</w:t>
            </w:r>
          </w:p>
        </w:tc>
        <w:tc>
          <w:tcPr>
            <w:tcW w:w="769" w:type="dxa"/>
            <w:tcBorders>
              <w:top w:val="single" w:color="auto" w:sz="8" w:space="0"/>
              <w:bottom w:val="single" w:color="auto" w:sz="8" w:space="0"/>
              <w:tl2br w:val="nil"/>
              <w:tr2bl w:val="nil"/>
            </w:tcBorders>
            <w:vAlign w:val="center"/>
          </w:tcPr>
          <w:p w14:paraId="33EDC04F">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0.86</w:t>
            </w:r>
          </w:p>
        </w:tc>
        <w:tc>
          <w:tcPr>
            <w:tcW w:w="841" w:type="dxa"/>
            <w:tcBorders>
              <w:top w:val="single" w:color="auto" w:sz="8" w:space="0"/>
              <w:bottom w:val="single" w:color="auto" w:sz="8" w:space="0"/>
              <w:tl2br w:val="nil"/>
              <w:tr2bl w:val="nil"/>
            </w:tcBorders>
            <w:vAlign w:val="center"/>
          </w:tcPr>
          <w:p w14:paraId="5A48C480">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0.43</w:t>
            </w:r>
          </w:p>
        </w:tc>
        <w:tc>
          <w:tcPr>
            <w:tcW w:w="1037" w:type="dxa"/>
            <w:tcBorders>
              <w:top w:val="single" w:color="auto" w:sz="8" w:space="0"/>
              <w:bottom w:val="single" w:color="auto" w:sz="8" w:space="0"/>
              <w:tl2br w:val="nil"/>
              <w:tr2bl w:val="nil"/>
            </w:tcBorders>
            <w:vAlign w:val="center"/>
          </w:tcPr>
          <w:p w14:paraId="18699942">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0.0215</w:t>
            </w:r>
          </w:p>
        </w:tc>
        <w:tc>
          <w:tcPr>
            <w:tcW w:w="780" w:type="dxa"/>
            <w:tcBorders>
              <w:top w:val="single" w:color="auto" w:sz="8" w:space="0"/>
              <w:bottom w:val="single" w:color="auto" w:sz="8" w:space="0"/>
              <w:tl2br w:val="nil"/>
              <w:tr2bl w:val="nil"/>
            </w:tcBorders>
            <w:vAlign w:val="center"/>
          </w:tcPr>
          <w:p w14:paraId="50A27109">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90</w:t>
            </w:r>
          </w:p>
        </w:tc>
        <w:tc>
          <w:tcPr>
            <w:tcW w:w="915" w:type="dxa"/>
            <w:tcBorders>
              <w:top w:val="single" w:color="auto" w:sz="8" w:space="0"/>
              <w:bottom w:val="single" w:color="auto" w:sz="8" w:space="0"/>
              <w:tl2br w:val="nil"/>
              <w:tr2bl w:val="nil"/>
            </w:tcBorders>
            <w:vAlign w:val="center"/>
          </w:tcPr>
          <w:p w14:paraId="6B66921B">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0.0000194</w:t>
            </w:r>
          </w:p>
        </w:tc>
        <w:tc>
          <w:tcPr>
            <w:tcW w:w="1110" w:type="dxa"/>
            <w:tcBorders>
              <w:top w:val="single" w:color="auto" w:sz="8" w:space="0"/>
              <w:bottom w:val="single" w:color="auto" w:sz="8" w:space="0"/>
              <w:tl2br w:val="nil"/>
              <w:tr2bl w:val="nil"/>
            </w:tcBorders>
            <w:vAlign w:val="center"/>
          </w:tcPr>
          <w:p w14:paraId="15623195">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0.00403</w:t>
            </w:r>
          </w:p>
        </w:tc>
        <w:tc>
          <w:tcPr>
            <w:tcW w:w="1219" w:type="dxa"/>
            <w:tcBorders>
              <w:top w:val="single" w:color="auto" w:sz="8" w:space="0"/>
              <w:bottom w:val="single" w:color="auto" w:sz="8" w:space="0"/>
              <w:tl2br w:val="nil"/>
              <w:tr2bl w:val="nil"/>
            </w:tcBorders>
            <w:vAlign w:val="center"/>
          </w:tcPr>
          <w:p w14:paraId="302F8267">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0.00000806</w:t>
            </w:r>
          </w:p>
        </w:tc>
        <w:tc>
          <w:tcPr>
            <w:tcW w:w="904" w:type="dxa"/>
            <w:tcBorders>
              <w:top w:val="single" w:color="auto" w:sz="8" w:space="0"/>
              <w:bottom w:val="single" w:color="auto" w:sz="8" w:space="0"/>
              <w:tl2br w:val="nil"/>
              <w:tr2bl w:val="nil"/>
            </w:tcBorders>
            <w:vAlign w:val="center"/>
          </w:tcPr>
          <w:p w14:paraId="4BF79855">
            <w:pPr>
              <w:widowControl w:val="0"/>
              <w:snapToGrid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0.0000215</w:t>
            </w:r>
          </w:p>
        </w:tc>
      </w:tr>
    </w:tbl>
    <w:p w14:paraId="76A6542D">
      <w:pPr>
        <w:pStyle w:val="117"/>
        <w:numPr>
          <w:ilvl w:val="0"/>
          <w:numId w:val="0"/>
        </w:numPr>
        <w:spacing w:after="0" w:line="360" w:lineRule="auto"/>
        <w:ind w:firstLine="480" w:firstLineChars="200"/>
        <w:rPr>
          <w:rFonts w:ascii="Times New Roman" w:hAnsi="Times New Roman" w:cs="Times New Roman"/>
          <w:caps w:val="0"/>
          <w:smallCaps w:val="0"/>
          <w:color w:val="auto"/>
          <w:spacing w:val="0"/>
          <w:highlight w:val="none"/>
        </w:rPr>
      </w:pPr>
      <w:r>
        <w:rPr>
          <w:rFonts w:hint="eastAsia" w:ascii="Times New Roman" w:hAnsi="Times New Roman" w:cs="Times New Roman"/>
          <w:caps w:val="0"/>
          <w:smallCaps w:val="0"/>
          <w:color w:val="auto"/>
          <w:spacing w:val="0"/>
          <w:highlight w:val="none"/>
          <w:lang w:eastAsia="zh-CN"/>
        </w:rPr>
        <w:t>（</w:t>
      </w:r>
      <w:r>
        <w:rPr>
          <w:rFonts w:hint="eastAsia" w:ascii="Times New Roman" w:hAnsi="Times New Roman" w:cs="Times New Roman"/>
          <w:caps w:val="0"/>
          <w:smallCaps w:val="0"/>
          <w:color w:val="auto"/>
          <w:spacing w:val="0"/>
          <w:highlight w:val="none"/>
          <w:lang w:val="en-US" w:eastAsia="zh-CN"/>
        </w:rPr>
        <w:t>9</w:t>
      </w:r>
      <w:r>
        <w:rPr>
          <w:rFonts w:hint="eastAsia" w:ascii="Times New Roman" w:hAnsi="Times New Roman" w:cs="Times New Roman"/>
          <w:caps w:val="0"/>
          <w:smallCaps w:val="0"/>
          <w:color w:val="auto"/>
          <w:spacing w:val="0"/>
          <w:highlight w:val="none"/>
          <w:lang w:eastAsia="zh-CN"/>
        </w:rPr>
        <w:t>）</w:t>
      </w:r>
      <w:r>
        <w:rPr>
          <w:rFonts w:hint="eastAsia" w:ascii="Times New Roman" w:hAnsi="Times New Roman" w:cs="Times New Roman"/>
          <w:caps w:val="0"/>
          <w:smallCaps w:val="0"/>
          <w:color w:val="auto"/>
          <w:spacing w:val="0"/>
          <w:highlight w:val="none"/>
        </w:rPr>
        <w:t>污水处理站废气</w:t>
      </w:r>
    </w:p>
    <w:p w14:paraId="5E10029B">
      <w:pPr>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建设项目采用生化法对厂区的显影废水进行处理，产生的恶臭主要是污水处理系统中生物活动等所致，根据参考资料《美国EPA对污水处理恶臭污染物产生情况的研究》，每处理1g的BOD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可产生0.0031g的NH</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和0.00012g的H</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S。本项目显影废水设计处理废水量为20m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/a，企业水设计中COD进水浓度为7500mg/L，出水浓度为80mg/L</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根据《水质 五日生化需氧量（BOD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）的测定 稀释与接种法》（HJ505-2009）中表1</w:t>
      </w:r>
      <w:r>
        <w:rPr>
          <w:rFonts w:ascii="Times New Roman" w:hAnsi="Times New Roman" w:eastAsia="宋体" w:cs="Times New Roman"/>
          <w:caps w:val="0"/>
          <w:smallCaps w:val="0"/>
          <w:color w:val="auto"/>
          <w:spacing w:val="0"/>
          <w:szCs w:val="24"/>
          <w:highlight w:val="none"/>
        </w:rPr>
        <w:t>BOD</w:t>
      </w:r>
      <w:r>
        <w:rPr>
          <w:rFonts w:ascii="Times New Roman" w:hAnsi="Times New Roman" w:eastAsia="宋体" w:cs="Times New Roman"/>
          <w:caps w:val="0"/>
          <w:smallCaps w:val="0"/>
          <w:color w:val="auto"/>
          <w:spacing w:val="0"/>
          <w:szCs w:val="24"/>
          <w:highlight w:val="none"/>
          <w:vertAlign w:val="subscript"/>
        </w:rPr>
        <w:t>5</w:t>
      </w:r>
      <w:r>
        <w:rPr>
          <w:rFonts w:ascii="Times New Roman" w:hAnsi="Times New Roman" w:eastAsia="宋体" w:cs="Times New Roman"/>
          <w:caps w:val="0"/>
          <w:smallCaps w:val="0"/>
          <w:color w:val="auto"/>
          <w:spacing w:val="0"/>
          <w:szCs w:val="24"/>
          <w:highlight w:val="none"/>
        </w:rPr>
        <w:t>/COD典型的比值R为0.35-0.65，本项目取最大值0.65，则</w:t>
      </w:r>
      <w:r>
        <w:rPr>
          <w:rFonts w:ascii="Times New Roman" w:hAnsi="Times New Roman" w:eastAsia="宋体" w:cs="Times New Roman"/>
          <w:caps w:val="0"/>
          <w:smallCaps w:val="0"/>
          <w:color w:val="auto"/>
          <w:spacing w:val="0"/>
          <w:highlight w:val="none"/>
        </w:rPr>
        <w:t>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进水水质浓度约为4875mg/L，出水水质约为52mg/L，则废气产生量为H</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S</w:t>
      </w:r>
      <w:r>
        <w:rPr>
          <w:rFonts w:ascii="Times New Roman" w:hAnsi="Times New Roman" w:eastAsia="宋体" w:cs="Times New Roman"/>
          <w:caps w:val="0"/>
          <w:smallCaps w:val="0"/>
          <w:color w:val="auto"/>
          <w:spacing w:val="0"/>
          <w:szCs w:val="24"/>
          <w:highlight w:val="none"/>
        </w:rPr>
        <w:t>1</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16×10</w:t>
      </w:r>
      <w:r>
        <w:rPr>
          <w:rFonts w:ascii="Times New Roman" w:hAnsi="Times New Roman" w:eastAsia="宋体" w:cs="Times New Roman"/>
          <w:caps w:val="0"/>
          <w:smallCaps w:val="0"/>
          <w:color w:val="auto"/>
          <w:spacing w:val="0"/>
          <w:szCs w:val="24"/>
          <w:highlight w:val="none"/>
          <w:vertAlign w:val="superscript"/>
        </w:rPr>
        <w:t>-5</w:t>
      </w:r>
      <w:r>
        <w:rPr>
          <w:rFonts w:ascii="Times New Roman" w:hAnsi="Times New Roman" w:eastAsia="宋体" w:cs="Times New Roman"/>
          <w:caps w:val="0"/>
          <w:smallCaps w:val="0"/>
          <w:color w:val="auto"/>
          <w:spacing w:val="0"/>
          <w:szCs w:val="24"/>
          <w:highlight w:val="none"/>
        </w:rPr>
        <w:t>t/a、</w:t>
      </w:r>
      <w:r>
        <w:rPr>
          <w:rFonts w:ascii="Times New Roman" w:hAnsi="Times New Roman" w:eastAsia="宋体" w:cs="Times New Roman"/>
          <w:caps w:val="0"/>
          <w:smallCaps w:val="0"/>
          <w:color w:val="auto"/>
          <w:spacing w:val="0"/>
          <w:highlight w:val="none"/>
        </w:rPr>
        <w:t>NH</w:t>
      </w:r>
      <w:r>
        <w:rPr>
          <w:rFonts w:ascii="Times New Roman" w:hAnsi="Times New Roman" w:eastAsia="宋体" w:cs="Times New Roman"/>
          <w:caps w:val="0"/>
          <w:smallCaps w:val="0"/>
          <w:color w:val="auto"/>
          <w:spacing w:val="0"/>
          <w:highlight w:val="none"/>
          <w:vertAlign w:val="subscript"/>
        </w:rPr>
        <w:t>3</w:t>
      </w:r>
      <w:r>
        <w:rPr>
          <w:rFonts w:hint="eastAsia" w:ascii="Times New Roman" w:hAnsi="Times New Roman" w:eastAsia="宋体" w:cs="Times New Roman"/>
          <w:caps w:val="0"/>
          <w:smallCaps w:val="0"/>
          <w:color w:val="auto"/>
          <w:spacing w:val="0"/>
          <w:highlight w:val="none"/>
        </w:rPr>
        <w:t>2.</w:t>
      </w:r>
      <w:r>
        <w:rPr>
          <w:rFonts w:ascii="Times New Roman" w:hAnsi="Times New Roman" w:eastAsia="宋体" w:cs="Times New Roman"/>
          <w:caps w:val="0"/>
          <w:smallCaps w:val="0"/>
          <w:color w:val="auto"/>
          <w:spacing w:val="0"/>
          <w:highlight w:val="none"/>
        </w:rPr>
        <w:t>99</w:t>
      </w:r>
      <w:r>
        <w:rPr>
          <w:rFonts w:ascii="Times New Roman" w:hAnsi="Times New Roman" w:eastAsia="宋体" w:cs="Times New Roman"/>
          <w:caps w:val="0"/>
          <w:smallCaps w:val="0"/>
          <w:color w:val="auto"/>
          <w:spacing w:val="0"/>
          <w:szCs w:val="24"/>
          <w:highlight w:val="none"/>
        </w:rPr>
        <w:t>×10</w:t>
      </w:r>
      <w:r>
        <w:rPr>
          <w:rFonts w:ascii="Times New Roman" w:hAnsi="Times New Roman" w:eastAsia="宋体" w:cs="Times New Roman"/>
          <w:caps w:val="0"/>
          <w:smallCaps w:val="0"/>
          <w:color w:val="auto"/>
          <w:spacing w:val="0"/>
          <w:szCs w:val="24"/>
          <w:highlight w:val="none"/>
          <w:vertAlign w:val="superscript"/>
        </w:rPr>
        <w:t>-</w:t>
      </w:r>
      <w:r>
        <w:rPr>
          <w:rFonts w:hint="eastAsia" w:ascii="Times New Roman" w:hAnsi="Times New Roman" w:eastAsia="宋体" w:cs="Times New Roman"/>
          <w:caps w:val="0"/>
          <w:smallCaps w:val="0"/>
          <w:color w:val="auto"/>
          <w:spacing w:val="0"/>
          <w:szCs w:val="24"/>
          <w:highlight w:val="none"/>
          <w:vertAlign w:val="superscript"/>
        </w:rPr>
        <w:t>4</w:t>
      </w:r>
      <w:r>
        <w:rPr>
          <w:rFonts w:ascii="Times New Roman" w:hAnsi="Times New Roman" w:eastAsia="宋体" w:cs="Times New Roman"/>
          <w:caps w:val="0"/>
          <w:smallCaps w:val="0"/>
          <w:color w:val="auto"/>
          <w:spacing w:val="0"/>
          <w:highlight w:val="none"/>
        </w:rPr>
        <w:t>t/a。</w:t>
      </w:r>
    </w:p>
    <w:p w14:paraId="08F25B27">
      <w:pPr>
        <w:spacing w:line="360" w:lineRule="auto"/>
        <w:ind w:firstLine="480"/>
        <w:jc w:val="both"/>
        <w:rPr>
          <w:rFonts w:ascii="Times New Roman" w:hAnsi="Times New Roman"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确定本项目污水处理站NH</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产生量约</w:t>
      </w:r>
      <w:r>
        <w:rPr>
          <w:rFonts w:hint="eastAsia" w:ascii="Times New Roman" w:hAnsi="Times New Roman" w:eastAsia="宋体" w:cs="Times New Roman"/>
          <w:caps w:val="0"/>
          <w:smallCaps w:val="0"/>
          <w:color w:val="auto"/>
          <w:spacing w:val="0"/>
          <w:highlight w:val="none"/>
        </w:rPr>
        <w:t>4.</w:t>
      </w:r>
      <w:r>
        <w:rPr>
          <w:rFonts w:ascii="Times New Roman" w:hAnsi="Times New Roman" w:eastAsia="宋体" w:cs="Times New Roman"/>
          <w:caps w:val="0"/>
          <w:smallCaps w:val="0"/>
          <w:color w:val="auto"/>
          <w:spacing w:val="0"/>
          <w:highlight w:val="none"/>
        </w:rPr>
        <w:t>15</w:t>
      </w:r>
      <w:r>
        <w:rPr>
          <w:rFonts w:ascii="Times New Roman" w:hAnsi="Times New Roman" w:eastAsia="宋体" w:cs="Times New Roman"/>
          <w:caps w:val="0"/>
          <w:smallCaps w:val="0"/>
          <w:color w:val="auto"/>
          <w:spacing w:val="0"/>
          <w:szCs w:val="24"/>
          <w:highlight w:val="none"/>
        </w:rPr>
        <w:t>×10</w:t>
      </w:r>
      <w:r>
        <w:rPr>
          <w:rFonts w:ascii="Times New Roman" w:hAnsi="Times New Roman" w:eastAsia="宋体" w:cs="Times New Roman"/>
          <w:caps w:val="0"/>
          <w:smallCaps w:val="0"/>
          <w:color w:val="auto"/>
          <w:spacing w:val="0"/>
          <w:szCs w:val="24"/>
          <w:highlight w:val="none"/>
          <w:vertAlign w:val="superscript"/>
        </w:rPr>
        <w:t>-5</w:t>
      </w:r>
      <w:r>
        <w:rPr>
          <w:rFonts w:ascii="Times New Roman" w:hAnsi="Times New Roman" w:eastAsia="宋体" w:cs="Times New Roman"/>
          <w:caps w:val="0"/>
          <w:smallCaps w:val="0"/>
          <w:color w:val="auto"/>
          <w:spacing w:val="0"/>
          <w:highlight w:val="none"/>
        </w:rPr>
        <w:t>kg/h，H</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S产生量约</w:t>
      </w:r>
      <w:r>
        <w:rPr>
          <w:rFonts w:hint="eastAsia"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61</w:t>
      </w:r>
      <w:r>
        <w:rPr>
          <w:rFonts w:ascii="Times New Roman" w:hAnsi="Times New Roman" w:eastAsia="宋体" w:cs="Times New Roman"/>
          <w:caps w:val="0"/>
          <w:smallCaps w:val="0"/>
          <w:color w:val="auto"/>
          <w:spacing w:val="0"/>
          <w:szCs w:val="24"/>
          <w:highlight w:val="none"/>
        </w:rPr>
        <w:t>×10</w:t>
      </w:r>
      <w:r>
        <w:rPr>
          <w:rFonts w:ascii="Times New Roman" w:hAnsi="Times New Roman" w:eastAsia="宋体" w:cs="Times New Roman"/>
          <w:caps w:val="0"/>
          <w:smallCaps w:val="0"/>
          <w:color w:val="auto"/>
          <w:spacing w:val="0"/>
          <w:szCs w:val="24"/>
          <w:highlight w:val="none"/>
          <w:vertAlign w:val="superscript"/>
        </w:rPr>
        <w:t>-</w:t>
      </w:r>
      <w:r>
        <w:rPr>
          <w:rFonts w:hint="eastAsia" w:ascii="Times New Roman" w:hAnsi="Times New Roman" w:eastAsia="宋体" w:cs="Times New Roman"/>
          <w:caps w:val="0"/>
          <w:smallCaps w:val="0"/>
          <w:color w:val="auto"/>
          <w:spacing w:val="0"/>
          <w:szCs w:val="24"/>
          <w:highlight w:val="none"/>
          <w:vertAlign w:val="superscript"/>
        </w:rPr>
        <w:t>6</w:t>
      </w:r>
      <w:r>
        <w:rPr>
          <w:rFonts w:ascii="Times New Roman" w:hAnsi="Times New Roman" w:eastAsia="宋体" w:cs="Times New Roman"/>
          <w:caps w:val="0"/>
          <w:smallCaps w:val="0"/>
          <w:color w:val="auto"/>
          <w:spacing w:val="0"/>
          <w:highlight w:val="none"/>
        </w:rPr>
        <w:t>kg/h，采用负压集中收集的方式，收集产生的恶臭污染物，收集率约95%左右，约5%为无组织排放，其中负压收集</w:t>
      </w:r>
      <w:r>
        <w:rPr>
          <w:rFonts w:hint="eastAsia" w:ascii="Times New Roman" w:hAnsi="Times New Roman" w:eastAsia="宋体" w:cs="Times New Roman"/>
          <w:caps w:val="0"/>
          <w:smallCaps w:val="0"/>
          <w:color w:val="auto"/>
          <w:spacing w:val="0"/>
          <w:highlight w:val="none"/>
        </w:rPr>
        <w:t>废气先经</w:t>
      </w:r>
      <w:r>
        <w:rPr>
          <w:rFonts w:ascii="Times New Roman" w:hAnsi="Times New Roman" w:eastAsia="宋体" w:cs="Times New Roman"/>
          <w:caps w:val="0"/>
          <w:smallCaps w:val="0"/>
          <w:color w:val="auto"/>
          <w:spacing w:val="0"/>
          <w:highlight w:val="none"/>
        </w:rPr>
        <w:t>碱</w:t>
      </w:r>
      <w:r>
        <w:rPr>
          <w:rFonts w:hint="eastAsia" w:ascii="Times New Roman" w:hAnsi="Times New Roman" w:eastAsia="宋体" w:cs="Times New Roman"/>
          <w:caps w:val="0"/>
          <w:smallCaps w:val="0"/>
          <w:color w:val="auto"/>
          <w:spacing w:val="0"/>
          <w:highlight w:val="none"/>
        </w:rPr>
        <w:t>液喷淋+活性炭吸附处理</w:t>
      </w:r>
      <w:r>
        <w:rPr>
          <w:rFonts w:ascii="Times New Roman" w:hAnsi="Times New Roman" w:eastAsia="宋体" w:cs="Times New Roman"/>
          <w:caps w:val="0"/>
          <w:smallCaps w:val="0"/>
          <w:color w:val="auto"/>
          <w:spacing w:val="0"/>
          <w:highlight w:val="none"/>
        </w:rPr>
        <w:t>后经21m高排气筒排放，处理效率80%，恶臭气体排放量为NH</w:t>
      </w:r>
      <w:r>
        <w:rPr>
          <w:rFonts w:ascii="Times New Roman" w:hAnsi="Times New Roman" w:eastAsia="宋体" w:cs="Times New Roman"/>
          <w:caps w:val="0"/>
          <w:smallCaps w:val="0"/>
          <w:color w:val="auto"/>
          <w:spacing w:val="0"/>
          <w:highlight w:val="none"/>
          <w:vertAlign w:val="subscript"/>
        </w:rPr>
        <w:t>3</w:t>
      </w:r>
      <w:r>
        <w:rPr>
          <w:rFonts w:hint="eastAsia" w:ascii="Times New Roman" w:hAnsi="Times New Roman" w:eastAsia="宋体" w:cs="Times New Roman"/>
          <w:caps w:val="0"/>
          <w:smallCaps w:val="0"/>
          <w:color w:val="auto"/>
          <w:spacing w:val="0"/>
          <w:highlight w:val="none"/>
        </w:rPr>
        <w:t>7.</w:t>
      </w:r>
      <w:r>
        <w:rPr>
          <w:rFonts w:ascii="Times New Roman" w:hAnsi="Times New Roman" w:eastAsia="宋体" w:cs="Times New Roman"/>
          <w:caps w:val="0"/>
          <w:smallCaps w:val="0"/>
          <w:color w:val="auto"/>
          <w:spacing w:val="0"/>
          <w:highlight w:val="none"/>
        </w:rPr>
        <w:t>89</w:t>
      </w:r>
      <w:r>
        <w:rPr>
          <w:rFonts w:ascii="Times New Roman" w:hAnsi="Times New Roman" w:eastAsia="宋体" w:cs="Times New Roman"/>
          <w:caps w:val="0"/>
          <w:smallCaps w:val="0"/>
          <w:color w:val="auto"/>
          <w:spacing w:val="0"/>
          <w:szCs w:val="24"/>
          <w:highlight w:val="none"/>
        </w:rPr>
        <w:t>×10</w:t>
      </w:r>
      <w:r>
        <w:rPr>
          <w:rFonts w:ascii="Times New Roman" w:hAnsi="Times New Roman" w:eastAsia="宋体" w:cs="Times New Roman"/>
          <w:caps w:val="0"/>
          <w:smallCaps w:val="0"/>
          <w:color w:val="auto"/>
          <w:spacing w:val="0"/>
          <w:szCs w:val="24"/>
          <w:highlight w:val="none"/>
          <w:vertAlign w:val="superscript"/>
        </w:rPr>
        <w:t>-</w:t>
      </w:r>
      <w:r>
        <w:rPr>
          <w:rFonts w:hint="eastAsia" w:ascii="Times New Roman" w:hAnsi="Times New Roman" w:eastAsia="宋体" w:cs="Times New Roman"/>
          <w:caps w:val="0"/>
          <w:smallCaps w:val="0"/>
          <w:color w:val="auto"/>
          <w:spacing w:val="0"/>
          <w:szCs w:val="24"/>
          <w:highlight w:val="none"/>
          <w:vertAlign w:val="superscript"/>
        </w:rPr>
        <w:t>6</w:t>
      </w:r>
      <w:r>
        <w:rPr>
          <w:rFonts w:ascii="Times New Roman" w:hAnsi="Times New Roman" w:eastAsia="宋体" w:cs="Times New Roman"/>
          <w:caps w:val="0"/>
          <w:smallCaps w:val="0"/>
          <w:color w:val="auto"/>
          <w:spacing w:val="0"/>
          <w:highlight w:val="none"/>
        </w:rPr>
        <w:t>kg/h，H</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S约</w:t>
      </w:r>
      <w:r>
        <w:rPr>
          <w:rFonts w:hint="eastAsia" w:ascii="Times New Roman" w:hAnsi="Times New Roman" w:eastAsia="宋体" w:cs="Times New Roman"/>
          <w:caps w:val="0"/>
          <w:smallCaps w:val="0"/>
          <w:color w:val="auto"/>
          <w:spacing w:val="0"/>
          <w:highlight w:val="none"/>
        </w:rPr>
        <w:t>3.</w:t>
      </w:r>
      <w:r>
        <w:rPr>
          <w:rFonts w:ascii="Times New Roman" w:hAnsi="Times New Roman" w:eastAsia="宋体" w:cs="Times New Roman"/>
          <w:caps w:val="0"/>
          <w:smallCaps w:val="0"/>
          <w:color w:val="auto"/>
          <w:spacing w:val="0"/>
          <w:highlight w:val="none"/>
        </w:rPr>
        <w:t>06</w:t>
      </w:r>
      <w:r>
        <w:rPr>
          <w:rFonts w:ascii="Times New Roman" w:hAnsi="Times New Roman" w:eastAsia="宋体" w:cs="Times New Roman"/>
          <w:caps w:val="0"/>
          <w:smallCaps w:val="0"/>
          <w:color w:val="auto"/>
          <w:spacing w:val="0"/>
          <w:szCs w:val="24"/>
          <w:highlight w:val="none"/>
        </w:rPr>
        <w:t>×10</w:t>
      </w:r>
      <w:r>
        <w:rPr>
          <w:rFonts w:ascii="Times New Roman" w:hAnsi="Times New Roman" w:eastAsia="宋体" w:cs="Times New Roman"/>
          <w:caps w:val="0"/>
          <w:smallCaps w:val="0"/>
          <w:color w:val="auto"/>
          <w:spacing w:val="0"/>
          <w:szCs w:val="24"/>
          <w:highlight w:val="none"/>
          <w:vertAlign w:val="superscript"/>
        </w:rPr>
        <w:t>-</w:t>
      </w:r>
      <w:r>
        <w:rPr>
          <w:rFonts w:hint="eastAsia" w:ascii="Times New Roman" w:hAnsi="Times New Roman" w:eastAsia="宋体" w:cs="Times New Roman"/>
          <w:caps w:val="0"/>
          <w:smallCaps w:val="0"/>
          <w:color w:val="auto"/>
          <w:spacing w:val="0"/>
          <w:szCs w:val="24"/>
          <w:highlight w:val="none"/>
          <w:vertAlign w:val="superscript"/>
        </w:rPr>
        <w:t>7</w:t>
      </w:r>
      <w:r>
        <w:rPr>
          <w:rFonts w:ascii="Times New Roman" w:hAnsi="Times New Roman" w:eastAsia="宋体" w:cs="Times New Roman"/>
          <w:caps w:val="0"/>
          <w:smallCaps w:val="0"/>
          <w:color w:val="auto"/>
          <w:spacing w:val="0"/>
          <w:highlight w:val="none"/>
        </w:rPr>
        <w:t>kg/h。</w:t>
      </w:r>
    </w:p>
    <w:p w14:paraId="3A01DC5C">
      <w:pPr>
        <w:pStyle w:val="117"/>
        <w:spacing w:after="0" w:line="360" w:lineRule="auto"/>
        <w:rPr>
          <w:rFonts w:ascii="Times New Roman" w:hAnsi="Times New Roman" w:cs="Times New Roman"/>
          <w:caps w:val="0"/>
          <w:smallCaps w:val="0"/>
          <w:color w:val="auto"/>
          <w:spacing w:val="0"/>
          <w:highlight w:val="none"/>
        </w:rPr>
      </w:pPr>
      <w:r>
        <w:rPr>
          <w:rFonts w:hint="eastAsia" w:ascii="Times New Roman" w:hAnsi="Times New Roman" w:cs="Times New Roman"/>
          <w:caps w:val="0"/>
          <w:smallCaps w:val="0"/>
          <w:color w:val="auto"/>
          <w:spacing w:val="0"/>
          <w:highlight w:val="none"/>
        </w:rPr>
        <w:t>（</w:t>
      </w:r>
      <w:r>
        <w:rPr>
          <w:rFonts w:hint="eastAsia" w:ascii="Times New Roman" w:hAnsi="Times New Roman" w:cs="Times New Roman"/>
          <w:caps w:val="0"/>
          <w:smallCaps w:val="0"/>
          <w:color w:val="auto"/>
          <w:spacing w:val="0"/>
          <w:highlight w:val="none"/>
          <w:lang w:val="en-US" w:eastAsia="zh-CN"/>
        </w:rPr>
        <w:t>10</w:t>
      </w:r>
      <w:r>
        <w:rPr>
          <w:rFonts w:hint="eastAsia" w:ascii="Times New Roman" w:hAnsi="Times New Roman" w:cs="Times New Roman"/>
          <w:caps w:val="0"/>
          <w:smallCaps w:val="0"/>
          <w:color w:val="auto"/>
          <w:spacing w:val="0"/>
          <w:highlight w:val="none"/>
        </w:rPr>
        <w:t>）焊接粉尘</w:t>
      </w:r>
    </w:p>
    <w:p w14:paraId="2E0658C9">
      <w:pPr>
        <w:pStyle w:val="117"/>
        <w:spacing w:after="0" w:line="360" w:lineRule="auto"/>
        <w:rPr>
          <w:rFonts w:ascii="Times New Roman" w:hAnsi="Times New Roman" w:cs="Times New Roman"/>
          <w:caps w:val="0"/>
          <w:smallCaps w:val="0"/>
          <w:color w:val="auto"/>
          <w:spacing w:val="0"/>
          <w:sz w:val="24"/>
          <w:highlight w:val="none"/>
        </w:rPr>
      </w:pPr>
      <w:r>
        <w:rPr>
          <w:rFonts w:hint="eastAsia" w:ascii="Times New Roman" w:hAnsi="Times New Roman" w:cs="Times New Roman"/>
          <w:caps w:val="0"/>
          <w:smallCaps w:val="0"/>
          <w:color w:val="auto"/>
          <w:spacing w:val="0"/>
          <w:sz w:val="24"/>
          <w:highlight w:val="none"/>
        </w:rPr>
        <w:t>接线盒配置</w:t>
      </w:r>
      <w:r>
        <w:rPr>
          <w:rFonts w:ascii="Times New Roman" w:hAnsi="Times New Roman" w:cs="Times New Roman"/>
          <w:caps w:val="0"/>
          <w:smallCaps w:val="0"/>
          <w:color w:val="auto"/>
          <w:spacing w:val="0"/>
          <w:sz w:val="24"/>
          <w:highlight w:val="none"/>
        </w:rPr>
        <w:t>焊接的焊缝在内侧，所有焊缝应牢固饱满，不得带有夹渣等焊接缺陷。本项目采用滚焊机进行焊接。滚焊又称缝焊，属于电阻焊，是用一对滚轮电极代替点焊的圆柱形电极，焊接的工件在滚盘之间移动，产生一个个熔核相互搭叠的密封焊缝将工件焊接起来，滚焊机采用断续滚焊，每一焊点要通过预压、加热熔化和冷却结晶三个阶段。施焊过程是电极对被焊接金属施压并通电，电流通过金属件紧贴的接触部位时，其电阻较大，发热并熔融接触点，在电极压力作用下，接触点处焊为一体</w:t>
      </w:r>
      <w:r>
        <w:rPr>
          <w:rFonts w:hint="eastAsia" w:ascii="Times New Roman" w:hAnsi="Times New Roman" w:cs="Times New Roman"/>
          <w:caps w:val="0"/>
          <w:smallCaps w:val="0"/>
          <w:color w:val="auto"/>
          <w:spacing w:val="0"/>
          <w:sz w:val="24"/>
          <w:highlight w:val="none"/>
        </w:rPr>
        <w:t>，几乎不产生焊接粉尘，可忽略不计。</w:t>
      </w:r>
    </w:p>
    <w:p w14:paraId="5447AA19">
      <w:pPr>
        <w:pStyle w:val="117"/>
        <w:spacing w:after="0" w:line="360" w:lineRule="auto"/>
        <w:rPr>
          <w:rFonts w:ascii="Times New Roman" w:hAnsi="Times New Roman" w:cs="Times New Roman"/>
          <w:caps w:val="0"/>
          <w:smallCaps w:val="0"/>
          <w:color w:val="auto"/>
          <w:spacing w:val="0"/>
          <w:sz w:val="24"/>
          <w:highlight w:val="none"/>
        </w:rPr>
      </w:pPr>
      <w:r>
        <w:rPr>
          <w:rFonts w:hint="eastAsia" w:ascii="Times New Roman" w:hAnsi="Times New Roman" w:cs="Times New Roman"/>
          <w:caps w:val="0"/>
          <w:smallCaps w:val="0"/>
          <w:color w:val="auto"/>
          <w:spacing w:val="0"/>
          <w:sz w:val="24"/>
          <w:highlight w:val="none"/>
        </w:rPr>
        <w:t>灌胶过程中需要用到A、B胶混合（比例为10:1）</w:t>
      </w:r>
      <w:r>
        <w:rPr>
          <w:rFonts w:ascii="Times New Roman" w:hAnsi="Times New Roman" w:cs="Times New Roman"/>
          <w:caps w:val="0"/>
          <w:smallCaps w:val="0"/>
          <w:color w:val="auto"/>
          <w:spacing w:val="0"/>
          <w:sz w:val="24"/>
          <w:highlight w:val="none"/>
        </w:rPr>
        <w:t>，</w:t>
      </w:r>
      <w:r>
        <w:rPr>
          <w:rFonts w:hint="eastAsia" w:ascii="Times New Roman" w:hAnsi="Times New Roman" w:cs="Times New Roman"/>
          <w:caps w:val="0"/>
          <w:smallCaps w:val="0"/>
          <w:color w:val="auto"/>
          <w:spacing w:val="0"/>
          <w:sz w:val="24"/>
          <w:highlight w:val="none"/>
        </w:rPr>
        <w:t>根据提供的A、B胶的MSD</w:t>
      </w:r>
      <w:r>
        <w:rPr>
          <w:rFonts w:ascii="Times New Roman" w:hAnsi="Times New Roman" w:cs="Times New Roman"/>
          <w:caps w:val="0"/>
          <w:smallCaps w:val="0"/>
          <w:color w:val="auto"/>
          <w:spacing w:val="0"/>
          <w:sz w:val="24"/>
          <w:highlight w:val="none"/>
        </w:rPr>
        <w:t>S</w:t>
      </w:r>
      <w:r>
        <w:rPr>
          <w:rFonts w:hint="eastAsia" w:ascii="Times New Roman" w:hAnsi="Times New Roman" w:cs="Times New Roman"/>
          <w:caps w:val="0"/>
          <w:smallCaps w:val="0"/>
          <w:color w:val="auto"/>
          <w:spacing w:val="0"/>
          <w:sz w:val="24"/>
          <w:highlight w:val="none"/>
        </w:rPr>
        <w:t>可知，A胶中主要成分为</w:t>
      </w:r>
      <w:r>
        <w:rPr>
          <w:rFonts w:ascii="Times New Roman" w:hAnsi="Times New Roman" w:cs="Times New Roman"/>
          <w:caps w:val="0"/>
          <w:smallCaps w:val="0"/>
          <w:color w:val="auto"/>
          <w:spacing w:val="0"/>
          <w:sz w:val="24"/>
          <w:highlight w:val="none"/>
        </w:rPr>
        <w:t>羟基封端的聚二甲基硅氧烷</w:t>
      </w:r>
      <w:r>
        <w:rPr>
          <w:rFonts w:hint="eastAsia" w:ascii="Times New Roman" w:hAnsi="Times New Roman" w:cs="Times New Roman"/>
          <w:caps w:val="0"/>
          <w:smallCaps w:val="0"/>
          <w:color w:val="auto"/>
          <w:spacing w:val="0"/>
          <w:sz w:val="24"/>
          <w:highlight w:val="none"/>
        </w:rPr>
        <w:t>，B胶中主要成分为聚二甲基硅氧烷，两种化合物挥发性极低，基本不挥发，因此不产生非甲烷总烃。</w:t>
      </w:r>
    </w:p>
    <w:p w14:paraId="550AF5CD">
      <w:pPr>
        <w:pStyle w:val="117"/>
        <w:spacing w:after="0" w:line="360" w:lineRule="auto"/>
        <w:rPr>
          <w:rFonts w:ascii="Times New Roman" w:hAnsi="Times New Roman" w:cs="Times New Roman"/>
          <w:caps w:val="0"/>
          <w:smallCaps w:val="0"/>
          <w:color w:val="auto"/>
          <w:spacing w:val="0"/>
          <w:highlight w:val="none"/>
        </w:rPr>
      </w:pPr>
      <w:r>
        <w:rPr>
          <w:rFonts w:hint="eastAsia" w:ascii="Times New Roman" w:hAnsi="Times New Roman" w:cs="Times New Roman"/>
          <w:caps w:val="0"/>
          <w:smallCaps w:val="0"/>
          <w:color w:val="auto"/>
          <w:spacing w:val="0"/>
          <w:highlight w:val="none"/>
        </w:rPr>
        <w:t>（1</w:t>
      </w:r>
      <w:r>
        <w:rPr>
          <w:rFonts w:hint="eastAsia" w:ascii="Times New Roman" w:hAnsi="Times New Roman" w:cs="Times New Roman"/>
          <w:caps w:val="0"/>
          <w:smallCaps w:val="0"/>
          <w:color w:val="auto"/>
          <w:spacing w:val="0"/>
          <w:highlight w:val="none"/>
          <w:lang w:val="en-US" w:eastAsia="zh-CN"/>
        </w:rPr>
        <w:t>1</w:t>
      </w:r>
      <w:r>
        <w:rPr>
          <w:rFonts w:hint="eastAsia" w:ascii="Times New Roman" w:hAnsi="Times New Roman" w:cs="Times New Roman"/>
          <w:caps w:val="0"/>
          <w:smallCaps w:val="0"/>
          <w:color w:val="auto"/>
          <w:spacing w:val="0"/>
          <w:highlight w:val="none"/>
        </w:rPr>
        <w:t>）组框机组框</w:t>
      </w:r>
    </w:p>
    <w:p w14:paraId="7E585ACC">
      <w:pPr>
        <w:pStyle w:val="117"/>
        <w:spacing w:after="0" w:line="360" w:lineRule="auto"/>
        <w:rPr>
          <w:rFonts w:ascii="Times New Roman" w:hAnsi="Times New Roman" w:cs="Times New Roman"/>
          <w:caps w:val="0"/>
          <w:smallCaps w:val="0"/>
          <w:color w:val="auto"/>
          <w:spacing w:val="0"/>
          <w:sz w:val="24"/>
          <w:highlight w:val="none"/>
        </w:rPr>
      </w:pPr>
      <w:r>
        <w:rPr>
          <w:rFonts w:hint="eastAsia" w:ascii="Times New Roman" w:hAnsi="Times New Roman" w:cs="Times New Roman"/>
          <w:caps w:val="0"/>
          <w:smallCaps w:val="0"/>
          <w:color w:val="auto"/>
          <w:spacing w:val="0"/>
          <w:sz w:val="24"/>
          <w:highlight w:val="none"/>
        </w:rPr>
        <w:t>组框机组框中需要用到A、B胶混合（比例为10:1）</w:t>
      </w:r>
      <w:r>
        <w:rPr>
          <w:rFonts w:ascii="Times New Roman" w:hAnsi="Times New Roman" w:cs="Times New Roman"/>
          <w:caps w:val="0"/>
          <w:smallCaps w:val="0"/>
          <w:color w:val="auto"/>
          <w:spacing w:val="0"/>
          <w:sz w:val="24"/>
          <w:highlight w:val="none"/>
        </w:rPr>
        <w:t>，</w:t>
      </w:r>
      <w:r>
        <w:rPr>
          <w:rFonts w:hint="eastAsia" w:ascii="Times New Roman" w:hAnsi="Times New Roman" w:cs="Times New Roman"/>
          <w:caps w:val="0"/>
          <w:smallCaps w:val="0"/>
          <w:color w:val="auto"/>
          <w:spacing w:val="0"/>
          <w:sz w:val="24"/>
          <w:highlight w:val="none"/>
        </w:rPr>
        <w:t>根据提供的A、B胶的MSD</w:t>
      </w:r>
      <w:r>
        <w:rPr>
          <w:rFonts w:ascii="Times New Roman" w:hAnsi="Times New Roman" w:cs="Times New Roman"/>
          <w:caps w:val="0"/>
          <w:smallCaps w:val="0"/>
          <w:color w:val="auto"/>
          <w:spacing w:val="0"/>
          <w:sz w:val="24"/>
          <w:highlight w:val="none"/>
        </w:rPr>
        <w:t>S</w:t>
      </w:r>
      <w:r>
        <w:rPr>
          <w:rFonts w:hint="eastAsia" w:ascii="Times New Roman" w:hAnsi="Times New Roman" w:cs="Times New Roman"/>
          <w:caps w:val="0"/>
          <w:smallCaps w:val="0"/>
          <w:color w:val="auto"/>
          <w:spacing w:val="0"/>
          <w:sz w:val="24"/>
          <w:highlight w:val="none"/>
        </w:rPr>
        <w:t>可知，A胶中主要成分为</w:t>
      </w:r>
      <w:r>
        <w:rPr>
          <w:rFonts w:ascii="Times New Roman" w:hAnsi="Times New Roman" w:cs="Times New Roman"/>
          <w:caps w:val="0"/>
          <w:smallCaps w:val="0"/>
          <w:color w:val="auto"/>
          <w:spacing w:val="0"/>
          <w:sz w:val="24"/>
          <w:highlight w:val="none"/>
        </w:rPr>
        <w:t>羟基封端的聚二甲基硅氧烷</w:t>
      </w:r>
      <w:r>
        <w:rPr>
          <w:rFonts w:hint="eastAsia" w:ascii="Times New Roman" w:hAnsi="Times New Roman" w:cs="Times New Roman"/>
          <w:caps w:val="0"/>
          <w:smallCaps w:val="0"/>
          <w:color w:val="auto"/>
          <w:spacing w:val="0"/>
          <w:sz w:val="24"/>
          <w:highlight w:val="none"/>
        </w:rPr>
        <w:t>，B胶中主要成分为聚二甲基硅氧烷，两种化合物挥发性极低，基本不挥发，因此不产生非甲烷总烃。</w:t>
      </w:r>
    </w:p>
    <w:p w14:paraId="1E5CF1D1">
      <w:pPr>
        <w:widowControl w:val="0"/>
        <w:spacing w:line="360" w:lineRule="auto"/>
        <w:jc w:val="both"/>
        <w:rPr>
          <w:rFonts w:ascii="Times New Roman" w:hAnsi="Times New Roman" w:eastAsia="宋体" w:cs="Times New Roman"/>
          <w:caps w:val="0"/>
          <w:smallCaps w:val="0"/>
          <w:color w:val="auto"/>
          <w:spacing w:val="0"/>
          <w:kern w:val="0"/>
          <w:szCs w:val="24"/>
          <w:highlight w:val="none"/>
          <w:lang w:bidi="ar"/>
        </w:rPr>
        <w:sectPr>
          <w:headerReference r:id="rId12" w:type="default"/>
          <w:footerReference r:id="rId13" w:type="default"/>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557E85DD">
      <w:pPr>
        <w:pStyle w:val="13"/>
        <w:widowControl w:val="0"/>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表3.5-</w:t>
      </w:r>
      <w:r>
        <w:rPr>
          <w:rFonts w:hint="eastAsia" w:ascii="Times New Roman" w:hAnsi="Times New Roman" w:eastAsia="宋体" w:cs="Times New Roman"/>
          <w:b/>
          <w:bCs/>
          <w:caps w:val="0"/>
          <w:smallCaps w:val="0"/>
          <w:color w:val="auto"/>
          <w:spacing w:val="0"/>
          <w:sz w:val="21"/>
          <w:highlight w:val="none"/>
        </w:rPr>
        <w:t>5</w:t>
      </w:r>
      <w:r>
        <w:rPr>
          <w:rFonts w:ascii="Times New Roman" w:hAnsi="Times New Roman" w:eastAsia="宋体" w:cs="Times New Roman"/>
          <w:b/>
          <w:bCs/>
          <w:caps w:val="0"/>
          <w:smallCaps w:val="0"/>
          <w:color w:val="auto"/>
          <w:spacing w:val="0"/>
          <w:sz w:val="21"/>
          <w:highlight w:val="none"/>
        </w:rPr>
        <w:t>废气污染源源强核算结果一览表</w:t>
      </w:r>
    </w:p>
    <w:tbl>
      <w:tblPr>
        <w:tblStyle w:val="37"/>
        <w:tblW w:w="5000" w:type="pct"/>
        <w:tblInd w:w="0" w:type="dxa"/>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04"/>
        <w:gridCol w:w="1286"/>
        <w:gridCol w:w="940"/>
        <w:gridCol w:w="684"/>
        <w:gridCol w:w="767"/>
        <w:gridCol w:w="849"/>
        <w:gridCol w:w="957"/>
        <w:gridCol w:w="890"/>
        <w:gridCol w:w="949"/>
        <w:gridCol w:w="608"/>
        <w:gridCol w:w="793"/>
        <w:gridCol w:w="652"/>
        <w:gridCol w:w="1056"/>
        <w:gridCol w:w="681"/>
        <w:gridCol w:w="65"/>
        <w:gridCol w:w="637"/>
        <w:gridCol w:w="569"/>
        <w:gridCol w:w="56"/>
        <w:gridCol w:w="673"/>
        <w:gridCol w:w="502"/>
      </w:tblGrid>
      <w:tr w14:paraId="00E43E49">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19088C3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排气筒</w:t>
            </w:r>
          </w:p>
        </w:tc>
        <w:tc>
          <w:tcPr>
            <w:tcW w:w="1286" w:type="dxa"/>
            <w:vMerge w:val="restart"/>
            <w:tcBorders>
              <w:tl2br w:val="nil"/>
              <w:tr2bl w:val="nil"/>
            </w:tcBorders>
            <w:shd w:val="clear" w:color="auto" w:fill="auto"/>
            <w:vAlign w:val="center"/>
          </w:tcPr>
          <w:p w14:paraId="4CC929D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污染源</w:t>
            </w:r>
          </w:p>
        </w:tc>
        <w:tc>
          <w:tcPr>
            <w:tcW w:w="940" w:type="dxa"/>
            <w:vMerge w:val="restart"/>
            <w:tcBorders>
              <w:tl2br w:val="nil"/>
              <w:tr2bl w:val="nil"/>
            </w:tcBorders>
            <w:shd w:val="clear" w:color="auto" w:fill="auto"/>
            <w:vAlign w:val="center"/>
          </w:tcPr>
          <w:p w14:paraId="76B888B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污染物</w:t>
            </w:r>
          </w:p>
        </w:tc>
        <w:tc>
          <w:tcPr>
            <w:tcW w:w="684" w:type="dxa"/>
            <w:vMerge w:val="restart"/>
            <w:tcBorders>
              <w:tl2br w:val="nil"/>
              <w:tr2bl w:val="nil"/>
            </w:tcBorders>
            <w:shd w:val="clear" w:color="auto" w:fill="auto"/>
            <w:vAlign w:val="center"/>
          </w:tcPr>
          <w:p w14:paraId="57FFC80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废气量</w:t>
            </w:r>
            <w:r>
              <w:rPr>
                <w:rFonts w:ascii="Times New Roman" w:hAnsi="Times New Roman" w:eastAsia="宋体" w:cs="Times New Roman"/>
                <w:caps w:val="0"/>
                <w:smallCaps w:val="0"/>
                <w:color w:val="auto"/>
                <w:spacing w:val="0"/>
                <w:kern w:val="0"/>
                <w:sz w:val="21"/>
                <w:highlight w:val="none"/>
                <w:lang w:bidi="ar"/>
              </w:rPr>
              <w:br w:type="textWrapping"/>
            </w:r>
            <w:r>
              <w:rPr>
                <w:rFonts w:ascii="Times New Roman" w:hAnsi="Times New Roman" w:eastAsia="宋体" w:cs="Times New Roman"/>
                <w:caps w:val="0"/>
                <w:smallCaps w:val="0"/>
                <w:color w:val="auto"/>
                <w:spacing w:val="0"/>
                <w:kern w:val="0"/>
                <w:sz w:val="21"/>
                <w:highlight w:val="none"/>
                <w:lang w:bidi="ar"/>
              </w:rPr>
              <w:t>(m³/h)</w:t>
            </w:r>
          </w:p>
        </w:tc>
        <w:tc>
          <w:tcPr>
            <w:tcW w:w="767" w:type="dxa"/>
            <w:tcBorders>
              <w:tl2br w:val="nil"/>
              <w:tr2bl w:val="nil"/>
            </w:tcBorders>
            <w:shd w:val="clear" w:color="auto" w:fill="auto"/>
            <w:vAlign w:val="center"/>
          </w:tcPr>
          <w:p w14:paraId="5BA86A8D">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p>
        </w:tc>
        <w:tc>
          <w:tcPr>
            <w:tcW w:w="2696" w:type="dxa"/>
            <w:gridSpan w:val="3"/>
            <w:tcBorders>
              <w:tl2br w:val="nil"/>
              <w:tr2bl w:val="nil"/>
            </w:tcBorders>
            <w:shd w:val="clear" w:color="auto" w:fill="auto"/>
            <w:vAlign w:val="center"/>
          </w:tcPr>
          <w:p w14:paraId="70D5B44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污染物产生</w:t>
            </w:r>
          </w:p>
        </w:tc>
        <w:tc>
          <w:tcPr>
            <w:tcW w:w="1557" w:type="dxa"/>
            <w:gridSpan w:val="2"/>
            <w:tcBorders>
              <w:tl2br w:val="nil"/>
              <w:tr2bl w:val="nil"/>
            </w:tcBorders>
            <w:shd w:val="clear" w:color="auto" w:fill="auto"/>
            <w:vAlign w:val="center"/>
          </w:tcPr>
          <w:p w14:paraId="4D1B4CF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治理措施</w:t>
            </w:r>
          </w:p>
        </w:tc>
        <w:tc>
          <w:tcPr>
            <w:tcW w:w="793" w:type="dxa"/>
            <w:tcBorders>
              <w:tl2br w:val="nil"/>
              <w:tr2bl w:val="nil"/>
            </w:tcBorders>
            <w:shd w:val="clear" w:color="auto" w:fill="auto"/>
            <w:vAlign w:val="center"/>
          </w:tcPr>
          <w:p w14:paraId="723E5B53">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p>
        </w:tc>
        <w:tc>
          <w:tcPr>
            <w:tcW w:w="4389" w:type="dxa"/>
            <w:gridSpan w:val="8"/>
            <w:tcBorders>
              <w:tl2br w:val="nil"/>
              <w:tr2bl w:val="nil"/>
            </w:tcBorders>
            <w:shd w:val="clear" w:color="auto" w:fill="auto"/>
            <w:vAlign w:val="center"/>
          </w:tcPr>
          <w:p w14:paraId="18E8467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污染物排放</w:t>
            </w:r>
          </w:p>
        </w:tc>
        <w:tc>
          <w:tcPr>
            <w:tcW w:w="502" w:type="dxa"/>
            <w:vMerge w:val="restart"/>
            <w:tcBorders>
              <w:tl2br w:val="nil"/>
              <w:tr2bl w:val="nil"/>
            </w:tcBorders>
            <w:shd w:val="clear" w:color="auto" w:fill="auto"/>
            <w:vAlign w:val="center"/>
          </w:tcPr>
          <w:p w14:paraId="28E0943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排放时间</w:t>
            </w:r>
            <w:r>
              <w:rPr>
                <w:rFonts w:ascii="Times New Roman" w:hAnsi="Times New Roman" w:eastAsia="宋体" w:cs="Times New Roman"/>
                <w:caps w:val="0"/>
                <w:smallCaps w:val="0"/>
                <w:color w:val="auto"/>
                <w:spacing w:val="0"/>
                <w:kern w:val="0"/>
                <w:sz w:val="21"/>
                <w:highlight w:val="none"/>
                <w:lang w:bidi="ar"/>
              </w:rPr>
              <w:t>(h/a)</w:t>
            </w:r>
          </w:p>
        </w:tc>
      </w:tr>
      <w:tr w14:paraId="2991F7F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312F33EB">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7E5F48A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ED1EF20">
            <w:pPr>
              <w:widowControl w:val="0"/>
              <w:snapToGrid w:val="0"/>
              <w:jc w:val="center"/>
              <w:rPr>
                <w:rFonts w:ascii="Times New Roman" w:hAnsi="Times New Roman" w:eastAsia="宋体" w:cs="Times New Roman"/>
                <w:caps w:val="0"/>
                <w:smallCaps w:val="0"/>
                <w:color w:val="auto"/>
                <w:spacing w:val="0"/>
                <w:sz w:val="21"/>
                <w:highlight w:val="none"/>
              </w:rPr>
            </w:pPr>
          </w:p>
        </w:tc>
        <w:tc>
          <w:tcPr>
            <w:tcW w:w="684" w:type="dxa"/>
            <w:vMerge w:val="continue"/>
            <w:tcBorders>
              <w:tl2br w:val="nil"/>
              <w:tr2bl w:val="nil"/>
            </w:tcBorders>
            <w:shd w:val="clear" w:color="auto" w:fill="auto"/>
            <w:vAlign w:val="center"/>
          </w:tcPr>
          <w:p w14:paraId="5EAAE949">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tcBorders>
              <w:tl2br w:val="nil"/>
              <w:tr2bl w:val="nil"/>
            </w:tcBorders>
            <w:shd w:val="clear" w:color="auto" w:fill="auto"/>
            <w:vAlign w:val="center"/>
          </w:tcPr>
          <w:p w14:paraId="040669A9">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核算方法</w:t>
            </w:r>
          </w:p>
        </w:tc>
        <w:tc>
          <w:tcPr>
            <w:tcW w:w="849" w:type="dxa"/>
            <w:tcBorders>
              <w:tl2br w:val="nil"/>
              <w:tr2bl w:val="nil"/>
            </w:tcBorders>
            <w:shd w:val="clear" w:color="auto" w:fill="auto"/>
            <w:vAlign w:val="center"/>
          </w:tcPr>
          <w:p w14:paraId="3B7794E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产生量</w:t>
            </w:r>
            <w:r>
              <w:rPr>
                <w:rFonts w:ascii="Times New Roman" w:hAnsi="Times New Roman" w:eastAsia="宋体" w:cs="Times New Roman"/>
                <w:caps w:val="0"/>
                <w:smallCaps w:val="0"/>
                <w:color w:val="auto"/>
                <w:spacing w:val="0"/>
                <w:kern w:val="0"/>
                <w:sz w:val="21"/>
                <w:highlight w:val="none"/>
                <w:lang w:bidi="ar"/>
              </w:rPr>
              <w:t>(kg/a)</w:t>
            </w:r>
          </w:p>
        </w:tc>
        <w:tc>
          <w:tcPr>
            <w:tcW w:w="957" w:type="dxa"/>
            <w:tcBorders>
              <w:tl2br w:val="nil"/>
              <w:tr2bl w:val="nil"/>
            </w:tcBorders>
            <w:shd w:val="clear" w:color="auto" w:fill="auto"/>
            <w:vAlign w:val="center"/>
          </w:tcPr>
          <w:p w14:paraId="6E488A9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产生速率</w:t>
            </w:r>
            <w:r>
              <w:rPr>
                <w:rFonts w:ascii="Times New Roman" w:hAnsi="Times New Roman" w:eastAsia="宋体" w:cs="Times New Roman"/>
                <w:caps w:val="0"/>
                <w:smallCaps w:val="0"/>
                <w:color w:val="auto"/>
                <w:spacing w:val="0"/>
                <w:kern w:val="0"/>
                <w:sz w:val="21"/>
                <w:highlight w:val="none"/>
                <w:lang w:bidi="ar"/>
              </w:rPr>
              <w:t>(kg/h)</w:t>
            </w:r>
          </w:p>
        </w:tc>
        <w:tc>
          <w:tcPr>
            <w:tcW w:w="890" w:type="dxa"/>
            <w:tcBorders>
              <w:tl2br w:val="nil"/>
              <w:tr2bl w:val="nil"/>
            </w:tcBorders>
            <w:shd w:val="clear" w:color="auto" w:fill="auto"/>
            <w:vAlign w:val="center"/>
          </w:tcPr>
          <w:p w14:paraId="0FEB03B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浓度</w:t>
            </w:r>
            <w:r>
              <w:rPr>
                <w:rFonts w:ascii="Times New Roman" w:hAnsi="Times New Roman" w:eastAsia="宋体" w:cs="Times New Roman"/>
                <w:caps w:val="0"/>
                <w:smallCaps w:val="0"/>
                <w:color w:val="auto"/>
                <w:spacing w:val="0"/>
                <w:kern w:val="0"/>
                <w:sz w:val="21"/>
                <w:highlight w:val="none"/>
                <w:lang w:bidi="ar"/>
              </w:rPr>
              <w:t>(mg/m³）</w:t>
            </w:r>
          </w:p>
        </w:tc>
        <w:tc>
          <w:tcPr>
            <w:tcW w:w="1557" w:type="dxa"/>
            <w:gridSpan w:val="2"/>
            <w:tcBorders>
              <w:tl2br w:val="nil"/>
              <w:tr2bl w:val="nil"/>
            </w:tcBorders>
            <w:shd w:val="clear" w:color="auto" w:fill="auto"/>
            <w:vAlign w:val="center"/>
          </w:tcPr>
          <w:p w14:paraId="363294D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工艺</w:t>
            </w:r>
          </w:p>
        </w:tc>
        <w:tc>
          <w:tcPr>
            <w:tcW w:w="793" w:type="dxa"/>
            <w:tcBorders>
              <w:tl2br w:val="nil"/>
              <w:tr2bl w:val="nil"/>
            </w:tcBorders>
            <w:shd w:val="clear" w:color="auto" w:fill="auto"/>
            <w:vAlign w:val="center"/>
          </w:tcPr>
          <w:p w14:paraId="5FDFAA22">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Style w:val="219"/>
                <w:rFonts w:hint="default" w:ascii="Times New Roman" w:hAnsi="Times New Roman" w:cs="Times New Roman"/>
                <w:caps w:val="0"/>
                <w:smallCaps w:val="0"/>
                <w:color w:val="auto"/>
                <w:spacing w:val="0"/>
                <w:sz w:val="21"/>
                <w:szCs w:val="21"/>
                <w:highlight w:val="none"/>
                <w:lang w:bidi="ar"/>
              </w:rPr>
              <w:t>去除效率</w:t>
            </w:r>
            <w:r>
              <w:rPr>
                <w:rFonts w:ascii="Times New Roman" w:hAnsi="Times New Roman" w:eastAsia="宋体" w:cs="Times New Roman"/>
                <w:caps w:val="0"/>
                <w:smallCaps w:val="0"/>
                <w:color w:val="auto"/>
                <w:spacing w:val="0"/>
                <w:kern w:val="0"/>
                <w:sz w:val="21"/>
                <w:highlight w:val="none"/>
                <w:lang w:bidi="ar"/>
              </w:rPr>
              <w:t>(%)</w:t>
            </w:r>
          </w:p>
        </w:tc>
        <w:tc>
          <w:tcPr>
            <w:tcW w:w="652" w:type="dxa"/>
            <w:tcBorders>
              <w:tl2br w:val="nil"/>
              <w:tr2bl w:val="nil"/>
            </w:tcBorders>
            <w:shd w:val="clear" w:color="auto" w:fill="auto"/>
            <w:vAlign w:val="center"/>
          </w:tcPr>
          <w:p w14:paraId="6EFF9619">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核算方法</w:t>
            </w:r>
          </w:p>
        </w:tc>
        <w:tc>
          <w:tcPr>
            <w:tcW w:w="1056" w:type="dxa"/>
            <w:tcBorders>
              <w:tl2br w:val="nil"/>
              <w:tr2bl w:val="nil"/>
            </w:tcBorders>
            <w:shd w:val="clear" w:color="auto" w:fill="auto"/>
            <w:vAlign w:val="center"/>
          </w:tcPr>
          <w:p w14:paraId="35FAA1C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排放量</w:t>
            </w:r>
            <w:r>
              <w:rPr>
                <w:rFonts w:ascii="Times New Roman" w:hAnsi="Times New Roman" w:eastAsia="宋体" w:cs="Times New Roman"/>
                <w:caps w:val="0"/>
                <w:smallCaps w:val="0"/>
                <w:color w:val="auto"/>
                <w:spacing w:val="0"/>
                <w:kern w:val="0"/>
                <w:sz w:val="21"/>
                <w:highlight w:val="none"/>
                <w:lang w:bidi="ar"/>
              </w:rPr>
              <w:t>(kg/a)</w:t>
            </w:r>
          </w:p>
        </w:tc>
        <w:tc>
          <w:tcPr>
            <w:tcW w:w="1383" w:type="dxa"/>
            <w:gridSpan w:val="3"/>
            <w:tcBorders>
              <w:tl2br w:val="nil"/>
              <w:tr2bl w:val="nil"/>
            </w:tcBorders>
            <w:shd w:val="clear" w:color="auto" w:fill="auto"/>
            <w:vAlign w:val="center"/>
          </w:tcPr>
          <w:p w14:paraId="06472AA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排放速率</w:t>
            </w:r>
            <w:r>
              <w:rPr>
                <w:rFonts w:ascii="Times New Roman" w:hAnsi="Times New Roman" w:eastAsia="宋体" w:cs="Times New Roman"/>
                <w:caps w:val="0"/>
                <w:smallCaps w:val="0"/>
                <w:color w:val="auto"/>
                <w:spacing w:val="0"/>
                <w:kern w:val="0"/>
                <w:sz w:val="21"/>
                <w:highlight w:val="none"/>
                <w:lang w:bidi="ar"/>
              </w:rPr>
              <w:t>(kg/h)</w:t>
            </w:r>
          </w:p>
        </w:tc>
        <w:tc>
          <w:tcPr>
            <w:tcW w:w="1298" w:type="dxa"/>
            <w:gridSpan w:val="3"/>
            <w:tcBorders>
              <w:tl2br w:val="nil"/>
              <w:tr2bl w:val="nil"/>
            </w:tcBorders>
            <w:shd w:val="clear" w:color="auto" w:fill="auto"/>
            <w:vAlign w:val="center"/>
          </w:tcPr>
          <w:p w14:paraId="0570788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浓度</w:t>
            </w:r>
            <w:r>
              <w:rPr>
                <w:rFonts w:ascii="Times New Roman" w:hAnsi="Times New Roman" w:eastAsia="宋体" w:cs="Times New Roman"/>
                <w:caps w:val="0"/>
                <w:smallCaps w:val="0"/>
                <w:color w:val="auto"/>
                <w:spacing w:val="0"/>
                <w:kern w:val="0"/>
                <w:sz w:val="21"/>
                <w:highlight w:val="none"/>
                <w:lang w:bidi="ar"/>
              </w:rPr>
              <w:t>(mg/m³)</w:t>
            </w:r>
          </w:p>
        </w:tc>
        <w:tc>
          <w:tcPr>
            <w:tcW w:w="502" w:type="dxa"/>
            <w:vMerge w:val="continue"/>
            <w:tcBorders>
              <w:tl2br w:val="nil"/>
              <w:tr2bl w:val="nil"/>
            </w:tcBorders>
            <w:shd w:val="clear" w:color="auto" w:fill="auto"/>
            <w:vAlign w:val="center"/>
          </w:tcPr>
          <w:p w14:paraId="6016EFF1">
            <w:pPr>
              <w:widowControl w:val="0"/>
              <w:snapToGrid w:val="0"/>
              <w:jc w:val="center"/>
              <w:rPr>
                <w:rFonts w:ascii="Times New Roman" w:hAnsi="Times New Roman" w:eastAsia="宋体" w:cs="Times New Roman"/>
                <w:caps w:val="0"/>
                <w:smallCaps w:val="0"/>
                <w:color w:val="auto"/>
                <w:spacing w:val="0"/>
                <w:sz w:val="21"/>
                <w:highlight w:val="none"/>
              </w:rPr>
            </w:pPr>
          </w:p>
        </w:tc>
      </w:tr>
      <w:tr w14:paraId="4458EF4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3C1FC0F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DA001</w:t>
            </w:r>
          </w:p>
        </w:tc>
        <w:tc>
          <w:tcPr>
            <w:tcW w:w="1286" w:type="dxa"/>
            <w:vMerge w:val="restart"/>
            <w:tcBorders>
              <w:tl2br w:val="nil"/>
              <w:tr2bl w:val="nil"/>
            </w:tcBorders>
            <w:shd w:val="clear" w:color="auto" w:fill="auto"/>
            <w:vAlign w:val="center"/>
          </w:tcPr>
          <w:p w14:paraId="6A66B1E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CSS镀膜废气</w:t>
            </w:r>
          </w:p>
        </w:tc>
        <w:tc>
          <w:tcPr>
            <w:tcW w:w="940" w:type="dxa"/>
            <w:tcBorders>
              <w:tl2br w:val="nil"/>
              <w:tr2bl w:val="nil"/>
            </w:tcBorders>
            <w:shd w:val="clear" w:color="auto" w:fill="auto"/>
            <w:vAlign w:val="center"/>
          </w:tcPr>
          <w:p w14:paraId="78D7F67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13FCEE3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3000</w:t>
            </w:r>
          </w:p>
        </w:tc>
        <w:tc>
          <w:tcPr>
            <w:tcW w:w="767" w:type="dxa"/>
            <w:vMerge w:val="restart"/>
            <w:tcBorders>
              <w:tl2br w:val="nil"/>
              <w:tr2bl w:val="nil"/>
            </w:tcBorders>
            <w:shd w:val="clear" w:color="auto" w:fill="auto"/>
            <w:vAlign w:val="center"/>
          </w:tcPr>
          <w:p w14:paraId="52713E38">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32D3C6F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3000.22</w:t>
            </w:r>
          </w:p>
        </w:tc>
        <w:tc>
          <w:tcPr>
            <w:tcW w:w="957" w:type="dxa"/>
            <w:tcBorders>
              <w:tl2br w:val="nil"/>
              <w:tr2bl w:val="nil"/>
            </w:tcBorders>
            <w:shd w:val="clear" w:color="auto" w:fill="auto"/>
            <w:vAlign w:val="center"/>
          </w:tcPr>
          <w:p w14:paraId="5DC2399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0.417</w:t>
            </w:r>
          </w:p>
        </w:tc>
        <w:tc>
          <w:tcPr>
            <w:tcW w:w="890" w:type="dxa"/>
            <w:tcBorders>
              <w:tl2br w:val="nil"/>
              <w:tr2bl w:val="nil"/>
            </w:tcBorders>
            <w:shd w:val="clear" w:color="auto" w:fill="auto"/>
            <w:vAlign w:val="center"/>
          </w:tcPr>
          <w:p w14:paraId="26599EF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138.90</w:t>
            </w:r>
          </w:p>
        </w:tc>
        <w:tc>
          <w:tcPr>
            <w:tcW w:w="1557" w:type="dxa"/>
            <w:gridSpan w:val="2"/>
            <w:vMerge w:val="restart"/>
            <w:tcBorders>
              <w:tl2br w:val="nil"/>
              <w:tr2bl w:val="nil"/>
            </w:tcBorders>
            <w:shd w:val="clear" w:color="auto" w:fill="auto"/>
            <w:vAlign w:val="center"/>
          </w:tcPr>
          <w:p w14:paraId="1420460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default" w:ascii="Times New Roman" w:hAnsi="Times New Roman" w:eastAsia="宋体" w:cs="Times New Roman"/>
                <w:caps w:val="0"/>
                <w:smallCaps w:val="0"/>
                <w:color w:val="auto"/>
                <w:spacing w:val="0"/>
                <w:sz w:val="21"/>
                <w:highlight w:val="none"/>
                <w:lang w:val="en-US" w:eastAsia="zh-CN"/>
              </w:rPr>
              <w:t>E12</w:t>
            </w:r>
            <w:r>
              <w:rPr>
                <w:rFonts w:hint="eastAsia" w:ascii="Times New Roman" w:hAnsi="Times New Roman" w:eastAsia="宋体" w:cs="Times New Roman"/>
                <w:caps w:val="0"/>
                <w:smallCaps w:val="0"/>
                <w:color w:val="auto"/>
                <w:spacing w:val="0"/>
                <w:sz w:val="21"/>
                <w:highlight w:val="none"/>
                <w:lang w:val="en-US" w:eastAsia="zh-CN"/>
              </w:rPr>
              <w:t>级高效离子过滤器</w:t>
            </w:r>
            <w:r>
              <w:rPr>
                <w:rFonts w:hint="default" w:ascii="Times New Roman" w:hAnsi="Times New Roman" w:eastAsia="宋体" w:cs="Times New Roman"/>
                <w:caps w:val="0"/>
                <w:smallCaps w:val="0"/>
                <w:color w:val="auto"/>
                <w:spacing w:val="0"/>
                <w:sz w:val="21"/>
                <w:highlight w:val="none"/>
                <w:lang w:val="en-US" w:eastAsia="zh-CN"/>
              </w:rPr>
              <w:t>+H14</w:t>
            </w:r>
            <w:r>
              <w:rPr>
                <w:rFonts w:hint="eastAsia" w:ascii="Times New Roman" w:hAnsi="Times New Roman" w:eastAsia="宋体" w:cs="Times New Roman"/>
                <w:caps w:val="0"/>
                <w:smallCaps w:val="0"/>
                <w:color w:val="auto"/>
                <w:spacing w:val="0"/>
                <w:sz w:val="21"/>
                <w:highlight w:val="none"/>
                <w:lang w:val="en-US" w:eastAsia="zh-CN"/>
              </w:rPr>
              <w:t>级高效离子过滤器</w:t>
            </w:r>
          </w:p>
        </w:tc>
        <w:tc>
          <w:tcPr>
            <w:tcW w:w="793" w:type="dxa"/>
            <w:tcBorders>
              <w:tl2br w:val="nil"/>
              <w:tr2bl w:val="nil"/>
            </w:tcBorders>
            <w:shd w:val="clear" w:color="auto" w:fill="auto"/>
            <w:vAlign w:val="center"/>
          </w:tcPr>
          <w:p w14:paraId="1B48A889">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96.69</w:t>
            </w:r>
          </w:p>
        </w:tc>
        <w:tc>
          <w:tcPr>
            <w:tcW w:w="652" w:type="dxa"/>
            <w:vMerge w:val="restart"/>
            <w:tcBorders>
              <w:tl2br w:val="nil"/>
              <w:tr2bl w:val="nil"/>
            </w:tcBorders>
            <w:shd w:val="clear" w:color="auto" w:fill="auto"/>
            <w:vAlign w:val="center"/>
          </w:tcPr>
          <w:p w14:paraId="1EF6CB43">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44E27DAA">
            <w:pPr>
              <w:keepNext w:val="0"/>
              <w:keepLines w:val="0"/>
              <w:pageBreakBefore w:val="0"/>
              <w:widowControl w:val="0"/>
              <w:kinsoku/>
              <w:wordWrap/>
              <w:overflowPunct/>
              <w:topLinePunct w:val="0"/>
              <w:autoSpaceDE/>
              <w:autoSpaceDN/>
              <w:bidi w:val="0"/>
              <w:adjustRightInd/>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99.36</w:t>
            </w:r>
          </w:p>
        </w:tc>
        <w:tc>
          <w:tcPr>
            <w:tcW w:w="746" w:type="dxa"/>
            <w:gridSpan w:val="2"/>
            <w:tcBorders>
              <w:right w:val="single" w:color="auto" w:sz="4" w:space="0"/>
              <w:tl2br w:val="nil"/>
              <w:tr2bl w:val="nil"/>
            </w:tcBorders>
            <w:shd w:val="clear" w:color="auto" w:fill="auto"/>
            <w:vAlign w:val="center"/>
          </w:tcPr>
          <w:p w14:paraId="5EC16881">
            <w:pPr>
              <w:keepNext w:val="0"/>
              <w:keepLines w:val="0"/>
              <w:pageBreakBefore w:val="0"/>
              <w:widowControl w:val="0"/>
              <w:kinsoku/>
              <w:wordWrap/>
              <w:overflowPunct/>
              <w:topLinePunct w:val="0"/>
              <w:autoSpaceDE/>
              <w:autoSpaceDN/>
              <w:bidi w:val="0"/>
              <w:adjustRightInd/>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0.0138</w:t>
            </w:r>
          </w:p>
        </w:tc>
        <w:tc>
          <w:tcPr>
            <w:tcW w:w="637" w:type="dxa"/>
            <w:vMerge w:val="restart"/>
            <w:tcBorders>
              <w:left w:val="single" w:color="auto" w:sz="4" w:space="0"/>
              <w:tl2br w:val="nil"/>
              <w:tr2bl w:val="nil"/>
            </w:tcBorders>
            <w:shd w:val="clear" w:color="auto" w:fill="auto"/>
            <w:vAlign w:val="center"/>
          </w:tcPr>
          <w:p w14:paraId="575DE70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合计颗粒物：0.0190</w:t>
            </w:r>
          </w:p>
          <w:p w14:paraId="62B7DA90">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p w14:paraId="1BD7E76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镉及其化合物：1.82</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5</w:t>
            </w:r>
          </w:p>
          <w:p w14:paraId="2CADEF49">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64DF3FC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4.6</w:t>
            </w:r>
          </w:p>
        </w:tc>
        <w:tc>
          <w:tcPr>
            <w:tcW w:w="729" w:type="dxa"/>
            <w:gridSpan w:val="2"/>
            <w:vMerge w:val="restart"/>
            <w:tcBorders>
              <w:left w:val="single" w:color="auto" w:sz="4" w:space="0"/>
              <w:tl2br w:val="nil"/>
              <w:tr2bl w:val="nil"/>
            </w:tcBorders>
            <w:shd w:val="clear" w:color="auto" w:fill="auto"/>
            <w:vAlign w:val="center"/>
          </w:tcPr>
          <w:p w14:paraId="4886BA9C">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合计颗粒物：1.26</w:t>
            </w:r>
          </w:p>
          <w:p w14:paraId="0747B685">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p>
          <w:p w14:paraId="6BCE4DFD">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镉及其化合物：0.00120</w:t>
            </w:r>
          </w:p>
          <w:p w14:paraId="5BEB0427">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restart"/>
            <w:tcBorders>
              <w:tl2br w:val="nil"/>
              <w:tr2bl w:val="nil"/>
            </w:tcBorders>
            <w:shd w:val="clear" w:color="auto" w:fill="auto"/>
            <w:vAlign w:val="center"/>
          </w:tcPr>
          <w:p w14:paraId="058F4AC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2FCC830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0B8B861D">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628A7ECC">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706AD4E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1CD0B813">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1A32854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7CCD0F4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1422.9</w:t>
            </w:r>
          </w:p>
        </w:tc>
        <w:tc>
          <w:tcPr>
            <w:tcW w:w="957" w:type="dxa"/>
            <w:tcBorders>
              <w:tl2br w:val="nil"/>
              <w:tr2bl w:val="nil"/>
            </w:tcBorders>
            <w:shd w:val="clear" w:color="auto" w:fill="auto"/>
            <w:vAlign w:val="center"/>
          </w:tcPr>
          <w:p w14:paraId="651226A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0.198</w:t>
            </w:r>
          </w:p>
        </w:tc>
        <w:tc>
          <w:tcPr>
            <w:tcW w:w="890" w:type="dxa"/>
            <w:tcBorders>
              <w:tl2br w:val="nil"/>
              <w:tr2bl w:val="nil"/>
            </w:tcBorders>
            <w:shd w:val="clear" w:color="auto" w:fill="auto"/>
            <w:vAlign w:val="center"/>
          </w:tcPr>
          <w:p w14:paraId="39A6E5E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65.870</w:t>
            </w:r>
          </w:p>
        </w:tc>
        <w:tc>
          <w:tcPr>
            <w:tcW w:w="1557" w:type="dxa"/>
            <w:gridSpan w:val="2"/>
            <w:vMerge w:val="continue"/>
            <w:tcBorders>
              <w:tl2br w:val="nil"/>
              <w:tr2bl w:val="nil"/>
            </w:tcBorders>
            <w:shd w:val="clear" w:color="auto" w:fill="auto"/>
            <w:vAlign w:val="center"/>
          </w:tcPr>
          <w:p w14:paraId="1ACD42B3">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6C99C83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99.99</w:t>
            </w:r>
          </w:p>
        </w:tc>
        <w:tc>
          <w:tcPr>
            <w:tcW w:w="652" w:type="dxa"/>
            <w:vMerge w:val="continue"/>
            <w:tcBorders>
              <w:tl2br w:val="nil"/>
              <w:tr2bl w:val="nil"/>
            </w:tcBorders>
            <w:shd w:val="clear" w:color="auto" w:fill="auto"/>
            <w:vAlign w:val="center"/>
          </w:tcPr>
          <w:p w14:paraId="55D38AC3">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1056" w:type="dxa"/>
            <w:tcBorders>
              <w:tl2br w:val="nil"/>
              <w:tr2bl w:val="nil"/>
            </w:tcBorders>
            <w:shd w:val="clear" w:color="auto" w:fill="auto"/>
            <w:vAlign w:val="center"/>
          </w:tcPr>
          <w:p w14:paraId="7FC1E1F4">
            <w:pPr>
              <w:keepNext w:val="0"/>
              <w:keepLines w:val="0"/>
              <w:pageBreakBefore w:val="0"/>
              <w:widowControl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0.108</w:t>
            </w:r>
          </w:p>
        </w:tc>
        <w:tc>
          <w:tcPr>
            <w:tcW w:w="746" w:type="dxa"/>
            <w:gridSpan w:val="2"/>
            <w:tcBorders>
              <w:right w:val="single" w:color="auto" w:sz="4" w:space="0"/>
              <w:tl2br w:val="nil"/>
              <w:tr2bl w:val="nil"/>
            </w:tcBorders>
            <w:shd w:val="clear" w:color="auto" w:fill="auto"/>
            <w:vAlign w:val="center"/>
          </w:tcPr>
          <w:p w14:paraId="6761FCF3">
            <w:pPr>
              <w:keepNext w:val="0"/>
              <w:keepLines w:val="0"/>
              <w:pageBreakBefore w:val="0"/>
              <w:widowControl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1.50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5</w:t>
            </w:r>
          </w:p>
        </w:tc>
        <w:tc>
          <w:tcPr>
            <w:tcW w:w="637" w:type="dxa"/>
            <w:vMerge w:val="continue"/>
            <w:tcBorders>
              <w:left w:val="single" w:color="auto" w:sz="4" w:space="0"/>
              <w:tl2br w:val="nil"/>
              <w:tr2bl w:val="nil"/>
            </w:tcBorders>
            <w:shd w:val="clear" w:color="auto" w:fill="auto"/>
            <w:vAlign w:val="center"/>
          </w:tcPr>
          <w:p w14:paraId="7BB1A52F">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2CC873BB">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0.005</w:t>
            </w:r>
          </w:p>
        </w:tc>
        <w:tc>
          <w:tcPr>
            <w:tcW w:w="729" w:type="dxa"/>
            <w:gridSpan w:val="2"/>
            <w:vMerge w:val="continue"/>
            <w:tcBorders>
              <w:left w:val="single" w:color="auto" w:sz="4" w:space="0"/>
              <w:tl2br w:val="nil"/>
              <w:tr2bl w:val="nil"/>
            </w:tcBorders>
            <w:shd w:val="clear" w:color="auto" w:fill="auto"/>
            <w:vAlign w:val="center"/>
          </w:tcPr>
          <w:p w14:paraId="5B551B6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continue"/>
            <w:tcBorders>
              <w:tl2br w:val="nil"/>
              <w:tr2bl w:val="nil"/>
            </w:tcBorders>
            <w:shd w:val="clear" w:color="auto" w:fill="auto"/>
            <w:vAlign w:val="center"/>
          </w:tcPr>
          <w:p w14:paraId="6B99C82C">
            <w:pPr>
              <w:widowControl w:val="0"/>
              <w:snapToGrid w:val="0"/>
              <w:jc w:val="center"/>
              <w:rPr>
                <w:rFonts w:ascii="Times New Roman" w:hAnsi="Times New Roman" w:eastAsia="宋体" w:cs="Times New Roman"/>
                <w:caps w:val="0"/>
                <w:smallCaps w:val="0"/>
                <w:color w:val="auto"/>
                <w:spacing w:val="0"/>
                <w:sz w:val="21"/>
                <w:highlight w:val="none"/>
              </w:rPr>
            </w:pPr>
          </w:p>
        </w:tc>
      </w:tr>
      <w:tr w14:paraId="545E80B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090D7EBA">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restart"/>
            <w:tcBorders>
              <w:tl2br w:val="nil"/>
              <w:tr2bl w:val="nil"/>
            </w:tcBorders>
            <w:shd w:val="clear" w:color="auto" w:fill="auto"/>
            <w:vAlign w:val="center"/>
          </w:tcPr>
          <w:p w14:paraId="3E41E03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CdCl</w:t>
            </w:r>
            <w:r>
              <w:rPr>
                <w:rFonts w:ascii="Times New Roman" w:hAnsi="Times New Roman" w:eastAsia="宋体" w:cs="Times New Roman"/>
                <w:caps w:val="0"/>
                <w:smallCaps w:val="0"/>
                <w:color w:val="auto"/>
                <w:spacing w:val="0"/>
                <w:kern w:val="0"/>
                <w:sz w:val="21"/>
                <w:highlight w:val="none"/>
                <w:vertAlign w:val="subscript"/>
                <w:lang w:bidi="ar"/>
              </w:rPr>
              <w:t>2</w:t>
            </w:r>
            <w:r>
              <w:rPr>
                <w:rFonts w:ascii="Times New Roman" w:hAnsi="Times New Roman" w:eastAsia="宋体" w:cs="Times New Roman"/>
                <w:caps w:val="0"/>
                <w:smallCaps w:val="0"/>
                <w:color w:val="auto"/>
                <w:spacing w:val="0"/>
                <w:kern w:val="0"/>
                <w:sz w:val="21"/>
                <w:highlight w:val="none"/>
                <w:lang w:bidi="ar"/>
              </w:rPr>
              <w:t>活化废气</w:t>
            </w:r>
          </w:p>
        </w:tc>
        <w:tc>
          <w:tcPr>
            <w:tcW w:w="940" w:type="dxa"/>
            <w:tcBorders>
              <w:tl2br w:val="nil"/>
              <w:tr2bl w:val="nil"/>
            </w:tcBorders>
            <w:shd w:val="clear" w:color="auto" w:fill="auto"/>
            <w:vAlign w:val="center"/>
          </w:tcPr>
          <w:p w14:paraId="0AF88DE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5F7B761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5982</w:t>
            </w:r>
          </w:p>
        </w:tc>
        <w:tc>
          <w:tcPr>
            <w:tcW w:w="767" w:type="dxa"/>
            <w:vMerge w:val="restart"/>
            <w:tcBorders>
              <w:tl2br w:val="nil"/>
              <w:tr2bl w:val="nil"/>
            </w:tcBorders>
            <w:shd w:val="clear" w:color="auto" w:fill="auto"/>
            <w:vAlign w:val="center"/>
          </w:tcPr>
          <w:p w14:paraId="378CCC57">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264C005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5.87</w:t>
            </w:r>
          </w:p>
        </w:tc>
        <w:tc>
          <w:tcPr>
            <w:tcW w:w="957" w:type="dxa"/>
            <w:tcBorders>
              <w:tl2br w:val="nil"/>
              <w:tr2bl w:val="nil"/>
            </w:tcBorders>
            <w:shd w:val="clear" w:color="auto" w:fill="auto"/>
            <w:vAlign w:val="center"/>
          </w:tcPr>
          <w:p w14:paraId="0232C74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0.00082</w:t>
            </w:r>
          </w:p>
        </w:tc>
        <w:tc>
          <w:tcPr>
            <w:tcW w:w="890" w:type="dxa"/>
            <w:tcBorders>
              <w:tl2br w:val="nil"/>
              <w:tr2bl w:val="nil"/>
            </w:tcBorders>
            <w:shd w:val="clear" w:color="auto" w:fill="auto"/>
            <w:vAlign w:val="center"/>
          </w:tcPr>
          <w:p w14:paraId="193A813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0.138</w:t>
            </w:r>
          </w:p>
        </w:tc>
        <w:tc>
          <w:tcPr>
            <w:tcW w:w="1557" w:type="dxa"/>
            <w:gridSpan w:val="2"/>
            <w:vMerge w:val="restart"/>
            <w:tcBorders>
              <w:tl2br w:val="nil"/>
              <w:tr2bl w:val="nil"/>
            </w:tcBorders>
            <w:shd w:val="clear" w:color="auto" w:fill="auto"/>
            <w:vAlign w:val="center"/>
          </w:tcPr>
          <w:p w14:paraId="0DCC51C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1套F7级过滤器+E10级高效离子过滤器+H14级高效过滤器</w:t>
            </w:r>
          </w:p>
        </w:tc>
        <w:tc>
          <w:tcPr>
            <w:tcW w:w="793" w:type="dxa"/>
            <w:tcBorders>
              <w:tl2br w:val="nil"/>
              <w:tr2bl w:val="nil"/>
            </w:tcBorders>
            <w:shd w:val="clear" w:color="auto" w:fill="auto"/>
            <w:vAlign w:val="center"/>
          </w:tcPr>
          <w:p w14:paraId="6A91E303">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 xml:space="preserve">91.30 </w:t>
            </w:r>
          </w:p>
        </w:tc>
        <w:tc>
          <w:tcPr>
            <w:tcW w:w="652" w:type="dxa"/>
            <w:vMerge w:val="restart"/>
            <w:tcBorders>
              <w:tl2br w:val="nil"/>
              <w:tr2bl w:val="nil"/>
            </w:tcBorders>
            <w:shd w:val="clear" w:color="auto" w:fill="auto"/>
            <w:vAlign w:val="center"/>
          </w:tcPr>
          <w:p w14:paraId="173F50D2">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3B5D3EFC">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0.517</w:t>
            </w:r>
          </w:p>
        </w:tc>
        <w:tc>
          <w:tcPr>
            <w:tcW w:w="746" w:type="dxa"/>
            <w:gridSpan w:val="2"/>
            <w:tcBorders>
              <w:right w:val="single" w:color="auto" w:sz="4" w:space="0"/>
              <w:tl2br w:val="nil"/>
              <w:tr2bl w:val="nil"/>
            </w:tcBorders>
            <w:shd w:val="clear" w:color="auto" w:fill="auto"/>
            <w:vAlign w:val="center"/>
          </w:tcPr>
          <w:p w14:paraId="455B28E8">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7.18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637" w:type="dxa"/>
            <w:vMerge w:val="continue"/>
            <w:tcBorders>
              <w:left w:val="single" w:color="auto" w:sz="4" w:space="0"/>
              <w:tl2br w:val="nil"/>
              <w:tr2bl w:val="nil"/>
            </w:tcBorders>
            <w:shd w:val="clear" w:color="auto" w:fill="auto"/>
            <w:vAlign w:val="center"/>
          </w:tcPr>
          <w:p w14:paraId="241AD07C">
            <w:pPr>
              <w:keepNext w:val="0"/>
              <w:keepLines w:val="0"/>
              <w:widowControl/>
              <w:suppressLineNumbers w:val="0"/>
              <w:jc w:val="right"/>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1A5ABB7F">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0.0102</w:t>
            </w:r>
          </w:p>
        </w:tc>
        <w:tc>
          <w:tcPr>
            <w:tcW w:w="729" w:type="dxa"/>
            <w:gridSpan w:val="2"/>
            <w:vMerge w:val="continue"/>
            <w:tcBorders>
              <w:left w:val="single" w:color="auto" w:sz="4" w:space="0"/>
              <w:tl2br w:val="nil"/>
              <w:tr2bl w:val="nil"/>
            </w:tcBorders>
            <w:shd w:val="clear" w:color="auto" w:fill="auto"/>
            <w:vAlign w:val="center"/>
          </w:tcPr>
          <w:p w14:paraId="02D007D5">
            <w:pPr>
              <w:keepNext w:val="0"/>
              <w:keepLines w:val="0"/>
              <w:widowControl/>
              <w:suppressLineNumbers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restart"/>
            <w:tcBorders>
              <w:tl2br w:val="nil"/>
              <w:tr2bl w:val="nil"/>
            </w:tcBorders>
            <w:shd w:val="clear" w:color="auto" w:fill="auto"/>
            <w:vAlign w:val="center"/>
          </w:tcPr>
          <w:p w14:paraId="2900327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2D82636B">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42444D5D">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76BBA88D">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2662DDB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23E870F1">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723F2AB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357846A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3.60</w:t>
            </w:r>
          </w:p>
        </w:tc>
        <w:tc>
          <w:tcPr>
            <w:tcW w:w="957" w:type="dxa"/>
            <w:tcBorders>
              <w:tl2br w:val="nil"/>
              <w:tr2bl w:val="nil"/>
            </w:tcBorders>
            <w:shd w:val="clear" w:color="auto" w:fill="auto"/>
            <w:vAlign w:val="center"/>
          </w:tcPr>
          <w:p w14:paraId="7496CA7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0.0005</w:t>
            </w:r>
          </w:p>
        </w:tc>
        <w:tc>
          <w:tcPr>
            <w:tcW w:w="890" w:type="dxa"/>
            <w:tcBorders>
              <w:tl2br w:val="nil"/>
              <w:tr2bl w:val="nil"/>
            </w:tcBorders>
            <w:shd w:val="clear" w:color="auto" w:fill="auto"/>
            <w:vAlign w:val="center"/>
          </w:tcPr>
          <w:p w14:paraId="6F28760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0.085</w:t>
            </w:r>
          </w:p>
        </w:tc>
        <w:tc>
          <w:tcPr>
            <w:tcW w:w="1557" w:type="dxa"/>
            <w:gridSpan w:val="2"/>
            <w:vMerge w:val="continue"/>
            <w:tcBorders>
              <w:tl2br w:val="nil"/>
              <w:tr2bl w:val="nil"/>
            </w:tcBorders>
            <w:shd w:val="clear" w:color="auto" w:fill="auto"/>
            <w:vAlign w:val="center"/>
          </w:tcPr>
          <w:p w14:paraId="2E93AEAD">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6FD6ED6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 xml:space="preserve">99.97 </w:t>
            </w:r>
          </w:p>
        </w:tc>
        <w:tc>
          <w:tcPr>
            <w:tcW w:w="652" w:type="dxa"/>
            <w:vMerge w:val="continue"/>
            <w:tcBorders>
              <w:tl2br w:val="nil"/>
              <w:tr2bl w:val="nil"/>
            </w:tcBorders>
            <w:shd w:val="clear" w:color="auto" w:fill="auto"/>
            <w:vAlign w:val="center"/>
          </w:tcPr>
          <w:p w14:paraId="7F8EB38C">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1056" w:type="dxa"/>
            <w:tcBorders>
              <w:tl2br w:val="nil"/>
              <w:tr2bl w:val="nil"/>
            </w:tcBorders>
            <w:shd w:val="clear" w:color="auto" w:fill="auto"/>
            <w:vAlign w:val="center"/>
          </w:tcPr>
          <w:p w14:paraId="352E5ABD">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9.52</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4</w:t>
            </w:r>
          </w:p>
        </w:tc>
        <w:tc>
          <w:tcPr>
            <w:tcW w:w="746" w:type="dxa"/>
            <w:gridSpan w:val="2"/>
            <w:tcBorders>
              <w:right w:val="single" w:color="auto" w:sz="4" w:space="0"/>
              <w:tl2br w:val="nil"/>
              <w:tr2bl w:val="nil"/>
            </w:tcBorders>
            <w:shd w:val="clear" w:color="auto" w:fill="auto"/>
            <w:vAlign w:val="center"/>
          </w:tcPr>
          <w:p w14:paraId="7521FF4C">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1.32</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637" w:type="dxa"/>
            <w:vMerge w:val="continue"/>
            <w:tcBorders>
              <w:left w:val="single" w:color="auto" w:sz="4" w:space="0"/>
              <w:tl2br w:val="nil"/>
              <w:tr2bl w:val="nil"/>
            </w:tcBorders>
            <w:shd w:val="clear" w:color="auto" w:fill="auto"/>
            <w:vAlign w:val="center"/>
          </w:tcPr>
          <w:p w14:paraId="312F0E52">
            <w:pPr>
              <w:keepNext w:val="0"/>
              <w:keepLines w:val="0"/>
              <w:widowControl/>
              <w:suppressLineNumbers w:val="0"/>
              <w:jc w:val="right"/>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26159B7B">
            <w:pPr>
              <w:keepNext w:val="0"/>
              <w:keepLines w:val="0"/>
              <w:widowControl/>
              <w:suppressLineNumbers w:val="0"/>
              <w:jc w:val="right"/>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2.21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5</w:t>
            </w:r>
          </w:p>
        </w:tc>
        <w:tc>
          <w:tcPr>
            <w:tcW w:w="729" w:type="dxa"/>
            <w:gridSpan w:val="2"/>
            <w:vMerge w:val="continue"/>
            <w:tcBorders>
              <w:left w:val="single" w:color="auto" w:sz="4" w:space="0"/>
              <w:tl2br w:val="nil"/>
              <w:tr2bl w:val="nil"/>
            </w:tcBorders>
            <w:shd w:val="clear" w:color="auto" w:fill="auto"/>
            <w:vAlign w:val="center"/>
          </w:tcPr>
          <w:p w14:paraId="383A9D45">
            <w:pPr>
              <w:keepNext w:val="0"/>
              <w:keepLines w:val="0"/>
              <w:widowControl/>
              <w:suppressLineNumbers w:val="0"/>
              <w:jc w:val="right"/>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continue"/>
            <w:tcBorders>
              <w:tl2br w:val="nil"/>
              <w:tr2bl w:val="nil"/>
            </w:tcBorders>
            <w:shd w:val="clear" w:color="auto" w:fill="auto"/>
            <w:vAlign w:val="center"/>
          </w:tcPr>
          <w:p w14:paraId="08AFACB3">
            <w:pPr>
              <w:widowControl w:val="0"/>
              <w:snapToGrid w:val="0"/>
              <w:jc w:val="center"/>
              <w:rPr>
                <w:rFonts w:ascii="Times New Roman" w:hAnsi="Times New Roman" w:eastAsia="宋体" w:cs="Times New Roman"/>
                <w:caps w:val="0"/>
                <w:smallCaps w:val="0"/>
                <w:color w:val="auto"/>
                <w:spacing w:val="0"/>
                <w:sz w:val="21"/>
                <w:highlight w:val="none"/>
              </w:rPr>
            </w:pPr>
          </w:p>
        </w:tc>
      </w:tr>
      <w:tr w14:paraId="4D0DDF68">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3613045D">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restart"/>
            <w:tcBorders>
              <w:tl2br w:val="nil"/>
              <w:tr2bl w:val="nil"/>
            </w:tcBorders>
            <w:shd w:val="clear" w:color="auto" w:fill="auto"/>
            <w:vAlign w:val="center"/>
          </w:tcPr>
          <w:p w14:paraId="6916384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P1激光刻线废气</w:t>
            </w:r>
          </w:p>
        </w:tc>
        <w:tc>
          <w:tcPr>
            <w:tcW w:w="940" w:type="dxa"/>
            <w:tcBorders>
              <w:tl2br w:val="nil"/>
              <w:tr2bl w:val="nil"/>
            </w:tcBorders>
            <w:shd w:val="clear" w:color="auto" w:fill="auto"/>
            <w:vAlign w:val="center"/>
          </w:tcPr>
          <w:p w14:paraId="62C3A7F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2A4F1C3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1131</w:t>
            </w:r>
          </w:p>
        </w:tc>
        <w:tc>
          <w:tcPr>
            <w:tcW w:w="767" w:type="dxa"/>
            <w:vMerge w:val="restart"/>
            <w:tcBorders>
              <w:tl2br w:val="nil"/>
              <w:tr2bl w:val="nil"/>
            </w:tcBorders>
            <w:shd w:val="clear" w:color="auto" w:fill="auto"/>
            <w:vAlign w:val="center"/>
          </w:tcPr>
          <w:p w14:paraId="1828E112">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2085BA3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111.57</w:t>
            </w:r>
          </w:p>
        </w:tc>
        <w:tc>
          <w:tcPr>
            <w:tcW w:w="957" w:type="dxa"/>
            <w:tcBorders>
              <w:tl2br w:val="nil"/>
              <w:tr2bl w:val="nil"/>
            </w:tcBorders>
            <w:shd w:val="clear" w:color="auto" w:fill="auto"/>
            <w:vAlign w:val="center"/>
          </w:tcPr>
          <w:p w14:paraId="715B5AE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0.0155</w:t>
            </w:r>
          </w:p>
        </w:tc>
        <w:tc>
          <w:tcPr>
            <w:tcW w:w="890" w:type="dxa"/>
            <w:tcBorders>
              <w:tl2br w:val="nil"/>
              <w:tr2bl w:val="nil"/>
            </w:tcBorders>
            <w:shd w:val="clear" w:color="auto" w:fill="auto"/>
            <w:vAlign w:val="center"/>
          </w:tcPr>
          <w:p w14:paraId="7D21CBA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13.70</w:t>
            </w:r>
          </w:p>
        </w:tc>
        <w:tc>
          <w:tcPr>
            <w:tcW w:w="1557" w:type="dxa"/>
            <w:gridSpan w:val="2"/>
            <w:vMerge w:val="restart"/>
            <w:tcBorders>
              <w:tl2br w:val="nil"/>
              <w:tr2bl w:val="nil"/>
            </w:tcBorders>
            <w:shd w:val="clear" w:color="auto" w:fill="auto"/>
            <w:vAlign w:val="center"/>
          </w:tcPr>
          <w:p w14:paraId="44E1EE7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2级初效过滤器+H14级高效过滤器</w:t>
            </w:r>
          </w:p>
        </w:tc>
        <w:tc>
          <w:tcPr>
            <w:tcW w:w="793" w:type="dxa"/>
            <w:tcBorders>
              <w:tl2br w:val="nil"/>
              <w:tr2bl w:val="nil"/>
            </w:tcBorders>
            <w:shd w:val="clear" w:color="auto" w:fill="auto"/>
            <w:vAlign w:val="center"/>
          </w:tcPr>
          <w:p w14:paraId="221FDC9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90.88</w:t>
            </w:r>
          </w:p>
        </w:tc>
        <w:tc>
          <w:tcPr>
            <w:tcW w:w="652" w:type="dxa"/>
            <w:vMerge w:val="restart"/>
            <w:tcBorders>
              <w:tl2br w:val="nil"/>
              <w:tr2bl w:val="nil"/>
            </w:tcBorders>
            <w:shd w:val="clear" w:color="auto" w:fill="auto"/>
            <w:vAlign w:val="center"/>
          </w:tcPr>
          <w:p w14:paraId="534E02C6">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335DA020">
            <w:pPr>
              <w:keepNext w:val="0"/>
              <w:keepLines w:val="0"/>
              <w:pageBreakBefore w:val="0"/>
              <w:widowControl w:val="0"/>
              <w:kinsoku/>
              <w:wordWrap/>
              <w:overflowPunct/>
              <w:topLinePunct w:val="0"/>
              <w:autoSpaceDE/>
              <w:autoSpaceDN/>
              <w:bidi w:val="0"/>
              <w:adjustRightInd/>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10.179</w:t>
            </w:r>
          </w:p>
        </w:tc>
        <w:tc>
          <w:tcPr>
            <w:tcW w:w="746" w:type="dxa"/>
            <w:gridSpan w:val="2"/>
            <w:tcBorders>
              <w:right w:val="single" w:color="auto" w:sz="4" w:space="0"/>
              <w:tl2br w:val="nil"/>
              <w:tr2bl w:val="nil"/>
            </w:tcBorders>
            <w:shd w:val="clear" w:color="auto" w:fill="auto"/>
            <w:vAlign w:val="center"/>
          </w:tcPr>
          <w:p w14:paraId="340D58DB">
            <w:pPr>
              <w:keepNext w:val="0"/>
              <w:keepLines w:val="0"/>
              <w:pageBreakBefore w:val="0"/>
              <w:widowControl w:val="0"/>
              <w:kinsoku/>
              <w:wordWrap/>
              <w:overflowPunct/>
              <w:topLinePunct w:val="0"/>
              <w:autoSpaceDE/>
              <w:autoSpaceDN/>
              <w:bidi w:val="0"/>
              <w:adjustRightInd/>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1.41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637" w:type="dxa"/>
            <w:vMerge w:val="continue"/>
            <w:tcBorders>
              <w:left w:val="single" w:color="auto" w:sz="4" w:space="0"/>
              <w:tl2br w:val="nil"/>
              <w:tr2bl w:val="nil"/>
            </w:tcBorders>
            <w:shd w:val="clear" w:color="auto" w:fill="auto"/>
            <w:vAlign w:val="center"/>
          </w:tcPr>
          <w:p w14:paraId="48EF827B">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414A640F">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1.25</w:t>
            </w:r>
          </w:p>
        </w:tc>
        <w:tc>
          <w:tcPr>
            <w:tcW w:w="729" w:type="dxa"/>
            <w:gridSpan w:val="2"/>
            <w:vMerge w:val="continue"/>
            <w:tcBorders>
              <w:left w:val="single" w:color="auto" w:sz="4" w:space="0"/>
              <w:tl2br w:val="nil"/>
              <w:tr2bl w:val="nil"/>
            </w:tcBorders>
            <w:shd w:val="clear" w:color="auto" w:fill="auto"/>
            <w:vAlign w:val="center"/>
          </w:tcPr>
          <w:p w14:paraId="6303B4B8">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restart"/>
            <w:tcBorders>
              <w:tl2br w:val="nil"/>
              <w:tr2bl w:val="nil"/>
            </w:tcBorders>
            <w:shd w:val="clear" w:color="auto" w:fill="auto"/>
            <w:vAlign w:val="center"/>
          </w:tcPr>
          <w:p w14:paraId="1E5B687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088A63D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59F9530B">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1793816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4164336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2036D641">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4DF0BC0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6557F2F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51.09</w:t>
            </w:r>
          </w:p>
        </w:tc>
        <w:tc>
          <w:tcPr>
            <w:tcW w:w="957" w:type="dxa"/>
            <w:tcBorders>
              <w:tl2br w:val="nil"/>
              <w:tr2bl w:val="nil"/>
            </w:tcBorders>
            <w:shd w:val="clear" w:color="auto" w:fill="auto"/>
            <w:vAlign w:val="center"/>
          </w:tcPr>
          <w:p w14:paraId="1FF9CF5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0.0071</w:t>
            </w:r>
          </w:p>
        </w:tc>
        <w:tc>
          <w:tcPr>
            <w:tcW w:w="890" w:type="dxa"/>
            <w:tcBorders>
              <w:tl2br w:val="nil"/>
              <w:tr2bl w:val="nil"/>
            </w:tcBorders>
            <w:shd w:val="clear" w:color="auto" w:fill="auto"/>
            <w:vAlign w:val="center"/>
          </w:tcPr>
          <w:p w14:paraId="6798EB6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6.27</w:t>
            </w:r>
          </w:p>
        </w:tc>
        <w:tc>
          <w:tcPr>
            <w:tcW w:w="1557" w:type="dxa"/>
            <w:gridSpan w:val="2"/>
            <w:vMerge w:val="continue"/>
            <w:tcBorders>
              <w:tl2br w:val="nil"/>
              <w:tr2bl w:val="nil"/>
            </w:tcBorders>
            <w:shd w:val="clear" w:color="auto" w:fill="auto"/>
            <w:vAlign w:val="center"/>
          </w:tcPr>
          <w:p w14:paraId="0A955C60">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4DCB0AF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99.99</w:t>
            </w:r>
          </w:p>
        </w:tc>
        <w:tc>
          <w:tcPr>
            <w:tcW w:w="652" w:type="dxa"/>
            <w:vMerge w:val="continue"/>
            <w:tcBorders>
              <w:tl2br w:val="nil"/>
              <w:tr2bl w:val="nil"/>
            </w:tcBorders>
            <w:shd w:val="clear" w:color="auto" w:fill="auto"/>
            <w:vAlign w:val="center"/>
          </w:tcPr>
          <w:p w14:paraId="7C2B863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1056" w:type="dxa"/>
            <w:tcBorders>
              <w:tl2br w:val="nil"/>
              <w:tr2bl w:val="nil"/>
            </w:tcBorders>
            <w:shd w:val="clear" w:color="auto" w:fill="auto"/>
            <w:vAlign w:val="center"/>
          </w:tcPr>
          <w:p w14:paraId="18F2C735">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Times New Roman" w:hAnsi="Times New Roman" w:eastAsia="宋体" w:cs="Times New Roman"/>
                <w:caps w:val="0"/>
                <w:smallCaps w:val="0"/>
                <w:color w:val="auto"/>
                <w:spacing w:val="0"/>
                <w:kern w:val="0"/>
                <w:sz w:val="21"/>
                <w:highlight w:val="none"/>
                <w:lang w:val="en-US" w:eastAsia="zh-CN" w:bidi="ar"/>
              </w:rPr>
              <w:t>4.07</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746" w:type="dxa"/>
            <w:gridSpan w:val="2"/>
            <w:tcBorders>
              <w:right w:val="single" w:color="auto" w:sz="4" w:space="0"/>
              <w:tl2br w:val="nil"/>
              <w:tr2bl w:val="nil"/>
            </w:tcBorders>
            <w:shd w:val="clear" w:color="auto" w:fill="auto"/>
            <w:vAlign w:val="center"/>
          </w:tcPr>
          <w:p w14:paraId="55AEB012">
            <w:pPr>
              <w:keepNext w:val="0"/>
              <w:keepLines w:val="0"/>
              <w:pageBreakBefore w:val="0"/>
              <w:widowControl w:val="0"/>
              <w:kinsoku/>
              <w:wordWrap/>
              <w:overflowPunct/>
              <w:topLinePunct w:val="0"/>
              <w:autoSpaceDE/>
              <w:autoSpaceDN/>
              <w:bidi w:val="0"/>
              <w:adjustRightInd/>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637" w:type="dxa"/>
            <w:vMerge w:val="continue"/>
            <w:tcBorders>
              <w:left w:val="single" w:color="auto" w:sz="4" w:space="0"/>
              <w:tl2br w:val="nil"/>
              <w:tr2bl w:val="nil"/>
            </w:tcBorders>
            <w:shd w:val="clear" w:color="auto" w:fill="auto"/>
            <w:vAlign w:val="center"/>
          </w:tcPr>
          <w:p w14:paraId="44F11F7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03766796">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0.0005</w:t>
            </w:r>
          </w:p>
        </w:tc>
        <w:tc>
          <w:tcPr>
            <w:tcW w:w="729" w:type="dxa"/>
            <w:gridSpan w:val="2"/>
            <w:vMerge w:val="continue"/>
            <w:tcBorders>
              <w:left w:val="single" w:color="auto" w:sz="4" w:space="0"/>
              <w:tl2br w:val="nil"/>
              <w:tr2bl w:val="nil"/>
            </w:tcBorders>
            <w:shd w:val="clear" w:color="auto" w:fill="auto"/>
            <w:vAlign w:val="center"/>
          </w:tcPr>
          <w:p w14:paraId="1ECFBB3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continue"/>
            <w:tcBorders>
              <w:tl2br w:val="nil"/>
              <w:tr2bl w:val="nil"/>
            </w:tcBorders>
            <w:shd w:val="clear" w:color="auto" w:fill="auto"/>
            <w:vAlign w:val="center"/>
          </w:tcPr>
          <w:p w14:paraId="3FB1F5BB">
            <w:pPr>
              <w:widowControl w:val="0"/>
              <w:snapToGrid w:val="0"/>
              <w:jc w:val="center"/>
              <w:rPr>
                <w:rFonts w:ascii="Times New Roman" w:hAnsi="Times New Roman" w:eastAsia="宋体" w:cs="Times New Roman"/>
                <w:caps w:val="0"/>
                <w:smallCaps w:val="0"/>
                <w:color w:val="auto"/>
                <w:spacing w:val="0"/>
                <w:sz w:val="21"/>
                <w:highlight w:val="none"/>
              </w:rPr>
            </w:pPr>
          </w:p>
        </w:tc>
      </w:tr>
      <w:tr w14:paraId="60F903E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69E0F77E">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restart"/>
            <w:tcBorders>
              <w:tl2br w:val="nil"/>
              <w:tr2bl w:val="nil"/>
            </w:tcBorders>
            <w:shd w:val="clear" w:color="auto" w:fill="auto"/>
            <w:vAlign w:val="center"/>
          </w:tcPr>
          <w:p w14:paraId="5F3FE3F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P4激光清边废气</w:t>
            </w:r>
          </w:p>
        </w:tc>
        <w:tc>
          <w:tcPr>
            <w:tcW w:w="940" w:type="dxa"/>
            <w:tcBorders>
              <w:tl2br w:val="nil"/>
              <w:tr2bl w:val="nil"/>
            </w:tcBorders>
            <w:shd w:val="clear" w:color="auto" w:fill="auto"/>
            <w:vAlign w:val="center"/>
          </w:tcPr>
          <w:p w14:paraId="7ED22A7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2F8D2A2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5000</w:t>
            </w:r>
          </w:p>
        </w:tc>
        <w:tc>
          <w:tcPr>
            <w:tcW w:w="767" w:type="dxa"/>
            <w:vMerge w:val="restart"/>
            <w:tcBorders>
              <w:tl2br w:val="nil"/>
              <w:tr2bl w:val="nil"/>
            </w:tcBorders>
            <w:shd w:val="clear" w:color="auto" w:fill="auto"/>
            <w:vAlign w:val="center"/>
          </w:tcPr>
          <w:p w14:paraId="1712589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2EEDECF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319.56</w:t>
            </w:r>
          </w:p>
        </w:tc>
        <w:tc>
          <w:tcPr>
            <w:tcW w:w="957" w:type="dxa"/>
            <w:tcBorders>
              <w:tl2br w:val="nil"/>
              <w:tr2bl w:val="nil"/>
            </w:tcBorders>
            <w:shd w:val="clear" w:color="auto" w:fill="auto"/>
            <w:vAlign w:val="center"/>
          </w:tcPr>
          <w:p w14:paraId="499F400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0.0444</w:t>
            </w:r>
          </w:p>
        </w:tc>
        <w:tc>
          <w:tcPr>
            <w:tcW w:w="890" w:type="dxa"/>
            <w:tcBorders>
              <w:tl2br w:val="nil"/>
              <w:tr2bl w:val="nil"/>
            </w:tcBorders>
            <w:shd w:val="clear" w:color="auto" w:fill="auto"/>
            <w:vAlign w:val="center"/>
          </w:tcPr>
          <w:p w14:paraId="338787A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8.88</w:t>
            </w:r>
          </w:p>
        </w:tc>
        <w:tc>
          <w:tcPr>
            <w:tcW w:w="1557" w:type="dxa"/>
            <w:gridSpan w:val="2"/>
            <w:vMerge w:val="restart"/>
            <w:tcBorders>
              <w:tl2br w:val="nil"/>
              <w:tr2bl w:val="nil"/>
            </w:tcBorders>
            <w:shd w:val="clear" w:color="auto" w:fill="auto"/>
            <w:vAlign w:val="center"/>
          </w:tcPr>
          <w:p w14:paraId="78ACB40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H13级高效过滤器+H14级高效过滤器</w:t>
            </w:r>
          </w:p>
        </w:tc>
        <w:tc>
          <w:tcPr>
            <w:tcW w:w="793" w:type="dxa"/>
            <w:tcBorders>
              <w:tl2br w:val="nil"/>
              <w:tr2bl w:val="nil"/>
            </w:tcBorders>
            <w:shd w:val="clear" w:color="auto" w:fill="auto"/>
            <w:vAlign w:val="center"/>
          </w:tcPr>
          <w:p w14:paraId="11AFB21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91.55</w:t>
            </w:r>
          </w:p>
        </w:tc>
        <w:tc>
          <w:tcPr>
            <w:tcW w:w="652" w:type="dxa"/>
            <w:vMerge w:val="restart"/>
            <w:tcBorders>
              <w:tl2br w:val="nil"/>
              <w:tr2bl w:val="nil"/>
            </w:tcBorders>
            <w:shd w:val="clear" w:color="auto" w:fill="auto"/>
            <w:vAlign w:val="center"/>
          </w:tcPr>
          <w:p w14:paraId="635D87B3">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722A1C05">
            <w:pPr>
              <w:keepNext w:val="0"/>
              <w:keepLines w:val="0"/>
              <w:pageBreakBefore w:val="0"/>
              <w:widowControl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27.00</w:t>
            </w:r>
          </w:p>
        </w:tc>
        <w:tc>
          <w:tcPr>
            <w:tcW w:w="746" w:type="dxa"/>
            <w:gridSpan w:val="2"/>
            <w:tcBorders>
              <w:right w:val="single" w:color="auto" w:sz="4" w:space="0"/>
              <w:tl2br w:val="nil"/>
              <w:tr2bl w:val="nil"/>
            </w:tcBorders>
            <w:shd w:val="clear" w:color="auto" w:fill="auto"/>
            <w:vAlign w:val="center"/>
          </w:tcPr>
          <w:p w14:paraId="2BEFE72D">
            <w:pPr>
              <w:keepNext w:val="0"/>
              <w:keepLines w:val="0"/>
              <w:pageBreakBefore w:val="0"/>
              <w:widowControl w:val="0"/>
              <w:kinsoku/>
              <w:wordWrap/>
              <w:overflowPunct/>
              <w:topLinePunct w:val="0"/>
              <w:autoSpaceDE/>
              <w:autoSpaceDN/>
              <w:bidi w:val="0"/>
              <w:adjustRightInd/>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3.75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637" w:type="dxa"/>
            <w:vMerge w:val="continue"/>
            <w:tcBorders>
              <w:left w:val="single" w:color="auto" w:sz="4" w:space="0"/>
              <w:tl2br w:val="nil"/>
              <w:tr2bl w:val="nil"/>
            </w:tcBorders>
            <w:shd w:val="clear" w:color="auto" w:fill="auto"/>
            <w:vAlign w:val="center"/>
          </w:tcPr>
          <w:p w14:paraId="317CAD3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6CD0D089">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0.75</w:t>
            </w:r>
          </w:p>
        </w:tc>
        <w:tc>
          <w:tcPr>
            <w:tcW w:w="729" w:type="dxa"/>
            <w:gridSpan w:val="2"/>
            <w:vMerge w:val="continue"/>
            <w:tcBorders>
              <w:left w:val="single" w:color="auto" w:sz="4" w:space="0"/>
              <w:tl2br w:val="nil"/>
              <w:tr2bl w:val="nil"/>
            </w:tcBorders>
            <w:shd w:val="clear" w:color="auto" w:fill="auto"/>
            <w:vAlign w:val="center"/>
          </w:tcPr>
          <w:p w14:paraId="6C93CB00">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restart"/>
            <w:tcBorders>
              <w:tl2br w:val="nil"/>
              <w:tr2bl w:val="nil"/>
            </w:tcBorders>
            <w:shd w:val="clear" w:color="auto" w:fill="auto"/>
            <w:vAlign w:val="center"/>
          </w:tcPr>
          <w:p w14:paraId="07A13D2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1982537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4EDF9340">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192F963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61DF36B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4F8149F3">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3303775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0043649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143.12</w:t>
            </w:r>
          </w:p>
        </w:tc>
        <w:tc>
          <w:tcPr>
            <w:tcW w:w="957" w:type="dxa"/>
            <w:tcBorders>
              <w:tl2br w:val="nil"/>
              <w:tr2bl w:val="nil"/>
            </w:tcBorders>
            <w:shd w:val="clear" w:color="auto" w:fill="auto"/>
            <w:vAlign w:val="center"/>
          </w:tcPr>
          <w:p w14:paraId="73D56F6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0.0199</w:t>
            </w:r>
          </w:p>
        </w:tc>
        <w:tc>
          <w:tcPr>
            <w:tcW w:w="890" w:type="dxa"/>
            <w:tcBorders>
              <w:tl2br w:val="nil"/>
              <w:tr2bl w:val="nil"/>
            </w:tcBorders>
            <w:shd w:val="clear" w:color="auto" w:fill="auto"/>
            <w:vAlign w:val="center"/>
          </w:tcPr>
          <w:p w14:paraId="23BC572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3.98</w:t>
            </w:r>
          </w:p>
        </w:tc>
        <w:tc>
          <w:tcPr>
            <w:tcW w:w="1557" w:type="dxa"/>
            <w:gridSpan w:val="2"/>
            <w:vMerge w:val="continue"/>
            <w:tcBorders>
              <w:tl2br w:val="nil"/>
              <w:tr2bl w:val="nil"/>
            </w:tcBorders>
            <w:shd w:val="clear" w:color="auto" w:fill="auto"/>
            <w:vAlign w:val="center"/>
          </w:tcPr>
          <w:p w14:paraId="526BA5B0">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4BA8187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99.99</w:t>
            </w:r>
          </w:p>
        </w:tc>
        <w:tc>
          <w:tcPr>
            <w:tcW w:w="652" w:type="dxa"/>
            <w:vMerge w:val="continue"/>
            <w:tcBorders>
              <w:tl2br w:val="nil"/>
              <w:tr2bl w:val="nil"/>
            </w:tcBorders>
            <w:shd w:val="clear" w:color="auto" w:fill="auto"/>
            <w:vAlign w:val="center"/>
          </w:tcPr>
          <w:p w14:paraId="5977921F">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1056" w:type="dxa"/>
            <w:tcBorders>
              <w:tl2br w:val="nil"/>
              <w:tr2bl w:val="nil"/>
            </w:tcBorders>
            <w:shd w:val="clear" w:color="auto" w:fill="auto"/>
            <w:vAlign w:val="center"/>
          </w:tcPr>
          <w:p w14:paraId="47E225C9">
            <w:pPr>
              <w:keepNext w:val="0"/>
              <w:keepLines w:val="0"/>
              <w:pageBreakBefore w:val="0"/>
              <w:widowControl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0.018</w:t>
            </w:r>
          </w:p>
        </w:tc>
        <w:tc>
          <w:tcPr>
            <w:tcW w:w="746" w:type="dxa"/>
            <w:gridSpan w:val="2"/>
            <w:tcBorders>
              <w:right w:val="single" w:color="auto" w:sz="4" w:space="0"/>
              <w:tl2br w:val="nil"/>
              <w:tr2bl w:val="nil"/>
            </w:tcBorders>
            <w:shd w:val="clear" w:color="auto" w:fill="auto"/>
            <w:vAlign w:val="center"/>
          </w:tcPr>
          <w:p w14:paraId="6988735A">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Times New Roman" w:hAnsi="Times New Roman" w:eastAsia="宋体" w:cs="Times New Roman"/>
                <w:caps w:val="0"/>
                <w:smallCaps w:val="0"/>
                <w:color w:val="auto"/>
                <w:spacing w:val="0"/>
                <w:kern w:val="0"/>
                <w:sz w:val="21"/>
                <w:highlight w:val="none"/>
                <w:lang w:val="en-US" w:eastAsia="zh-CN" w:bidi="ar"/>
              </w:rPr>
              <w:t>2.50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6</w:t>
            </w:r>
          </w:p>
        </w:tc>
        <w:tc>
          <w:tcPr>
            <w:tcW w:w="637" w:type="dxa"/>
            <w:vMerge w:val="continue"/>
            <w:tcBorders>
              <w:left w:val="single" w:color="auto" w:sz="4" w:space="0"/>
              <w:tl2br w:val="nil"/>
              <w:tr2bl w:val="nil"/>
            </w:tcBorders>
            <w:shd w:val="clear" w:color="auto" w:fill="auto"/>
            <w:vAlign w:val="center"/>
          </w:tcPr>
          <w:p w14:paraId="58CF8351">
            <w:pPr>
              <w:keepNext w:val="0"/>
              <w:keepLines w:val="0"/>
              <w:widowControl/>
              <w:suppressLineNumbers w:val="0"/>
              <w:jc w:val="right"/>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69" w:type="dxa"/>
            <w:tcBorders>
              <w:right w:val="single" w:color="auto" w:sz="4" w:space="0"/>
              <w:tl2br w:val="nil"/>
              <w:tr2bl w:val="nil"/>
            </w:tcBorders>
            <w:shd w:val="clear" w:color="auto" w:fill="auto"/>
            <w:vAlign w:val="center"/>
          </w:tcPr>
          <w:p w14:paraId="42757D4B">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0.0005</w:t>
            </w:r>
          </w:p>
        </w:tc>
        <w:tc>
          <w:tcPr>
            <w:tcW w:w="729" w:type="dxa"/>
            <w:gridSpan w:val="2"/>
            <w:vMerge w:val="continue"/>
            <w:tcBorders>
              <w:left w:val="single" w:color="auto" w:sz="4" w:space="0"/>
              <w:tl2br w:val="nil"/>
              <w:tr2bl w:val="nil"/>
            </w:tcBorders>
            <w:shd w:val="clear" w:color="auto" w:fill="auto"/>
            <w:vAlign w:val="center"/>
          </w:tcPr>
          <w:p w14:paraId="7A6F9045">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continue"/>
            <w:tcBorders>
              <w:tl2br w:val="nil"/>
              <w:tr2bl w:val="nil"/>
            </w:tcBorders>
            <w:shd w:val="clear" w:color="auto" w:fill="auto"/>
            <w:vAlign w:val="center"/>
          </w:tcPr>
          <w:p w14:paraId="0F240120">
            <w:pPr>
              <w:widowControl w:val="0"/>
              <w:snapToGrid w:val="0"/>
              <w:jc w:val="center"/>
              <w:rPr>
                <w:rFonts w:ascii="Times New Roman" w:hAnsi="Times New Roman" w:eastAsia="宋体" w:cs="Times New Roman"/>
                <w:caps w:val="0"/>
                <w:smallCaps w:val="0"/>
                <w:color w:val="auto"/>
                <w:spacing w:val="0"/>
                <w:sz w:val="21"/>
                <w:highlight w:val="none"/>
              </w:rPr>
            </w:pPr>
          </w:p>
        </w:tc>
      </w:tr>
      <w:tr w14:paraId="7F4D3BFB">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tcBorders>
              <w:tl2br w:val="nil"/>
              <w:tr2bl w:val="nil"/>
            </w:tcBorders>
            <w:shd w:val="clear" w:color="auto" w:fill="auto"/>
            <w:vAlign w:val="center"/>
          </w:tcPr>
          <w:p w14:paraId="5B13C1A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DA002</w:t>
            </w:r>
          </w:p>
        </w:tc>
        <w:tc>
          <w:tcPr>
            <w:tcW w:w="1286" w:type="dxa"/>
            <w:tcBorders>
              <w:tl2br w:val="nil"/>
              <w:tr2bl w:val="nil"/>
            </w:tcBorders>
            <w:shd w:val="clear" w:color="auto" w:fill="auto"/>
            <w:vAlign w:val="center"/>
          </w:tcPr>
          <w:p w14:paraId="5968565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ZnTe膜层溅射废气</w:t>
            </w:r>
          </w:p>
        </w:tc>
        <w:tc>
          <w:tcPr>
            <w:tcW w:w="940" w:type="dxa"/>
            <w:tcBorders>
              <w:tl2br w:val="nil"/>
              <w:tr2bl w:val="nil"/>
            </w:tcBorders>
            <w:shd w:val="clear" w:color="auto" w:fill="auto"/>
            <w:vAlign w:val="center"/>
          </w:tcPr>
          <w:p w14:paraId="0CD4C9C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tcBorders>
              <w:tl2br w:val="nil"/>
              <w:tr2bl w:val="nil"/>
            </w:tcBorders>
            <w:shd w:val="clear" w:color="auto" w:fill="auto"/>
            <w:vAlign w:val="center"/>
          </w:tcPr>
          <w:p w14:paraId="1F3F322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3000</w:t>
            </w:r>
          </w:p>
        </w:tc>
        <w:tc>
          <w:tcPr>
            <w:tcW w:w="767" w:type="dxa"/>
            <w:tcBorders>
              <w:tl2br w:val="nil"/>
              <w:tr2bl w:val="nil"/>
            </w:tcBorders>
            <w:shd w:val="clear" w:color="auto" w:fill="auto"/>
            <w:vAlign w:val="center"/>
          </w:tcPr>
          <w:p w14:paraId="36F4BA6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1481AF8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71.19</w:t>
            </w:r>
          </w:p>
        </w:tc>
        <w:tc>
          <w:tcPr>
            <w:tcW w:w="957" w:type="dxa"/>
            <w:tcBorders>
              <w:tl2br w:val="nil"/>
              <w:tr2bl w:val="nil"/>
            </w:tcBorders>
            <w:shd w:val="clear" w:color="auto" w:fill="auto"/>
            <w:vAlign w:val="center"/>
          </w:tcPr>
          <w:p w14:paraId="207BF25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0.00989</w:t>
            </w:r>
          </w:p>
        </w:tc>
        <w:tc>
          <w:tcPr>
            <w:tcW w:w="890" w:type="dxa"/>
            <w:tcBorders>
              <w:tl2br w:val="nil"/>
              <w:tr2bl w:val="nil"/>
            </w:tcBorders>
            <w:shd w:val="clear" w:color="auto" w:fill="auto"/>
            <w:vAlign w:val="center"/>
          </w:tcPr>
          <w:p w14:paraId="0C0BC46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3.30</w:t>
            </w:r>
          </w:p>
        </w:tc>
        <w:tc>
          <w:tcPr>
            <w:tcW w:w="1557" w:type="dxa"/>
            <w:gridSpan w:val="2"/>
            <w:tcBorders>
              <w:tl2br w:val="nil"/>
              <w:tr2bl w:val="nil"/>
            </w:tcBorders>
            <w:shd w:val="clear" w:color="auto" w:fill="auto"/>
            <w:vAlign w:val="center"/>
          </w:tcPr>
          <w:p w14:paraId="12D9D19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H14</w:t>
            </w:r>
            <w:r>
              <w:rPr>
                <w:rStyle w:val="222"/>
                <w:rFonts w:hint="default" w:ascii="Times New Roman" w:hAnsi="Times New Roman" w:cs="Times New Roman"/>
                <w:caps w:val="0"/>
                <w:smallCaps w:val="0"/>
                <w:color w:val="auto"/>
                <w:spacing w:val="0"/>
                <w:sz w:val="21"/>
                <w:szCs w:val="21"/>
                <w:highlight w:val="none"/>
                <w:lang w:bidi="ar"/>
              </w:rPr>
              <w:t>级的高</w:t>
            </w:r>
            <w:r>
              <w:rPr>
                <w:rStyle w:val="223"/>
                <w:rFonts w:eastAsia="宋体"/>
                <w:caps w:val="0"/>
                <w:smallCaps w:val="0"/>
                <w:color w:val="auto"/>
                <w:spacing w:val="0"/>
                <w:sz w:val="21"/>
                <w:szCs w:val="21"/>
                <w:highlight w:val="none"/>
                <w:lang w:bidi="ar"/>
              </w:rPr>
              <w:br w:type="textWrapping"/>
            </w:r>
            <w:r>
              <w:rPr>
                <w:rStyle w:val="222"/>
                <w:rFonts w:hint="default" w:ascii="Times New Roman" w:hAnsi="Times New Roman" w:cs="Times New Roman"/>
                <w:caps w:val="0"/>
                <w:smallCaps w:val="0"/>
                <w:color w:val="auto"/>
                <w:spacing w:val="0"/>
                <w:sz w:val="21"/>
                <w:szCs w:val="21"/>
                <w:highlight w:val="none"/>
                <w:lang w:bidi="ar"/>
              </w:rPr>
              <w:t>效过滤器</w:t>
            </w:r>
          </w:p>
        </w:tc>
        <w:tc>
          <w:tcPr>
            <w:tcW w:w="793" w:type="dxa"/>
            <w:tcBorders>
              <w:tl2br w:val="nil"/>
              <w:tr2bl w:val="nil"/>
            </w:tcBorders>
            <w:shd w:val="clear" w:color="auto" w:fill="auto"/>
            <w:vAlign w:val="center"/>
          </w:tcPr>
          <w:p w14:paraId="1E98624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90.91</w:t>
            </w:r>
          </w:p>
        </w:tc>
        <w:tc>
          <w:tcPr>
            <w:tcW w:w="652" w:type="dxa"/>
            <w:tcBorders>
              <w:tl2br w:val="nil"/>
              <w:tr2bl w:val="nil"/>
            </w:tcBorders>
            <w:shd w:val="clear" w:color="auto" w:fill="auto"/>
            <w:vAlign w:val="center"/>
          </w:tcPr>
          <w:p w14:paraId="121A36A7">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1A21D742">
            <w:pPr>
              <w:keepNext w:val="0"/>
              <w:keepLines w:val="0"/>
              <w:pageBreakBefore w:val="0"/>
              <w:widowControl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6.48</w:t>
            </w:r>
          </w:p>
        </w:tc>
        <w:tc>
          <w:tcPr>
            <w:tcW w:w="1383" w:type="dxa"/>
            <w:gridSpan w:val="3"/>
            <w:tcBorders>
              <w:tl2br w:val="nil"/>
              <w:tr2bl w:val="nil"/>
            </w:tcBorders>
            <w:shd w:val="clear" w:color="auto" w:fill="auto"/>
            <w:vAlign w:val="center"/>
          </w:tcPr>
          <w:p w14:paraId="6AF970C8">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kern w:val="0"/>
                <w:sz w:val="21"/>
                <w:highlight w:val="none"/>
                <w:lang w:bidi="ar"/>
              </w:rPr>
              <w:t>9.</w:t>
            </w:r>
            <w:r>
              <w:rPr>
                <w:rFonts w:hint="eastAsia" w:ascii="Times New Roman" w:hAnsi="Times New Roman" w:eastAsia="宋体" w:cs="Times New Roman"/>
                <w:caps w:val="0"/>
                <w:smallCaps w:val="0"/>
                <w:color w:val="auto"/>
                <w:spacing w:val="0"/>
                <w:kern w:val="0"/>
                <w:sz w:val="21"/>
                <w:highlight w:val="none"/>
                <w:lang w:val="en-US" w:eastAsia="zh-CN" w:bidi="ar"/>
              </w:rPr>
              <w:t>00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4</w:t>
            </w:r>
          </w:p>
        </w:tc>
        <w:tc>
          <w:tcPr>
            <w:tcW w:w="1298" w:type="dxa"/>
            <w:gridSpan w:val="3"/>
            <w:tcBorders>
              <w:tl2br w:val="nil"/>
              <w:tr2bl w:val="nil"/>
            </w:tcBorders>
            <w:shd w:val="clear" w:color="auto" w:fill="auto"/>
            <w:vAlign w:val="center"/>
          </w:tcPr>
          <w:p w14:paraId="0EDEAB6B">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30</w:t>
            </w:r>
          </w:p>
        </w:tc>
        <w:tc>
          <w:tcPr>
            <w:tcW w:w="502" w:type="dxa"/>
            <w:tcBorders>
              <w:tl2br w:val="nil"/>
              <w:tr2bl w:val="nil"/>
            </w:tcBorders>
            <w:shd w:val="clear" w:color="auto" w:fill="auto"/>
            <w:vAlign w:val="center"/>
          </w:tcPr>
          <w:p w14:paraId="5D8B984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3559573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2A95DAF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DA003</w:t>
            </w:r>
          </w:p>
        </w:tc>
        <w:tc>
          <w:tcPr>
            <w:tcW w:w="1286" w:type="dxa"/>
            <w:vMerge w:val="restart"/>
            <w:tcBorders>
              <w:tl2br w:val="nil"/>
              <w:tr2bl w:val="nil"/>
            </w:tcBorders>
            <w:shd w:val="clear" w:color="auto" w:fill="auto"/>
            <w:vAlign w:val="center"/>
          </w:tcPr>
          <w:p w14:paraId="0091FBF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P2激光刻线废气</w:t>
            </w:r>
          </w:p>
        </w:tc>
        <w:tc>
          <w:tcPr>
            <w:tcW w:w="940" w:type="dxa"/>
            <w:tcBorders>
              <w:tl2br w:val="nil"/>
              <w:tr2bl w:val="nil"/>
            </w:tcBorders>
            <w:shd w:val="clear" w:color="auto" w:fill="auto"/>
            <w:vAlign w:val="center"/>
          </w:tcPr>
          <w:p w14:paraId="7828F7F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297BD1F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1131</w:t>
            </w:r>
          </w:p>
        </w:tc>
        <w:tc>
          <w:tcPr>
            <w:tcW w:w="767" w:type="dxa"/>
            <w:vMerge w:val="restart"/>
            <w:tcBorders>
              <w:tl2br w:val="nil"/>
              <w:tr2bl w:val="nil"/>
            </w:tcBorders>
            <w:shd w:val="clear" w:color="auto" w:fill="auto"/>
            <w:vAlign w:val="center"/>
          </w:tcPr>
          <w:p w14:paraId="105213A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72D66D8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131</w:t>
            </w:r>
          </w:p>
        </w:tc>
        <w:tc>
          <w:tcPr>
            <w:tcW w:w="957" w:type="dxa"/>
            <w:tcBorders>
              <w:tl2br w:val="nil"/>
              <w:tr2bl w:val="nil"/>
            </w:tcBorders>
            <w:shd w:val="clear" w:color="auto" w:fill="auto"/>
            <w:vAlign w:val="center"/>
          </w:tcPr>
          <w:p w14:paraId="2E58640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0.0182</w:t>
            </w:r>
          </w:p>
        </w:tc>
        <w:tc>
          <w:tcPr>
            <w:tcW w:w="890" w:type="dxa"/>
            <w:tcBorders>
              <w:tl2br w:val="nil"/>
              <w:tr2bl w:val="nil"/>
            </w:tcBorders>
            <w:shd w:val="clear" w:color="auto" w:fill="auto"/>
            <w:vAlign w:val="center"/>
          </w:tcPr>
          <w:p w14:paraId="1230C9A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16.13</w:t>
            </w:r>
          </w:p>
        </w:tc>
        <w:tc>
          <w:tcPr>
            <w:tcW w:w="1557" w:type="dxa"/>
            <w:gridSpan w:val="2"/>
            <w:vMerge w:val="restart"/>
            <w:tcBorders>
              <w:tl2br w:val="nil"/>
              <w:tr2bl w:val="nil"/>
            </w:tcBorders>
            <w:shd w:val="clear" w:color="auto" w:fill="auto"/>
            <w:vAlign w:val="center"/>
          </w:tcPr>
          <w:p w14:paraId="7A16C17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2级初效过滤器+H14级高效过滤器</w:t>
            </w:r>
          </w:p>
        </w:tc>
        <w:tc>
          <w:tcPr>
            <w:tcW w:w="793" w:type="dxa"/>
            <w:tcBorders>
              <w:tl2br w:val="nil"/>
              <w:tr2bl w:val="nil"/>
            </w:tcBorders>
            <w:shd w:val="clear" w:color="auto" w:fill="auto"/>
            <w:vAlign w:val="center"/>
          </w:tcPr>
          <w:p w14:paraId="2D61A25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92.25</w:t>
            </w:r>
          </w:p>
        </w:tc>
        <w:tc>
          <w:tcPr>
            <w:tcW w:w="652" w:type="dxa"/>
            <w:vMerge w:val="restart"/>
            <w:tcBorders>
              <w:tl2br w:val="nil"/>
              <w:tr2bl w:val="nil"/>
            </w:tcBorders>
            <w:shd w:val="clear" w:color="auto" w:fill="auto"/>
            <w:vAlign w:val="center"/>
          </w:tcPr>
          <w:p w14:paraId="37B8B2BB">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578AA12A">
            <w:pPr>
              <w:keepNext w:val="0"/>
              <w:keepLines w:val="0"/>
              <w:pageBreakBefore w:val="0"/>
              <w:widowControl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10.179</w:t>
            </w:r>
          </w:p>
        </w:tc>
        <w:tc>
          <w:tcPr>
            <w:tcW w:w="1383" w:type="dxa"/>
            <w:gridSpan w:val="3"/>
            <w:tcBorders>
              <w:tl2br w:val="nil"/>
              <w:tr2bl w:val="nil"/>
            </w:tcBorders>
            <w:shd w:val="clear" w:color="auto" w:fill="auto"/>
            <w:vAlign w:val="center"/>
          </w:tcPr>
          <w:p w14:paraId="327913D5">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kern w:val="0"/>
                <w:sz w:val="21"/>
                <w:highlight w:val="none"/>
                <w:lang w:bidi="ar"/>
              </w:rPr>
              <w:t>1.</w:t>
            </w:r>
            <w:r>
              <w:rPr>
                <w:rFonts w:hint="eastAsia" w:ascii="Times New Roman" w:hAnsi="Times New Roman" w:eastAsia="宋体" w:cs="Times New Roman"/>
                <w:caps w:val="0"/>
                <w:smallCaps w:val="0"/>
                <w:color w:val="auto"/>
                <w:spacing w:val="0"/>
                <w:kern w:val="0"/>
                <w:sz w:val="21"/>
                <w:highlight w:val="none"/>
                <w:lang w:val="en-US" w:eastAsia="zh-CN" w:bidi="ar"/>
              </w:rPr>
              <w:t>41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298" w:type="dxa"/>
            <w:gridSpan w:val="3"/>
            <w:tcBorders>
              <w:tl2br w:val="nil"/>
              <w:tr2bl w:val="nil"/>
            </w:tcBorders>
            <w:shd w:val="clear" w:color="auto" w:fill="auto"/>
            <w:vAlign w:val="center"/>
          </w:tcPr>
          <w:p w14:paraId="42134323">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1.25</w:t>
            </w:r>
          </w:p>
        </w:tc>
        <w:tc>
          <w:tcPr>
            <w:tcW w:w="502" w:type="dxa"/>
            <w:tcBorders>
              <w:tl2br w:val="nil"/>
              <w:tr2bl w:val="nil"/>
            </w:tcBorders>
            <w:shd w:val="clear" w:color="auto" w:fill="auto"/>
            <w:vAlign w:val="center"/>
          </w:tcPr>
          <w:p w14:paraId="58B0126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725ED32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07254790">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7380F07B">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149FB1D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7B04EF91">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59F526F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6C8DE37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61.31</w:t>
            </w:r>
          </w:p>
        </w:tc>
        <w:tc>
          <w:tcPr>
            <w:tcW w:w="957" w:type="dxa"/>
            <w:tcBorders>
              <w:tl2br w:val="nil"/>
              <w:tr2bl w:val="nil"/>
            </w:tcBorders>
            <w:shd w:val="clear" w:color="auto" w:fill="auto"/>
            <w:vAlign w:val="center"/>
          </w:tcPr>
          <w:p w14:paraId="06681EF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0.00852</w:t>
            </w:r>
          </w:p>
        </w:tc>
        <w:tc>
          <w:tcPr>
            <w:tcW w:w="890" w:type="dxa"/>
            <w:tcBorders>
              <w:tl2br w:val="nil"/>
              <w:tr2bl w:val="nil"/>
            </w:tcBorders>
            <w:shd w:val="clear" w:color="auto" w:fill="auto"/>
            <w:vAlign w:val="center"/>
          </w:tcPr>
          <w:p w14:paraId="7ADA568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7.53</w:t>
            </w:r>
          </w:p>
        </w:tc>
        <w:tc>
          <w:tcPr>
            <w:tcW w:w="1557" w:type="dxa"/>
            <w:gridSpan w:val="2"/>
            <w:vMerge w:val="continue"/>
            <w:tcBorders>
              <w:tl2br w:val="nil"/>
              <w:tr2bl w:val="nil"/>
            </w:tcBorders>
            <w:shd w:val="clear" w:color="auto" w:fill="auto"/>
            <w:vAlign w:val="center"/>
          </w:tcPr>
          <w:p w14:paraId="3EA84379">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3CC207B2">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99.99</w:t>
            </w:r>
          </w:p>
        </w:tc>
        <w:tc>
          <w:tcPr>
            <w:tcW w:w="652" w:type="dxa"/>
            <w:vMerge w:val="continue"/>
            <w:tcBorders>
              <w:tl2br w:val="nil"/>
              <w:tr2bl w:val="nil"/>
            </w:tcBorders>
            <w:shd w:val="clear" w:color="auto" w:fill="auto"/>
            <w:vAlign w:val="center"/>
          </w:tcPr>
          <w:p w14:paraId="0CF9B661">
            <w:pPr>
              <w:widowControl w:val="0"/>
              <w:snapToGrid w:val="0"/>
              <w:jc w:val="center"/>
              <w:rPr>
                <w:rFonts w:hint="default" w:ascii="Times New Roman" w:hAnsi="Times New Roman" w:eastAsia="宋体" w:cs="Times New Roman"/>
                <w:caps w:val="0"/>
                <w:smallCaps w:val="0"/>
                <w:color w:val="auto"/>
                <w:spacing w:val="0"/>
                <w:sz w:val="21"/>
                <w:highlight w:val="none"/>
                <w:lang w:val="en-US" w:eastAsia="zh-CN"/>
              </w:rPr>
            </w:pPr>
          </w:p>
        </w:tc>
        <w:tc>
          <w:tcPr>
            <w:tcW w:w="1056" w:type="dxa"/>
            <w:tcBorders>
              <w:tl2br w:val="nil"/>
              <w:tr2bl w:val="nil"/>
            </w:tcBorders>
            <w:shd w:val="clear" w:color="auto" w:fill="auto"/>
            <w:vAlign w:val="center"/>
          </w:tcPr>
          <w:p w14:paraId="5E2A6CB1">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4.07</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383" w:type="dxa"/>
            <w:gridSpan w:val="3"/>
            <w:tcBorders>
              <w:tl2br w:val="nil"/>
              <w:tr2bl w:val="nil"/>
            </w:tcBorders>
            <w:shd w:val="clear" w:color="auto" w:fill="auto"/>
            <w:vAlign w:val="center"/>
          </w:tcPr>
          <w:p w14:paraId="7800288D">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1298" w:type="dxa"/>
            <w:gridSpan w:val="3"/>
            <w:tcBorders>
              <w:tl2br w:val="nil"/>
              <w:tr2bl w:val="nil"/>
            </w:tcBorders>
            <w:shd w:val="clear" w:color="auto" w:fill="auto"/>
            <w:vAlign w:val="center"/>
          </w:tcPr>
          <w:p w14:paraId="5EDE8FF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0.0005</w:t>
            </w:r>
          </w:p>
        </w:tc>
        <w:tc>
          <w:tcPr>
            <w:tcW w:w="502" w:type="dxa"/>
            <w:tcBorders>
              <w:tl2br w:val="nil"/>
              <w:tr2bl w:val="nil"/>
            </w:tcBorders>
            <w:shd w:val="clear" w:color="auto" w:fill="auto"/>
            <w:vAlign w:val="center"/>
          </w:tcPr>
          <w:p w14:paraId="4E5152B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12D3F3E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281F83D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DA004</w:t>
            </w:r>
          </w:p>
        </w:tc>
        <w:tc>
          <w:tcPr>
            <w:tcW w:w="1286" w:type="dxa"/>
            <w:vMerge w:val="restart"/>
            <w:tcBorders>
              <w:tl2br w:val="nil"/>
              <w:tr2bl w:val="nil"/>
            </w:tcBorders>
            <w:shd w:val="clear" w:color="auto" w:fill="auto"/>
            <w:vAlign w:val="center"/>
          </w:tcPr>
          <w:p w14:paraId="24DBC3E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P3激光刻线废气</w:t>
            </w:r>
          </w:p>
        </w:tc>
        <w:tc>
          <w:tcPr>
            <w:tcW w:w="940" w:type="dxa"/>
            <w:tcBorders>
              <w:tl2br w:val="nil"/>
              <w:tr2bl w:val="nil"/>
            </w:tcBorders>
            <w:shd w:val="clear" w:color="auto" w:fill="auto"/>
            <w:vAlign w:val="center"/>
          </w:tcPr>
          <w:p w14:paraId="4407C7A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610002F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1131</w:t>
            </w:r>
          </w:p>
        </w:tc>
        <w:tc>
          <w:tcPr>
            <w:tcW w:w="767" w:type="dxa"/>
            <w:vMerge w:val="restart"/>
            <w:tcBorders>
              <w:tl2br w:val="nil"/>
              <w:tr2bl w:val="nil"/>
            </w:tcBorders>
            <w:shd w:val="clear" w:color="auto" w:fill="auto"/>
            <w:vAlign w:val="center"/>
          </w:tcPr>
          <w:p w14:paraId="0458717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2F8C677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136.0</w:t>
            </w:r>
          </w:p>
        </w:tc>
        <w:tc>
          <w:tcPr>
            <w:tcW w:w="957" w:type="dxa"/>
            <w:tcBorders>
              <w:tl2br w:val="nil"/>
              <w:tr2bl w:val="nil"/>
            </w:tcBorders>
            <w:shd w:val="clear" w:color="auto" w:fill="auto"/>
            <w:vAlign w:val="center"/>
          </w:tcPr>
          <w:p w14:paraId="3D182C9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0.0189</w:t>
            </w:r>
          </w:p>
        </w:tc>
        <w:tc>
          <w:tcPr>
            <w:tcW w:w="890" w:type="dxa"/>
            <w:tcBorders>
              <w:tl2br w:val="nil"/>
              <w:tr2bl w:val="nil"/>
            </w:tcBorders>
            <w:shd w:val="clear" w:color="auto" w:fill="auto"/>
            <w:vAlign w:val="center"/>
          </w:tcPr>
          <w:p w14:paraId="6BC8011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16.70</w:t>
            </w:r>
          </w:p>
        </w:tc>
        <w:tc>
          <w:tcPr>
            <w:tcW w:w="1557" w:type="dxa"/>
            <w:gridSpan w:val="2"/>
            <w:vMerge w:val="restart"/>
            <w:tcBorders>
              <w:tl2br w:val="nil"/>
              <w:tr2bl w:val="nil"/>
            </w:tcBorders>
            <w:shd w:val="clear" w:color="auto" w:fill="auto"/>
            <w:vAlign w:val="center"/>
          </w:tcPr>
          <w:p w14:paraId="53B530C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2级初效过滤器+H14级高效过滤器</w:t>
            </w:r>
          </w:p>
        </w:tc>
        <w:tc>
          <w:tcPr>
            <w:tcW w:w="793" w:type="dxa"/>
            <w:tcBorders>
              <w:tl2br w:val="nil"/>
              <w:tr2bl w:val="nil"/>
            </w:tcBorders>
            <w:shd w:val="clear" w:color="auto" w:fill="auto"/>
            <w:vAlign w:val="center"/>
          </w:tcPr>
          <w:p w14:paraId="58E3406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92.51</w:t>
            </w:r>
          </w:p>
        </w:tc>
        <w:tc>
          <w:tcPr>
            <w:tcW w:w="652" w:type="dxa"/>
            <w:vMerge w:val="restart"/>
            <w:tcBorders>
              <w:tl2br w:val="nil"/>
              <w:tr2bl w:val="nil"/>
            </w:tcBorders>
            <w:shd w:val="clear" w:color="auto" w:fill="auto"/>
            <w:vAlign w:val="center"/>
          </w:tcPr>
          <w:p w14:paraId="3079022C">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324C1C91">
            <w:pPr>
              <w:keepNext w:val="0"/>
              <w:keepLines w:val="0"/>
              <w:pageBreakBefore w:val="0"/>
              <w:widowControl w:val="0"/>
              <w:kinsoku/>
              <w:wordWrap/>
              <w:overflowPunct/>
              <w:topLinePunct w:val="0"/>
              <w:autoSpaceDE/>
              <w:autoSpaceDN/>
              <w:bidi w:val="0"/>
              <w:adjustRightInd/>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10.179</w:t>
            </w:r>
          </w:p>
        </w:tc>
        <w:tc>
          <w:tcPr>
            <w:tcW w:w="1383" w:type="dxa"/>
            <w:gridSpan w:val="3"/>
            <w:tcBorders>
              <w:tl2br w:val="nil"/>
              <w:tr2bl w:val="nil"/>
            </w:tcBorders>
            <w:shd w:val="clear" w:color="auto" w:fill="auto"/>
            <w:vAlign w:val="center"/>
          </w:tcPr>
          <w:p w14:paraId="5E9454A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r>
              <w:rPr>
                <w:rFonts w:hint="eastAsia" w:ascii="Times New Roman" w:hAnsi="Times New Roman" w:eastAsia="宋体" w:cs="Times New Roman"/>
                <w:caps w:val="0"/>
                <w:smallCaps w:val="0"/>
                <w:color w:val="auto"/>
                <w:spacing w:val="0"/>
                <w:kern w:val="0"/>
                <w:sz w:val="21"/>
                <w:highlight w:val="none"/>
                <w:lang w:val="en-US" w:eastAsia="zh-CN" w:bidi="ar"/>
              </w:rPr>
              <w:t>41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298" w:type="dxa"/>
            <w:gridSpan w:val="3"/>
            <w:tcBorders>
              <w:tl2br w:val="nil"/>
              <w:tr2bl w:val="nil"/>
            </w:tcBorders>
            <w:shd w:val="clear" w:color="auto" w:fill="auto"/>
            <w:vAlign w:val="center"/>
          </w:tcPr>
          <w:p w14:paraId="02D1E50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1.25</w:t>
            </w:r>
          </w:p>
        </w:tc>
        <w:tc>
          <w:tcPr>
            <w:tcW w:w="502" w:type="dxa"/>
            <w:tcBorders>
              <w:tl2br w:val="nil"/>
              <w:tr2bl w:val="nil"/>
            </w:tcBorders>
            <w:shd w:val="clear" w:color="auto" w:fill="auto"/>
            <w:vAlign w:val="center"/>
          </w:tcPr>
          <w:p w14:paraId="23E03E9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392FAD28">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745845F6">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0E717A8E">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5DB02A9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5A764D0B">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4494C9C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1816F86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61.310</w:t>
            </w:r>
          </w:p>
        </w:tc>
        <w:tc>
          <w:tcPr>
            <w:tcW w:w="957" w:type="dxa"/>
            <w:tcBorders>
              <w:tl2br w:val="nil"/>
              <w:tr2bl w:val="nil"/>
            </w:tcBorders>
            <w:shd w:val="clear" w:color="auto" w:fill="auto"/>
            <w:vAlign w:val="center"/>
          </w:tcPr>
          <w:p w14:paraId="31C9772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0.00852</w:t>
            </w:r>
          </w:p>
        </w:tc>
        <w:tc>
          <w:tcPr>
            <w:tcW w:w="890" w:type="dxa"/>
            <w:tcBorders>
              <w:tl2br w:val="nil"/>
              <w:tr2bl w:val="nil"/>
            </w:tcBorders>
            <w:shd w:val="clear" w:color="auto" w:fill="auto"/>
            <w:vAlign w:val="center"/>
          </w:tcPr>
          <w:p w14:paraId="401A46B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7.53</w:t>
            </w:r>
          </w:p>
        </w:tc>
        <w:tc>
          <w:tcPr>
            <w:tcW w:w="1557" w:type="dxa"/>
            <w:gridSpan w:val="2"/>
            <w:vMerge w:val="continue"/>
            <w:tcBorders>
              <w:tl2br w:val="nil"/>
              <w:tr2bl w:val="nil"/>
            </w:tcBorders>
            <w:shd w:val="clear" w:color="auto" w:fill="auto"/>
            <w:vAlign w:val="center"/>
          </w:tcPr>
          <w:p w14:paraId="04D52CE4">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7AFF4E4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99.9</w:t>
            </w:r>
            <w:r>
              <w:rPr>
                <w:rFonts w:hint="eastAsia" w:ascii="Times New Roman" w:hAnsi="Times New Roman" w:eastAsia="宋体" w:cs="Times New Roman"/>
                <w:caps w:val="0"/>
                <w:smallCaps w:val="0"/>
                <w:color w:val="auto"/>
                <w:spacing w:val="0"/>
                <w:kern w:val="0"/>
                <w:sz w:val="21"/>
                <w:highlight w:val="none"/>
                <w:lang w:val="en-US" w:eastAsia="zh-CN" w:bidi="ar"/>
              </w:rPr>
              <w:t>9</w:t>
            </w:r>
          </w:p>
        </w:tc>
        <w:tc>
          <w:tcPr>
            <w:tcW w:w="652" w:type="dxa"/>
            <w:vMerge w:val="continue"/>
            <w:tcBorders>
              <w:tl2br w:val="nil"/>
              <w:tr2bl w:val="nil"/>
            </w:tcBorders>
            <w:shd w:val="clear" w:color="auto" w:fill="auto"/>
            <w:vAlign w:val="center"/>
          </w:tcPr>
          <w:p w14:paraId="19DA4AAE">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val="en-US" w:eastAsia="zh-CN"/>
              </w:rPr>
            </w:pPr>
          </w:p>
        </w:tc>
        <w:tc>
          <w:tcPr>
            <w:tcW w:w="1056" w:type="dxa"/>
            <w:tcBorders>
              <w:tl2br w:val="nil"/>
              <w:tr2bl w:val="nil"/>
            </w:tcBorders>
            <w:shd w:val="clear" w:color="auto" w:fill="auto"/>
            <w:vAlign w:val="center"/>
          </w:tcPr>
          <w:p w14:paraId="3DE5D49E">
            <w:pPr>
              <w:keepNext w:val="0"/>
              <w:keepLines w:val="0"/>
              <w:widowControl/>
              <w:suppressLineNumbers w:val="0"/>
              <w:jc w:val="right"/>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4.07</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383" w:type="dxa"/>
            <w:gridSpan w:val="3"/>
            <w:tcBorders>
              <w:tl2br w:val="nil"/>
              <w:tr2bl w:val="nil"/>
            </w:tcBorders>
            <w:shd w:val="clear" w:color="auto" w:fill="auto"/>
            <w:vAlign w:val="center"/>
          </w:tcPr>
          <w:p w14:paraId="264ECFE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1298" w:type="dxa"/>
            <w:gridSpan w:val="3"/>
            <w:tcBorders>
              <w:tl2br w:val="nil"/>
              <w:tr2bl w:val="nil"/>
            </w:tcBorders>
            <w:shd w:val="clear" w:color="auto" w:fill="auto"/>
            <w:vAlign w:val="center"/>
          </w:tcPr>
          <w:p w14:paraId="46720E6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0.0005</w:t>
            </w:r>
          </w:p>
        </w:tc>
        <w:tc>
          <w:tcPr>
            <w:tcW w:w="502" w:type="dxa"/>
            <w:tcBorders>
              <w:tl2br w:val="nil"/>
              <w:tr2bl w:val="nil"/>
            </w:tcBorders>
            <w:shd w:val="clear" w:color="auto" w:fill="auto"/>
            <w:vAlign w:val="center"/>
          </w:tcPr>
          <w:p w14:paraId="530B6E9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6823F96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tcBorders>
              <w:tl2br w:val="nil"/>
              <w:tr2bl w:val="nil"/>
            </w:tcBorders>
            <w:shd w:val="clear" w:color="auto" w:fill="auto"/>
            <w:vAlign w:val="center"/>
          </w:tcPr>
          <w:p w14:paraId="6A0E1B1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DA00</w:t>
            </w:r>
            <w:r>
              <w:rPr>
                <w:rFonts w:hint="eastAsia" w:ascii="Times New Roman" w:hAnsi="Times New Roman" w:eastAsia="宋体" w:cs="Times New Roman"/>
                <w:caps w:val="0"/>
                <w:smallCaps w:val="0"/>
                <w:color w:val="auto"/>
                <w:spacing w:val="0"/>
                <w:kern w:val="0"/>
                <w:sz w:val="21"/>
                <w:highlight w:val="none"/>
                <w:lang w:val="en-US" w:eastAsia="zh-CN" w:bidi="ar"/>
              </w:rPr>
              <w:t>5</w:t>
            </w:r>
          </w:p>
        </w:tc>
        <w:tc>
          <w:tcPr>
            <w:tcW w:w="1286" w:type="dxa"/>
            <w:tcBorders>
              <w:tl2br w:val="nil"/>
              <w:tr2bl w:val="nil"/>
            </w:tcBorders>
            <w:shd w:val="clear" w:color="auto" w:fill="auto"/>
            <w:vAlign w:val="center"/>
          </w:tcPr>
          <w:p w14:paraId="34963EF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背电极磁控溅射镀膜废气</w:t>
            </w:r>
          </w:p>
        </w:tc>
        <w:tc>
          <w:tcPr>
            <w:tcW w:w="940" w:type="dxa"/>
            <w:tcBorders>
              <w:tl2br w:val="nil"/>
              <w:tr2bl w:val="nil"/>
            </w:tcBorders>
            <w:shd w:val="clear" w:color="auto" w:fill="auto"/>
            <w:vAlign w:val="center"/>
          </w:tcPr>
          <w:p w14:paraId="1BE939B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tcBorders>
              <w:tl2br w:val="nil"/>
              <w:tr2bl w:val="nil"/>
            </w:tcBorders>
            <w:shd w:val="clear" w:color="auto" w:fill="auto"/>
            <w:vAlign w:val="center"/>
          </w:tcPr>
          <w:p w14:paraId="4B8A629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3000</w:t>
            </w:r>
          </w:p>
        </w:tc>
        <w:tc>
          <w:tcPr>
            <w:tcW w:w="767" w:type="dxa"/>
            <w:tcBorders>
              <w:tl2br w:val="nil"/>
              <w:tr2bl w:val="nil"/>
            </w:tcBorders>
            <w:shd w:val="clear" w:color="auto" w:fill="auto"/>
            <w:vAlign w:val="center"/>
          </w:tcPr>
          <w:p w14:paraId="21E1F9B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31A7DC2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69.79</w:t>
            </w:r>
          </w:p>
        </w:tc>
        <w:tc>
          <w:tcPr>
            <w:tcW w:w="957" w:type="dxa"/>
            <w:tcBorders>
              <w:tl2br w:val="nil"/>
              <w:tr2bl w:val="nil"/>
            </w:tcBorders>
            <w:shd w:val="clear" w:color="auto" w:fill="auto"/>
            <w:vAlign w:val="center"/>
          </w:tcPr>
          <w:p w14:paraId="66017F7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0.0097</w:t>
            </w:r>
          </w:p>
        </w:tc>
        <w:tc>
          <w:tcPr>
            <w:tcW w:w="890" w:type="dxa"/>
            <w:tcBorders>
              <w:tl2br w:val="nil"/>
              <w:tr2bl w:val="nil"/>
            </w:tcBorders>
            <w:shd w:val="clear" w:color="auto" w:fill="auto"/>
            <w:vAlign w:val="center"/>
          </w:tcPr>
          <w:p w14:paraId="62891C5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6.46</w:t>
            </w:r>
          </w:p>
        </w:tc>
        <w:tc>
          <w:tcPr>
            <w:tcW w:w="1557" w:type="dxa"/>
            <w:gridSpan w:val="2"/>
            <w:tcBorders>
              <w:tl2br w:val="nil"/>
              <w:tr2bl w:val="nil"/>
            </w:tcBorders>
            <w:shd w:val="clear" w:color="auto" w:fill="auto"/>
            <w:vAlign w:val="center"/>
          </w:tcPr>
          <w:p w14:paraId="2B16D8C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H14</w:t>
            </w:r>
            <w:r>
              <w:rPr>
                <w:rStyle w:val="222"/>
                <w:rFonts w:hint="default" w:ascii="Times New Roman" w:hAnsi="Times New Roman" w:cs="Times New Roman"/>
                <w:caps w:val="0"/>
                <w:smallCaps w:val="0"/>
                <w:color w:val="auto"/>
                <w:spacing w:val="0"/>
                <w:sz w:val="21"/>
                <w:szCs w:val="21"/>
                <w:highlight w:val="none"/>
                <w:lang w:bidi="ar"/>
              </w:rPr>
              <w:t>级的高</w:t>
            </w:r>
            <w:r>
              <w:rPr>
                <w:rStyle w:val="223"/>
                <w:rFonts w:eastAsia="宋体"/>
                <w:caps w:val="0"/>
                <w:smallCaps w:val="0"/>
                <w:color w:val="auto"/>
                <w:spacing w:val="0"/>
                <w:sz w:val="21"/>
                <w:szCs w:val="21"/>
                <w:highlight w:val="none"/>
                <w:lang w:bidi="ar"/>
              </w:rPr>
              <w:br w:type="textWrapping"/>
            </w:r>
            <w:r>
              <w:rPr>
                <w:rStyle w:val="222"/>
                <w:rFonts w:hint="default" w:ascii="Times New Roman" w:hAnsi="Times New Roman" w:cs="Times New Roman"/>
                <w:caps w:val="0"/>
                <w:smallCaps w:val="0"/>
                <w:color w:val="auto"/>
                <w:spacing w:val="0"/>
                <w:sz w:val="21"/>
                <w:szCs w:val="21"/>
                <w:highlight w:val="none"/>
                <w:lang w:bidi="ar"/>
              </w:rPr>
              <w:t>效过滤器</w:t>
            </w:r>
          </w:p>
        </w:tc>
        <w:tc>
          <w:tcPr>
            <w:tcW w:w="793" w:type="dxa"/>
            <w:tcBorders>
              <w:tl2br w:val="nil"/>
              <w:tr2bl w:val="nil"/>
            </w:tcBorders>
            <w:shd w:val="clear" w:color="auto" w:fill="auto"/>
            <w:vAlign w:val="center"/>
          </w:tcPr>
          <w:p w14:paraId="2413D72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90.71</w:t>
            </w:r>
          </w:p>
        </w:tc>
        <w:tc>
          <w:tcPr>
            <w:tcW w:w="652" w:type="dxa"/>
            <w:tcBorders>
              <w:tl2br w:val="nil"/>
              <w:tr2bl w:val="nil"/>
            </w:tcBorders>
            <w:shd w:val="clear" w:color="auto" w:fill="auto"/>
            <w:vAlign w:val="center"/>
          </w:tcPr>
          <w:p w14:paraId="5B0C43A5">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6CE53C4B">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12.96</w:t>
            </w:r>
          </w:p>
        </w:tc>
        <w:tc>
          <w:tcPr>
            <w:tcW w:w="1383" w:type="dxa"/>
            <w:gridSpan w:val="3"/>
            <w:tcBorders>
              <w:tl2br w:val="nil"/>
              <w:tr2bl w:val="nil"/>
            </w:tcBorders>
            <w:shd w:val="clear" w:color="auto" w:fill="auto"/>
            <w:vAlign w:val="center"/>
          </w:tcPr>
          <w:p w14:paraId="3FF4EEF0">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1.80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298" w:type="dxa"/>
            <w:gridSpan w:val="3"/>
            <w:tcBorders>
              <w:tl2br w:val="nil"/>
              <w:tr2bl w:val="nil"/>
            </w:tcBorders>
            <w:shd w:val="clear" w:color="auto" w:fill="auto"/>
            <w:vAlign w:val="center"/>
          </w:tcPr>
          <w:p w14:paraId="49E7DFE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0.6</w:t>
            </w:r>
          </w:p>
        </w:tc>
        <w:tc>
          <w:tcPr>
            <w:tcW w:w="502" w:type="dxa"/>
            <w:tcBorders>
              <w:tl2br w:val="nil"/>
              <w:tr2bl w:val="nil"/>
            </w:tcBorders>
            <w:shd w:val="clear" w:color="auto" w:fill="auto"/>
            <w:vAlign w:val="center"/>
          </w:tcPr>
          <w:p w14:paraId="1F09A0D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7200</w:t>
            </w:r>
          </w:p>
        </w:tc>
      </w:tr>
      <w:tr w14:paraId="6AD3860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5E14AA9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DA006</w:t>
            </w:r>
          </w:p>
        </w:tc>
        <w:tc>
          <w:tcPr>
            <w:tcW w:w="1286" w:type="dxa"/>
            <w:vMerge w:val="restart"/>
            <w:tcBorders>
              <w:tl2br w:val="nil"/>
              <w:tr2bl w:val="nil"/>
            </w:tcBorders>
            <w:shd w:val="clear" w:color="auto" w:fill="auto"/>
            <w:vAlign w:val="center"/>
          </w:tcPr>
          <w:p w14:paraId="55CDC08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透光组件P5激光废气</w:t>
            </w:r>
          </w:p>
        </w:tc>
        <w:tc>
          <w:tcPr>
            <w:tcW w:w="940" w:type="dxa"/>
            <w:tcBorders>
              <w:tl2br w:val="nil"/>
              <w:tr2bl w:val="nil"/>
            </w:tcBorders>
            <w:shd w:val="clear" w:color="auto" w:fill="auto"/>
            <w:vAlign w:val="center"/>
          </w:tcPr>
          <w:p w14:paraId="6A2EBCE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00E49E9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1131</w:t>
            </w:r>
          </w:p>
        </w:tc>
        <w:tc>
          <w:tcPr>
            <w:tcW w:w="767" w:type="dxa"/>
            <w:vMerge w:val="restart"/>
            <w:tcBorders>
              <w:tl2br w:val="nil"/>
              <w:tr2bl w:val="nil"/>
            </w:tcBorders>
            <w:shd w:val="clear" w:color="auto" w:fill="auto"/>
            <w:vAlign w:val="center"/>
          </w:tcPr>
          <w:p w14:paraId="1AFBA6DD">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p w14:paraId="383B061F">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849" w:type="dxa"/>
            <w:tcBorders>
              <w:tl2br w:val="nil"/>
              <w:tr2bl w:val="nil"/>
            </w:tcBorders>
            <w:shd w:val="clear" w:color="auto" w:fill="auto"/>
            <w:vAlign w:val="center"/>
          </w:tcPr>
          <w:p w14:paraId="47D4C08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102.16</w:t>
            </w:r>
          </w:p>
        </w:tc>
        <w:tc>
          <w:tcPr>
            <w:tcW w:w="957" w:type="dxa"/>
            <w:tcBorders>
              <w:tl2br w:val="nil"/>
              <w:tr2bl w:val="nil"/>
            </w:tcBorders>
            <w:shd w:val="clear" w:color="auto" w:fill="auto"/>
            <w:vAlign w:val="center"/>
          </w:tcPr>
          <w:p w14:paraId="4ADD000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0.0142</w:t>
            </w:r>
          </w:p>
        </w:tc>
        <w:tc>
          <w:tcPr>
            <w:tcW w:w="890" w:type="dxa"/>
            <w:tcBorders>
              <w:tl2br w:val="nil"/>
              <w:tr2bl w:val="nil"/>
            </w:tcBorders>
            <w:shd w:val="clear" w:color="auto" w:fill="auto"/>
            <w:vAlign w:val="center"/>
          </w:tcPr>
          <w:p w14:paraId="0EEF7BD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9.50</w:t>
            </w:r>
          </w:p>
        </w:tc>
        <w:tc>
          <w:tcPr>
            <w:tcW w:w="1557" w:type="dxa"/>
            <w:gridSpan w:val="2"/>
            <w:vMerge w:val="restart"/>
            <w:tcBorders>
              <w:tl2br w:val="nil"/>
              <w:tr2bl w:val="nil"/>
            </w:tcBorders>
            <w:shd w:val="clear" w:color="auto" w:fill="auto"/>
            <w:vAlign w:val="center"/>
          </w:tcPr>
          <w:p w14:paraId="738E481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H13级高效过滤器+H14级高效过滤器</w:t>
            </w:r>
          </w:p>
        </w:tc>
        <w:tc>
          <w:tcPr>
            <w:tcW w:w="793" w:type="dxa"/>
            <w:tcBorders>
              <w:tl2br w:val="nil"/>
              <w:tr2bl w:val="nil"/>
            </w:tcBorders>
            <w:shd w:val="clear" w:color="auto" w:fill="auto"/>
            <w:vAlign w:val="center"/>
          </w:tcPr>
          <w:p w14:paraId="32D90D2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92.11</w:t>
            </w:r>
          </w:p>
        </w:tc>
        <w:tc>
          <w:tcPr>
            <w:tcW w:w="652" w:type="dxa"/>
            <w:vMerge w:val="restart"/>
            <w:tcBorders>
              <w:tl2br w:val="nil"/>
              <w:tr2bl w:val="nil"/>
            </w:tcBorders>
            <w:shd w:val="clear" w:color="auto" w:fill="auto"/>
            <w:vAlign w:val="center"/>
          </w:tcPr>
          <w:p w14:paraId="12A44D34">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03A5DE9B">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6.11</w:t>
            </w:r>
          </w:p>
        </w:tc>
        <w:tc>
          <w:tcPr>
            <w:tcW w:w="681" w:type="dxa"/>
            <w:tcBorders>
              <w:right w:val="single" w:color="auto" w:sz="4" w:space="0"/>
              <w:tl2br w:val="nil"/>
              <w:tr2bl w:val="nil"/>
            </w:tcBorders>
            <w:shd w:val="clear" w:color="auto" w:fill="auto"/>
            <w:vAlign w:val="center"/>
          </w:tcPr>
          <w:p w14:paraId="6DED113D">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8.48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4</w:t>
            </w:r>
          </w:p>
        </w:tc>
        <w:tc>
          <w:tcPr>
            <w:tcW w:w="702" w:type="dxa"/>
            <w:gridSpan w:val="2"/>
            <w:vMerge w:val="restart"/>
            <w:tcBorders>
              <w:left w:val="single" w:color="auto" w:sz="4" w:space="0"/>
              <w:tl2br w:val="nil"/>
              <w:tr2bl w:val="nil"/>
            </w:tcBorders>
            <w:shd w:val="clear" w:color="auto" w:fill="auto"/>
            <w:vAlign w:val="center"/>
          </w:tcPr>
          <w:p w14:paraId="4F64FF09">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合计颗粒物：0.00130</w:t>
            </w:r>
          </w:p>
          <w:p w14:paraId="1F66EB15">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p w14:paraId="7E420559">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镉及其化合物：5.66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p w14:paraId="0FF53D2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625" w:type="dxa"/>
            <w:gridSpan w:val="2"/>
            <w:tcBorders>
              <w:right w:val="single" w:color="auto" w:sz="4" w:space="0"/>
              <w:tl2br w:val="nil"/>
              <w:tr2bl w:val="nil"/>
            </w:tcBorders>
            <w:shd w:val="clear" w:color="auto" w:fill="auto"/>
            <w:vAlign w:val="center"/>
          </w:tcPr>
          <w:p w14:paraId="3FDC3E4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0.75</w:t>
            </w:r>
          </w:p>
        </w:tc>
        <w:tc>
          <w:tcPr>
            <w:tcW w:w="673" w:type="dxa"/>
            <w:vMerge w:val="restart"/>
            <w:tcBorders>
              <w:left w:val="single" w:color="auto" w:sz="4" w:space="0"/>
              <w:tl2br w:val="nil"/>
              <w:tr2bl w:val="nil"/>
            </w:tcBorders>
            <w:shd w:val="clear" w:color="auto" w:fill="auto"/>
            <w:vAlign w:val="center"/>
          </w:tcPr>
          <w:p w14:paraId="6090063F">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合计颗粒物：0.575</w:t>
            </w:r>
          </w:p>
          <w:p w14:paraId="21152B75">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p w14:paraId="4C6BD22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镉及其化合物：0.00025</w:t>
            </w:r>
          </w:p>
          <w:p w14:paraId="4E1520B3">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restart"/>
            <w:tcBorders>
              <w:tl2br w:val="nil"/>
              <w:tr2bl w:val="nil"/>
            </w:tcBorders>
            <w:shd w:val="clear" w:color="auto" w:fill="auto"/>
            <w:vAlign w:val="center"/>
          </w:tcPr>
          <w:p w14:paraId="5CF1614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5D485D3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644121E6">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5026499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589A7CD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4D2091A2">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1AEFB04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57F464D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46.05</w:t>
            </w:r>
          </w:p>
        </w:tc>
        <w:tc>
          <w:tcPr>
            <w:tcW w:w="957" w:type="dxa"/>
            <w:tcBorders>
              <w:tl2br w:val="nil"/>
              <w:tr2bl w:val="nil"/>
            </w:tcBorders>
            <w:shd w:val="clear" w:color="auto" w:fill="auto"/>
            <w:vAlign w:val="center"/>
          </w:tcPr>
          <w:p w14:paraId="2F1A919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0.0064</w:t>
            </w:r>
          </w:p>
        </w:tc>
        <w:tc>
          <w:tcPr>
            <w:tcW w:w="890" w:type="dxa"/>
            <w:tcBorders>
              <w:tl2br w:val="nil"/>
              <w:tr2bl w:val="nil"/>
            </w:tcBorders>
            <w:shd w:val="clear" w:color="auto" w:fill="auto"/>
            <w:vAlign w:val="center"/>
          </w:tcPr>
          <w:p w14:paraId="7F09CA7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4.26</w:t>
            </w:r>
          </w:p>
        </w:tc>
        <w:tc>
          <w:tcPr>
            <w:tcW w:w="1557" w:type="dxa"/>
            <w:gridSpan w:val="2"/>
            <w:vMerge w:val="continue"/>
            <w:tcBorders>
              <w:tl2br w:val="nil"/>
              <w:tr2bl w:val="nil"/>
            </w:tcBorders>
            <w:shd w:val="clear" w:color="auto" w:fill="auto"/>
            <w:vAlign w:val="center"/>
          </w:tcPr>
          <w:p w14:paraId="3AC4A408">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23C7D53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99.99</w:t>
            </w:r>
          </w:p>
        </w:tc>
        <w:tc>
          <w:tcPr>
            <w:tcW w:w="652" w:type="dxa"/>
            <w:vMerge w:val="continue"/>
            <w:tcBorders>
              <w:tl2br w:val="nil"/>
              <w:tr2bl w:val="nil"/>
            </w:tcBorders>
            <w:shd w:val="clear" w:color="auto" w:fill="auto"/>
            <w:vAlign w:val="center"/>
          </w:tcPr>
          <w:p w14:paraId="622ABE50">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1056" w:type="dxa"/>
            <w:tcBorders>
              <w:tl2br w:val="nil"/>
              <w:tr2bl w:val="nil"/>
            </w:tcBorders>
            <w:shd w:val="clear" w:color="auto" w:fill="auto"/>
            <w:vAlign w:val="center"/>
          </w:tcPr>
          <w:p w14:paraId="5BB5BEC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Times New Roman" w:hAnsi="Times New Roman" w:eastAsia="宋体" w:cs="Times New Roman"/>
                <w:caps w:val="0"/>
                <w:smallCaps w:val="0"/>
                <w:color w:val="auto"/>
                <w:spacing w:val="0"/>
                <w:kern w:val="0"/>
                <w:sz w:val="21"/>
                <w:highlight w:val="none"/>
                <w:lang w:val="en-US" w:eastAsia="zh-CN" w:bidi="ar"/>
              </w:rPr>
              <w:t>0.0024</w:t>
            </w:r>
          </w:p>
        </w:tc>
        <w:tc>
          <w:tcPr>
            <w:tcW w:w="681" w:type="dxa"/>
            <w:tcBorders>
              <w:right w:val="single" w:color="auto" w:sz="4" w:space="0"/>
              <w:tl2br w:val="nil"/>
              <w:tr2bl w:val="nil"/>
            </w:tcBorders>
            <w:shd w:val="clear" w:color="auto" w:fill="auto"/>
            <w:vAlign w:val="center"/>
          </w:tcPr>
          <w:p w14:paraId="47AD6F3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Times New Roman" w:hAnsi="Times New Roman" w:eastAsia="宋体" w:cs="Times New Roman"/>
                <w:caps w:val="0"/>
                <w:smallCaps w:val="0"/>
                <w:color w:val="auto"/>
                <w:spacing w:val="0"/>
                <w:kern w:val="0"/>
                <w:sz w:val="21"/>
                <w:highlight w:val="none"/>
                <w:lang w:val="en-US" w:eastAsia="zh-CN" w:bidi="ar"/>
              </w:rPr>
              <w:t>3.39×</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702" w:type="dxa"/>
            <w:gridSpan w:val="2"/>
            <w:vMerge w:val="continue"/>
            <w:tcBorders>
              <w:left w:val="single" w:color="auto" w:sz="4" w:space="0"/>
              <w:tl2br w:val="nil"/>
              <w:tr2bl w:val="nil"/>
            </w:tcBorders>
            <w:shd w:val="clear" w:color="auto" w:fill="auto"/>
            <w:vAlign w:val="center"/>
          </w:tcPr>
          <w:p w14:paraId="482CE1E4">
            <w:pPr>
              <w:keepNext w:val="0"/>
              <w:keepLines w:val="0"/>
              <w:widowControl/>
              <w:suppressLineNumbers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625" w:type="dxa"/>
            <w:gridSpan w:val="2"/>
            <w:tcBorders>
              <w:right w:val="single" w:color="auto" w:sz="4" w:space="0"/>
              <w:tl2br w:val="nil"/>
              <w:tr2bl w:val="nil"/>
            </w:tcBorders>
            <w:shd w:val="clear" w:color="auto" w:fill="auto"/>
            <w:vAlign w:val="center"/>
          </w:tcPr>
          <w:p w14:paraId="62E1AF80">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0.0003</w:t>
            </w:r>
          </w:p>
        </w:tc>
        <w:tc>
          <w:tcPr>
            <w:tcW w:w="673" w:type="dxa"/>
            <w:vMerge w:val="continue"/>
            <w:tcBorders>
              <w:left w:val="single" w:color="auto" w:sz="4" w:space="0"/>
              <w:tl2br w:val="nil"/>
              <w:tr2bl w:val="nil"/>
            </w:tcBorders>
            <w:shd w:val="clear" w:color="auto" w:fill="auto"/>
            <w:vAlign w:val="center"/>
          </w:tcPr>
          <w:p w14:paraId="2AFC0EFF">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continue"/>
            <w:tcBorders>
              <w:tl2br w:val="nil"/>
              <w:tr2bl w:val="nil"/>
            </w:tcBorders>
            <w:shd w:val="clear" w:color="auto" w:fill="auto"/>
            <w:vAlign w:val="center"/>
          </w:tcPr>
          <w:p w14:paraId="0D8FF802">
            <w:pPr>
              <w:widowControl w:val="0"/>
              <w:snapToGrid w:val="0"/>
              <w:jc w:val="center"/>
              <w:rPr>
                <w:rFonts w:ascii="Times New Roman" w:hAnsi="Times New Roman" w:eastAsia="宋体" w:cs="Times New Roman"/>
                <w:caps w:val="0"/>
                <w:smallCaps w:val="0"/>
                <w:color w:val="auto"/>
                <w:spacing w:val="0"/>
                <w:sz w:val="21"/>
                <w:highlight w:val="none"/>
              </w:rPr>
            </w:pPr>
          </w:p>
        </w:tc>
      </w:tr>
      <w:tr w14:paraId="39B0B20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55CF5B4B">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restart"/>
            <w:tcBorders>
              <w:tl2br w:val="nil"/>
              <w:tr2bl w:val="nil"/>
            </w:tcBorders>
            <w:shd w:val="clear" w:color="auto" w:fill="auto"/>
            <w:vAlign w:val="center"/>
          </w:tcPr>
          <w:p w14:paraId="72D42C2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异型组件P6激光废气</w:t>
            </w:r>
          </w:p>
        </w:tc>
        <w:tc>
          <w:tcPr>
            <w:tcW w:w="940" w:type="dxa"/>
            <w:tcBorders>
              <w:tl2br w:val="nil"/>
              <w:tr2bl w:val="nil"/>
            </w:tcBorders>
            <w:shd w:val="clear" w:color="auto" w:fill="auto"/>
            <w:vAlign w:val="center"/>
          </w:tcPr>
          <w:p w14:paraId="14D5602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684" w:type="dxa"/>
            <w:vMerge w:val="restart"/>
            <w:tcBorders>
              <w:tl2br w:val="nil"/>
              <w:tr2bl w:val="nil"/>
            </w:tcBorders>
            <w:shd w:val="clear" w:color="auto" w:fill="auto"/>
            <w:vAlign w:val="center"/>
          </w:tcPr>
          <w:p w14:paraId="1DDEB74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1131</w:t>
            </w:r>
          </w:p>
        </w:tc>
        <w:tc>
          <w:tcPr>
            <w:tcW w:w="767" w:type="dxa"/>
            <w:vMerge w:val="restart"/>
            <w:tcBorders>
              <w:tl2br w:val="nil"/>
              <w:tr2bl w:val="nil"/>
            </w:tcBorders>
            <w:shd w:val="clear" w:color="auto" w:fill="auto"/>
            <w:vAlign w:val="center"/>
          </w:tcPr>
          <w:p w14:paraId="1D0C1CB9">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1706AE6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34.05</w:t>
            </w:r>
          </w:p>
        </w:tc>
        <w:tc>
          <w:tcPr>
            <w:tcW w:w="957" w:type="dxa"/>
            <w:tcBorders>
              <w:tl2br w:val="nil"/>
              <w:tr2bl w:val="nil"/>
            </w:tcBorders>
            <w:shd w:val="clear" w:color="auto" w:fill="auto"/>
            <w:vAlign w:val="center"/>
          </w:tcPr>
          <w:p w14:paraId="5ADA88D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0.00473</w:t>
            </w:r>
          </w:p>
        </w:tc>
        <w:tc>
          <w:tcPr>
            <w:tcW w:w="890" w:type="dxa"/>
            <w:tcBorders>
              <w:tl2br w:val="nil"/>
              <w:tr2bl w:val="nil"/>
            </w:tcBorders>
            <w:shd w:val="clear" w:color="auto" w:fill="auto"/>
            <w:vAlign w:val="center"/>
          </w:tcPr>
          <w:p w14:paraId="0933361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4.18</w:t>
            </w:r>
          </w:p>
        </w:tc>
        <w:tc>
          <w:tcPr>
            <w:tcW w:w="1557" w:type="dxa"/>
            <w:gridSpan w:val="2"/>
            <w:vMerge w:val="restart"/>
            <w:tcBorders>
              <w:tl2br w:val="nil"/>
              <w:tr2bl w:val="nil"/>
            </w:tcBorders>
            <w:shd w:val="clear" w:color="auto" w:fill="auto"/>
            <w:vAlign w:val="center"/>
          </w:tcPr>
          <w:p w14:paraId="6A30132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H13级高效过滤器+H14级高效过滤器</w:t>
            </w:r>
          </w:p>
        </w:tc>
        <w:tc>
          <w:tcPr>
            <w:tcW w:w="793" w:type="dxa"/>
            <w:tcBorders>
              <w:tl2br w:val="nil"/>
              <w:tr2bl w:val="nil"/>
            </w:tcBorders>
            <w:shd w:val="clear" w:color="auto" w:fill="auto"/>
            <w:vAlign w:val="center"/>
          </w:tcPr>
          <w:p w14:paraId="39FFCE7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90.43</w:t>
            </w:r>
          </w:p>
        </w:tc>
        <w:tc>
          <w:tcPr>
            <w:tcW w:w="652" w:type="dxa"/>
            <w:vMerge w:val="restart"/>
            <w:tcBorders>
              <w:tl2br w:val="nil"/>
              <w:tr2bl w:val="nil"/>
            </w:tcBorders>
            <w:shd w:val="clear" w:color="auto" w:fill="auto"/>
            <w:vAlign w:val="center"/>
          </w:tcPr>
          <w:p w14:paraId="7BEC234B">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类比法</w:t>
            </w:r>
          </w:p>
        </w:tc>
        <w:tc>
          <w:tcPr>
            <w:tcW w:w="1056" w:type="dxa"/>
            <w:tcBorders>
              <w:tl2br w:val="nil"/>
              <w:tr2bl w:val="nil"/>
            </w:tcBorders>
            <w:shd w:val="clear" w:color="auto" w:fill="auto"/>
            <w:vAlign w:val="center"/>
          </w:tcPr>
          <w:p w14:paraId="00957488">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3.26</w:t>
            </w:r>
          </w:p>
        </w:tc>
        <w:tc>
          <w:tcPr>
            <w:tcW w:w="681" w:type="dxa"/>
            <w:tcBorders>
              <w:right w:val="single" w:color="auto" w:sz="4" w:space="0"/>
              <w:tl2br w:val="nil"/>
              <w:tr2bl w:val="nil"/>
            </w:tcBorders>
            <w:shd w:val="clear" w:color="auto" w:fill="auto"/>
            <w:vAlign w:val="center"/>
          </w:tcPr>
          <w:p w14:paraId="2DA315FB">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4.52</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702" w:type="dxa"/>
            <w:gridSpan w:val="2"/>
            <w:vMerge w:val="continue"/>
            <w:tcBorders>
              <w:left w:val="single" w:color="auto" w:sz="4" w:space="0"/>
              <w:tl2br w:val="nil"/>
              <w:tr2bl w:val="nil"/>
            </w:tcBorders>
            <w:shd w:val="clear" w:color="auto" w:fill="auto"/>
            <w:vAlign w:val="center"/>
          </w:tcPr>
          <w:p w14:paraId="174EEFC7">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625" w:type="dxa"/>
            <w:gridSpan w:val="2"/>
            <w:tcBorders>
              <w:right w:val="single" w:color="auto" w:sz="4" w:space="0"/>
              <w:tl2br w:val="nil"/>
              <w:tr2bl w:val="nil"/>
            </w:tcBorders>
            <w:shd w:val="clear" w:color="auto" w:fill="auto"/>
            <w:vAlign w:val="center"/>
          </w:tcPr>
          <w:p w14:paraId="50A6EBF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0.4</w:t>
            </w:r>
          </w:p>
        </w:tc>
        <w:tc>
          <w:tcPr>
            <w:tcW w:w="673" w:type="dxa"/>
            <w:vMerge w:val="continue"/>
            <w:tcBorders>
              <w:left w:val="single" w:color="auto" w:sz="4" w:space="0"/>
              <w:tl2br w:val="nil"/>
              <w:tr2bl w:val="nil"/>
            </w:tcBorders>
            <w:shd w:val="clear" w:color="auto" w:fill="auto"/>
            <w:vAlign w:val="center"/>
          </w:tcPr>
          <w:p w14:paraId="44F41D59">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restart"/>
            <w:tcBorders>
              <w:tl2br w:val="nil"/>
              <w:tr2bl w:val="nil"/>
            </w:tcBorders>
            <w:shd w:val="clear" w:color="auto" w:fill="auto"/>
            <w:vAlign w:val="center"/>
          </w:tcPr>
          <w:p w14:paraId="76E6C45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6F26476B">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384CA7A7">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6E756BF5">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666A393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684" w:type="dxa"/>
            <w:vMerge w:val="continue"/>
            <w:tcBorders>
              <w:tl2br w:val="nil"/>
              <w:tr2bl w:val="nil"/>
            </w:tcBorders>
            <w:shd w:val="clear" w:color="auto" w:fill="auto"/>
            <w:vAlign w:val="center"/>
          </w:tcPr>
          <w:p w14:paraId="3C8B434F">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0B5B70E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1B1EE37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15.35</w:t>
            </w:r>
          </w:p>
        </w:tc>
        <w:tc>
          <w:tcPr>
            <w:tcW w:w="957" w:type="dxa"/>
            <w:tcBorders>
              <w:tl2br w:val="nil"/>
              <w:tr2bl w:val="nil"/>
            </w:tcBorders>
            <w:shd w:val="clear" w:color="auto" w:fill="auto"/>
            <w:vAlign w:val="center"/>
          </w:tcPr>
          <w:p w14:paraId="75F9274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0.00204</w:t>
            </w:r>
          </w:p>
        </w:tc>
        <w:tc>
          <w:tcPr>
            <w:tcW w:w="890" w:type="dxa"/>
            <w:tcBorders>
              <w:tl2br w:val="nil"/>
              <w:tr2bl w:val="nil"/>
            </w:tcBorders>
            <w:shd w:val="clear" w:color="auto" w:fill="auto"/>
            <w:vAlign w:val="center"/>
          </w:tcPr>
          <w:p w14:paraId="5326FE4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1.89</w:t>
            </w:r>
          </w:p>
        </w:tc>
        <w:tc>
          <w:tcPr>
            <w:tcW w:w="1557" w:type="dxa"/>
            <w:gridSpan w:val="2"/>
            <w:vMerge w:val="continue"/>
            <w:tcBorders>
              <w:tl2br w:val="nil"/>
              <w:tr2bl w:val="nil"/>
            </w:tcBorders>
            <w:shd w:val="clear" w:color="auto" w:fill="auto"/>
            <w:vAlign w:val="center"/>
          </w:tcPr>
          <w:p w14:paraId="35DE4995">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73A7088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99.99</w:t>
            </w:r>
          </w:p>
        </w:tc>
        <w:tc>
          <w:tcPr>
            <w:tcW w:w="652" w:type="dxa"/>
            <w:vMerge w:val="continue"/>
            <w:tcBorders>
              <w:tl2br w:val="nil"/>
              <w:tr2bl w:val="nil"/>
            </w:tcBorders>
            <w:shd w:val="clear" w:color="auto" w:fill="auto"/>
            <w:vAlign w:val="center"/>
          </w:tcPr>
          <w:p w14:paraId="240B7358">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1056" w:type="dxa"/>
            <w:tcBorders>
              <w:tl2br w:val="nil"/>
              <w:tr2bl w:val="nil"/>
            </w:tcBorders>
            <w:shd w:val="clear" w:color="auto" w:fill="auto"/>
            <w:vAlign w:val="center"/>
          </w:tcPr>
          <w:p w14:paraId="245E25A1">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0.0016</w:t>
            </w:r>
          </w:p>
        </w:tc>
        <w:tc>
          <w:tcPr>
            <w:tcW w:w="681" w:type="dxa"/>
            <w:tcBorders>
              <w:right w:val="single" w:color="auto" w:sz="4" w:space="0"/>
              <w:tl2br w:val="nil"/>
              <w:tr2bl w:val="nil"/>
            </w:tcBorders>
            <w:shd w:val="clear" w:color="auto" w:fill="auto"/>
            <w:vAlign w:val="center"/>
          </w:tcPr>
          <w:p w14:paraId="126D58D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Times New Roman" w:hAnsi="Times New Roman" w:eastAsia="宋体" w:cs="Times New Roman"/>
                <w:caps w:val="0"/>
                <w:smallCaps w:val="0"/>
                <w:color w:val="auto"/>
                <w:spacing w:val="0"/>
                <w:kern w:val="0"/>
                <w:sz w:val="21"/>
                <w:highlight w:val="none"/>
                <w:lang w:val="en-US" w:eastAsia="zh-CN" w:bidi="ar"/>
              </w:rPr>
              <w:t>2.26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702" w:type="dxa"/>
            <w:gridSpan w:val="2"/>
            <w:vMerge w:val="continue"/>
            <w:tcBorders>
              <w:left w:val="single" w:color="auto" w:sz="4" w:space="0"/>
              <w:tl2br w:val="nil"/>
              <w:tr2bl w:val="nil"/>
            </w:tcBorders>
            <w:shd w:val="clear" w:color="auto" w:fill="auto"/>
            <w:vAlign w:val="center"/>
          </w:tcPr>
          <w:p w14:paraId="1E45445C">
            <w:pPr>
              <w:keepNext w:val="0"/>
              <w:keepLines w:val="0"/>
              <w:widowControl/>
              <w:suppressLineNumbers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625" w:type="dxa"/>
            <w:gridSpan w:val="2"/>
            <w:tcBorders>
              <w:right w:val="single" w:color="auto" w:sz="4" w:space="0"/>
              <w:tl2br w:val="nil"/>
              <w:tr2bl w:val="nil"/>
            </w:tcBorders>
            <w:shd w:val="clear" w:color="auto" w:fill="auto"/>
            <w:vAlign w:val="center"/>
          </w:tcPr>
          <w:p w14:paraId="41CA902B">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0.0002</w:t>
            </w:r>
          </w:p>
        </w:tc>
        <w:tc>
          <w:tcPr>
            <w:tcW w:w="673" w:type="dxa"/>
            <w:vMerge w:val="continue"/>
            <w:tcBorders>
              <w:left w:val="single" w:color="auto" w:sz="4" w:space="0"/>
              <w:tl2br w:val="nil"/>
              <w:tr2bl w:val="nil"/>
            </w:tcBorders>
            <w:shd w:val="clear" w:color="auto" w:fill="auto"/>
            <w:vAlign w:val="center"/>
          </w:tcPr>
          <w:p w14:paraId="07E5D64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p>
        </w:tc>
        <w:tc>
          <w:tcPr>
            <w:tcW w:w="502" w:type="dxa"/>
            <w:vMerge w:val="continue"/>
            <w:tcBorders>
              <w:tl2br w:val="nil"/>
              <w:tr2bl w:val="nil"/>
            </w:tcBorders>
            <w:shd w:val="clear" w:color="auto" w:fill="auto"/>
            <w:vAlign w:val="center"/>
          </w:tcPr>
          <w:p w14:paraId="6D96A466">
            <w:pPr>
              <w:widowControl w:val="0"/>
              <w:snapToGrid w:val="0"/>
              <w:jc w:val="center"/>
              <w:rPr>
                <w:rFonts w:ascii="Times New Roman" w:hAnsi="Times New Roman" w:eastAsia="宋体" w:cs="Times New Roman"/>
                <w:caps w:val="0"/>
                <w:smallCaps w:val="0"/>
                <w:color w:val="auto"/>
                <w:spacing w:val="0"/>
                <w:sz w:val="21"/>
                <w:highlight w:val="none"/>
              </w:rPr>
            </w:pPr>
          </w:p>
        </w:tc>
      </w:tr>
      <w:tr w14:paraId="21C8CCD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tcBorders>
              <w:tl2br w:val="nil"/>
              <w:tr2bl w:val="nil"/>
            </w:tcBorders>
            <w:shd w:val="clear" w:color="auto" w:fill="auto"/>
            <w:vAlign w:val="center"/>
          </w:tcPr>
          <w:p w14:paraId="156A494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DA007</w:t>
            </w:r>
          </w:p>
        </w:tc>
        <w:tc>
          <w:tcPr>
            <w:tcW w:w="1286" w:type="dxa"/>
            <w:tcBorders>
              <w:tl2br w:val="nil"/>
              <w:tr2bl w:val="nil"/>
            </w:tcBorders>
            <w:shd w:val="clear" w:color="auto" w:fill="auto"/>
            <w:vAlign w:val="center"/>
          </w:tcPr>
          <w:p w14:paraId="6001CF8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光刻胶涂覆曝光固化废气</w:t>
            </w:r>
          </w:p>
        </w:tc>
        <w:tc>
          <w:tcPr>
            <w:tcW w:w="940" w:type="dxa"/>
            <w:tcBorders>
              <w:tl2br w:val="nil"/>
              <w:tr2bl w:val="nil"/>
            </w:tcBorders>
            <w:shd w:val="clear" w:color="auto" w:fill="auto"/>
            <w:vAlign w:val="center"/>
          </w:tcPr>
          <w:p w14:paraId="1420B50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非甲烷总烃</w:t>
            </w:r>
          </w:p>
        </w:tc>
        <w:tc>
          <w:tcPr>
            <w:tcW w:w="684" w:type="dxa"/>
            <w:tcBorders>
              <w:tl2br w:val="nil"/>
              <w:tr2bl w:val="nil"/>
            </w:tcBorders>
            <w:shd w:val="clear" w:color="auto" w:fill="auto"/>
            <w:vAlign w:val="center"/>
          </w:tcPr>
          <w:p w14:paraId="01E7CB3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4506</w:t>
            </w:r>
          </w:p>
        </w:tc>
        <w:tc>
          <w:tcPr>
            <w:tcW w:w="767" w:type="dxa"/>
            <w:tcBorders>
              <w:tl2br w:val="nil"/>
              <w:tr2bl w:val="nil"/>
            </w:tcBorders>
            <w:shd w:val="clear" w:color="auto" w:fill="auto"/>
            <w:vAlign w:val="center"/>
          </w:tcPr>
          <w:p w14:paraId="7869017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产物系数</w:t>
            </w:r>
          </w:p>
        </w:tc>
        <w:tc>
          <w:tcPr>
            <w:tcW w:w="849" w:type="dxa"/>
            <w:tcBorders>
              <w:tl2br w:val="nil"/>
              <w:tr2bl w:val="nil"/>
            </w:tcBorders>
            <w:shd w:val="clear" w:color="auto" w:fill="auto"/>
            <w:vAlign w:val="center"/>
          </w:tcPr>
          <w:p w14:paraId="5D960FD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791</w:t>
            </w:r>
          </w:p>
        </w:tc>
        <w:tc>
          <w:tcPr>
            <w:tcW w:w="957" w:type="dxa"/>
            <w:tcBorders>
              <w:tl2br w:val="nil"/>
              <w:tr2bl w:val="nil"/>
            </w:tcBorders>
            <w:shd w:val="clear" w:color="auto" w:fill="auto"/>
            <w:vAlign w:val="center"/>
          </w:tcPr>
          <w:p w14:paraId="4F2377F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0.110</w:t>
            </w:r>
          </w:p>
        </w:tc>
        <w:tc>
          <w:tcPr>
            <w:tcW w:w="890" w:type="dxa"/>
            <w:tcBorders>
              <w:tl2br w:val="nil"/>
              <w:tr2bl w:val="nil"/>
            </w:tcBorders>
            <w:shd w:val="clear" w:color="auto" w:fill="auto"/>
            <w:vAlign w:val="center"/>
          </w:tcPr>
          <w:p w14:paraId="054EBB5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24.37</w:t>
            </w:r>
          </w:p>
        </w:tc>
        <w:tc>
          <w:tcPr>
            <w:tcW w:w="949" w:type="dxa"/>
            <w:tcBorders>
              <w:tl2br w:val="nil"/>
              <w:tr2bl w:val="nil"/>
            </w:tcBorders>
            <w:shd w:val="clear" w:color="auto" w:fill="auto"/>
            <w:vAlign w:val="center"/>
          </w:tcPr>
          <w:p w14:paraId="641B78A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全封闭设备负压收集</w:t>
            </w:r>
          </w:p>
        </w:tc>
        <w:tc>
          <w:tcPr>
            <w:tcW w:w="608" w:type="dxa"/>
            <w:tcBorders>
              <w:tl2br w:val="nil"/>
              <w:tr2bl w:val="nil"/>
            </w:tcBorders>
            <w:shd w:val="clear" w:color="auto" w:fill="auto"/>
            <w:vAlign w:val="center"/>
          </w:tcPr>
          <w:p w14:paraId="729A090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两级活性炭吸附</w:t>
            </w:r>
          </w:p>
        </w:tc>
        <w:tc>
          <w:tcPr>
            <w:tcW w:w="793" w:type="dxa"/>
            <w:tcBorders>
              <w:tl2br w:val="nil"/>
              <w:tr2bl w:val="nil"/>
            </w:tcBorders>
            <w:shd w:val="clear" w:color="auto" w:fill="auto"/>
            <w:vAlign w:val="center"/>
          </w:tcPr>
          <w:p w14:paraId="529669B0">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90</w:t>
            </w:r>
          </w:p>
        </w:tc>
        <w:tc>
          <w:tcPr>
            <w:tcW w:w="652" w:type="dxa"/>
            <w:tcBorders>
              <w:tl2br w:val="nil"/>
              <w:tr2bl w:val="nil"/>
            </w:tcBorders>
            <w:shd w:val="clear" w:color="auto" w:fill="auto"/>
            <w:vAlign w:val="center"/>
          </w:tcPr>
          <w:p w14:paraId="355D052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产物系数</w:t>
            </w:r>
          </w:p>
        </w:tc>
        <w:tc>
          <w:tcPr>
            <w:tcW w:w="1056" w:type="dxa"/>
            <w:tcBorders>
              <w:tl2br w:val="nil"/>
              <w:tr2bl w:val="nil"/>
            </w:tcBorders>
            <w:shd w:val="clear" w:color="auto" w:fill="auto"/>
            <w:vAlign w:val="center"/>
          </w:tcPr>
          <w:p w14:paraId="11247E0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79.16</w:t>
            </w:r>
          </w:p>
        </w:tc>
        <w:tc>
          <w:tcPr>
            <w:tcW w:w="1383" w:type="dxa"/>
            <w:gridSpan w:val="3"/>
            <w:tcBorders>
              <w:tl2br w:val="nil"/>
              <w:tr2bl w:val="nil"/>
            </w:tcBorders>
            <w:shd w:val="clear" w:color="auto" w:fill="auto"/>
            <w:vAlign w:val="center"/>
          </w:tcPr>
          <w:p w14:paraId="3BCE6D9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w:t>
            </w:r>
            <w:r>
              <w:rPr>
                <w:rFonts w:hint="eastAsia" w:ascii="Times New Roman" w:hAnsi="Times New Roman" w:eastAsia="宋体" w:cs="Times New Roman"/>
                <w:caps w:val="0"/>
                <w:smallCaps w:val="0"/>
                <w:color w:val="auto"/>
                <w:spacing w:val="0"/>
                <w:kern w:val="0"/>
                <w:sz w:val="21"/>
                <w:highlight w:val="none"/>
                <w:lang w:bidi="ar"/>
              </w:rPr>
              <w:t>11</w:t>
            </w:r>
            <w:r>
              <w:rPr>
                <w:rFonts w:ascii="Times New Roman" w:hAnsi="Times New Roman" w:eastAsia="宋体" w:cs="Times New Roman"/>
                <w:caps w:val="0"/>
                <w:smallCaps w:val="0"/>
                <w:color w:val="auto"/>
                <w:spacing w:val="0"/>
                <w:kern w:val="0"/>
                <w:sz w:val="21"/>
                <w:highlight w:val="none"/>
                <w:lang w:bidi="ar"/>
              </w:rPr>
              <w:t>0</w:t>
            </w:r>
          </w:p>
        </w:tc>
        <w:tc>
          <w:tcPr>
            <w:tcW w:w="1298" w:type="dxa"/>
            <w:gridSpan w:val="3"/>
            <w:tcBorders>
              <w:tl2br w:val="nil"/>
              <w:tr2bl w:val="nil"/>
            </w:tcBorders>
            <w:shd w:val="clear" w:color="auto" w:fill="auto"/>
            <w:vAlign w:val="center"/>
          </w:tcPr>
          <w:p w14:paraId="68C14A4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2.44</w:t>
            </w:r>
          </w:p>
        </w:tc>
        <w:tc>
          <w:tcPr>
            <w:tcW w:w="502" w:type="dxa"/>
            <w:tcBorders>
              <w:tl2br w:val="nil"/>
              <w:tr2bl w:val="nil"/>
            </w:tcBorders>
            <w:shd w:val="clear" w:color="auto" w:fill="auto"/>
            <w:vAlign w:val="center"/>
          </w:tcPr>
          <w:p w14:paraId="5CCB8E8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0616048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2DD76CB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DA00</w:t>
            </w:r>
            <w:r>
              <w:rPr>
                <w:rFonts w:hint="eastAsia" w:ascii="Times New Roman" w:hAnsi="Times New Roman" w:eastAsia="宋体" w:cs="Times New Roman"/>
                <w:caps w:val="0"/>
                <w:smallCaps w:val="0"/>
                <w:color w:val="auto"/>
                <w:spacing w:val="0"/>
                <w:kern w:val="0"/>
                <w:sz w:val="21"/>
                <w:highlight w:val="none"/>
                <w:lang w:val="en-US" w:eastAsia="zh-CN" w:bidi="ar"/>
              </w:rPr>
              <w:t>8</w:t>
            </w:r>
          </w:p>
        </w:tc>
        <w:tc>
          <w:tcPr>
            <w:tcW w:w="1286" w:type="dxa"/>
            <w:vMerge w:val="restart"/>
            <w:tcBorders>
              <w:tl2br w:val="nil"/>
              <w:tr2bl w:val="nil"/>
            </w:tcBorders>
            <w:shd w:val="clear" w:color="auto" w:fill="auto"/>
            <w:vAlign w:val="center"/>
          </w:tcPr>
          <w:p w14:paraId="04DCEB1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活化层清洗蚀刻废气</w:t>
            </w:r>
          </w:p>
        </w:tc>
        <w:tc>
          <w:tcPr>
            <w:tcW w:w="940" w:type="dxa"/>
            <w:tcBorders>
              <w:tl2br w:val="nil"/>
              <w:tr2bl w:val="nil"/>
            </w:tcBorders>
            <w:shd w:val="clear" w:color="auto" w:fill="auto"/>
            <w:vAlign w:val="center"/>
          </w:tcPr>
          <w:p w14:paraId="3EB523F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氮氧化物</w:t>
            </w:r>
          </w:p>
        </w:tc>
        <w:tc>
          <w:tcPr>
            <w:tcW w:w="684" w:type="dxa"/>
            <w:vMerge w:val="restart"/>
            <w:tcBorders>
              <w:tl2br w:val="nil"/>
              <w:tr2bl w:val="nil"/>
            </w:tcBorders>
            <w:shd w:val="clear" w:color="auto" w:fill="auto"/>
            <w:vAlign w:val="center"/>
          </w:tcPr>
          <w:p w14:paraId="020F1A4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3786</w:t>
            </w:r>
          </w:p>
        </w:tc>
        <w:tc>
          <w:tcPr>
            <w:tcW w:w="767" w:type="dxa"/>
            <w:vMerge w:val="restart"/>
            <w:tcBorders>
              <w:tl2br w:val="nil"/>
              <w:tr2bl w:val="nil"/>
            </w:tcBorders>
            <w:shd w:val="clear" w:color="auto" w:fill="auto"/>
            <w:vAlign w:val="center"/>
          </w:tcPr>
          <w:p w14:paraId="089BC1E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产物系数</w:t>
            </w:r>
          </w:p>
        </w:tc>
        <w:tc>
          <w:tcPr>
            <w:tcW w:w="849" w:type="dxa"/>
            <w:tcBorders>
              <w:tl2br w:val="nil"/>
              <w:tr2bl w:val="nil"/>
            </w:tcBorders>
            <w:shd w:val="clear" w:color="auto" w:fill="auto"/>
            <w:vAlign w:val="center"/>
          </w:tcPr>
          <w:p w14:paraId="722DBB1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343.0</w:t>
            </w:r>
          </w:p>
        </w:tc>
        <w:tc>
          <w:tcPr>
            <w:tcW w:w="957" w:type="dxa"/>
            <w:tcBorders>
              <w:tl2br w:val="nil"/>
              <w:tr2bl w:val="nil"/>
            </w:tcBorders>
            <w:shd w:val="clear" w:color="auto" w:fill="auto"/>
            <w:vAlign w:val="center"/>
          </w:tcPr>
          <w:p w14:paraId="6CD4586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0.0476</w:t>
            </w:r>
          </w:p>
        </w:tc>
        <w:tc>
          <w:tcPr>
            <w:tcW w:w="890" w:type="dxa"/>
            <w:tcBorders>
              <w:tl2br w:val="nil"/>
              <w:tr2bl w:val="nil"/>
            </w:tcBorders>
            <w:shd w:val="clear" w:color="auto" w:fill="auto"/>
            <w:vAlign w:val="center"/>
          </w:tcPr>
          <w:p w14:paraId="19C483D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12</w:t>
            </w:r>
            <w:r>
              <w:rPr>
                <w:rFonts w:hint="eastAsia" w:ascii="Times New Roman" w:hAnsi="Times New Roman" w:eastAsia="宋体" w:cs="Times New Roman"/>
                <w:caps w:val="0"/>
                <w:smallCaps w:val="0"/>
                <w:color w:val="auto"/>
                <w:spacing w:val="0"/>
                <w:kern w:val="0"/>
                <w:sz w:val="21"/>
                <w:highlight w:val="none"/>
                <w:lang w:val="en-US" w:eastAsia="zh-CN" w:bidi="ar"/>
              </w:rPr>
              <w:t>.585</w:t>
            </w:r>
          </w:p>
        </w:tc>
        <w:tc>
          <w:tcPr>
            <w:tcW w:w="949" w:type="dxa"/>
            <w:vMerge w:val="restart"/>
            <w:tcBorders>
              <w:tl2br w:val="nil"/>
              <w:tr2bl w:val="nil"/>
            </w:tcBorders>
            <w:shd w:val="clear" w:color="auto" w:fill="auto"/>
            <w:vAlign w:val="center"/>
          </w:tcPr>
          <w:p w14:paraId="2A57CB6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全封闭设备收集</w:t>
            </w:r>
          </w:p>
        </w:tc>
        <w:tc>
          <w:tcPr>
            <w:tcW w:w="608" w:type="dxa"/>
            <w:vMerge w:val="restart"/>
            <w:tcBorders>
              <w:tl2br w:val="nil"/>
              <w:tr2bl w:val="nil"/>
            </w:tcBorders>
            <w:shd w:val="clear" w:color="auto" w:fill="auto"/>
            <w:vAlign w:val="center"/>
          </w:tcPr>
          <w:p w14:paraId="23A1ED4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二级碱液喷淋塔+活性炭吸附</w:t>
            </w:r>
          </w:p>
        </w:tc>
        <w:tc>
          <w:tcPr>
            <w:tcW w:w="793" w:type="dxa"/>
            <w:vMerge w:val="restart"/>
            <w:tcBorders>
              <w:tl2br w:val="nil"/>
              <w:tr2bl w:val="nil"/>
            </w:tcBorders>
            <w:shd w:val="clear" w:color="auto" w:fill="auto"/>
            <w:vAlign w:val="center"/>
          </w:tcPr>
          <w:p w14:paraId="08C10EEC">
            <w:pPr>
              <w:widowControl w:val="0"/>
              <w:snapToGrid w:val="0"/>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80</w:t>
            </w:r>
          </w:p>
        </w:tc>
        <w:tc>
          <w:tcPr>
            <w:tcW w:w="652" w:type="dxa"/>
            <w:vMerge w:val="restart"/>
            <w:tcBorders>
              <w:tl2br w:val="nil"/>
              <w:tr2bl w:val="nil"/>
            </w:tcBorders>
            <w:shd w:val="clear" w:color="auto" w:fill="auto"/>
            <w:vAlign w:val="center"/>
          </w:tcPr>
          <w:p w14:paraId="70B5988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产物系数</w:t>
            </w:r>
          </w:p>
        </w:tc>
        <w:tc>
          <w:tcPr>
            <w:tcW w:w="1056" w:type="dxa"/>
            <w:tcBorders>
              <w:tl2br w:val="nil"/>
              <w:tr2bl w:val="nil"/>
            </w:tcBorders>
            <w:shd w:val="clear" w:color="auto" w:fill="auto"/>
            <w:vAlign w:val="center"/>
          </w:tcPr>
          <w:p w14:paraId="4DE2F1FD">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68.6</w:t>
            </w:r>
          </w:p>
        </w:tc>
        <w:tc>
          <w:tcPr>
            <w:tcW w:w="1383" w:type="dxa"/>
            <w:gridSpan w:val="3"/>
            <w:tcBorders>
              <w:tl2br w:val="nil"/>
              <w:tr2bl w:val="nil"/>
            </w:tcBorders>
            <w:shd w:val="clear" w:color="auto" w:fill="auto"/>
            <w:vAlign w:val="center"/>
          </w:tcPr>
          <w:p w14:paraId="44EEF5C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0.00953</w:t>
            </w:r>
          </w:p>
        </w:tc>
        <w:tc>
          <w:tcPr>
            <w:tcW w:w="1298" w:type="dxa"/>
            <w:gridSpan w:val="3"/>
            <w:tcBorders>
              <w:tl2br w:val="nil"/>
              <w:tr2bl w:val="nil"/>
            </w:tcBorders>
            <w:shd w:val="clear" w:color="auto" w:fill="auto"/>
            <w:vAlign w:val="center"/>
          </w:tcPr>
          <w:p w14:paraId="22854681">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2.52</w:t>
            </w:r>
          </w:p>
        </w:tc>
        <w:tc>
          <w:tcPr>
            <w:tcW w:w="502" w:type="dxa"/>
            <w:tcBorders>
              <w:tl2br w:val="nil"/>
              <w:tr2bl w:val="nil"/>
            </w:tcBorders>
            <w:shd w:val="clear" w:color="auto" w:fill="auto"/>
            <w:vAlign w:val="center"/>
          </w:tcPr>
          <w:p w14:paraId="0F6F896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7200</w:t>
            </w:r>
          </w:p>
        </w:tc>
      </w:tr>
      <w:tr w14:paraId="3A258D0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5FA503D2">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286" w:type="dxa"/>
            <w:vMerge w:val="continue"/>
            <w:tcBorders>
              <w:tl2br w:val="nil"/>
              <w:tr2bl w:val="nil"/>
            </w:tcBorders>
            <w:shd w:val="clear" w:color="auto" w:fill="auto"/>
            <w:vAlign w:val="center"/>
          </w:tcPr>
          <w:p w14:paraId="19A17C31">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40" w:type="dxa"/>
            <w:tcBorders>
              <w:tl2br w:val="nil"/>
              <w:tr2bl w:val="nil"/>
            </w:tcBorders>
            <w:shd w:val="clear" w:color="auto" w:fill="auto"/>
            <w:vAlign w:val="center"/>
          </w:tcPr>
          <w:p w14:paraId="6A4B894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氯化氢</w:t>
            </w:r>
          </w:p>
        </w:tc>
        <w:tc>
          <w:tcPr>
            <w:tcW w:w="684" w:type="dxa"/>
            <w:vMerge w:val="continue"/>
            <w:tcBorders>
              <w:tl2br w:val="nil"/>
              <w:tr2bl w:val="nil"/>
            </w:tcBorders>
            <w:shd w:val="clear" w:color="auto" w:fill="auto"/>
            <w:vAlign w:val="center"/>
          </w:tcPr>
          <w:p w14:paraId="35E0D019">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67" w:type="dxa"/>
            <w:vMerge w:val="continue"/>
            <w:tcBorders>
              <w:tl2br w:val="nil"/>
              <w:tr2bl w:val="nil"/>
            </w:tcBorders>
            <w:shd w:val="clear" w:color="auto" w:fill="auto"/>
            <w:vAlign w:val="center"/>
          </w:tcPr>
          <w:p w14:paraId="60F4B35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2A48801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55.0</w:t>
            </w:r>
          </w:p>
        </w:tc>
        <w:tc>
          <w:tcPr>
            <w:tcW w:w="957" w:type="dxa"/>
            <w:tcBorders>
              <w:tl2br w:val="nil"/>
              <w:tr2bl w:val="nil"/>
            </w:tcBorders>
            <w:shd w:val="clear" w:color="auto" w:fill="auto"/>
            <w:vAlign w:val="center"/>
          </w:tcPr>
          <w:p w14:paraId="36EF84E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0.00764</w:t>
            </w:r>
          </w:p>
        </w:tc>
        <w:tc>
          <w:tcPr>
            <w:tcW w:w="890" w:type="dxa"/>
            <w:tcBorders>
              <w:tl2br w:val="nil"/>
              <w:tr2bl w:val="nil"/>
            </w:tcBorders>
            <w:shd w:val="clear" w:color="auto" w:fill="auto"/>
            <w:vAlign w:val="center"/>
          </w:tcPr>
          <w:p w14:paraId="0DCBF88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2.02</w:t>
            </w:r>
          </w:p>
        </w:tc>
        <w:tc>
          <w:tcPr>
            <w:tcW w:w="949" w:type="dxa"/>
            <w:vMerge w:val="continue"/>
            <w:tcBorders>
              <w:tl2br w:val="nil"/>
              <w:tr2bl w:val="nil"/>
            </w:tcBorders>
            <w:shd w:val="clear" w:color="auto" w:fill="auto"/>
            <w:vAlign w:val="center"/>
          </w:tcPr>
          <w:p w14:paraId="6B074190">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08" w:type="dxa"/>
            <w:vMerge w:val="continue"/>
            <w:tcBorders>
              <w:tl2br w:val="nil"/>
              <w:tr2bl w:val="nil"/>
            </w:tcBorders>
            <w:shd w:val="clear" w:color="auto" w:fill="auto"/>
            <w:vAlign w:val="center"/>
          </w:tcPr>
          <w:p w14:paraId="118501EF">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93" w:type="dxa"/>
            <w:vMerge w:val="continue"/>
            <w:tcBorders>
              <w:tl2br w:val="nil"/>
              <w:tr2bl w:val="nil"/>
            </w:tcBorders>
            <w:shd w:val="clear" w:color="auto" w:fill="auto"/>
            <w:vAlign w:val="center"/>
          </w:tcPr>
          <w:p w14:paraId="07F8741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52" w:type="dxa"/>
            <w:vMerge w:val="continue"/>
            <w:tcBorders>
              <w:tl2br w:val="nil"/>
              <w:tr2bl w:val="nil"/>
            </w:tcBorders>
            <w:shd w:val="clear" w:color="auto" w:fill="auto"/>
            <w:vAlign w:val="center"/>
          </w:tcPr>
          <w:p w14:paraId="460978E1">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56" w:type="dxa"/>
            <w:tcBorders>
              <w:tl2br w:val="nil"/>
              <w:tr2bl w:val="nil"/>
            </w:tcBorders>
            <w:shd w:val="clear" w:color="auto" w:fill="auto"/>
            <w:vAlign w:val="center"/>
          </w:tcPr>
          <w:p w14:paraId="6EB4AC32">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11.0</w:t>
            </w:r>
          </w:p>
        </w:tc>
        <w:tc>
          <w:tcPr>
            <w:tcW w:w="1383" w:type="dxa"/>
            <w:gridSpan w:val="3"/>
            <w:tcBorders>
              <w:tl2br w:val="nil"/>
              <w:tr2bl w:val="nil"/>
            </w:tcBorders>
            <w:shd w:val="clear" w:color="auto" w:fill="auto"/>
            <w:vAlign w:val="center"/>
          </w:tcPr>
          <w:p w14:paraId="16F950C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0.00153</w:t>
            </w:r>
          </w:p>
        </w:tc>
        <w:tc>
          <w:tcPr>
            <w:tcW w:w="1298" w:type="dxa"/>
            <w:gridSpan w:val="3"/>
            <w:tcBorders>
              <w:tl2br w:val="nil"/>
              <w:tr2bl w:val="nil"/>
            </w:tcBorders>
            <w:shd w:val="clear" w:color="auto" w:fill="auto"/>
            <w:vAlign w:val="center"/>
          </w:tcPr>
          <w:p w14:paraId="533F4BD1">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0.404</w:t>
            </w:r>
          </w:p>
        </w:tc>
        <w:tc>
          <w:tcPr>
            <w:tcW w:w="502" w:type="dxa"/>
            <w:tcBorders>
              <w:tl2br w:val="nil"/>
              <w:tr2bl w:val="nil"/>
            </w:tcBorders>
            <w:shd w:val="clear" w:color="auto" w:fill="auto"/>
            <w:vAlign w:val="center"/>
          </w:tcPr>
          <w:p w14:paraId="4FE7988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7200</w:t>
            </w:r>
          </w:p>
        </w:tc>
      </w:tr>
      <w:tr w14:paraId="6898F749">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43DAAA12">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286" w:type="dxa"/>
            <w:vMerge w:val="restart"/>
            <w:tcBorders>
              <w:tl2br w:val="nil"/>
              <w:tr2bl w:val="nil"/>
            </w:tcBorders>
            <w:shd w:val="clear" w:color="auto" w:fill="auto"/>
            <w:vAlign w:val="center"/>
          </w:tcPr>
          <w:p w14:paraId="0F0E27E8">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rPr>
              <w:t>污水处理站废气</w:t>
            </w:r>
          </w:p>
        </w:tc>
        <w:tc>
          <w:tcPr>
            <w:tcW w:w="940" w:type="dxa"/>
            <w:tcBorders>
              <w:tl2br w:val="nil"/>
              <w:tr2bl w:val="nil"/>
            </w:tcBorders>
            <w:shd w:val="clear" w:color="auto" w:fill="auto"/>
            <w:vAlign w:val="center"/>
          </w:tcPr>
          <w:p w14:paraId="6030FF6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H</w:t>
            </w:r>
            <w:r>
              <w:rPr>
                <w:rFonts w:hint="eastAsia" w:ascii="Times New Roman" w:hAnsi="Times New Roman" w:eastAsia="宋体" w:cs="Times New Roman"/>
                <w:caps w:val="0"/>
                <w:smallCaps w:val="0"/>
                <w:color w:val="auto"/>
                <w:spacing w:val="0"/>
                <w:kern w:val="0"/>
                <w:sz w:val="21"/>
                <w:highlight w:val="none"/>
                <w:vertAlign w:val="subscript"/>
                <w:lang w:bidi="ar"/>
              </w:rPr>
              <w:t>2</w:t>
            </w:r>
            <w:r>
              <w:rPr>
                <w:rFonts w:hint="eastAsia" w:ascii="Times New Roman" w:hAnsi="Times New Roman" w:eastAsia="宋体" w:cs="Times New Roman"/>
                <w:caps w:val="0"/>
                <w:smallCaps w:val="0"/>
                <w:color w:val="auto"/>
                <w:spacing w:val="0"/>
                <w:kern w:val="0"/>
                <w:sz w:val="21"/>
                <w:highlight w:val="none"/>
                <w:lang w:bidi="ar"/>
              </w:rPr>
              <w:t>S</w:t>
            </w:r>
          </w:p>
        </w:tc>
        <w:tc>
          <w:tcPr>
            <w:tcW w:w="684" w:type="dxa"/>
            <w:vMerge w:val="continue"/>
            <w:tcBorders>
              <w:tl2br w:val="nil"/>
              <w:tr2bl w:val="nil"/>
            </w:tcBorders>
            <w:shd w:val="clear" w:color="auto" w:fill="auto"/>
            <w:vAlign w:val="center"/>
          </w:tcPr>
          <w:p w14:paraId="35C96BD1">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67" w:type="dxa"/>
            <w:vMerge w:val="continue"/>
            <w:tcBorders>
              <w:tl2br w:val="nil"/>
              <w:tr2bl w:val="nil"/>
            </w:tcBorders>
            <w:shd w:val="clear" w:color="auto" w:fill="auto"/>
            <w:vAlign w:val="center"/>
          </w:tcPr>
          <w:p w14:paraId="7A8BBEAC">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56CDE26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0.0116</w:t>
            </w:r>
          </w:p>
        </w:tc>
        <w:tc>
          <w:tcPr>
            <w:tcW w:w="957" w:type="dxa"/>
            <w:tcBorders>
              <w:tl2br w:val="nil"/>
              <w:tr2bl w:val="nil"/>
            </w:tcBorders>
            <w:shd w:val="clear" w:color="auto" w:fill="auto"/>
            <w:vAlign w:val="center"/>
          </w:tcPr>
          <w:p w14:paraId="4C8FC95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1.61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890" w:type="dxa"/>
            <w:tcBorders>
              <w:tl2br w:val="nil"/>
              <w:tr2bl w:val="nil"/>
            </w:tcBorders>
            <w:shd w:val="clear" w:color="auto" w:fill="auto"/>
            <w:vAlign w:val="center"/>
          </w:tcPr>
          <w:p w14:paraId="62CCAC4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0.000425</w:t>
            </w:r>
          </w:p>
        </w:tc>
        <w:tc>
          <w:tcPr>
            <w:tcW w:w="949" w:type="dxa"/>
            <w:vMerge w:val="restart"/>
            <w:tcBorders>
              <w:tl2br w:val="nil"/>
              <w:tr2bl w:val="nil"/>
            </w:tcBorders>
            <w:shd w:val="clear" w:color="auto" w:fill="auto"/>
            <w:vAlign w:val="center"/>
          </w:tcPr>
          <w:p w14:paraId="511B0EA4">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rPr>
              <w:t>负压收集（收集效率95%）</w:t>
            </w:r>
          </w:p>
        </w:tc>
        <w:tc>
          <w:tcPr>
            <w:tcW w:w="608" w:type="dxa"/>
            <w:vMerge w:val="continue"/>
            <w:tcBorders>
              <w:tl2br w:val="nil"/>
              <w:tr2bl w:val="nil"/>
            </w:tcBorders>
            <w:shd w:val="clear" w:color="auto" w:fill="auto"/>
            <w:vAlign w:val="center"/>
          </w:tcPr>
          <w:p w14:paraId="2F774DFC">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93" w:type="dxa"/>
            <w:vMerge w:val="continue"/>
            <w:tcBorders>
              <w:tl2br w:val="nil"/>
              <w:tr2bl w:val="nil"/>
            </w:tcBorders>
            <w:shd w:val="clear" w:color="auto" w:fill="auto"/>
            <w:vAlign w:val="center"/>
          </w:tcPr>
          <w:p w14:paraId="6754BDC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52" w:type="dxa"/>
            <w:vMerge w:val="continue"/>
            <w:tcBorders>
              <w:tl2br w:val="nil"/>
              <w:tr2bl w:val="nil"/>
            </w:tcBorders>
            <w:shd w:val="clear" w:color="auto" w:fill="auto"/>
            <w:vAlign w:val="center"/>
          </w:tcPr>
          <w:p w14:paraId="4EC00D8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56" w:type="dxa"/>
            <w:tcBorders>
              <w:tl2br w:val="nil"/>
              <w:tr2bl w:val="nil"/>
            </w:tcBorders>
            <w:shd w:val="clear" w:color="auto" w:fill="auto"/>
            <w:vAlign w:val="center"/>
          </w:tcPr>
          <w:p w14:paraId="10326589">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0.00220</w:t>
            </w:r>
          </w:p>
        </w:tc>
        <w:tc>
          <w:tcPr>
            <w:tcW w:w="1383" w:type="dxa"/>
            <w:gridSpan w:val="3"/>
            <w:tcBorders>
              <w:tl2br w:val="nil"/>
              <w:tr2bl w:val="nil"/>
            </w:tcBorders>
            <w:shd w:val="clear" w:color="auto" w:fill="auto"/>
            <w:vAlign w:val="center"/>
          </w:tcPr>
          <w:p w14:paraId="7318AD7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3.06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7</w:t>
            </w:r>
          </w:p>
        </w:tc>
        <w:tc>
          <w:tcPr>
            <w:tcW w:w="1298" w:type="dxa"/>
            <w:gridSpan w:val="3"/>
            <w:tcBorders>
              <w:tl2br w:val="nil"/>
              <w:tr2bl w:val="nil"/>
            </w:tcBorders>
            <w:shd w:val="clear" w:color="auto" w:fill="auto"/>
            <w:vAlign w:val="center"/>
          </w:tcPr>
          <w:p w14:paraId="6139F10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8.08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5</w:t>
            </w:r>
          </w:p>
        </w:tc>
        <w:tc>
          <w:tcPr>
            <w:tcW w:w="502" w:type="dxa"/>
            <w:tcBorders>
              <w:tl2br w:val="nil"/>
              <w:tr2bl w:val="nil"/>
            </w:tcBorders>
            <w:shd w:val="clear" w:color="auto" w:fill="auto"/>
            <w:vAlign w:val="center"/>
          </w:tcPr>
          <w:p w14:paraId="4C2F193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7200</w:t>
            </w:r>
          </w:p>
        </w:tc>
      </w:tr>
      <w:tr w14:paraId="521098C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22B36868">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286" w:type="dxa"/>
            <w:vMerge w:val="continue"/>
            <w:tcBorders>
              <w:tl2br w:val="nil"/>
              <w:tr2bl w:val="nil"/>
            </w:tcBorders>
            <w:shd w:val="clear" w:color="auto" w:fill="auto"/>
            <w:vAlign w:val="center"/>
          </w:tcPr>
          <w:p w14:paraId="78B933E9">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40" w:type="dxa"/>
            <w:tcBorders>
              <w:tl2br w:val="nil"/>
              <w:tr2bl w:val="nil"/>
            </w:tcBorders>
            <w:shd w:val="clear" w:color="auto" w:fill="auto"/>
            <w:vAlign w:val="center"/>
          </w:tcPr>
          <w:p w14:paraId="7BAAC5A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NH</w:t>
            </w:r>
            <w:r>
              <w:rPr>
                <w:rFonts w:hint="eastAsia" w:ascii="Times New Roman" w:hAnsi="Times New Roman" w:eastAsia="宋体" w:cs="Times New Roman"/>
                <w:caps w:val="0"/>
                <w:smallCaps w:val="0"/>
                <w:color w:val="auto"/>
                <w:spacing w:val="0"/>
                <w:kern w:val="0"/>
                <w:sz w:val="21"/>
                <w:highlight w:val="none"/>
                <w:vertAlign w:val="subscript"/>
                <w:lang w:bidi="ar"/>
              </w:rPr>
              <w:t>3</w:t>
            </w:r>
          </w:p>
        </w:tc>
        <w:tc>
          <w:tcPr>
            <w:tcW w:w="684" w:type="dxa"/>
            <w:vMerge w:val="continue"/>
            <w:tcBorders>
              <w:tl2br w:val="nil"/>
              <w:tr2bl w:val="nil"/>
            </w:tcBorders>
            <w:shd w:val="clear" w:color="auto" w:fill="auto"/>
            <w:vAlign w:val="center"/>
          </w:tcPr>
          <w:p w14:paraId="69D647E8">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67" w:type="dxa"/>
            <w:vMerge w:val="continue"/>
            <w:tcBorders>
              <w:tl2br w:val="nil"/>
              <w:tr2bl w:val="nil"/>
            </w:tcBorders>
            <w:shd w:val="clear" w:color="auto" w:fill="auto"/>
            <w:vAlign w:val="center"/>
          </w:tcPr>
          <w:p w14:paraId="2CAEEC87">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00F747C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0.299</w:t>
            </w:r>
          </w:p>
        </w:tc>
        <w:tc>
          <w:tcPr>
            <w:tcW w:w="957" w:type="dxa"/>
            <w:tcBorders>
              <w:tl2br w:val="nil"/>
              <w:tr2bl w:val="nil"/>
            </w:tcBorders>
            <w:shd w:val="clear" w:color="auto" w:fill="auto"/>
            <w:vAlign w:val="center"/>
          </w:tcPr>
          <w:p w14:paraId="216E949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w:t>
            </w:r>
            <w:r>
              <w:rPr>
                <w:rFonts w:hint="eastAsia" w:ascii="Times New Roman" w:hAnsi="Times New Roman" w:eastAsia="宋体" w:cs="Times New Roman"/>
                <w:caps w:val="0"/>
                <w:smallCaps w:val="0"/>
                <w:color w:val="auto"/>
                <w:spacing w:val="0"/>
                <w:kern w:val="0"/>
                <w:sz w:val="21"/>
                <w:highlight w:val="none"/>
                <w:lang w:bidi="ar"/>
              </w:rPr>
              <w:t>.</w:t>
            </w:r>
            <w:r>
              <w:rPr>
                <w:rFonts w:ascii="Times New Roman" w:hAnsi="Times New Roman" w:eastAsia="宋体" w:cs="Times New Roman"/>
                <w:caps w:val="0"/>
                <w:smallCaps w:val="0"/>
                <w:color w:val="auto"/>
                <w:spacing w:val="0"/>
                <w:kern w:val="0"/>
                <w:sz w:val="21"/>
                <w:highlight w:val="none"/>
                <w:lang w:bidi="ar"/>
              </w:rPr>
              <w:t>15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890" w:type="dxa"/>
            <w:tcBorders>
              <w:tl2br w:val="nil"/>
              <w:tr2bl w:val="nil"/>
            </w:tcBorders>
            <w:shd w:val="clear" w:color="auto" w:fill="auto"/>
            <w:vAlign w:val="center"/>
          </w:tcPr>
          <w:p w14:paraId="504945F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0.0110</w:t>
            </w:r>
          </w:p>
        </w:tc>
        <w:tc>
          <w:tcPr>
            <w:tcW w:w="949" w:type="dxa"/>
            <w:vMerge w:val="continue"/>
            <w:tcBorders>
              <w:tl2br w:val="nil"/>
              <w:tr2bl w:val="nil"/>
            </w:tcBorders>
            <w:shd w:val="clear" w:color="auto" w:fill="auto"/>
            <w:vAlign w:val="center"/>
          </w:tcPr>
          <w:p w14:paraId="0B855DE0">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08" w:type="dxa"/>
            <w:vMerge w:val="continue"/>
            <w:tcBorders>
              <w:tl2br w:val="nil"/>
              <w:tr2bl w:val="nil"/>
            </w:tcBorders>
            <w:shd w:val="clear" w:color="auto" w:fill="auto"/>
            <w:vAlign w:val="center"/>
          </w:tcPr>
          <w:p w14:paraId="62A3673F">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93" w:type="dxa"/>
            <w:vMerge w:val="continue"/>
            <w:tcBorders>
              <w:tl2br w:val="nil"/>
              <w:tr2bl w:val="nil"/>
            </w:tcBorders>
            <w:shd w:val="clear" w:color="auto" w:fill="auto"/>
            <w:vAlign w:val="center"/>
          </w:tcPr>
          <w:p w14:paraId="2A512C97">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52" w:type="dxa"/>
            <w:vMerge w:val="continue"/>
            <w:tcBorders>
              <w:tl2br w:val="nil"/>
              <w:tr2bl w:val="nil"/>
            </w:tcBorders>
            <w:shd w:val="clear" w:color="auto" w:fill="auto"/>
            <w:vAlign w:val="center"/>
          </w:tcPr>
          <w:p w14:paraId="56C05196">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56" w:type="dxa"/>
            <w:tcBorders>
              <w:tl2br w:val="nil"/>
              <w:tr2bl w:val="nil"/>
            </w:tcBorders>
            <w:shd w:val="clear" w:color="auto" w:fill="auto"/>
            <w:vAlign w:val="center"/>
          </w:tcPr>
          <w:p w14:paraId="56A101FB">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0.0568</w:t>
            </w:r>
          </w:p>
        </w:tc>
        <w:tc>
          <w:tcPr>
            <w:tcW w:w="1383" w:type="dxa"/>
            <w:gridSpan w:val="3"/>
            <w:tcBorders>
              <w:tl2br w:val="nil"/>
              <w:tr2bl w:val="nil"/>
            </w:tcBorders>
            <w:shd w:val="clear" w:color="auto" w:fill="auto"/>
            <w:vAlign w:val="center"/>
          </w:tcPr>
          <w:p w14:paraId="65AB2D7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w:t>
            </w:r>
            <w:r>
              <w:rPr>
                <w:rFonts w:hint="eastAsia" w:ascii="Times New Roman" w:hAnsi="Times New Roman" w:eastAsia="宋体" w:cs="Times New Roman"/>
                <w:caps w:val="0"/>
                <w:smallCaps w:val="0"/>
                <w:color w:val="auto"/>
                <w:spacing w:val="0"/>
                <w:kern w:val="0"/>
                <w:sz w:val="21"/>
                <w:highlight w:val="none"/>
                <w:lang w:bidi="ar"/>
              </w:rPr>
              <w:t>.</w:t>
            </w:r>
            <w:r>
              <w:rPr>
                <w:rFonts w:ascii="Times New Roman" w:hAnsi="Times New Roman" w:eastAsia="宋体" w:cs="Times New Roman"/>
                <w:caps w:val="0"/>
                <w:smallCaps w:val="0"/>
                <w:color w:val="auto"/>
                <w:spacing w:val="0"/>
                <w:kern w:val="0"/>
                <w:sz w:val="21"/>
                <w:highlight w:val="none"/>
                <w:lang w:bidi="ar"/>
              </w:rPr>
              <w:t>89</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1298" w:type="dxa"/>
            <w:gridSpan w:val="3"/>
            <w:tcBorders>
              <w:tl2br w:val="nil"/>
              <w:tr2bl w:val="nil"/>
            </w:tcBorders>
            <w:shd w:val="clear" w:color="auto" w:fill="auto"/>
            <w:vAlign w:val="center"/>
          </w:tcPr>
          <w:p w14:paraId="2E7E15E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0.00209</w:t>
            </w:r>
          </w:p>
        </w:tc>
        <w:tc>
          <w:tcPr>
            <w:tcW w:w="502" w:type="dxa"/>
            <w:tcBorders>
              <w:tl2br w:val="nil"/>
              <w:tr2bl w:val="nil"/>
            </w:tcBorders>
            <w:shd w:val="clear" w:color="auto" w:fill="auto"/>
            <w:vAlign w:val="center"/>
          </w:tcPr>
          <w:p w14:paraId="6EDE376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7200</w:t>
            </w:r>
          </w:p>
        </w:tc>
      </w:tr>
      <w:tr w14:paraId="6EF6A6A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3A8AAD71">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286" w:type="dxa"/>
            <w:vMerge w:val="continue"/>
            <w:tcBorders>
              <w:tl2br w:val="nil"/>
              <w:tr2bl w:val="nil"/>
            </w:tcBorders>
            <w:shd w:val="clear" w:color="auto" w:fill="auto"/>
            <w:vAlign w:val="center"/>
          </w:tcPr>
          <w:p w14:paraId="6F0962F5">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40" w:type="dxa"/>
            <w:tcBorders>
              <w:tl2br w:val="nil"/>
              <w:tr2bl w:val="nil"/>
            </w:tcBorders>
            <w:shd w:val="clear" w:color="auto" w:fill="auto"/>
            <w:vAlign w:val="center"/>
          </w:tcPr>
          <w:p w14:paraId="5E52300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臭气浓度</w:t>
            </w:r>
          </w:p>
        </w:tc>
        <w:tc>
          <w:tcPr>
            <w:tcW w:w="684" w:type="dxa"/>
            <w:vMerge w:val="continue"/>
            <w:tcBorders>
              <w:tl2br w:val="nil"/>
              <w:tr2bl w:val="nil"/>
            </w:tcBorders>
            <w:shd w:val="clear" w:color="auto" w:fill="auto"/>
            <w:vAlign w:val="center"/>
          </w:tcPr>
          <w:p w14:paraId="731E9D15">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67" w:type="dxa"/>
            <w:vMerge w:val="continue"/>
            <w:tcBorders>
              <w:tl2br w:val="nil"/>
              <w:tr2bl w:val="nil"/>
            </w:tcBorders>
            <w:shd w:val="clear" w:color="auto" w:fill="auto"/>
            <w:vAlign w:val="center"/>
          </w:tcPr>
          <w:p w14:paraId="4069411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185C82F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957" w:type="dxa"/>
            <w:tcBorders>
              <w:tl2br w:val="nil"/>
              <w:tr2bl w:val="nil"/>
            </w:tcBorders>
            <w:shd w:val="clear" w:color="auto" w:fill="auto"/>
            <w:vAlign w:val="center"/>
          </w:tcPr>
          <w:p w14:paraId="2D6B857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2000</w:t>
            </w:r>
          </w:p>
        </w:tc>
        <w:tc>
          <w:tcPr>
            <w:tcW w:w="890" w:type="dxa"/>
            <w:tcBorders>
              <w:tl2br w:val="nil"/>
              <w:tr2bl w:val="nil"/>
            </w:tcBorders>
            <w:shd w:val="clear" w:color="auto" w:fill="auto"/>
            <w:vAlign w:val="center"/>
          </w:tcPr>
          <w:p w14:paraId="63D3D2E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949" w:type="dxa"/>
            <w:vMerge w:val="continue"/>
            <w:tcBorders>
              <w:tl2br w:val="nil"/>
              <w:tr2bl w:val="nil"/>
            </w:tcBorders>
            <w:shd w:val="clear" w:color="auto" w:fill="auto"/>
            <w:vAlign w:val="center"/>
          </w:tcPr>
          <w:p w14:paraId="0D124F6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08" w:type="dxa"/>
            <w:vMerge w:val="continue"/>
            <w:tcBorders>
              <w:tl2br w:val="nil"/>
              <w:tr2bl w:val="nil"/>
            </w:tcBorders>
            <w:shd w:val="clear" w:color="auto" w:fill="auto"/>
            <w:vAlign w:val="center"/>
          </w:tcPr>
          <w:p w14:paraId="199C5CDA">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793" w:type="dxa"/>
            <w:vMerge w:val="continue"/>
            <w:tcBorders>
              <w:tl2br w:val="nil"/>
              <w:tr2bl w:val="nil"/>
            </w:tcBorders>
            <w:shd w:val="clear" w:color="auto" w:fill="auto"/>
            <w:vAlign w:val="center"/>
          </w:tcPr>
          <w:p w14:paraId="7E398F5F">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652" w:type="dxa"/>
            <w:vMerge w:val="continue"/>
            <w:tcBorders>
              <w:tl2br w:val="nil"/>
              <w:tr2bl w:val="nil"/>
            </w:tcBorders>
            <w:shd w:val="clear" w:color="auto" w:fill="auto"/>
            <w:vAlign w:val="center"/>
          </w:tcPr>
          <w:p w14:paraId="57B2B898">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56" w:type="dxa"/>
            <w:tcBorders>
              <w:tl2br w:val="nil"/>
              <w:tr2bl w:val="nil"/>
            </w:tcBorders>
            <w:shd w:val="clear" w:color="auto" w:fill="auto"/>
            <w:vAlign w:val="center"/>
          </w:tcPr>
          <w:p w14:paraId="0C57FF59">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1383" w:type="dxa"/>
            <w:gridSpan w:val="3"/>
            <w:tcBorders>
              <w:tl2br w:val="nil"/>
              <w:tr2bl w:val="nil"/>
            </w:tcBorders>
            <w:shd w:val="clear" w:color="auto" w:fill="auto"/>
            <w:vAlign w:val="center"/>
          </w:tcPr>
          <w:p w14:paraId="75155F5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380</w:t>
            </w:r>
          </w:p>
        </w:tc>
        <w:tc>
          <w:tcPr>
            <w:tcW w:w="1298" w:type="dxa"/>
            <w:gridSpan w:val="3"/>
            <w:tcBorders>
              <w:tl2br w:val="nil"/>
              <w:tr2bl w:val="nil"/>
            </w:tcBorders>
            <w:shd w:val="clear" w:color="auto" w:fill="auto"/>
            <w:vAlign w:val="center"/>
          </w:tcPr>
          <w:p w14:paraId="33906D7B">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502" w:type="dxa"/>
            <w:tcBorders>
              <w:tl2br w:val="nil"/>
              <w:tr2bl w:val="nil"/>
            </w:tcBorders>
            <w:shd w:val="clear" w:color="auto" w:fill="auto"/>
            <w:vAlign w:val="center"/>
          </w:tcPr>
          <w:p w14:paraId="7664F13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7200</w:t>
            </w:r>
          </w:p>
        </w:tc>
      </w:tr>
      <w:tr w14:paraId="416C41C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508B55FD">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kern w:val="0"/>
                <w:sz w:val="21"/>
                <w:highlight w:val="none"/>
                <w:lang w:bidi="ar"/>
              </w:rPr>
              <w:t>DA00</w:t>
            </w:r>
            <w:r>
              <w:rPr>
                <w:rFonts w:hint="eastAsia" w:ascii="Times New Roman" w:hAnsi="Times New Roman" w:eastAsia="宋体" w:cs="Times New Roman"/>
                <w:caps w:val="0"/>
                <w:smallCaps w:val="0"/>
                <w:color w:val="auto"/>
                <w:spacing w:val="0"/>
                <w:kern w:val="0"/>
                <w:sz w:val="21"/>
                <w:highlight w:val="none"/>
                <w:lang w:val="en-US" w:eastAsia="zh-CN" w:bidi="ar"/>
              </w:rPr>
              <w:t>9</w:t>
            </w:r>
          </w:p>
        </w:tc>
        <w:tc>
          <w:tcPr>
            <w:tcW w:w="1286" w:type="dxa"/>
            <w:vMerge w:val="restart"/>
            <w:tcBorders>
              <w:tl2br w:val="nil"/>
              <w:tr2bl w:val="nil"/>
            </w:tcBorders>
            <w:shd w:val="clear" w:color="auto" w:fill="auto"/>
            <w:vAlign w:val="center"/>
          </w:tcPr>
          <w:p w14:paraId="6E8B145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实验室废气</w:t>
            </w:r>
          </w:p>
        </w:tc>
        <w:tc>
          <w:tcPr>
            <w:tcW w:w="940" w:type="dxa"/>
            <w:tcBorders>
              <w:tl2br w:val="nil"/>
              <w:tr2bl w:val="nil"/>
            </w:tcBorders>
            <w:shd w:val="clear" w:color="auto" w:fill="auto"/>
            <w:vAlign w:val="center"/>
          </w:tcPr>
          <w:p w14:paraId="58CDA94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非甲烷总烃</w:t>
            </w:r>
          </w:p>
        </w:tc>
        <w:tc>
          <w:tcPr>
            <w:tcW w:w="684" w:type="dxa"/>
            <w:vMerge w:val="restart"/>
            <w:tcBorders>
              <w:tl2br w:val="nil"/>
              <w:tr2bl w:val="nil"/>
            </w:tcBorders>
            <w:shd w:val="clear" w:color="auto" w:fill="auto"/>
            <w:vAlign w:val="center"/>
          </w:tcPr>
          <w:p w14:paraId="4D11283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2000</w:t>
            </w:r>
          </w:p>
        </w:tc>
        <w:tc>
          <w:tcPr>
            <w:tcW w:w="767" w:type="dxa"/>
            <w:vMerge w:val="restart"/>
            <w:tcBorders>
              <w:tl2br w:val="nil"/>
              <w:tr2bl w:val="nil"/>
            </w:tcBorders>
            <w:shd w:val="clear" w:color="auto" w:fill="auto"/>
            <w:vAlign w:val="center"/>
          </w:tcPr>
          <w:p w14:paraId="6821E43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产物系数</w:t>
            </w:r>
          </w:p>
        </w:tc>
        <w:tc>
          <w:tcPr>
            <w:tcW w:w="849" w:type="dxa"/>
            <w:tcBorders>
              <w:tl2br w:val="nil"/>
              <w:tr2bl w:val="nil"/>
            </w:tcBorders>
            <w:shd w:val="clear" w:color="auto" w:fill="auto"/>
            <w:vAlign w:val="center"/>
          </w:tcPr>
          <w:p w14:paraId="3538935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0.118</w:t>
            </w:r>
          </w:p>
        </w:tc>
        <w:tc>
          <w:tcPr>
            <w:tcW w:w="957" w:type="dxa"/>
            <w:tcBorders>
              <w:tl2br w:val="nil"/>
              <w:tr2bl w:val="nil"/>
            </w:tcBorders>
            <w:shd w:val="clear" w:color="auto" w:fill="auto"/>
            <w:vAlign w:val="center"/>
          </w:tcPr>
          <w:p w14:paraId="1BEB28A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890" w:type="dxa"/>
            <w:tcBorders>
              <w:tl2br w:val="nil"/>
              <w:tr2bl w:val="nil"/>
            </w:tcBorders>
            <w:shd w:val="clear" w:color="auto" w:fill="auto"/>
            <w:vAlign w:val="center"/>
          </w:tcPr>
          <w:p w14:paraId="586B6C5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0.0246</w:t>
            </w:r>
          </w:p>
        </w:tc>
        <w:tc>
          <w:tcPr>
            <w:tcW w:w="949" w:type="dxa"/>
            <w:vMerge w:val="restart"/>
            <w:tcBorders>
              <w:tl2br w:val="nil"/>
              <w:tr2bl w:val="nil"/>
            </w:tcBorders>
            <w:shd w:val="clear" w:color="auto" w:fill="auto"/>
            <w:vAlign w:val="center"/>
          </w:tcPr>
          <w:p w14:paraId="66B0F52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通风柜收集</w:t>
            </w:r>
          </w:p>
        </w:tc>
        <w:tc>
          <w:tcPr>
            <w:tcW w:w="608" w:type="dxa"/>
            <w:vMerge w:val="restart"/>
            <w:tcBorders>
              <w:tl2br w:val="nil"/>
              <w:tr2bl w:val="nil"/>
            </w:tcBorders>
            <w:shd w:val="clear" w:color="auto" w:fill="auto"/>
            <w:vAlign w:val="center"/>
          </w:tcPr>
          <w:p w14:paraId="04511A1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一级活性炭吸附</w:t>
            </w:r>
          </w:p>
        </w:tc>
        <w:tc>
          <w:tcPr>
            <w:tcW w:w="793" w:type="dxa"/>
            <w:tcBorders>
              <w:tl2br w:val="nil"/>
              <w:tr2bl w:val="nil"/>
            </w:tcBorders>
            <w:shd w:val="clear" w:color="auto" w:fill="auto"/>
            <w:vAlign w:val="center"/>
          </w:tcPr>
          <w:p w14:paraId="4368FC8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81</w:t>
            </w:r>
          </w:p>
        </w:tc>
        <w:tc>
          <w:tcPr>
            <w:tcW w:w="652" w:type="dxa"/>
            <w:vMerge w:val="restart"/>
            <w:tcBorders>
              <w:tl2br w:val="nil"/>
              <w:tr2bl w:val="nil"/>
            </w:tcBorders>
            <w:shd w:val="clear" w:color="auto" w:fill="auto"/>
            <w:vAlign w:val="center"/>
          </w:tcPr>
          <w:p w14:paraId="59C8A46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产物系数</w:t>
            </w:r>
          </w:p>
        </w:tc>
        <w:tc>
          <w:tcPr>
            <w:tcW w:w="1056" w:type="dxa"/>
            <w:tcBorders>
              <w:tl2br w:val="nil"/>
              <w:tr2bl w:val="nil"/>
            </w:tcBorders>
            <w:shd w:val="clear" w:color="auto" w:fill="auto"/>
            <w:vAlign w:val="center"/>
          </w:tcPr>
          <w:p w14:paraId="65DC9E3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1.06×10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83" w:type="dxa"/>
            <w:gridSpan w:val="3"/>
            <w:tcBorders>
              <w:tl2br w:val="nil"/>
              <w:tr2bl w:val="nil"/>
            </w:tcBorders>
            <w:shd w:val="clear" w:color="auto" w:fill="auto"/>
            <w:vAlign w:val="center"/>
          </w:tcPr>
          <w:p w14:paraId="15AB570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4.40×10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298" w:type="dxa"/>
            <w:gridSpan w:val="3"/>
            <w:tcBorders>
              <w:tl2br w:val="nil"/>
              <w:tr2bl w:val="nil"/>
            </w:tcBorders>
            <w:shd w:val="clear" w:color="auto" w:fill="auto"/>
            <w:vAlign w:val="center"/>
          </w:tcPr>
          <w:p w14:paraId="1D79822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0.00221</w:t>
            </w:r>
          </w:p>
        </w:tc>
        <w:tc>
          <w:tcPr>
            <w:tcW w:w="502" w:type="dxa"/>
            <w:tcBorders>
              <w:tl2br w:val="nil"/>
              <w:tr2bl w:val="nil"/>
            </w:tcBorders>
            <w:shd w:val="clear" w:color="auto" w:fill="auto"/>
            <w:vAlign w:val="center"/>
          </w:tcPr>
          <w:p w14:paraId="05CADE9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2400</w:t>
            </w:r>
          </w:p>
        </w:tc>
      </w:tr>
      <w:tr w14:paraId="511D806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27322735">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335728CC">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34FD7F5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二甲苯</w:t>
            </w:r>
          </w:p>
        </w:tc>
        <w:tc>
          <w:tcPr>
            <w:tcW w:w="684" w:type="dxa"/>
            <w:vMerge w:val="continue"/>
            <w:tcBorders>
              <w:tl2br w:val="nil"/>
              <w:tr2bl w:val="nil"/>
            </w:tcBorders>
            <w:shd w:val="clear" w:color="auto" w:fill="auto"/>
            <w:vAlign w:val="center"/>
          </w:tcPr>
          <w:p w14:paraId="6056D4D4">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54313DE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4F55E30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0.0215</w:t>
            </w:r>
          </w:p>
        </w:tc>
        <w:tc>
          <w:tcPr>
            <w:tcW w:w="957" w:type="dxa"/>
            <w:tcBorders>
              <w:tl2br w:val="nil"/>
              <w:tr2bl w:val="nil"/>
            </w:tcBorders>
            <w:shd w:val="clear" w:color="auto" w:fill="auto"/>
            <w:vAlign w:val="center"/>
          </w:tcPr>
          <w:p w14:paraId="3709E9AC">
            <w:pPr>
              <w:widowControl w:val="0"/>
              <w:snapToGrid w:val="0"/>
              <w:jc w:val="both"/>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8.96×10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890" w:type="dxa"/>
            <w:tcBorders>
              <w:tl2br w:val="nil"/>
              <w:tr2bl w:val="nil"/>
            </w:tcBorders>
            <w:shd w:val="clear" w:color="auto" w:fill="auto"/>
            <w:vAlign w:val="center"/>
          </w:tcPr>
          <w:p w14:paraId="7966BA8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0.0448</w:t>
            </w:r>
          </w:p>
        </w:tc>
        <w:tc>
          <w:tcPr>
            <w:tcW w:w="949" w:type="dxa"/>
            <w:vMerge w:val="continue"/>
            <w:tcBorders>
              <w:tl2br w:val="nil"/>
              <w:tr2bl w:val="nil"/>
            </w:tcBorders>
            <w:shd w:val="clear" w:color="auto" w:fill="auto"/>
            <w:vAlign w:val="center"/>
          </w:tcPr>
          <w:p w14:paraId="56576416">
            <w:pPr>
              <w:widowControl w:val="0"/>
              <w:snapToGrid w:val="0"/>
              <w:jc w:val="center"/>
              <w:rPr>
                <w:rFonts w:ascii="Times New Roman" w:hAnsi="Times New Roman" w:eastAsia="宋体" w:cs="Times New Roman"/>
                <w:caps w:val="0"/>
                <w:smallCaps w:val="0"/>
                <w:color w:val="auto"/>
                <w:spacing w:val="0"/>
                <w:sz w:val="21"/>
                <w:highlight w:val="none"/>
              </w:rPr>
            </w:pPr>
          </w:p>
        </w:tc>
        <w:tc>
          <w:tcPr>
            <w:tcW w:w="608" w:type="dxa"/>
            <w:vMerge w:val="continue"/>
            <w:tcBorders>
              <w:tl2br w:val="nil"/>
              <w:tr2bl w:val="nil"/>
            </w:tcBorders>
            <w:shd w:val="clear" w:color="auto" w:fill="auto"/>
            <w:vAlign w:val="center"/>
          </w:tcPr>
          <w:p w14:paraId="257C2AE2">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2DFC001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81</w:t>
            </w:r>
          </w:p>
        </w:tc>
        <w:tc>
          <w:tcPr>
            <w:tcW w:w="652" w:type="dxa"/>
            <w:vMerge w:val="continue"/>
            <w:tcBorders>
              <w:tl2br w:val="nil"/>
              <w:tr2bl w:val="nil"/>
            </w:tcBorders>
            <w:shd w:val="clear" w:color="auto" w:fill="auto"/>
            <w:vAlign w:val="center"/>
          </w:tcPr>
          <w:p w14:paraId="5D00AB0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1056" w:type="dxa"/>
            <w:tcBorders>
              <w:tl2br w:val="nil"/>
              <w:tr2bl w:val="nil"/>
            </w:tcBorders>
            <w:shd w:val="clear" w:color="auto" w:fill="auto"/>
            <w:vAlign w:val="center"/>
          </w:tcPr>
          <w:p w14:paraId="6F20636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1.94×10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83" w:type="dxa"/>
            <w:gridSpan w:val="3"/>
            <w:tcBorders>
              <w:tl2br w:val="nil"/>
              <w:tr2bl w:val="nil"/>
            </w:tcBorders>
            <w:shd w:val="clear" w:color="auto" w:fill="auto"/>
            <w:vAlign w:val="center"/>
          </w:tcPr>
          <w:p w14:paraId="4697FAA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8.06×10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298" w:type="dxa"/>
            <w:gridSpan w:val="3"/>
            <w:tcBorders>
              <w:tl2br w:val="nil"/>
              <w:tr2bl w:val="nil"/>
            </w:tcBorders>
            <w:shd w:val="clear" w:color="auto" w:fill="auto"/>
            <w:vAlign w:val="center"/>
          </w:tcPr>
          <w:p w14:paraId="2A4DF1E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0.00403</w:t>
            </w:r>
          </w:p>
        </w:tc>
        <w:tc>
          <w:tcPr>
            <w:tcW w:w="502" w:type="dxa"/>
            <w:tcBorders>
              <w:tl2br w:val="nil"/>
              <w:tr2bl w:val="nil"/>
            </w:tcBorders>
            <w:shd w:val="clear" w:color="auto" w:fill="auto"/>
            <w:vAlign w:val="center"/>
          </w:tcPr>
          <w:p w14:paraId="2C9F38D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2400</w:t>
            </w:r>
          </w:p>
        </w:tc>
      </w:tr>
      <w:tr w14:paraId="24E78B9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0F32EBE0">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0F26628E">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4AAF4C7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氨气</w:t>
            </w:r>
          </w:p>
        </w:tc>
        <w:tc>
          <w:tcPr>
            <w:tcW w:w="684" w:type="dxa"/>
            <w:vMerge w:val="continue"/>
            <w:tcBorders>
              <w:tl2br w:val="nil"/>
              <w:tr2bl w:val="nil"/>
            </w:tcBorders>
            <w:shd w:val="clear" w:color="auto" w:fill="auto"/>
            <w:vAlign w:val="center"/>
          </w:tcPr>
          <w:p w14:paraId="528676E9">
            <w:pPr>
              <w:widowControl w:val="0"/>
              <w:snapToGrid w:val="0"/>
              <w:jc w:val="center"/>
              <w:rPr>
                <w:rFonts w:ascii="Times New Roman" w:hAnsi="Times New Roman" w:eastAsia="宋体" w:cs="Times New Roman"/>
                <w:caps w:val="0"/>
                <w:smallCaps w:val="0"/>
                <w:color w:val="auto"/>
                <w:spacing w:val="0"/>
                <w:sz w:val="21"/>
                <w:highlight w:val="none"/>
              </w:rPr>
            </w:pPr>
          </w:p>
        </w:tc>
        <w:tc>
          <w:tcPr>
            <w:tcW w:w="767" w:type="dxa"/>
            <w:vMerge w:val="continue"/>
            <w:tcBorders>
              <w:tl2br w:val="nil"/>
              <w:tr2bl w:val="nil"/>
            </w:tcBorders>
            <w:shd w:val="clear" w:color="auto" w:fill="auto"/>
            <w:vAlign w:val="center"/>
          </w:tcPr>
          <w:p w14:paraId="5781143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25E2C28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0.0277</w:t>
            </w:r>
          </w:p>
        </w:tc>
        <w:tc>
          <w:tcPr>
            <w:tcW w:w="957" w:type="dxa"/>
            <w:tcBorders>
              <w:tl2br w:val="nil"/>
              <w:tr2bl w:val="nil"/>
            </w:tcBorders>
            <w:shd w:val="clear" w:color="auto" w:fill="auto"/>
            <w:vAlign w:val="center"/>
          </w:tcPr>
          <w:p w14:paraId="420B031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9.46×10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890" w:type="dxa"/>
            <w:tcBorders>
              <w:tl2br w:val="nil"/>
              <w:tr2bl w:val="nil"/>
            </w:tcBorders>
            <w:shd w:val="clear" w:color="auto" w:fill="auto"/>
            <w:vAlign w:val="center"/>
          </w:tcPr>
          <w:p w14:paraId="61E782E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0.00473</w:t>
            </w:r>
          </w:p>
        </w:tc>
        <w:tc>
          <w:tcPr>
            <w:tcW w:w="949" w:type="dxa"/>
            <w:vMerge w:val="continue"/>
            <w:tcBorders>
              <w:tl2br w:val="nil"/>
              <w:tr2bl w:val="nil"/>
            </w:tcBorders>
            <w:shd w:val="clear" w:color="auto" w:fill="auto"/>
            <w:vAlign w:val="center"/>
          </w:tcPr>
          <w:p w14:paraId="49069DD3">
            <w:pPr>
              <w:widowControl w:val="0"/>
              <w:snapToGrid w:val="0"/>
              <w:jc w:val="center"/>
              <w:rPr>
                <w:rFonts w:ascii="Times New Roman" w:hAnsi="Times New Roman" w:eastAsia="宋体" w:cs="Times New Roman"/>
                <w:caps w:val="0"/>
                <w:smallCaps w:val="0"/>
                <w:color w:val="auto"/>
                <w:spacing w:val="0"/>
                <w:sz w:val="21"/>
                <w:highlight w:val="none"/>
              </w:rPr>
            </w:pPr>
          </w:p>
        </w:tc>
        <w:tc>
          <w:tcPr>
            <w:tcW w:w="608" w:type="dxa"/>
            <w:vMerge w:val="continue"/>
            <w:tcBorders>
              <w:tl2br w:val="nil"/>
              <w:tr2bl w:val="nil"/>
            </w:tcBorders>
            <w:shd w:val="clear" w:color="auto" w:fill="auto"/>
            <w:vAlign w:val="center"/>
          </w:tcPr>
          <w:p w14:paraId="239B1434">
            <w:pPr>
              <w:widowControl w:val="0"/>
              <w:snapToGrid w:val="0"/>
              <w:jc w:val="center"/>
              <w:rPr>
                <w:rFonts w:ascii="Times New Roman" w:hAnsi="Times New Roman" w:eastAsia="宋体" w:cs="Times New Roman"/>
                <w:caps w:val="0"/>
                <w:smallCaps w:val="0"/>
                <w:color w:val="auto"/>
                <w:spacing w:val="0"/>
                <w:sz w:val="21"/>
                <w:highlight w:val="none"/>
              </w:rPr>
            </w:pPr>
          </w:p>
        </w:tc>
        <w:tc>
          <w:tcPr>
            <w:tcW w:w="793" w:type="dxa"/>
            <w:tcBorders>
              <w:tl2br w:val="nil"/>
              <w:tr2bl w:val="nil"/>
            </w:tcBorders>
            <w:shd w:val="clear" w:color="auto" w:fill="auto"/>
            <w:vAlign w:val="center"/>
          </w:tcPr>
          <w:p w14:paraId="6FD7329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81</w:t>
            </w:r>
          </w:p>
        </w:tc>
        <w:tc>
          <w:tcPr>
            <w:tcW w:w="652" w:type="dxa"/>
            <w:vMerge w:val="continue"/>
            <w:tcBorders>
              <w:tl2br w:val="nil"/>
              <w:tr2bl w:val="nil"/>
            </w:tcBorders>
            <w:shd w:val="clear" w:color="auto" w:fill="auto"/>
            <w:vAlign w:val="center"/>
          </w:tcPr>
          <w:p w14:paraId="0083ECB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1056" w:type="dxa"/>
            <w:tcBorders>
              <w:tl2br w:val="nil"/>
              <w:tr2bl w:val="nil"/>
            </w:tcBorders>
            <w:shd w:val="clear" w:color="auto" w:fill="auto"/>
            <w:vAlign w:val="center"/>
          </w:tcPr>
          <w:p w14:paraId="126FA34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2.04×10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383" w:type="dxa"/>
            <w:gridSpan w:val="3"/>
            <w:tcBorders>
              <w:tl2br w:val="nil"/>
              <w:tr2bl w:val="nil"/>
            </w:tcBorders>
            <w:shd w:val="clear" w:color="auto" w:fill="auto"/>
            <w:vAlign w:val="center"/>
          </w:tcPr>
          <w:p w14:paraId="57860B3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8.51×10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298" w:type="dxa"/>
            <w:gridSpan w:val="3"/>
            <w:tcBorders>
              <w:tl2br w:val="nil"/>
              <w:tr2bl w:val="nil"/>
            </w:tcBorders>
            <w:shd w:val="clear" w:color="auto" w:fill="auto"/>
            <w:vAlign w:val="center"/>
          </w:tcPr>
          <w:p w14:paraId="5439F73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0.000426</w:t>
            </w:r>
          </w:p>
        </w:tc>
        <w:tc>
          <w:tcPr>
            <w:tcW w:w="502" w:type="dxa"/>
            <w:tcBorders>
              <w:tl2br w:val="nil"/>
              <w:tr2bl w:val="nil"/>
            </w:tcBorders>
            <w:shd w:val="clear" w:color="auto" w:fill="auto"/>
            <w:vAlign w:val="center"/>
          </w:tcPr>
          <w:p w14:paraId="44CFCCE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2400</w:t>
            </w:r>
          </w:p>
        </w:tc>
      </w:tr>
      <w:tr w14:paraId="6565088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restart"/>
            <w:tcBorders>
              <w:tl2br w:val="nil"/>
              <w:tr2bl w:val="nil"/>
            </w:tcBorders>
            <w:shd w:val="clear" w:color="auto" w:fill="auto"/>
            <w:vAlign w:val="center"/>
          </w:tcPr>
          <w:p w14:paraId="1D1A7E3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未收集</w:t>
            </w:r>
          </w:p>
        </w:tc>
        <w:tc>
          <w:tcPr>
            <w:tcW w:w="1286" w:type="dxa"/>
            <w:tcBorders>
              <w:tl2br w:val="nil"/>
              <w:tr2bl w:val="nil"/>
            </w:tcBorders>
            <w:shd w:val="clear" w:color="auto" w:fill="auto"/>
            <w:vAlign w:val="center"/>
          </w:tcPr>
          <w:p w14:paraId="38B6B0B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光刻胶涂覆曝光固化废气</w:t>
            </w:r>
          </w:p>
        </w:tc>
        <w:tc>
          <w:tcPr>
            <w:tcW w:w="940" w:type="dxa"/>
            <w:tcBorders>
              <w:tl2br w:val="nil"/>
              <w:tr2bl w:val="nil"/>
            </w:tcBorders>
            <w:shd w:val="clear" w:color="auto" w:fill="auto"/>
            <w:vAlign w:val="center"/>
          </w:tcPr>
          <w:p w14:paraId="4BEDA01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非甲烷总烃</w:t>
            </w:r>
          </w:p>
        </w:tc>
        <w:tc>
          <w:tcPr>
            <w:tcW w:w="684" w:type="dxa"/>
            <w:tcBorders>
              <w:tl2br w:val="nil"/>
              <w:tr2bl w:val="nil"/>
            </w:tcBorders>
            <w:shd w:val="clear" w:color="auto" w:fill="auto"/>
            <w:vAlign w:val="center"/>
          </w:tcPr>
          <w:p w14:paraId="7850666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767" w:type="dxa"/>
            <w:vMerge w:val="continue"/>
            <w:tcBorders>
              <w:tl2br w:val="nil"/>
              <w:tr2bl w:val="nil"/>
            </w:tcBorders>
            <w:shd w:val="clear" w:color="auto" w:fill="auto"/>
            <w:vAlign w:val="center"/>
          </w:tcPr>
          <w:p w14:paraId="2F4EDD5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3F7B03E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41.64</w:t>
            </w:r>
          </w:p>
        </w:tc>
        <w:tc>
          <w:tcPr>
            <w:tcW w:w="957" w:type="dxa"/>
            <w:tcBorders>
              <w:tl2br w:val="nil"/>
              <w:tr2bl w:val="nil"/>
            </w:tcBorders>
            <w:shd w:val="clear" w:color="auto" w:fill="auto"/>
            <w:vAlign w:val="center"/>
          </w:tcPr>
          <w:p w14:paraId="5313243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0.0058</w:t>
            </w:r>
          </w:p>
        </w:tc>
        <w:tc>
          <w:tcPr>
            <w:tcW w:w="890" w:type="dxa"/>
            <w:tcBorders>
              <w:tl2br w:val="nil"/>
              <w:tr2bl w:val="nil"/>
            </w:tcBorders>
            <w:shd w:val="clear" w:color="auto" w:fill="auto"/>
            <w:vAlign w:val="center"/>
          </w:tcPr>
          <w:p w14:paraId="7713D3F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350" w:type="dxa"/>
            <w:gridSpan w:val="3"/>
            <w:vMerge w:val="restart"/>
            <w:tcBorders>
              <w:tl2br w:val="nil"/>
              <w:tr2bl w:val="nil"/>
            </w:tcBorders>
            <w:shd w:val="clear" w:color="auto" w:fill="auto"/>
            <w:vAlign w:val="center"/>
          </w:tcPr>
          <w:p w14:paraId="40F6C0A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车间机械抽风</w:t>
            </w:r>
          </w:p>
        </w:tc>
        <w:tc>
          <w:tcPr>
            <w:tcW w:w="652" w:type="dxa"/>
            <w:vMerge w:val="continue"/>
            <w:tcBorders>
              <w:tl2br w:val="nil"/>
              <w:tr2bl w:val="nil"/>
            </w:tcBorders>
            <w:shd w:val="clear" w:color="auto" w:fill="auto"/>
            <w:vAlign w:val="center"/>
          </w:tcPr>
          <w:p w14:paraId="2E2AC82B">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p>
        </w:tc>
        <w:tc>
          <w:tcPr>
            <w:tcW w:w="1056" w:type="dxa"/>
            <w:tcBorders>
              <w:tl2br w:val="nil"/>
              <w:tr2bl w:val="nil"/>
            </w:tcBorders>
            <w:shd w:val="clear" w:color="auto" w:fill="auto"/>
            <w:vAlign w:val="center"/>
          </w:tcPr>
          <w:p w14:paraId="68CBF5F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41.64</w:t>
            </w:r>
          </w:p>
        </w:tc>
        <w:tc>
          <w:tcPr>
            <w:tcW w:w="1383" w:type="dxa"/>
            <w:gridSpan w:val="3"/>
            <w:tcBorders>
              <w:tl2br w:val="nil"/>
              <w:tr2bl w:val="nil"/>
            </w:tcBorders>
            <w:shd w:val="clear" w:color="auto" w:fill="auto"/>
            <w:vAlign w:val="center"/>
          </w:tcPr>
          <w:p w14:paraId="4D28EEA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0.00578</w:t>
            </w:r>
          </w:p>
        </w:tc>
        <w:tc>
          <w:tcPr>
            <w:tcW w:w="1298" w:type="dxa"/>
            <w:gridSpan w:val="3"/>
            <w:vMerge w:val="restart"/>
            <w:tcBorders>
              <w:tl2br w:val="nil"/>
              <w:tr2bl w:val="nil"/>
            </w:tcBorders>
            <w:shd w:val="clear" w:color="auto" w:fill="auto"/>
            <w:vAlign w:val="center"/>
          </w:tcPr>
          <w:p w14:paraId="7F85F2F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502" w:type="dxa"/>
            <w:tcBorders>
              <w:tl2br w:val="nil"/>
              <w:tr2bl w:val="nil"/>
            </w:tcBorders>
            <w:shd w:val="clear" w:color="auto" w:fill="auto"/>
            <w:vAlign w:val="center"/>
          </w:tcPr>
          <w:p w14:paraId="1B50933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7200</w:t>
            </w:r>
          </w:p>
        </w:tc>
      </w:tr>
      <w:tr w14:paraId="7219505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394B2E4F">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restart"/>
            <w:tcBorders>
              <w:tl2br w:val="nil"/>
              <w:tr2bl w:val="nil"/>
            </w:tcBorders>
            <w:shd w:val="clear" w:color="auto" w:fill="auto"/>
            <w:vAlign w:val="center"/>
          </w:tcPr>
          <w:p w14:paraId="1DB8EA7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实验室废气</w:t>
            </w:r>
          </w:p>
        </w:tc>
        <w:tc>
          <w:tcPr>
            <w:tcW w:w="940" w:type="dxa"/>
            <w:tcBorders>
              <w:tl2br w:val="nil"/>
              <w:tr2bl w:val="nil"/>
            </w:tcBorders>
            <w:shd w:val="clear" w:color="auto" w:fill="auto"/>
            <w:vAlign w:val="center"/>
          </w:tcPr>
          <w:p w14:paraId="4B85F5C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非甲烷总烃</w:t>
            </w:r>
          </w:p>
        </w:tc>
        <w:tc>
          <w:tcPr>
            <w:tcW w:w="684" w:type="dxa"/>
            <w:tcBorders>
              <w:tl2br w:val="nil"/>
              <w:tr2bl w:val="nil"/>
            </w:tcBorders>
            <w:shd w:val="clear" w:color="auto" w:fill="auto"/>
            <w:vAlign w:val="center"/>
          </w:tcPr>
          <w:p w14:paraId="111519D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767" w:type="dxa"/>
            <w:vMerge w:val="restart"/>
            <w:tcBorders>
              <w:tl2br w:val="nil"/>
              <w:tr2bl w:val="nil"/>
            </w:tcBorders>
            <w:shd w:val="clear" w:color="auto" w:fill="auto"/>
            <w:vAlign w:val="center"/>
          </w:tcPr>
          <w:p w14:paraId="3A4AE05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849" w:type="dxa"/>
            <w:tcBorders>
              <w:tl2br w:val="nil"/>
              <w:tr2bl w:val="nil"/>
            </w:tcBorders>
            <w:shd w:val="clear" w:color="auto" w:fill="auto"/>
            <w:vAlign w:val="center"/>
          </w:tcPr>
          <w:p w14:paraId="00C1933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0.01180</w:t>
            </w:r>
          </w:p>
        </w:tc>
        <w:tc>
          <w:tcPr>
            <w:tcW w:w="957" w:type="dxa"/>
            <w:tcBorders>
              <w:tl2br w:val="nil"/>
              <w:tr2bl w:val="nil"/>
            </w:tcBorders>
            <w:shd w:val="clear" w:color="auto" w:fill="auto"/>
            <w:vAlign w:val="center"/>
          </w:tcPr>
          <w:p w14:paraId="50C313A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890" w:type="dxa"/>
            <w:tcBorders>
              <w:tl2br w:val="nil"/>
              <w:tr2bl w:val="nil"/>
            </w:tcBorders>
            <w:shd w:val="clear" w:color="auto" w:fill="auto"/>
            <w:vAlign w:val="center"/>
          </w:tcPr>
          <w:p w14:paraId="6C7FE8D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350" w:type="dxa"/>
            <w:gridSpan w:val="3"/>
            <w:vMerge w:val="continue"/>
            <w:tcBorders>
              <w:tl2br w:val="nil"/>
              <w:tr2bl w:val="nil"/>
            </w:tcBorders>
            <w:shd w:val="clear" w:color="auto" w:fill="auto"/>
            <w:vAlign w:val="center"/>
          </w:tcPr>
          <w:p w14:paraId="6B1688EB">
            <w:pPr>
              <w:widowControl w:val="0"/>
              <w:snapToGrid w:val="0"/>
              <w:jc w:val="center"/>
              <w:rPr>
                <w:rFonts w:ascii="Times New Roman" w:hAnsi="Times New Roman" w:eastAsia="宋体" w:cs="Times New Roman"/>
                <w:caps w:val="0"/>
                <w:smallCaps w:val="0"/>
                <w:color w:val="auto"/>
                <w:spacing w:val="0"/>
                <w:sz w:val="21"/>
                <w:highlight w:val="none"/>
              </w:rPr>
            </w:pPr>
          </w:p>
        </w:tc>
        <w:tc>
          <w:tcPr>
            <w:tcW w:w="652" w:type="dxa"/>
            <w:vMerge w:val="restart"/>
            <w:tcBorders>
              <w:tl2br w:val="nil"/>
              <w:tr2bl w:val="nil"/>
            </w:tcBorders>
            <w:shd w:val="clear" w:color="auto" w:fill="auto"/>
            <w:vAlign w:val="center"/>
          </w:tcPr>
          <w:p w14:paraId="38AA58A6">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物料平衡</w:t>
            </w:r>
          </w:p>
        </w:tc>
        <w:tc>
          <w:tcPr>
            <w:tcW w:w="1056" w:type="dxa"/>
            <w:tcBorders>
              <w:tl2br w:val="nil"/>
              <w:tr2bl w:val="nil"/>
            </w:tcBorders>
            <w:shd w:val="clear" w:color="auto" w:fill="auto"/>
            <w:vAlign w:val="center"/>
          </w:tcPr>
          <w:p w14:paraId="27AFCB7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0.01180</w:t>
            </w:r>
          </w:p>
        </w:tc>
        <w:tc>
          <w:tcPr>
            <w:tcW w:w="1383" w:type="dxa"/>
            <w:gridSpan w:val="3"/>
            <w:tcBorders>
              <w:tl2br w:val="nil"/>
              <w:tr2bl w:val="nil"/>
            </w:tcBorders>
            <w:shd w:val="clear" w:color="auto" w:fill="auto"/>
            <w:vAlign w:val="center"/>
          </w:tcPr>
          <w:p w14:paraId="6A36271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298" w:type="dxa"/>
            <w:gridSpan w:val="3"/>
            <w:vMerge w:val="continue"/>
            <w:tcBorders>
              <w:tl2br w:val="nil"/>
              <w:tr2bl w:val="nil"/>
            </w:tcBorders>
            <w:shd w:val="clear" w:color="auto" w:fill="auto"/>
            <w:vAlign w:val="center"/>
          </w:tcPr>
          <w:p w14:paraId="7F77BCC2">
            <w:pPr>
              <w:widowControl w:val="0"/>
              <w:snapToGrid w:val="0"/>
              <w:jc w:val="center"/>
              <w:rPr>
                <w:rFonts w:ascii="Times New Roman" w:hAnsi="Times New Roman" w:eastAsia="宋体" w:cs="Times New Roman"/>
                <w:caps w:val="0"/>
                <w:smallCaps w:val="0"/>
                <w:color w:val="auto"/>
                <w:spacing w:val="0"/>
                <w:sz w:val="21"/>
                <w:highlight w:val="none"/>
              </w:rPr>
            </w:pPr>
          </w:p>
        </w:tc>
        <w:tc>
          <w:tcPr>
            <w:tcW w:w="502" w:type="dxa"/>
            <w:vMerge w:val="restart"/>
            <w:tcBorders>
              <w:tl2br w:val="nil"/>
              <w:tr2bl w:val="nil"/>
            </w:tcBorders>
            <w:shd w:val="clear" w:color="auto" w:fill="auto"/>
            <w:vAlign w:val="center"/>
          </w:tcPr>
          <w:p w14:paraId="4FA7C0B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2400</w:t>
            </w:r>
          </w:p>
        </w:tc>
      </w:tr>
      <w:tr w14:paraId="07234B3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PrEx>
        <w:trPr>
          <w:trHeight w:val="397" w:hRule="atLeast"/>
        </w:trPr>
        <w:tc>
          <w:tcPr>
            <w:tcW w:w="604" w:type="dxa"/>
            <w:vMerge w:val="continue"/>
            <w:tcBorders>
              <w:tl2br w:val="nil"/>
              <w:tr2bl w:val="nil"/>
            </w:tcBorders>
            <w:shd w:val="clear" w:color="auto" w:fill="auto"/>
            <w:vAlign w:val="center"/>
          </w:tcPr>
          <w:p w14:paraId="42C9CE3D">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03E42B04">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1BE90A6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氨气</w:t>
            </w:r>
          </w:p>
        </w:tc>
        <w:tc>
          <w:tcPr>
            <w:tcW w:w="684" w:type="dxa"/>
            <w:tcBorders>
              <w:tl2br w:val="nil"/>
              <w:tr2bl w:val="nil"/>
            </w:tcBorders>
            <w:shd w:val="clear" w:color="auto" w:fill="auto"/>
            <w:vAlign w:val="center"/>
          </w:tcPr>
          <w:p w14:paraId="1DD09DE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767" w:type="dxa"/>
            <w:vMerge w:val="continue"/>
            <w:tcBorders>
              <w:tl2br w:val="nil"/>
              <w:tr2bl w:val="nil"/>
            </w:tcBorders>
            <w:shd w:val="clear" w:color="auto" w:fill="auto"/>
            <w:vAlign w:val="center"/>
          </w:tcPr>
          <w:p w14:paraId="27664A1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695349E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0.00277</w:t>
            </w:r>
          </w:p>
        </w:tc>
        <w:tc>
          <w:tcPr>
            <w:tcW w:w="957" w:type="dxa"/>
            <w:tcBorders>
              <w:tl2br w:val="nil"/>
              <w:tr2bl w:val="nil"/>
            </w:tcBorders>
            <w:shd w:val="clear" w:color="auto" w:fill="auto"/>
            <w:vAlign w:val="center"/>
          </w:tcPr>
          <w:p w14:paraId="4C11EB1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9.46×10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890" w:type="dxa"/>
            <w:tcBorders>
              <w:tl2br w:val="nil"/>
              <w:tr2bl w:val="nil"/>
            </w:tcBorders>
            <w:shd w:val="clear" w:color="auto" w:fill="auto"/>
            <w:vAlign w:val="center"/>
          </w:tcPr>
          <w:p w14:paraId="6DE5644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350" w:type="dxa"/>
            <w:gridSpan w:val="3"/>
            <w:vMerge w:val="continue"/>
            <w:tcBorders>
              <w:tl2br w:val="nil"/>
              <w:tr2bl w:val="nil"/>
            </w:tcBorders>
            <w:shd w:val="clear" w:color="auto" w:fill="auto"/>
            <w:vAlign w:val="center"/>
          </w:tcPr>
          <w:p w14:paraId="1EA25C83">
            <w:pPr>
              <w:widowControl w:val="0"/>
              <w:snapToGrid w:val="0"/>
              <w:jc w:val="center"/>
              <w:rPr>
                <w:rFonts w:ascii="Times New Roman" w:hAnsi="Times New Roman" w:eastAsia="宋体" w:cs="Times New Roman"/>
                <w:caps w:val="0"/>
                <w:smallCaps w:val="0"/>
                <w:color w:val="auto"/>
                <w:spacing w:val="0"/>
                <w:sz w:val="21"/>
                <w:highlight w:val="none"/>
              </w:rPr>
            </w:pPr>
          </w:p>
        </w:tc>
        <w:tc>
          <w:tcPr>
            <w:tcW w:w="652" w:type="dxa"/>
            <w:vMerge w:val="continue"/>
            <w:tcBorders>
              <w:tl2br w:val="nil"/>
              <w:tr2bl w:val="nil"/>
            </w:tcBorders>
            <w:shd w:val="clear" w:color="auto" w:fill="auto"/>
            <w:vAlign w:val="center"/>
          </w:tcPr>
          <w:p w14:paraId="4E16068B">
            <w:pPr>
              <w:widowControl w:val="0"/>
              <w:snapToGrid w:val="0"/>
              <w:jc w:val="center"/>
              <w:rPr>
                <w:rFonts w:ascii="Times New Roman" w:hAnsi="Times New Roman" w:eastAsia="宋体" w:cs="Times New Roman"/>
                <w:caps w:val="0"/>
                <w:smallCaps w:val="0"/>
                <w:color w:val="auto"/>
                <w:spacing w:val="0"/>
                <w:sz w:val="21"/>
                <w:highlight w:val="none"/>
              </w:rPr>
            </w:pPr>
          </w:p>
        </w:tc>
        <w:tc>
          <w:tcPr>
            <w:tcW w:w="1056" w:type="dxa"/>
            <w:tcBorders>
              <w:tl2br w:val="nil"/>
              <w:tr2bl w:val="nil"/>
            </w:tcBorders>
            <w:shd w:val="clear" w:color="auto" w:fill="auto"/>
            <w:vAlign w:val="center"/>
          </w:tcPr>
          <w:p w14:paraId="56B14CE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0.00277</w:t>
            </w:r>
          </w:p>
        </w:tc>
        <w:tc>
          <w:tcPr>
            <w:tcW w:w="1383" w:type="dxa"/>
            <w:gridSpan w:val="3"/>
            <w:tcBorders>
              <w:tl2br w:val="nil"/>
              <w:tr2bl w:val="nil"/>
            </w:tcBorders>
            <w:shd w:val="clear" w:color="auto" w:fill="auto"/>
            <w:vAlign w:val="center"/>
          </w:tcPr>
          <w:p w14:paraId="411D59C1">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298" w:type="dxa"/>
            <w:gridSpan w:val="3"/>
            <w:vMerge w:val="continue"/>
            <w:tcBorders>
              <w:tl2br w:val="nil"/>
              <w:tr2bl w:val="nil"/>
            </w:tcBorders>
            <w:shd w:val="clear" w:color="auto" w:fill="auto"/>
            <w:vAlign w:val="center"/>
          </w:tcPr>
          <w:p w14:paraId="3BE416FC">
            <w:pPr>
              <w:widowControl w:val="0"/>
              <w:snapToGrid w:val="0"/>
              <w:jc w:val="center"/>
              <w:rPr>
                <w:rFonts w:ascii="Times New Roman" w:hAnsi="Times New Roman" w:eastAsia="宋体" w:cs="Times New Roman"/>
                <w:caps w:val="0"/>
                <w:smallCaps w:val="0"/>
                <w:color w:val="auto"/>
                <w:spacing w:val="0"/>
                <w:sz w:val="21"/>
                <w:highlight w:val="none"/>
              </w:rPr>
            </w:pPr>
          </w:p>
        </w:tc>
        <w:tc>
          <w:tcPr>
            <w:tcW w:w="502" w:type="dxa"/>
            <w:vMerge w:val="continue"/>
            <w:tcBorders>
              <w:tl2br w:val="nil"/>
              <w:tr2bl w:val="nil"/>
            </w:tcBorders>
            <w:shd w:val="clear" w:color="auto" w:fill="auto"/>
            <w:vAlign w:val="center"/>
          </w:tcPr>
          <w:p w14:paraId="797C92EC">
            <w:pPr>
              <w:widowControl w:val="0"/>
              <w:snapToGrid w:val="0"/>
              <w:jc w:val="center"/>
              <w:rPr>
                <w:rFonts w:ascii="Times New Roman" w:hAnsi="Times New Roman" w:eastAsia="宋体" w:cs="Times New Roman"/>
                <w:caps w:val="0"/>
                <w:smallCaps w:val="0"/>
                <w:color w:val="auto"/>
                <w:spacing w:val="0"/>
                <w:sz w:val="21"/>
                <w:highlight w:val="none"/>
              </w:rPr>
            </w:pPr>
          </w:p>
        </w:tc>
      </w:tr>
      <w:tr w14:paraId="55FBC0E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712797A8">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46048FCD">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6AB7A92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二甲苯</w:t>
            </w:r>
          </w:p>
        </w:tc>
        <w:tc>
          <w:tcPr>
            <w:tcW w:w="684" w:type="dxa"/>
            <w:tcBorders>
              <w:tl2br w:val="nil"/>
              <w:tr2bl w:val="nil"/>
            </w:tcBorders>
            <w:shd w:val="clear" w:color="auto" w:fill="auto"/>
            <w:vAlign w:val="center"/>
          </w:tcPr>
          <w:p w14:paraId="3967CBF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767" w:type="dxa"/>
            <w:vMerge w:val="continue"/>
            <w:tcBorders>
              <w:tl2br w:val="nil"/>
              <w:tr2bl w:val="nil"/>
            </w:tcBorders>
            <w:shd w:val="clear" w:color="auto" w:fill="auto"/>
            <w:vAlign w:val="center"/>
          </w:tcPr>
          <w:p w14:paraId="21F49DA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1B6C5E8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0.00215</w:t>
            </w:r>
          </w:p>
        </w:tc>
        <w:tc>
          <w:tcPr>
            <w:tcW w:w="957" w:type="dxa"/>
            <w:tcBorders>
              <w:tl2br w:val="nil"/>
              <w:tr2bl w:val="nil"/>
            </w:tcBorders>
            <w:shd w:val="clear" w:color="auto" w:fill="auto"/>
            <w:vAlign w:val="center"/>
          </w:tcPr>
          <w:p w14:paraId="6E283A0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8.96×10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890" w:type="dxa"/>
            <w:tcBorders>
              <w:tl2br w:val="nil"/>
              <w:tr2bl w:val="nil"/>
            </w:tcBorders>
            <w:shd w:val="clear" w:color="auto" w:fill="auto"/>
            <w:vAlign w:val="center"/>
          </w:tcPr>
          <w:p w14:paraId="3B621E8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2350" w:type="dxa"/>
            <w:gridSpan w:val="3"/>
            <w:vMerge w:val="continue"/>
            <w:tcBorders>
              <w:tl2br w:val="nil"/>
              <w:tr2bl w:val="nil"/>
            </w:tcBorders>
            <w:shd w:val="clear" w:color="auto" w:fill="auto"/>
            <w:vAlign w:val="center"/>
          </w:tcPr>
          <w:p w14:paraId="119320EF">
            <w:pPr>
              <w:widowControl w:val="0"/>
              <w:snapToGrid w:val="0"/>
              <w:jc w:val="center"/>
              <w:rPr>
                <w:rFonts w:ascii="Times New Roman" w:hAnsi="Times New Roman" w:eastAsia="宋体" w:cs="Times New Roman"/>
                <w:caps w:val="0"/>
                <w:smallCaps w:val="0"/>
                <w:color w:val="auto"/>
                <w:spacing w:val="0"/>
                <w:sz w:val="21"/>
                <w:highlight w:val="none"/>
              </w:rPr>
            </w:pPr>
          </w:p>
        </w:tc>
        <w:tc>
          <w:tcPr>
            <w:tcW w:w="652" w:type="dxa"/>
            <w:vMerge w:val="continue"/>
            <w:tcBorders>
              <w:tl2br w:val="nil"/>
              <w:tr2bl w:val="nil"/>
            </w:tcBorders>
            <w:shd w:val="clear" w:color="auto" w:fill="auto"/>
            <w:vAlign w:val="center"/>
          </w:tcPr>
          <w:p w14:paraId="3DCE2D00">
            <w:pPr>
              <w:widowControl w:val="0"/>
              <w:snapToGrid w:val="0"/>
              <w:jc w:val="center"/>
              <w:rPr>
                <w:rFonts w:ascii="Times New Roman" w:hAnsi="Times New Roman" w:eastAsia="宋体" w:cs="Times New Roman"/>
                <w:caps w:val="0"/>
                <w:smallCaps w:val="0"/>
                <w:color w:val="auto"/>
                <w:spacing w:val="0"/>
                <w:sz w:val="21"/>
                <w:highlight w:val="none"/>
              </w:rPr>
            </w:pPr>
          </w:p>
        </w:tc>
        <w:tc>
          <w:tcPr>
            <w:tcW w:w="1056" w:type="dxa"/>
            <w:tcBorders>
              <w:tl2br w:val="nil"/>
              <w:tr2bl w:val="nil"/>
            </w:tcBorders>
            <w:shd w:val="clear" w:color="auto" w:fill="auto"/>
            <w:vAlign w:val="center"/>
          </w:tcPr>
          <w:p w14:paraId="3C7700D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0.00215</w:t>
            </w:r>
          </w:p>
        </w:tc>
        <w:tc>
          <w:tcPr>
            <w:tcW w:w="1383" w:type="dxa"/>
            <w:gridSpan w:val="3"/>
            <w:tcBorders>
              <w:tl2br w:val="nil"/>
              <w:tr2bl w:val="nil"/>
            </w:tcBorders>
            <w:shd w:val="clear" w:color="auto" w:fill="auto"/>
            <w:vAlign w:val="center"/>
          </w:tcPr>
          <w:p w14:paraId="7A41FE2F">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8.96×10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298" w:type="dxa"/>
            <w:gridSpan w:val="3"/>
            <w:vMerge w:val="continue"/>
            <w:tcBorders>
              <w:tl2br w:val="nil"/>
              <w:tr2bl w:val="nil"/>
            </w:tcBorders>
            <w:shd w:val="clear" w:color="auto" w:fill="auto"/>
            <w:vAlign w:val="center"/>
          </w:tcPr>
          <w:p w14:paraId="513432FD">
            <w:pPr>
              <w:widowControl w:val="0"/>
              <w:snapToGrid w:val="0"/>
              <w:jc w:val="center"/>
              <w:rPr>
                <w:rFonts w:ascii="Times New Roman" w:hAnsi="Times New Roman" w:eastAsia="宋体" w:cs="Times New Roman"/>
                <w:caps w:val="0"/>
                <w:smallCaps w:val="0"/>
                <w:color w:val="auto"/>
                <w:spacing w:val="0"/>
                <w:sz w:val="21"/>
                <w:highlight w:val="none"/>
              </w:rPr>
            </w:pPr>
          </w:p>
        </w:tc>
        <w:tc>
          <w:tcPr>
            <w:tcW w:w="502" w:type="dxa"/>
            <w:vMerge w:val="continue"/>
            <w:tcBorders>
              <w:tl2br w:val="nil"/>
              <w:tr2bl w:val="nil"/>
            </w:tcBorders>
            <w:shd w:val="clear" w:color="auto" w:fill="auto"/>
            <w:vAlign w:val="center"/>
          </w:tcPr>
          <w:p w14:paraId="039B3113">
            <w:pPr>
              <w:widowControl w:val="0"/>
              <w:snapToGrid w:val="0"/>
              <w:jc w:val="center"/>
              <w:rPr>
                <w:rFonts w:ascii="Times New Roman" w:hAnsi="Times New Roman" w:eastAsia="宋体" w:cs="Times New Roman"/>
                <w:caps w:val="0"/>
                <w:smallCaps w:val="0"/>
                <w:color w:val="auto"/>
                <w:spacing w:val="0"/>
                <w:sz w:val="21"/>
                <w:highlight w:val="none"/>
              </w:rPr>
            </w:pPr>
          </w:p>
        </w:tc>
      </w:tr>
      <w:tr w14:paraId="3C6BCBC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69F44FF2">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restart"/>
            <w:tcBorders>
              <w:tl2br w:val="nil"/>
              <w:tr2bl w:val="nil"/>
            </w:tcBorders>
            <w:shd w:val="clear" w:color="auto" w:fill="auto"/>
            <w:vAlign w:val="center"/>
          </w:tcPr>
          <w:p w14:paraId="713ECA27">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污水处理站废气</w:t>
            </w:r>
          </w:p>
        </w:tc>
        <w:tc>
          <w:tcPr>
            <w:tcW w:w="940" w:type="dxa"/>
            <w:tcBorders>
              <w:tl2br w:val="nil"/>
              <w:tr2bl w:val="nil"/>
            </w:tcBorders>
            <w:shd w:val="clear" w:color="auto" w:fill="auto"/>
            <w:vAlign w:val="center"/>
          </w:tcPr>
          <w:p w14:paraId="7867672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氨气</w:t>
            </w:r>
          </w:p>
        </w:tc>
        <w:tc>
          <w:tcPr>
            <w:tcW w:w="684" w:type="dxa"/>
            <w:tcBorders>
              <w:tl2br w:val="nil"/>
              <w:tr2bl w:val="nil"/>
            </w:tcBorders>
            <w:shd w:val="clear" w:color="auto" w:fill="auto"/>
            <w:vAlign w:val="center"/>
          </w:tcPr>
          <w:p w14:paraId="4004BD7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767" w:type="dxa"/>
            <w:vMerge w:val="continue"/>
            <w:tcBorders>
              <w:tl2br w:val="nil"/>
              <w:tr2bl w:val="nil"/>
            </w:tcBorders>
            <w:shd w:val="clear" w:color="auto" w:fill="auto"/>
            <w:vAlign w:val="center"/>
          </w:tcPr>
          <w:p w14:paraId="5AB02DD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36B4F92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0.0150</w:t>
            </w:r>
          </w:p>
        </w:tc>
        <w:tc>
          <w:tcPr>
            <w:tcW w:w="957" w:type="dxa"/>
            <w:tcBorders>
              <w:tl2br w:val="nil"/>
              <w:tr2bl w:val="nil"/>
            </w:tcBorders>
            <w:shd w:val="clear" w:color="auto" w:fill="auto"/>
            <w:vAlign w:val="center"/>
          </w:tcPr>
          <w:p w14:paraId="064CA1F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890" w:type="dxa"/>
            <w:tcBorders>
              <w:tl2br w:val="nil"/>
              <w:tr2bl w:val="nil"/>
            </w:tcBorders>
            <w:shd w:val="clear" w:color="auto" w:fill="auto"/>
            <w:vAlign w:val="center"/>
          </w:tcPr>
          <w:p w14:paraId="7DE17C7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2350" w:type="dxa"/>
            <w:gridSpan w:val="3"/>
            <w:vMerge w:val="continue"/>
            <w:tcBorders>
              <w:tl2br w:val="nil"/>
              <w:tr2bl w:val="nil"/>
            </w:tcBorders>
            <w:shd w:val="clear" w:color="auto" w:fill="auto"/>
            <w:vAlign w:val="center"/>
          </w:tcPr>
          <w:p w14:paraId="551FF1EA">
            <w:pPr>
              <w:widowControl w:val="0"/>
              <w:snapToGrid w:val="0"/>
              <w:jc w:val="center"/>
              <w:rPr>
                <w:rFonts w:ascii="Times New Roman" w:hAnsi="Times New Roman" w:eastAsia="宋体" w:cs="Times New Roman"/>
                <w:caps w:val="0"/>
                <w:smallCaps w:val="0"/>
                <w:color w:val="auto"/>
                <w:spacing w:val="0"/>
                <w:sz w:val="21"/>
                <w:highlight w:val="none"/>
              </w:rPr>
            </w:pPr>
          </w:p>
        </w:tc>
        <w:tc>
          <w:tcPr>
            <w:tcW w:w="652" w:type="dxa"/>
            <w:vMerge w:val="continue"/>
            <w:tcBorders>
              <w:tl2br w:val="nil"/>
              <w:tr2bl w:val="nil"/>
            </w:tcBorders>
            <w:shd w:val="clear" w:color="auto" w:fill="auto"/>
            <w:vAlign w:val="center"/>
          </w:tcPr>
          <w:p w14:paraId="7E3213FD">
            <w:pPr>
              <w:widowControl w:val="0"/>
              <w:snapToGrid w:val="0"/>
              <w:jc w:val="center"/>
              <w:rPr>
                <w:rFonts w:ascii="Times New Roman" w:hAnsi="Times New Roman" w:eastAsia="宋体" w:cs="Times New Roman"/>
                <w:caps w:val="0"/>
                <w:smallCaps w:val="0"/>
                <w:color w:val="auto"/>
                <w:spacing w:val="0"/>
                <w:sz w:val="21"/>
                <w:highlight w:val="none"/>
              </w:rPr>
            </w:pPr>
          </w:p>
        </w:tc>
        <w:tc>
          <w:tcPr>
            <w:tcW w:w="1056" w:type="dxa"/>
            <w:tcBorders>
              <w:tl2br w:val="nil"/>
              <w:tr2bl w:val="nil"/>
            </w:tcBorders>
            <w:shd w:val="clear" w:color="auto" w:fill="auto"/>
            <w:vAlign w:val="center"/>
          </w:tcPr>
          <w:p w14:paraId="57DB1D7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0.0150</w:t>
            </w:r>
          </w:p>
        </w:tc>
        <w:tc>
          <w:tcPr>
            <w:tcW w:w="1383" w:type="dxa"/>
            <w:gridSpan w:val="3"/>
            <w:tcBorders>
              <w:tl2br w:val="nil"/>
              <w:tr2bl w:val="nil"/>
            </w:tcBorders>
            <w:shd w:val="clear" w:color="auto" w:fill="auto"/>
            <w:vAlign w:val="center"/>
          </w:tcPr>
          <w:p w14:paraId="50E1B9F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1298" w:type="dxa"/>
            <w:gridSpan w:val="3"/>
            <w:vMerge w:val="continue"/>
            <w:tcBorders>
              <w:tl2br w:val="nil"/>
              <w:tr2bl w:val="nil"/>
            </w:tcBorders>
            <w:shd w:val="clear" w:color="auto" w:fill="auto"/>
            <w:vAlign w:val="center"/>
          </w:tcPr>
          <w:p w14:paraId="43DBEFEC">
            <w:pPr>
              <w:widowControl w:val="0"/>
              <w:snapToGrid w:val="0"/>
              <w:jc w:val="center"/>
              <w:rPr>
                <w:rFonts w:ascii="Times New Roman" w:hAnsi="Times New Roman" w:eastAsia="宋体" w:cs="Times New Roman"/>
                <w:caps w:val="0"/>
                <w:smallCaps w:val="0"/>
                <w:color w:val="auto"/>
                <w:spacing w:val="0"/>
                <w:sz w:val="21"/>
                <w:highlight w:val="none"/>
              </w:rPr>
            </w:pPr>
          </w:p>
        </w:tc>
        <w:tc>
          <w:tcPr>
            <w:tcW w:w="502" w:type="dxa"/>
            <w:vMerge w:val="restart"/>
            <w:tcBorders>
              <w:tl2br w:val="nil"/>
              <w:tr2bl w:val="nil"/>
            </w:tcBorders>
            <w:shd w:val="clear" w:color="auto" w:fill="auto"/>
            <w:vAlign w:val="center"/>
          </w:tcPr>
          <w:p w14:paraId="627CAC2F">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7200</w:t>
            </w:r>
          </w:p>
        </w:tc>
      </w:tr>
      <w:tr w14:paraId="20CA700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04" w:type="dxa"/>
            <w:vMerge w:val="continue"/>
            <w:tcBorders>
              <w:tl2br w:val="nil"/>
              <w:tr2bl w:val="nil"/>
            </w:tcBorders>
            <w:shd w:val="clear" w:color="auto" w:fill="auto"/>
            <w:vAlign w:val="center"/>
          </w:tcPr>
          <w:p w14:paraId="111FF6CE">
            <w:pPr>
              <w:widowControl w:val="0"/>
              <w:snapToGrid w:val="0"/>
              <w:jc w:val="center"/>
              <w:rPr>
                <w:rFonts w:ascii="Times New Roman" w:hAnsi="Times New Roman" w:eastAsia="宋体" w:cs="Times New Roman"/>
                <w:caps w:val="0"/>
                <w:smallCaps w:val="0"/>
                <w:color w:val="auto"/>
                <w:spacing w:val="0"/>
                <w:sz w:val="21"/>
                <w:highlight w:val="none"/>
              </w:rPr>
            </w:pPr>
          </w:p>
        </w:tc>
        <w:tc>
          <w:tcPr>
            <w:tcW w:w="1286" w:type="dxa"/>
            <w:vMerge w:val="continue"/>
            <w:tcBorders>
              <w:tl2br w:val="nil"/>
              <w:tr2bl w:val="nil"/>
            </w:tcBorders>
            <w:shd w:val="clear" w:color="auto" w:fill="auto"/>
            <w:vAlign w:val="center"/>
          </w:tcPr>
          <w:p w14:paraId="01519DF5">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5E89E2E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硫化氢</w:t>
            </w:r>
          </w:p>
        </w:tc>
        <w:tc>
          <w:tcPr>
            <w:tcW w:w="684" w:type="dxa"/>
            <w:tcBorders>
              <w:tl2br w:val="nil"/>
              <w:tr2bl w:val="nil"/>
            </w:tcBorders>
            <w:shd w:val="clear" w:color="auto" w:fill="auto"/>
            <w:vAlign w:val="center"/>
          </w:tcPr>
          <w:p w14:paraId="50B7851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767" w:type="dxa"/>
            <w:vMerge w:val="continue"/>
            <w:tcBorders>
              <w:tl2br w:val="nil"/>
              <w:tr2bl w:val="nil"/>
            </w:tcBorders>
            <w:shd w:val="clear" w:color="auto" w:fill="auto"/>
            <w:vAlign w:val="center"/>
          </w:tcPr>
          <w:p w14:paraId="318194BD">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bidi="ar"/>
              </w:rPr>
            </w:pPr>
          </w:p>
        </w:tc>
        <w:tc>
          <w:tcPr>
            <w:tcW w:w="849" w:type="dxa"/>
            <w:tcBorders>
              <w:tl2br w:val="nil"/>
              <w:tr2bl w:val="nil"/>
            </w:tcBorders>
            <w:shd w:val="clear" w:color="auto" w:fill="auto"/>
            <w:vAlign w:val="center"/>
          </w:tcPr>
          <w:p w14:paraId="5A1955A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0.00058</w:t>
            </w:r>
          </w:p>
        </w:tc>
        <w:tc>
          <w:tcPr>
            <w:tcW w:w="957" w:type="dxa"/>
            <w:tcBorders>
              <w:tl2br w:val="nil"/>
              <w:tr2bl w:val="nil"/>
            </w:tcBorders>
            <w:shd w:val="clear" w:color="auto" w:fill="auto"/>
            <w:vAlign w:val="center"/>
          </w:tcPr>
          <w:p w14:paraId="351F16B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8.05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c>
          <w:tcPr>
            <w:tcW w:w="890" w:type="dxa"/>
            <w:tcBorders>
              <w:tl2br w:val="nil"/>
              <w:tr2bl w:val="nil"/>
            </w:tcBorders>
            <w:shd w:val="clear" w:color="auto" w:fill="auto"/>
            <w:vAlign w:val="center"/>
          </w:tcPr>
          <w:p w14:paraId="086371D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2350" w:type="dxa"/>
            <w:gridSpan w:val="3"/>
            <w:vMerge w:val="continue"/>
            <w:tcBorders>
              <w:tl2br w:val="nil"/>
              <w:tr2bl w:val="nil"/>
            </w:tcBorders>
            <w:shd w:val="clear" w:color="auto" w:fill="auto"/>
            <w:vAlign w:val="center"/>
          </w:tcPr>
          <w:p w14:paraId="75400BC8">
            <w:pPr>
              <w:widowControl w:val="0"/>
              <w:snapToGrid w:val="0"/>
              <w:jc w:val="center"/>
              <w:rPr>
                <w:rFonts w:ascii="Times New Roman" w:hAnsi="Times New Roman" w:eastAsia="宋体" w:cs="Times New Roman"/>
                <w:caps w:val="0"/>
                <w:smallCaps w:val="0"/>
                <w:color w:val="auto"/>
                <w:spacing w:val="0"/>
                <w:sz w:val="21"/>
                <w:highlight w:val="none"/>
              </w:rPr>
            </w:pPr>
          </w:p>
        </w:tc>
        <w:tc>
          <w:tcPr>
            <w:tcW w:w="652" w:type="dxa"/>
            <w:vMerge w:val="continue"/>
            <w:tcBorders>
              <w:tl2br w:val="nil"/>
              <w:tr2bl w:val="nil"/>
            </w:tcBorders>
            <w:shd w:val="clear" w:color="auto" w:fill="auto"/>
            <w:vAlign w:val="center"/>
          </w:tcPr>
          <w:p w14:paraId="464215CE">
            <w:pPr>
              <w:widowControl w:val="0"/>
              <w:snapToGrid w:val="0"/>
              <w:jc w:val="center"/>
              <w:rPr>
                <w:rFonts w:ascii="Times New Roman" w:hAnsi="Times New Roman" w:eastAsia="宋体" w:cs="Times New Roman"/>
                <w:caps w:val="0"/>
                <w:smallCaps w:val="0"/>
                <w:color w:val="auto"/>
                <w:spacing w:val="0"/>
                <w:sz w:val="21"/>
                <w:highlight w:val="none"/>
              </w:rPr>
            </w:pPr>
          </w:p>
        </w:tc>
        <w:tc>
          <w:tcPr>
            <w:tcW w:w="1056" w:type="dxa"/>
            <w:tcBorders>
              <w:tl2br w:val="nil"/>
              <w:tr2bl w:val="nil"/>
            </w:tcBorders>
            <w:shd w:val="clear" w:color="auto" w:fill="auto"/>
            <w:vAlign w:val="center"/>
          </w:tcPr>
          <w:p w14:paraId="57D7535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0.00058</w:t>
            </w:r>
          </w:p>
        </w:tc>
        <w:tc>
          <w:tcPr>
            <w:tcW w:w="1383" w:type="dxa"/>
            <w:gridSpan w:val="3"/>
            <w:tcBorders>
              <w:tl2br w:val="nil"/>
              <w:tr2bl w:val="nil"/>
            </w:tcBorders>
            <w:shd w:val="clear" w:color="auto" w:fill="auto"/>
            <w:vAlign w:val="center"/>
          </w:tcPr>
          <w:p w14:paraId="7E459B2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8.05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c>
          <w:tcPr>
            <w:tcW w:w="1298" w:type="dxa"/>
            <w:gridSpan w:val="3"/>
            <w:vMerge w:val="continue"/>
            <w:tcBorders>
              <w:tl2br w:val="nil"/>
              <w:tr2bl w:val="nil"/>
            </w:tcBorders>
            <w:shd w:val="clear" w:color="auto" w:fill="auto"/>
            <w:vAlign w:val="center"/>
          </w:tcPr>
          <w:p w14:paraId="231B67BB">
            <w:pPr>
              <w:widowControl w:val="0"/>
              <w:snapToGrid w:val="0"/>
              <w:jc w:val="center"/>
              <w:rPr>
                <w:rFonts w:ascii="Times New Roman" w:hAnsi="Times New Roman" w:eastAsia="宋体" w:cs="Times New Roman"/>
                <w:caps w:val="0"/>
                <w:smallCaps w:val="0"/>
                <w:color w:val="auto"/>
                <w:spacing w:val="0"/>
                <w:sz w:val="21"/>
                <w:highlight w:val="none"/>
              </w:rPr>
            </w:pPr>
          </w:p>
        </w:tc>
        <w:tc>
          <w:tcPr>
            <w:tcW w:w="502" w:type="dxa"/>
            <w:vMerge w:val="continue"/>
            <w:tcBorders>
              <w:tl2br w:val="nil"/>
              <w:tr2bl w:val="nil"/>
            </w:tcBorders>
            <w:shd w:val="clear" w:color="auto" w:fill="auto"/>
            <w:vAlign w:val="center"/>
          </w:tcPr>
          <w:p w14:paraId="728458AF">
            <w:pPr>
              <w:widowControl w:val="0"/>
              <w:snapToGrid w:val="0"/>
              <w:jc w:val="center"/>
              <w:rPr>
                <w:rFonts w:ascii="Times New Roman" w:hAnsi="Times New Roman" w:eastAsia="宋体" w:cs="Times New Roman"/>
                <w:caps w:val="0"/>
                <w:smallCaps w:val="0"/>
                <w:color w:val="auto"/>
                <w:spacing w:val="0"/>
                <w:sz w:val="21"/>
                <w:highlight w:val="none"/>
              </w:rPr>
            </w:pPr>
          </w:p>
        </w:tc>
      </w:tr>
    </w:tbl>
    <w:p w14:paraId="244D49EF">
      <w:pPr>
        <w:pStyle w:val="51"/>
        <w:rPr>
          <w:rFonts w:ascii="Times New Roman" w:hAnsi="Times New Roman"/>
          <w:caps w:val="0"/>
          <w:smallCaps w:val="0"/>
          <w:color w:val="auto"/>
          <w:spacing w:val="0"/>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45F6C934">
      <w:pPr>
        <w:pStyle w:val="6"/>
        <w:widowControl w:val="0"/>
        <w:rPr>
          <w:rFonts w:eastAsia="宋体"/>
          <w:caps w:val="0"/>
          <w:smallCaps w:val="0"/>
          <w:color w:val="auto"/>
          <w:spacing w:val="0"/>
          <w:highlight w:val="none"/>
        </w:rPr>
      </w:pPr>
      <w:r>
        <w:rPr>
          <w:rFonts w:eastAsia="宋体"/>
          <w:caps w:val="0"/>
          <w:smallCaps w:val="0"/>
          <w:color w:val="auto"/>
          <w:spacing w:val="0"/>
          <w:highlight w:val="none"/>
        </w:rPr>
        <w:t>3.5.1.3噪声</w:t>
      </w:r>
    </w:p>
    <w:p w14:paraId="0FF4F92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本项目建成后，主要的噪声污染源是机械设备如空压机、风机、水泵等产生的噪声。设备的选型尽可能选用噪声低、振动小的设备，减少对区域声环境的影响。项目运营期</w:t>
      </w:r>
      <w:r>
        <w:rPr>
          <w:rFonts w:hint="eastAsia" w:eastAsia="宋体"/>
          <w:caps w:val="0"/>
          <w:smallCaps w:val="0"/>
          <w:color w:val="auto"/>
          <w:spacing w:val="0"/>
          <w:highlight w:val="none"/>
        </w:rPr>
        <w:t>主要</w:t>
      </w:r>
      <w:r>
        <w:rPr>
          <w:rFonts w:eastAsia="宋体"/>
          <w:caps w:val="0"/>
          <w:smallCaps w:val="0"/>
          <w:color w:val="auto"/>
          <w:spacing w:val="0"/>
          <w:highlight w:val="none"/>
        </w:rPr>
        <w:t>噪声源强度见下表。</w:t>
      </w:r>
    </w:p>
    <w:p w14:paraId="01EC2864">
      <w:pPr>
        <w:pStyle w:val="66"/>
        <w:widowControl w:val="0"/>
        <w:spacing w:after="48" w:afterLines="20"/>
        <w:ind w:firstLine="380"/>
        <w:rPr>
          <w:rFonts w:ascii="Times New Roman" w:hAnsi="Times New Roman" w:eastAsia="宋体" w:cs="Times New Roman"/>
          <w:b/>
          <w:caps w:val="0"/>
          <w:smallCaps w:val="0"/>
          <w:color w:val="auto"/>
          <w:spacing w:val="0"/>
          <w:sz w:val="24"/>
          <w:szCs w:val="24"/>
          <w:highlight w:val="none"/>
        </w:rPr>
      </w:pPr>
      <w:r>
        <w:rPr>
          <w:rFonts w:ascii="Times New Roman" w:hAnsi="Times New Roman" w:eastAsia="宋体" w:cs="Times New Roman"/>
          <w:b/>
          <w:caps w:val="0"/>
          <w:smallCaps w:val="0"/>
          <w:color w:val="auto"/>
          <w:spacing w:val="0"/>
          <w:sz w:val="24"/>
          <w:szCs w:val="24"/>
          <w:highlight w:val="none"/>
        </w:rPr>
        <w:t>表3.5-</w:t>
      </w:r>
      <w:r>
        <w:rPr>
          <w:rFonts w:hint="eastAsia" w:ascii="Times New Roman" w:hAnsi="Times New Roman" w:eastAsia="宋体" w:cs="Times New Roman"/>
          <w:b/>
          <w:caps w:val="0"/>
          <w:smallCaps w:val="0"/>
          <w:color w:val="auto"/>
          <w:spacing w:val="0"/>
          <w:sz w:val="24"/>
          <w:szCs w:val="24"/>
          <w:highlight w:val="none"/>
        </w:rPr>
        <w:t>6</w:t>
      </w:r>
      <w:r>
        <w:rPr>
          <w:rFonts w:ascii="Times New Roman" w:hAnsi="Times New Roman" w:eastAsia="宋体" w:cs="Times New Roman"/>
          <w:b/>
          <w:caps w:val="0"/>
          <w:smallCaps w:val="0"/>
          <w:color w:val="auto"/>
          <w:spacing w:val="0"/>
          <w:sz w:val="24"/>
          <w:szCs w:val="24"/>
          <w:highlight w:val="none"/>
        </w:rPr>
        <w:t>噪声源强一览表</w:t>
      </w:r>
    </w:p>
    <w:tbl>
      <w:tblPr>
        <w:tblStyle w:val="3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36"/>
        <w:gridCol w:w="662"/>
        <w:gridCol w:w="437"/>
        <w:gridCol w:w="879"/>
        <w:gridCol w:w="673"/>
        <w:gridCol w:w="530"/>
        <w:gridCol w:w="436"/>
        <w:gridCol w:w="480"/>
        <w:gridCol w:w="438"/>
        <w:gridCol w:w="878"/>
        <w:gridCol w:w="800"/>
        <w:gridCol w:w="880"/>
        <w:gridCol w:w="656"/>
        <w:gridCol w:w="672"/>
      </w:tblGrid>
      <w:tr w14:paraId="4A996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30" w:type="pct"/>
            <w:vMerge w:val="restart"/>
            <w:tcBorders>
              <w:top w:val="single" w:color="auto" w:sz="8" w:space="0"/>
            </w:tcBorders>
            <w:vAlign w:val="center"/>
          </w:tcPr>
          <w:p w14:paraId="29F400C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序号</w:t>
            </w:r>
          </w:p>
        </w:tc>
        <w:tc>
          <w:tcPr>
            <w:tcW w:w="234" w:type="pct"/>
            <w:vMerge w:val="restart"/>
            <w:tcBorders>
              <w:top w:val="single" w:color="auto" w:sz="8" w:space="0"/>
            </w:tcBorders>
            <w:vAlign w:val="center"/>
          </w:tcPr>
          <w:p w14:paraId="196E42B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建筑物名称</w:t>
            </w:r>
          </w:p>
        </w:tc>
        <w:tc>
          <w:tcPr>
            <w:tcW w:w="356" w:type="pct"/>
            <w:vMerge w:val="restart"/>
            <w:tcBorders>
              <w:top w:val="single" w:color="auto" w:sz="8" w:space="0"/>
            </w:tcBorders>
            <w:vAlign w:val="center"/>
          </w:tcPr>
          <w:p w14:paraId="5DBFBC8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声源名称</w:t>
            </w:r>
          </w:p>
        </w:tc>
        <w:tc>
          <w:tcPr>
            <w:tcW w:w="235" w:type="pct"/>
            <w:vMerge w:val="restart"/>
            <w:tcBorders>
              <w:top w:val="single" w:color="auto" w:sz="8" w:space="0"/>
            </w:tcBorders>
            <w:vAlign w:val="center"/>
          </w:tcPr>
          <w:p w14:paraId="318D7A0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型号</w:t>
            </w:r>
          </w:p>
        </w:tc>
        <w:tc>
          <w:tcPr>
            <w:tcW w:w="473" w:type="pct"/>
            <w:tcBorders>
              <w:top w:val="single" w:color="auto" w:sz="8" w:space="0"/>
            </w:tcBorders>
            <w:vAlign w:val="center"/>
          </w:tcPr>
          <w:p w14:paraId="528EF34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声源</w:t>
            </w:r>
          </w:p>
          <w:p w14:paraId="1B46B4F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源强</w:t>
            </w:r>
          </w:p>
        </w:tc>
        <w:tc>
          <w:tcPr>
            <w:tcW w:w="362" w:type="pct"/>
            <w:vMerge w:val="restart"/>
            <w:tcBorders>
              <w:top w:val="single" w:color="auto" w:sz="8" w:space="0"/>
            </w:tcBorders>
            <w:vAlign w:val="center"/>
          </w:tcPr>
          <w:p w14:paraId="0601147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声源控制措施</w:t>
            </w:r>
          </w:p>
        </w:tc>
        <w:tc>
          <w:tcPr>
            <w:tcW w:w="778" w:type="pct"/>
            <w:gridSpan w:val="3"/>
            <w:tcBorders>
              <w:top w:val="single" w:color="auto" w:sz="8" w:space="0"/>
            </w:tcBorders>
            <w:vAlign w:val="center"/>
          </w:tcPr>
          <w:p w14:paraId="0975A17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空间相对位置/m</w:t>
            </w:r>
          </w:p>
        </w:tc>
        <w:tc>
          <w:tcPr>
            <w:tcW w:w="235" w:type="pct"/>
            <w:vMerge w:val="restart"/>
            <w:tcBorders>
              <w:top w:val="single" w:color="auto" w:sz="8" w:space="0"/>
            </w:tcBorders>
            <w:vAlign w:val="center"/>
          </w:tcPr>
          <w:p w14:paraId="7473697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距室内边界距离/m</w:t>
            </w:r>
          </w:p>
        </w:tc>
        <w:tc>
          <w:tcPr>
            <w:tcW w:w="472" w:type="pct"/>
            <w:vMerge w:val="restart"/>
            <w:tcBorders>
              <w:top w:val="single" w:color="auto" w:sz="8" w:space="0"/>
            </w:tcBorders>
            <w:vAlign w:val="center"/>
          </w:tcPr>
          <w:p w14:paraId="0F4EB00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室内边界声级/dB(A)</w:t>
            </w:r>
          </w:p>
        </w:tc>
        <w:tc>
          <w:tcPr>
            <w:tcW w:w="430" w:type="pct"/>
            <w:vMerge w:val="restart"/>
            <w:tcBorders>
              <w:top w:val="single" w:color="auto" w:sz="8" w:space="0"/>
            </w:tcBorders>
            <w:vAlign w:val="center"/>
          </w:tcPr>
          <w:p w14:paraId="5A1929B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运行时段</w:t>
            </w:r>
          </w:p>
        </w:tc>
        <w:tc>
          <w:tcPr>
            <w:tcW w:w="473" w:type="pct"/>
            <w:vMerge w:val="restart"/>
            <w:tcBorders>
              <w:top w:val="single" w:color="auto" w:sz="8" w:space="0"/>
            </w:tcBorders>
            <w:vAlign w:val="center"/>
          </w:tcPr>
          <w:p w14:paraId="313C976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建筑物插入损失/dB(A)</w:t>
            </w:r>
          </w:p>
        </w:tc>
        <w:tc>
          <w:tcPr>
            <w:tcW w:w="715" w:type="pct"/>
            <w:gridSpan w:val="2"/>
            <w:tcBorders>
              <w:top w:val="single" w:color="auto" w:sz="8" w:space="0"/>
            </w:tcBorders>
            <w:vAlign w:val="center"/>
          </w:tcPr>
          <w:p w14:paraId="0FE5D54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建筑物外噪声</w:t>
            </w:r>
          </w:p>
        </w:tc>
      </w:tr>
      <w:tr w14:paraId="00996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30" w:type="pct"/>
            <w:vMerge w:val="continue"/>
            <w:tcBorders>
              <w:bottom w:val="single" w:color="auto" w:sz="8" w:space="0"/>
            </w:tcBorders>
            <w:vAlign w:val="center"/>
          </w:tcPr>
          <w:p w14:paraId="2CCC1D11">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tcBorders>
              <w:bottom w:val="single" w:color="auto" w:sz="8" w:space="0"/>
            </w:tcBorders>
            <w:vAlign w:val="center"/>
          </w:tcPr>
          <w:p w14:paraId="31649F2D">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Merge w:val="continue"/>
            <w:tcBorders>
              <w:bottom w:val="single" w:color="auto" w:sz="8" w:space="0"/>
            </w:tcBorders>
            <w:vAlign w:val="center"/>
          </w:tcPr>
          <w:p w14:paraId="3017E775">
            <w:pPr>
              <w:pStyle w:val="210"/>
              <w:widowControl w:val="0"/>
              <w:rPr>
                <w:rFonts w:ascii="Times New Roman" w:hAnsi="Times New Roman" w:eastAsia="宋体" w:cs="Times New Roman"/>
                <w:caps w:val="0"/>
                <w:smallCaps w:val="0"/>
                <w:color w:val="auto"/>
                <w:spacing w:val="0"/>
                <w:sz w:val="21"/>
                <w:szCs w:val="21"/>
                <w:highlight w:val="none"/>
              </w:rPr>
            </w:pPr>
          </w:p>
        </w:tc>
        <w:tc>
          <w:tcPr>
            <w:tcW w:w="235" w:type="pct"/>
            <w:vMerge w:val="continue"/>
            <w:tcBorders>
              <w:bottom w:val="single" w:color="auto" w:sz="8" w:space="0"/>
            </w:tcBorders>
            <w:vAlign w:val="center"/>
          </w:tcPr>
          <w:p w14:paraId="037A3640">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bottom w:val="single" w:color="auto" w:sz="8" w:space="0"/>
            </w:tcBorders>
            <w:vAlign w:val="center"/>
          </w:tcPr>
          <w:p w14:paraId="290487F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声功</w:t>
            </w:r>
          </w:p>
          <w:p w14:paraId="62503F2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率级/dB(A)</w:t>
            </w:r>
          </w:p>
        </w:tc>
        <w:tc>
          <w:tcPr>
            <w:tcW w:w="362" w:type="pct"/>
            <w:vMerge w:val="continue"/>
            <w:tcBorders>
              <w:bottom w:val="single" w:color="auto" w:sz="8" w:space="0"/>
            </w:tcBorders>
            <w:vAlign w:val="center"/>
          </w:tcPr>
          <w:p w14:paraId="41C94CE9">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bottom w:val="single" w:color="auto" w:sz="8" w:space="0"/>
            </w:tcBorders>
            <w:vAlign w:val="center"/>
          </w:tcPr>
          <w:p w14:paraId="6A80CDE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X</w:t>
            </w:r>
          </w:p>
        </w:tc>
        <w:tc>
          <w:tcPr>
            <w:tcW w:w="234" w:type="pct"/>
            <w:tcBorders>
              <w:bottom w:val="single" w:color="auto" w:sz="8" w:space="0"/>
            </w:tcBorders>
            <w:vAlign w:val="center"/>
          </w:tcPr>
          <w:p w14:paraId="7C0C8F8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Y</w:t>
            </w:r>
          </w:p>
        </w:tc>
        <w:tc>
          <w:tcPr>
            <w:tcW w:w="258" w:type="pct"/>
            <w:tcBorders>
              <w:bottom w:val="single" w:color="auto" w:sz="8" w:space="0"/>
            </w:tcBorders>
            <w:vAlign w:val="center"/>
          </w:tcPr>
          <w:p w14:paraId="1524B0F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Z</w:t>
            </w:r>
          </w:p>
        </w:tc>
        <w:tc>
          <w:tcPr>
            <w:tcW w:w="235" w:type="pct"/>
            <w:vMerge w:val="continue"/>
            <w:tcBorders>
              <w:bottom w:val="single" w:color="auto" w:sz="8" w:space="0"/>
            </w:tcBorders>
            <w:vAlign w:val="center"/>
          </w:tcPr>
          <w:p w14:paraId="003A1B35">
            <w:pPr>
              <w:pStyle w:val="210"/>
              <w:widowControl w:val="0"/>
              <w:rPr>
                <w:rFonts w:ascii="Times New Roman" w:hAnsi="Times New Roman" w:eastAsia="宋体" w:cs="Times New Roman"/>
                <w:caps w:val="0"/>
                <w:smallCaps w:val="0"/>
                <w:color w:val="auto"/>
                <w:spacing w:val="0"/>
                <w:sz w:val="21"/>
                <w:szCs w:val="21"/>
                <w:highlight w:val="none"/>
              </w:rPr>
            </w:pPr>
          </w:p>
        </w:tc>
        <w:tc>
          <w:tcPr>
            <w:tcW w:w="472" w:type="pct"/>
            <w:vMerge w:val="continue"/>
            <w:tcBorders>
              <w:bottom w:val="single" w:color="auto" w:sz="8" w:space="0"/>
            </w:tcBorders>
            <w:vAlign w:val="center"/>
          </w:tcPr>
          <w:p w14:paraId="4DDBF0E7">
            <w:pPr>
              <w:pStyle w:val="210"/>
              <w:widowControl w:val="0"/>
              <w:rPr>
                <w:rFonts w:ascii="Times New Roman" w:hAnsi="Times New Roman" w:eastAsia="宋体" w:cs="Times New Roman"/>
                <w:caps w:val="0"/>
                <w:smallCaps w:val="0"/>
                <w:color w:val="auto"/>
                <w:spacing w:val="0"/>
                <w:sz w:val="21"/>
                <w:szCs w:val="21"/>
                <w:highlight w:val="none"/>
              </w:rPr>
            </w:pPr>
          </w:p>
        </w:tc>
        <w:tc>
          <w:tcPr>
            <w:tcW w:w="430" w:type="pct"/>
            <w:vMerge w:val="continue"/>
            <w:tcBorders>
              <w:bottom w:val="single" w:color="auto" w:sz="8" w:space="0"/>
            </w:tcBorders>
            <w:vAlign w:val="center"/>
          </w:tcPr>
          <w:p w14:paraId="10E829AD">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Merge w:val="continue"/>
            <w:tcBorders>
              <w:bottom w:val="single" w:color="auto" w:sz="8" w:space="0"/>
            </w:tcBorders>
            <w:vAlign w:val="center"/>
          </w:tcPr>
          <w:p w14:paraId="1593C7EF">
            <w:pPr>
              <w:pStyle w:val="210"/>
              <w:widowControl w:val="0"/>
              <w:rPr>
                <w:rFonts w:ascii="Times New Roman" w:hAnsi="Times New Roman" w:eastAsia="宋体" w:cs="Times New Roman"/>
                <w:caps w:val="0"/>
                <w:smallCaps w:val="0"/>
                <w:color w:val="auto"/>
                <w:spacing w:val="0"/>
                <w:sz w:val="21"/>
                <w:szCs w:val="21"/>
                <w:highlight w:val="none"/>
              </w:rPr>
            </w:pPr>
          </w:p>
        </w:tc>
        <w:tc>
          <w:tcPr>
            <w:tcW w:w="353" w:type="pct"/>
            <w:tcBorders>
              <w:bottom w:val="single" w:color="auto" w:sz="8" w:space="0"/>
            </w:tcBorders>
            <w:vAlign w:val="center"/>
          </w:tcPr>
          <w:p w14:paraId="3C5052B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声压级/dB(A)</w:t>
            </w:r>
          </w:p>
        </w:tc>
        <w:tc>
          <w:tcPr>
            <w:tcW w:w="361" w:type="pct"/>
            <w:tcBorders>
              <w:bottom w:val="single" w:color="auto" w:sz="8" w:space="0"/>
            </w:tcBorders>
            <w:vAlign w:val="center"/>
          </w:tcPr>
          <w:p w14:paraId="3BC0BFF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建筑物外距离</w:t>
            </w:r>
          </w:p>
        </w:tc>
      </w:tr>
      <w:tr w14:paraId="6F42F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0" w:type="pct"/>
            <w:vMerge w:val="restart"/>
            <w:tcBorders>
              <w:top w:val="single" w:color="auto" w:sz="8" w:space="0"/>
            </w:tcBorders>
            <w:vAlign w:val="center"/>
          </w:tcPr>
          <w:p w14:paraId="4CF6F6D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c>
          <w:tcPr>
            <w:tcW w:w="234" w:type="pct"/>
            <w:vMerge w:val="restart"/>
            <w:tcBorders>
              <w:top w:val="single" w:color="auto" w:sz="8" w:space="0"/>
            </w:tcBorders>
            <w:vAlign w:val="center"/>
          </w:tcPr>
          <w:p w14:paraId="1B7E44A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生产车间</w:t>
            </w:r>
          </w:p>
        </w:tc>
        <w:tc>
          <w:tcPr>
            <w:tcW w:w="356" w:type="pct"/>
            <w:tcBorders>
              <w:top w:val="single" w:color="auto" w:sz="8" w:space="0"/>
            </w:tcBorders>
          </w:tcPr>
          <w:p w14:paraId="6263D499">
            <w:pPr>
              <w:pStyle w:val="66"/>
              <w:widowControl w:val="0"/>
              <w:ind w:left="0"/>
              <w:jc w:val="both"/>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bCs/>
                <w:caps w:val="0"/>
                <w:smallCaps w:val="0"/>
                <w:color w:val="auto"/>
                <w:spacing w:val="0"/>
                <w:highlight w:val="none"/>
                <w:lang w:eastAsia="en-US"/>
              </w:rPr>
              <w:t>CSS沉积镀膜设备</w:t>
            </w:r>
          </w:p>
        </w:tc>
        <w:tc>
          <w:tcPr>
            <w:tcW w:w="235" w:type="pct"/>
            <w:tcBorders>
              <w:top w:val="single" w:color="auto" w:sz="8" w:space="0"/>
            </w:tcBorders>
            <w:vAlign w:val="center"/>
          </w:tcPr>
          <w:p w14:paraId="5CA7295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tcBorders>
              <w:top w:val="single" w:color="auto" w:sz="8" w:space="0"/>
            </w:tcBorders>
            <w:vAlign w:val="center"/>
          </w:tcPr>
          <w:p w14:paraId="612D63E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restart"/>
            <w:tcBorders>
              <w:top w:val="single" w:color="auto" w:sz="8" w:space="0"/>
            </w:tcBorders>
            <w:vAlign w:val="center"/>
          </w:tcPr>
          <w:p w14:paraId="72B94E8A">
            <w:pPr>
              <w:pStyle w:val="210"/>
              <w:widowControl w:val="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选用低噪设备，房屋封闭、减振、隔声处理</w:t>
            </w:r>
          </w:p>
        </w:tc>
        <w:tc>
          <w:tcPr>
            <w:tcW w:w="285" w:type="pct"/>
            <w:tcBorders>
              <w:top w:val="single" w:color="auto" w:sz="8" w:space="0"/>
            </w:tcBorders>
            <w:vAlign w:val="center"/>
          </w:tcPr>
          <w:p w14:paraId="122C6CB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10</w:t>
            </w:r>
          </w:p>
        </w:tc>
        <w:tc>
          <w:tcPr>
            <w:tcW w:w="234" w:type="pct"/>
            <w:tcBorders>
              <w:top w:val="single" w:color="auto" w:sz="8" w:space="0"/>
            </w:tcBorders>
            <w:vAlign w:val="center"/>
          </w:tcPr>
          <w:p w14:paraId="2EFC2F2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16</w:t>
            </w:r>
          </w:p>
        </w:tc>
        <w:tc>
          <w:tcPr>
            <w:tcW w:w="258" w:type="pct"/>
            <w:tcBorders>
              <w:top w:val="single" w:color="auto" w:sz="8" w:space="0"/>
            </w:tcBorders>
            <w:vAlign w:val="center"/>
          </w:tcPr>
          <w:p w14:paraId="493D365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tcBorders>
              <w:top w:val="single" w:color="auto" w:sz="8" w:space="0"/>
            </w:tcBorders>
            <w:vAlign w:val="center"/>
          </w:tcPr>
          <w:p w14:paraId="1114238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10</w:t>
            </w:r>
          </w:p>
        </w:tc>
        <w:tc>
          <w:tcPr>
            <w:tcW w:w="472" w:type="pct"/>
            <w:tcBorders>
              <w:top w:val="single" w:color="auto" w:sz="8" w:space="0"/>
            </w:tcBorders>
            <w:vAlign w:val="center"/>
          </w:tcPr>
          <w:p w14:paraId="21E461A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65</w:t>
            </w:r>
          </w:p>
        </w:tc>
        <w:tc>
          <w:tcPr>
            <w:tcW w:w="430" w:type="pct"/>
            <w:vMerge w:val="restart"/>
            <w:tcBorders>
              <w:top w:val="single" w:color="auto" w:sz="8" w:space="0"/>
            </w:tcBorders>
            <w:vAlign w:val="center"/>
          </w:tcPr>
          <w:p w14:paraId="6AE91F1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7200h</w:t>
            </w:r>
          </w:p>
        </w:tc>
        <w:tc>
          <w:tcPr>
            <w:tcW w:w="473" w:type="pct"/>
            <w:tcBorders>
              <w:top w:val="single" w:color="auto" w:sz="8" w:space="0"/>
            </w:tcBorders>
            <w:vAlign w:val="center"/>
          </w:tcPr>
          <w:p w14:paraId="324A858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20</w:t>
            </w:r>
          </w:p>
        </w:tc>
        <w:tc>
          <w:tcPr>
            <w:tcW w:w="353" w:type="pct"/>
            <w:tcBorders>
              <w:top w:val="single" w:color="auto" w:sz="8" w:space="0"/>
            </w:tcBorders>
            <w:vAlign w:val="center"/>
          </w:tcPr>
          <w:p w14:paraId="1EDFEAC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45</w:t>
            </w:r>
          </w:p>
        </w:tc>
        <w:tc>
          <w:tcPr>
            <w:tcW w:w="361" w:type="pct"/>
            <w:tcBorders>
              <w:top w:val="single" w:color="auto" w:sz="8" w:space="0"/>
            </w:tcBorders>
            <w:vAlign w:val="center"/>
          </w:tcPr>
          <w:p w14:paraId="72F6700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57C1C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0" w:type="pct"/>
            <w:vMerge w:val="continue"/>
            <w:vAlign w:val="center"/>
          </w:tcPr>
          <w:p w14:paraId="6A3686AB">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37EB6639">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4B896EEA">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涂覆前预清洗设备</w:t>
            </w:r>
          </w:p>
        </w:tc>
        <w:tc>
          <w:tcPr>
            <w:tcW w:w="235" w:type="pct"/>
            <w:vAlign w:val="center"/>
          </w:tcPr>
          <w:p w14:paraId="3F14972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41F5F0D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7B79FC12">
            <w:pPr>
              <w:pStyle w:val="210"/>
              <w:widowControl w:val="0"/>
              <w:jc w:val="both"/>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7F65A3B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22</w:t>
            </w:r>
          </w:p>
        </w:tc>
        <w:tc>
          <w:tcPr>
            <w:tcW w:w="234" w:type="pct"/>
            <w:vAlign w:val="center"/>
          </w:tcPr>
          <w:p w14:paraId="6FF1352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23</w:t>
            </w:r>
          </w:p>
        </w:tc>
        <w:tc>
          <w:tcPr>
            <w:tcW w:w="258" w:type="pct"/>
            <w:vAlign w:val="center"/>
          </w:tcPr>
          <w:p w14:paraId="1ECD08D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3499567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22</w:t>
            </w:r>
          </w:p>
        </w:tc>
        <w:tc>
          <w:tcPr>
            <w:tcW w:w="472" w:type="pct"/>
            <w:vAlign w:val="center"/>
          </w:tcPr>
          <w:p w14:paraId="683AD0D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58</w:t>
            </w:r>
          </w:p>
        </w:tc>
        <w:tc>
          <w:tcPr>
            <w:tcW w:w="430" w:type="pct"/>
            <w:vMerge w:val="continue"/>
            <w:vAlign w:val="center"/>
          </w:tcPr>
          <w:p w14:paraId="11A49963">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753EC85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6F02564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38</w:t>
            </w:r>
          </w:p>
        </w:tc>
        <w:tc>
          <w:tcPr>
            <w:tcW w:w="361" w:type="pct"/>
            <w:vAlign w:val="center"/>
          </w:tcPr>
          <w:p w14:paraId="1969820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2DE87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41D08102">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364D5A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113346E3">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氯化镉涂覆机</w:t>
            </w:r>
          </w:p>
        </w:tc>
        <w:tc>
          <w:tcPr>
            <w:tcW w:w="235" w:type="pct"/>
            <w:vAlign w:val="center"/>
          </w:tcPr>
          <w:p w14:paraId="25D3FF7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2336B1E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31F2DBC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42F99C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35</w:t>
            </w:r>
          </w:p>
        </w:tc>
        <w:tc>
          <w:tcPr>
            <w:tcW w:w="234" w:type="pct"/>
            <w:vAlign w:val="center"/>
          </w:tcPr>
          <w:p w14:paraId="4208B62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24</w:t>
            </w:r>
          </w:p>
        </w:tc>
        <w:tc>
          <w:tcPr>
            <w:tcW w:w="258" w:type="pct"/>
            <w:vAlign w:val="center"/>
          </w:tcPr>
          <w:p w14:paraId="232073A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6C306E7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24</w:t>
            </w:r>
          </w:p>
        </w:tc>
        <w:tc>
          <w:tcPr>
            <w:tcW w:w="472" w:type="pct"/>
            <w:vAlign w:val="center"/>
          </w:tcPr>
          <w:p w14:paraId="402AA6F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57</w:t>
            </w:r>
          </w:p>
        </w:tc>
        <w:tc>
          <w:tcPr>
            <w:tcW w:w="430" w:type="pct"/>
            <w:vMerge w:val="continue"/>
            <w:vAlign w:val="center"/>
          </w:tcPr>
          <w:p w14:paraId="03D78AD1">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46288BE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1B7C4AF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37</w:t>
            </w:r>
          </w:p>
        </w:tc>
        <w:tc>
          <w:tcPr>
            <w:tcW w:w="361" w:type="pct"/>
            <w:vAlign w:val="center"/>
          </w:tcPr>
          <w:p w14:paraId="4EC7902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3A035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0" w:type="pct"/>
            <w:vMerge w:val="continue"/>
            <w:vAlign w:val="center"/>
          </w:tcPr>
          <w:p w14:paraId="2B1E0D46">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4B1147F8">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1B748C3C">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活化炉</w:t>
            </w:r>
          </w:p>
        </w:tc>
        <w:tc>
          <w:tcPr>
            <w:tcW w:w="235" w:type="pct"/>
            <w:vAlign w:val="center"/>
          </w:tcPr>
          <w:p w14:paraId="56666CA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44CCFDF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147D2B8A">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55AC36E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95</w:t>
            </w:r>
          </w:p>
        </w:tc>
        <w:tc>
          <w:tcPr>
            <w:tcW w:w="234" w:type="pct"/>
            <w:vAlign w:val="center"/>
          </w:tcPr>
          <w:p w14:paraId="6B44F6B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87</w:t>
            </w:r>
          </w:p>
        </w:tc>
        <w:tc>
          <w:tcPr>
            <w:tcW w:w="258" w:type="pct"/>
            <w:vAlign w:val="center"/>
          </w:tcPr>
          <w:p w14:paraId="69A8EFC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1AD4B21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33</w:t>
            </w:r>
          </w:p>
        </w:tc>
        <w:tc>
          <w:tcPr>
            <w:tcW w:w="472" w:type="pct"/>
            <w:vAlign w:val="center"/>
          </w:tcPr>
          <w:p w14:paraId="2F175D2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135E01F6">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79009BE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477A36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45089EA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18D2D9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7FA2D797">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390A9643">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44F26681">
            <w:pPr>
              <w:widowControl w:val="0"/>
              <w:jc w:val="center"/>
              <w:textAlignment w:val="bottom"/>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Cs/>
                <w:caps w:val="0"/>
                <w:smallCaps w:val="0"/>
                <w:color w:val="auto"/>
                <w:spacing w:val="0"/>
                <w:sz w:val="21"/>
                <w:highlight w:val="none"/>
                <w:lang w:eastAsia="en-US"/>
              </w:rPr>
              <w:t>涂层清洗机</w:t>
            </w:r>
          </w:p>
        </w:tc>
        <w:tc>
          <w:tcPr>
            <w:tcW w:w="235" w:type="pct"/>
            <w:vAlign w:val="center"/>
          </w:tcPr>
          <w:p w14:paraId="2BC79C9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631F201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4DF9C04A">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929254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42</w:t>
            </w:r>
          </w:p>
        </w:tc>
        <w:tc>
          <w:tcPr>
            <w:tcW w:w="234" w:type="pct"/>
            <w:vAlign w:val="center"/>
          </w:tcPr>
          <w:p w14:paraId="5115E7C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64</w:t>
            </w:r>
          </w:p>
        </w:tc>
        <w:tc>
          <w:tcPr>
            <w:tcW w:w="258" w:type="pct"/>
            <w:vAlign w:val="center"/>
          </w:tcPr>
          <w:p w14:paraId="7FA1F00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0F1C20C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42</w:t>
            </w:r>
          </w:p>
        </w:tc>
        <w:tc>
          <w:tcPr>
            <w:tcW w:w="472" w:type="pct"/>
            <w:vAlign w:val="center"/>
          </w:tcPr>
          <w:p w14:paraId="5088236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53</w:t>
            </w:r>
          </w:p>
        </w:tc>
        <w:tc>
          <w:tcPr>
            <w:tcW w:w="430" w:type="pct"/>
            <w:vMerge w:val="continue"/>
            <w:vAlign w:val="center"/>
          </w:tcPr>
          <w:p w14:paraId="1CDFB17E">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7AED9FE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4580110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33</w:t>
            </w:r>
          </w:p>
        </w:tc>
        <w:tc>
          <w:tcPr>
            <w:tcW w:w="361" w:type="pct"/>
            <w:vAlign w:val="center"/>
          </w:tcPr>
          <w:p w14:paraId="7CF9B27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721E62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35DDA418">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3F671566">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6ABDD165">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蚀刻机</w:t>
            </w:r>
          </w:p>
        </w:tc>
        <w:tc>
          <w:tcPr>
            <w:tcW w:w="235" w:type="pct"/>
            <w:vAlign w:val="center"/>
          </w:tcPr>
          <w:p w14:paraId="05EF52D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68C4E10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7F03258A">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60D8B4B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58</w:t>
            </w:r>
          </w:p>
        </w:tc>
        <w:tc>
          <w:tcPr>
            <w:tcW w:w="234" w:type="pct"/>
            <w:vAlign w:val="center"/>
          </w:tcPr>
          <w:p w14:paraId="730E104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33</w:t>
            </w:r>
          </w:p>
        </w:tc>
        <w:tc>
          <w:tcPr>
            <w:tcW w:w="258" w:type="pct"/>
            <w:vAlign w:val="center"/>
          </w:tcPr>
          <w:p w14:paraId="02A3954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5DD6FC2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33</w:t>
            </w:r>
          </w:p>
        </w:tc>
        <w:tc>
          <w:tcPr>
            <w:tcW w:w="472" w:type="pct"/>
            <w:vAlign w:val="center"/>
          </w:tcPr>
          <w:p w14:paraId="3C3A4D9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2901CDB3">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03C8762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42C92EA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5F46F08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5F653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1DE6A91B">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9ED169E">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712B3A54">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过渡层磁控镀膜设备</w:t>
            </w:r>
          </w:p>
        </w:tc>
        <w:tc>
          <w:tcPr>
            <w:tcW w:w="235" w:type="pct"/>
            <w:vAlign w:val="center"/>
          </w:tcPr>
          <w:p w14:paraId="035BD9B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2BDC037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69610CA1">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DFB055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49</w:t>
            </w:r>
          </w:p>
        </w:tc>
        <w:tc>
          <w:tcPr>
            <w:tcW w:w="234" w:type="pct"/>
            <w:vAlign w:val="center"/>
          </w:tcPr>
          <w:p w14:paraId="2B1F795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52</w:t>
            </w:r>
          </w:p>
        </w:tc>
        <w:tc>
          <w:tcPr>
            <w:tcW w:w="258" w:type="pct"/>
            <w:vAlign w:val="center"/>
          </w:tcPr>
          <w:p w14:paraId="1FF249C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5E6EE7F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49</w:t>
            </w:r>
          </w:p>
        </w:tc>
        <w:tc>
          <w:tcPr>
            <w:tcW w:w="472" w:type="pct"/>
            <w:vAlign w:val="center"/>
          </w:tcPr>
          <w:p w14:paraId="00F8881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56</w:t>
            </w:r>
          </w:p>
        </w:tc>
        <w:tc>
          <w:tcPr>
            <w:tcW w:w="430" w:type="pct"/>
            <w:vMerge w:val="continue"/>
            <w:vAlign w:val="center"/>
          </w:tcPr>
          <w:p w14:paraId="58C8E9A5">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1D04BEC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52CEA03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36</w:t>
            </w:r>
          </w:p>
        </w:tc>
        <w:tc>
          <w:tcPr>
            <w:tcW w:w="361" w:type="pct"/>
            <w:vAlign w:val="center"/>
          </w:tcPr>
          <w:p w14:paraId="46BE11E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16596D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30" w:type="pct"/>
            <w:vMerge w:val="continue"/>
            <w:vAlign w:val="center"/>
          </w:tcPr>
          <w:p w14:paraId="3CB3539E">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675EA51A">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4F06A915">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清洗机</w:t>
            </w:r>
          </w:p>
        </w:tc>
        <w:tc>
          <w:tcPr>
            <w:tcW w:w="235" w:type="pct"/>
            <w:vAlign w:val="center"/>
          </w:tcPr>
          <w:p w14:paraId="3FF8F73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637B0CE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61E5039B">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544C7B9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60</w:t>
            </w:r>
          </w:p>
        </w:tc>
        <w:tc>
          <w:tcPr>
            <w:tcW w:w="234" w:type="pct"/>
            <w:vAlign w:val="center"/>
          </w:tcPr>
          <w:p w14:paraId="601E6BC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35</w:t>
            </w:r>
          </w:p>
        </w:tc>
        <w:tc>
          <w:tcPr>
            <w:tcW w:w="258" w:type="pct"/>
            <w:vAlign w:val="center"/>
          </w:tcPr>
          <w:p w14:paraId="6AD9BF2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6A66C36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w:t>
            </w:r>
          </w:p>
        </w:tc>
        <w:tc>
          <w:tcPr>
            <w:tcW w:w="472" w:type="pct"/>
            <w:vAlign w:val="center"/>
          </w:tcPr>
          <w:p w14:paraId="7799C9BD">
            <w:pPr>
              <w:widowControl w:val="0"/>
              <w:jc w:val="center"/>
              <w:textAlignment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2"/>
                <w:szCs w:val="22"/>
                <w:highlight w:val="none"/>
                <w:lang w:bidi="ar"/>
              </w:rPr>
              <w:t>54</w:t>
            </w:r>
          </w:p>
        </w:tc>
        <w:tc>
          <w:tcPr>
            <w:tcW w:w="430" w:type="pct"/>
            <w:vMerge w:val="continue"/>
            <w:vAlign w:val="center"/>
          </w:tcPr>
          <w:p w14:paraId="52BDEBEA">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69CBF43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2637135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34</w:t>
            </w:r>
          </w:p>
        </w:tc>
        <w:tc>
          <w:tcPr>
            <w:tcW w:w="361" w:type="pct"/>
            <w:vAlign w:val="center"/>
          </w:tcPr>
          <w:p w14:paraId="02FDF62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145CEA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6483561B">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765590DE">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3B3BAC8D">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激光刻划机P1</w:t>
            </w:r>
          </w:p>
        </w:tc>
        <w:tc>
          <w:tcPr>
            <w:tcW w:w="235" w:type="pct"/>
            <w:vAlign w:val="center"/>
          </w:tcPr>
          <w:p w14:paraId="5DE492A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58BBF7E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7EAE7EF2">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228044F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78</w:t>
            </w:r>
          </w:p>
        </w:tc>
        <w:tc>
          <w:tcPr>
            <w:tcW w:w="234" w:type="pct"/>
            <w:vAlign w:val="center"/>
          </w:tcPr>
          <w:p w14:paraId="13D5BA5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47</w:t>
            </w:r>
          </w:p>
        </w:tc>
        <w:tc>
          <w:tcPr>
            <w:tcW w:w="258" w:type="pct"/>
            <w:vAlign w:val="center"/>
          </w:tcPr>
          <w:p w14:paraId="6DEB5CD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69C7542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47</w:t>
            </w:r>
          </w:p>
        </w:tc>
        <w:tc>
          <w:tcPr>
            <w:tcW w:w="472" w:type="pct"/>
            <w:vAlign w:val="center"/>
          </w:tcPr>
          <w:p w14:paraId="754A869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57</w:t>
            </w:r>
          </w:p>
        </w:tc>
        <w:tc>
          <w:tcPr>
            <w:tcW w:w="430" w:type="pct"/>
            <w:vMerge w:val="continue"/>
            <w:vAlign w:val="center"/>
          </w:tcPr>
          <w:p w14:paraId="621812D3">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354743B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33D0303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37</w:t>
            </w:r>
          </w:p>
        </w:tc>
        <w:tc>
          <w:tcPr>
            <w:tcW w:w="361" w:type="pct"/>
            <w:vAlign w:val="center"/>
          </w:tcPr>
          <w:p w14:paraId="5C59D8C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10CF81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423A2B84">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5E88C1AD">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Borders>
              <w:bottom w:val="single" w:color="auto" w:sz="8" w:space="0"/>
            </w:tcBorders>
          </w:tcPr>
          <w:p w14:paraId="76AD3207">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光刻胶处理系统</w:t>
            </w:r>
          </w:p>
        </w:tc>
        <w:tc>
          <w:tcPr>
            <w:tcW w:w="235" w:type="pct"/>
            <w:tcBorders>
              <w:bottom w:val="single" w:color="auto" w:sz="8" w:space="0"/>
            </w:tcBorders>
            <w:vAlign w:val="center"/>
          </w:tcPr>
          <w:p w14:paraId="17CC91E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tcBorders>
              <w:bottom w:val="single" w:color="auto" w:sz="8" w:space="0"/>
            </w:tcBorders>
            <w:vAlign w:val="center"/>
          </w:tcPr>
          <w:p w14:paraId="29ACFF3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1D1CEAA4">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bottom w:val="single" w:color="auto" w:sz="8" w:space="0"/>
            </w:tcBorders>
            <w:vAlign w:val="center"/>
          </w:tcPr>
          <w:p w14:paraId="6893B53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95</w:t>
            </w:r>
          </w:p>
        </w:tc>
        <w:tc>
          <w:tcPr>
            <w:tcW w:w="234" w:type="pct"/>
            <w:tcBorders>
              <w:bottom w:val="single" w:color="auto" w:sz="8" w:space="0"/>
            </w:tcBorders>
            <w:vAlign w:val="center"/>
          </w:tcPr>
          <w:p w14:paraId="5C01B7C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38</w:t>
            </w:r>
          </w:p>
        </w:tc>
        <w:tc>
          <w:tcPr>
            <w:tcW w:w="258" w:type="pct"/>
            <w:tcBorders>
              <w:bottom w:val="single" w:color="auto" w:sz="8" w:space="0"/>
            </w:tcBorders>
            <w:vAlign w:val="center"/>
          </w:tcPr>
          <w:p w14:paraId="339BA60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tcBorders>
              <w:bottom w:val="single" w:color="auto" w:sz="8" w:space="0"/>
            </w:tcBorders>
            <w:vAlign w:val="center"/>
          </w:tcPr>
          <w:p w14:paraId="35DC9E1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w:t>
            </w:r>
          </w:p>
        </w:tc>
        <w:tc>
          <w:tcPr>
            <w:tcW w:w="472" w:type="pct"/>
            <w:tcBorders>
              <w:bottom w:val="single" w:color="auto" w:sz="8" w:space="0"/>
            </w:tcBorders>
            <w:vAlign w:val="center"/>
          </w:tcPr>
          <w:p w14:paraId="1A07916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53</w:t>
            </w:r>
          </w:p>
        </w:tc>
        <w:tc>
          <w:tcPr>
            <w:tcW w:w="430" w:type="pct"/>
            <w:vMerge w:val="continue"/>
            <w:vAlign w:val="center"/>
          </w:tcPr>
          <w:p w14:paraId="5CBA5CB1">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bottom w:val="single" w:color="auto" w:sz="8" w:space="0"/>
            </w:tcBorders>
            <w:vAlign w:val="center"/>
          </w:tcPr>
          <w:p w14:paraId="7FE6294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tcBorders>
              <w:bottom w:val="single" w:color="auto" w:sz="8" w:space="0"/>
            </w:tcBorders>
            <w:vAlign w:val="center"/>
          </w:tcPr>
          <w:p w14:paraId="5E3457C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33</w:t>
            </w:r>
          </w:p>
        </w:tc>
        <w:tc>
          <w:tcPr>
            <w:tcW w:w="361" w:type="pct"/>
            <w:tcBorders>
              <w:bottom w:val="single" w:color="auto" w:sz="8" w:space="0"/>
            </w:tcBorders>
            <w:vAlign w:val="center"/>
          </w:tcPr>
          <w:p w14:paraId="0CB4248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61B63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508D61F8">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32055C8">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Borders>
              <w:top w:val="single" w:color="auto" w:sz="8" w:space="0"/>
              <w:bottom w:val="single" w:color="auto" w:sz="4" w:space="0"/>
            </w:tcBorders>
          </w:tcPr>
          <w:p w14:paraId="463DEC71">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激光刻划机P2</w:t>
            </w:r>
          </w:p>
        </w:tc>
        <w:tc>
          <w:tcPr>
            <w:tcW w:w="235" w:type="pct"/>
            <w:tcBorders>
              <w:top w:val="single" w:color="auto" w:sz="8" w:space="0"/>
              <w:bottom w:val="single" w:color="auto" w:sz="4" w:space="0"/>
            </w:tcBorders>
            <w:vAlign w:val="center"/>
          </w:tcPr>
          <w:p w14:paraId="6F78C68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tcBorders>
              <w:top w:val="single" w:color="auto" w:sz="8" w:space="0"/>
              <w:bottom w:val="single" w:color="auto" w:sz="4" w:space="0"/>
            </w:tcBorders>
            <w:vAlign w:val="center"/>
          </w:tcPr>
          <w:p w14:paraId="709D4DC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52CBB9BF">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top w:val="single" w:color="auto" w:sz="8" w:space="0"/>
              <w:bottom w:val="single" w:color="auto" w:sz="4" w:space="0"/>
            </w:tcBorders>
            <w:vAlign w:val="center"/>
          </w:tcPr>
          <w:p w14:paraId="186D204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116</w:t>
            </w:r>
          </w:p>
        </w:tc>
        <w:tc>
          <w:tcPr>
            <w:tcW w:w="234" w:type="pct"/>
            <w:tcBorders>
              <w:top w:val="single" w:color="auto" w:sz="8" w:space="0"/>
              <w:bottom w:val="single" w:color="auto" w:sz="4" w:space="0"/>
            </w:tcBorders>
            <w:vAlign w:val="center"/>
          </w:tcPr>
          <w:p w14:paraId="476647A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72</w:t>
            </w:r>
          </w:p>
        </w:tc>
        <w:tc>
          <w:tcPr>
            <w:tcW w:w="258" w:type="pct"/>
            <w:tcBorders>
              <w:top w:val="single" w:color="auto" w:sz="8" w:space="0"/>
              <w:bottom w:val="single" w:color="auto" w:sz="4" w:space="0"/>
            </w:tcBorders>
            <w:vAlign w:val="center"/>
          </w:tcPr>
          <w:p w14:paraId="6273EC4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tcBorders>
              <w:top w:val="single" w:color="auto" w:sz="8" w:space="0"/>
              <w:bottom w:val="single" w:color="auto" w:sz="4" w:space="0"/>
            </w:tcBorders>
            <w:vAlign w:val="center"/>
          </w:tcPr>
          <w:p w14:paraId="19EC9EB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48</w:t>
            </w:r>
          </w:p>
        </w:tc>
        <w:tc>
          <w:tcPr>
            <w:tcW w:w="472" w:type="pct"/>
            <w:tcBorders>
              <w:top w:val="single" w:color="auto" w:sz="8" w:space="0"/>
              <w:bottom w:val="single" w:color="auto" w:sz="4" w:space="0"/>
            </w:tcBorders>
            <w:vAlign w:val="center"/>
          </w:tcPr>
          <w:p w14:paraId="637CFCD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51</w:t>
            </w:r>
          </w:p>
        </w:tc>
        <w:tc>
          <w:tcPr>
            <w:tcW w:w="430" w:type="pct"/>
            <w:vMerge w:val="continue"/>
            <w:vAlign w:val="center"/>
          </w:tcPr>
          <w:p w14:paraId="08DF0FC7">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top w:val="single" w:color="auto" w:sz="8" w:space="0"/>
              <w:bottom w:val="single" w:color="auto" w:sz="4" w:space="0"/>
            </w:tcBorders>
            <w:vAlign w:val="center"/>
          </w:tcPr>
          <w:p w14:paraId="1CBD394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tcBorders>
              <w:top w:val="single" w:color="auto" w:sz="8" w:space="0"/>
              <w:bottom w:val="single" w:color="auto" w:sz="4" w:space="0"/>
            </w:tcBorders>
            <w:vAlign w:val="center"/>
          </w:tcPr>
          <w:p w14:paraId="2921FCD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31</w:t>
            </w:r>
          </w:p>
        </w:tc>
        <w:tc>
          <w:tcPr>
            <w:tcW w:w="361" w:type="pct"/>
            <w:tcBorders>
              <w:top w:val="single" w:color="auto" w:sz="8" w:space="0"/>
              <w:bottom w:val="single" w:color="auto" w:sz="4" w:space="0"/>
            </w:tcBorders>
            <w:vAlign w:val="center"/>
          </w:tcPr>
          <w:p w14:paraId="247B2C3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EC7A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1E17189D">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1E2914DF">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Borders>
              <w:top w:val="single" w:color="auto" w:sz="4" w:space="0"/>
            </w:tcBorders>
          </w:tcPr>
          <w:p w14:paraId="37A3D490">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背电极磁控溅射前清洗机</w:t>
            </w:r>
          </w:p>
        </w:tc>
        <w:tc>
          <w:tcPr>
            <w:tcW w:w="235" w:type="pct"/>
            <w:tcBorders>
              <w:top w:val="single" w:color="auto" w:sz="4" w:space="0"/>
            </w:tcBorders>
            <w:vAlign w:val="center"/>
          </w:tcPr>
          <w:p w14:paraId="4DFF1FB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tcBorders>
              <w:top w:val="single" w:color="auto" w:sz="4" w:space="0"/>
            </w:tcBorders>
            <w:vAlign w:val="center"/>
          </w:tcPr>
          <w:p w14:paraId="12B730D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w:t>
            </w:r>
          </w:p>
        </w:tc>
        <w:tc>
          <w:tcPr>
            <w:tcW w:w="362" w:type="pct"/>
            <w:vMerge w:val="continue"/>
            <w:vAlign w:val="center"/>
          </w:tcPr>
          <w:p w14:paraId="416FFD07">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top w:val="single" w:color="auto" w:sz="4" w:space="0"/>
            </w:tcBorders>
            <w:vAlign w:val="center"/>
          </w:tcPr>
          <w:p w14:paraId="224B43F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127</w:t>
            </w:r>
          </w:p>
        </w:tc>
        <w:tc>
          <w:tcPr>
            <w:tcW w:w="234" w:type="pct"/>
            <w:tcBorders>
              <w:top w:val="single" w:color="auto" w:sz="4" w:space="0"/>
            </w:tcBorders>
            <w:vAlign w:val="center"/>
          </w:tcPr>
          <w:p w14:paraId="338BCD7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50</w:t>
            </w:r>
          </w:p>
        </w:tc>
        <w:tc>
          <w:tcPr>
            <w:tcW w:w="258" w:type="pct"/>
            <w:tcBorders>
              <w:top w:val="single" w:color="auto" w:sz="4" w:space="0"/>
            </w:tcBorders>
            <w:vAlign w:val="center"/>
          </w:tcPr>
          <w:p w14:paraId="56928A9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tcBorders>
              <w:top w:val="single" w:color="auto" w:sz="4" w:space="0"/>
            </w:tcBorders>
            <w:vAlign w:val="center"/>
          </w:tcPr>
          <w:p w14:paraId="3B48F52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50</w:t>
            </w:r>
          </w:p>
        </w:tc>
        <w:tc>
          <w:tcPr>
            <w:tcW w:w="472" w:type="pct"/>
            <w:tcBorders>
              <w:top w:val="single" w:color="auto" w:sz="4" w:space="0"/>
            </w:tcBorders>
            <w:vAlign w:val="center"/>
          </w:tcPr>
          <w:p w14:paraId="0B84EFA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46</w:t>
            </w:r>
          </w:p>
        </w:tc>
        <w:tc>
          <w:tcPr>
            <w:tcW w:w="430" w:type="pct"/>
            <w:vMerge w:val="continue"/>
            <w:vAlign w:val="center"/>
          </w:tcPr>
          <w:p w14:paraId="4B4B0F5B">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top w:val="single" w:color="auto" w:sz="4" w:space="0"/>
            </w:tcBorders>
            <w:vAlign w:val="center"/>
          </w:tcPr>
          <w:p w14:paraId="4AA7512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tcBorders>
              <w:top w:val="single" w:color="auto" w:sz="4" w:space="0"/>
            </w:tcBorders>
            <w:vAlign w:val="center"/>
          </w:tcPr>
          <w:p w14:paraId="4DBC1AD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26</w:t>
            </w:r>
          </w:p>
        </w:tc>
        <w:tc>
          <w:tcPr>
            <w:tcW w:w="361" w:type="pct"/>
            <w:tcBorders>
              <w:top w:val="single" w:color="auto" w:sz="4" w:space="0"/>
            </w:tcBorders>
            <w:vAlign w:val="center"/>
          </w:tcPr>
          <w:p w14:paraId="32489A6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79CBE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31CB1A0">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413961B3">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34E5969C">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背电极磁控溅射设备</w:t>
            </w:r>
          </w:p>
        </w:tc>
        <w:tc>
          <w:tcPr>
            <w:tcW w:w="235" w:type="pct"/>
            <w:vAlign w:val="center"/>
          </w:tcPr>
          <w:p w14:paraId="68F4259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6D688AB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17BCB78A">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04774C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133</w:t>
            </w:r>
          </w:p>
        </w:tc>
        <w:tc>
          <w:tcPr>
            <w:tcW w:w="234" w:type="pct"/>
            <w:vAlign w:val="center"/>
          </w:tcPr>
          <w:p w14:paraId="4C554D4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55</w:t>
            </w:r>
          </w:p>
        </w:tc>
        <w:tc>
          <w:tcPr>
            <w:tcW w:w="258" w:type="pct"/>
            <w:vAlign w:val="center"/>
          </w:tcPr>
          <w:p w14:paraId="115AC5C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563DD9E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55</w:t>
            </w:r>
          </w:p>
        </w:tc>
        <w:tc>
          <w:tcPr>
            <w:tcW w:w="472" w:type="pct"/>
            <w:vAlign w:val="center"/>
          </w:tcPr>
          <w:p w14:paraId="46D6C35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3123A289">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2359CE2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4D7512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50E5FB7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30BF71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5A682F3">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A73D77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1B85068C">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退火炉</w:t>
            </w:r>
          </w:p>
        </w:tc>
        <w:tc>
          <w:tcPr>
            <w:tcW w:w="235" w:type="pct"/>
            <w:vAlign w:val="center"/>
          </w:tcPr>
          <w:p w14:paraId="7012148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0FE8B18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1D18AFC7">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5F541F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162</w:t>
            </w:r>
          </w:p>
        </w:tc>
        <w:tc>
          <w:tcPr>
            <w:tcW w:w="234" w:type="pct"/>
            <w:vAlign w:val="center"/>
          </w:tcPr>
          <w:p w14:paraId="43E47B5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60</w:t>
            </w:r>
          </w:p>
        </w:tc>
        <w:tc>
          <w:tcPr>
            <w:tcW w:w="258" w:type="pct"/>
            <w:vAlign w:val="center"/>
          </w:tcPr>
          <w:p w14:paraId="5067EDA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44EB83A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60</w:t>
            </w:r>
          </w:p>
        </w:tc>
        <w:tc>
          <w:tcPr>
            <w:tcW w:w="472" w:type="pct"/>
            <w:vAlign w:val="center"/>
          </w:tcPr>
          <w:p w14:paraId="75F03FF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54</w:t>
            </w:r>
          </w:p>
        </w:tc>
        <w:tc>
          <w:tcPr>
            <w:tcW w:w="430" w:type="pct"/>
            <w:vMerge w:val="continue"/>
            <w:vAlign w:val="center"/>
          </w:tcPr>
          <w:p w14:paraId="320C4783">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0F439E2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606D0A4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34</w:t>
            </w:r>
          </w:p>
        </w:tc>
        <w:tc>
          <w:tcPr>
            <w:tcW w:w="361" w:type="pct"/>
            <w:vAlign w:val="center"/>
          </w:tcPr>
          <w:p w14:paraId="061962A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5911F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42B70F8">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531562F0">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079842C3">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激光刻线机P3</w:t>
            </w:r>
          </w:p>
        </w:tc>
        <w:tc>
          <w:tcPr>
            <w:tcW w:w="235" w:type="pct"/>
            <w:vAlign w:val="center"/>
          </w:tcPr>
          <w:p w14:paraId="1BE6BDF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4A69074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72E57DB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FDAB49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177</w:t>
            </w:r>
          </w:p>
        </w:tc>
        <w:tc>
          <w:tcPr>
            <w:tcW w:w="234" w:type="pct"/>
            <w:vAlign w:val="center"/>
          </w:tcPr>
          <w:p w14:paraId="1940260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57</w:t>
            </w:r>
          </w:p>
        </w:tc>
        <w:tc>
          <w:tcPr>
            <w:tcW w:w="258" w:type="pct"/>
            <w:vAlign w:val="center"/>
          </w:tcPr>
          <w:p w14:paraId="6B7E8AE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5873374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57</w:t>
            </w:r>
          </w:p>
        </w:tc>
        <w:tc>
          <w:tcPr>
            <w:tcW w:w="472" w:type="pct"/>
            <w:vAlign w:val="center"/>
          </w:tcPr>
          <w:p w14:paraId="2E4D8BC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6BDDA3F7">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01D01E3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94426F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34B4508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9EB1E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 w:type="pct"/>
            <w:vMerge w:val="continue"/>
            <w:vAlign w:val="center"/>
          </w:tcPr>
          <w:p w14:paraId="60F66A31">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2E2F8984">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5B435DC0">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激光清边机</w:t>
            </w:r>
          </w:p>
        </w:tc>
        <w:tc>
          <w:tcPr>
            <w:tcW w:w="235" w:type="pct"/>
            <w:vAlign w:val="center"/>
          </w:tcPr>
          <w:p w14:paraId="494F7B5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2EF9DD1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16F9037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3B3488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196</w:t>
            </w:r>
          </w:p>
        </w:tc>
        <w:tc>
          <w:tcPr>
            <w:tcW w:w="234" w:type="pct"/>
            <w:vAlign w:val="center"/>
          </w:tcPr>
          <w:p w14:paraId="4B0E185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94</w:t>
            </w:r>
          </w:p>
        </w:tc>
        <w:tc>
          <w:tcPr>
            <w:tcW w:w="258" w:type="pct"/>
            <w:vAlign w:val="center"/>
          </w:tcPr>
          <w:p w14:paraId="777709E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33FD18D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w:t>
            </w:r>
          </w:p>
        </w:tc>
        <w:tc>
          <w:tcPr>
            <w:tcW w:w="472" w:type="pct"/>
            <w:vAlign w:val="center"/>
          </w:tcPr>
          <w:p w14:paraId="1BAFA07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62</w:t>
            </w:r>
          </w:p>
        </w:tc>
        <w:tc>
          <w:tcPr>
            <w:tcW w:w="430" w:type="pct"/>
            <w:vMerge w:val="continue"/>
            <w:vAlign w:val="center"/>
          </w:tcPr>
          <w:p w14:paraId="056E296A">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3F698DD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480D52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42</w:t>
            </w:r>
          </w:p>
        </w:tc>
        <w:tc>
          <w:tcPr>
            <w:tcW w:w="361" w:type="pct"/>
            <w:vAlign w:val="center"/>
          </w:tcPr>
          <w:p w14:paraId="77DEE36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4160C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13BCC42F">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7F35F590">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327684E9">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w:t>
            </w:r>
            <w:r>
              <w:rPr>
                <w:rFonts w:ascii="Times New Roman" w:hAnsi="Times New Roman" w:eastAsia="宋体" w:cs="Times New Roman"/>
                <w:bCs/>
                <w:caps w:val="0"/>
                <w:smallCaps w:val="0"/>
                <w:color w:val="auto"/>
                <w:spacing w:val="0"/>
                <w:sz w:val="21"/>
                <w:highlight w:val="none"/>
              </w:rPr>
              <w:t>5</w:t>
            </w:r>
          </w:p>
        </w:tc>
        <w:tc>
          <w:tcPr>
            <w:tcW w:w="235" w:type="pct"/>
            <w:vAlign w:val="center"/>
          </w:tcPr>
          <w:p w14:paraId="5E14C13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0676A2A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001B40C1">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04CFC5A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249</w:t>
            </w:r>
          </w:p>
        </w:tc>
        <w:tc>
          <w:tcPr>
            <w:tcW w:w="234" w:type="pct"/>
            <w:vAlign w:val="center"/>
          </w:tcPr>
          <w:p w14:paraId="17241E5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85</w:t>
            </w:r>
          </w:p>
        </w:tc>
        <w:tc>
          <w:tcPr>
            <w:tcW w:w="258" w:type="pct"/>
            <w:vAlign w:val="center"/>
          </w:tcPr>
          <w:p w14:paraId="41EDB5D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0673A69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w:t>
            </w:r>
          </w:p>
        </w:tc>
        <w:tc>
          <w:tcPr>
            <w:tcW w:w="472" w:type="pct"/>
            <w:vAlign w:val="center"/>
          </w:tcPr>
          <w:p w14:paraId="006127B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59</w:t>
            </w:r>
          </w:p>
        </w:tc>
        <w:tc>
          <w:tcPr>
            <w:tcW w:w="430" w:type="pct"/>
            <w:vMerge w:val="continue"/>
            <w:vAlign w:val="center"/>
          </w:tcPr>
          <w:p w14:paraId="2CA57701">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7C8B909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23E9FE9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39</w:t>
            </w:r>
          </w:p>
        </w:tc>
        <w:tc>
          <w:tcPr>
            <w:tcW w:w="361" w:type="pct"/>
            <w:vAlign w:val="center"/>
          </w:tcPr>
          <w:p w14:paraId="077786A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C5936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76FF2975">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11F8D99">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2C40F9D4">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w:t>
            </w:r>
            <w:r>
              <w:rPr>
                <w:rFonts w:ascii="Times New Roman" w:hAnsi="Times New Roman" w:eastAsia="宋体" w:cs="Times New Roman"/>
                <w:bCs/>
                <w:caps w:val="0"/>
                <w:smallCaps w:val="0"/>
                <w:color w:val="auto"/>
                <w:spacing w:val="0"/>
                <w:sz w:val="21"/>
                <w:highlight w:val="none"/>
              </w:rPr>
              <w:t>6</w:t>
            </w:r>
          </w:p>
        </w:tc>
        <w:tc>
          <w:tcPr>
            <w:tcW w:w="235" w:type="pct"/>
            <w:vAlign w:val="center"/>
          </w:tcPr>
          <w:p w14:paraId="5F30F43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71731A5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7310C641">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E78E16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286</w:t>
            </w:r>
          </w:p>
        </w:tc>
        <w:tc>
          <w:tcPr>
            <w:tcW w:w="234" w:type="pct"/>
            <w:vAlign w:val="center"/>
          </w:tcPr>
          <w:p w14:paraId="2CB76B1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71</w:t>
            </w:r>
          </w:p>
        </w:tc>
        <w:tc>
          <w:tcPr>
            <w:tcW w:w="258" w:type="pct"/>
            <w:vAlign w:val="center"/>
          </w:tcPr>
          <w:p w14:paraId="542C778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6C78CBA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w:t>
            </w:r>
          </w:p>
        </w:tc>
        <w:tc>
          <w:tcPr>
            <w:tcW w:w="472" w:type="pct"/>
            <w:vAlign w:val="center"/>
          </w:tcPr>
          <w:p w14:paraId="425CD56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60</w:t>
            </w:r>
          </w:p>
        </w:tc>
        <w:tc>
          <w:tcPr>
            <w:tcW w:w="430" w:type="pct"/>
            <w:vMerge w:val="continue"/>
            <w:vAlign w:val="center"/>
          </w:tcPr>
          <w:p w14:paraId="10A728C5">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2F79B21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2852D6B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40</w:t>
            </w:r>
          </w:p>
        </w:tc>
        <w:tc>
          <w:tcPr>
            <w:tcW w:w="361" w:type="pct"/>
            <w:vAlign w:val="center"/>
          </w:tcPr>
          <w:p w14:paraId="068D090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5E1958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0CDF252">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DE4C52D">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4891FE5F">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5A6CD27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0EE5514C">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106A3EEA">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65B0625A">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126</w:t>
            </w:r>
          </w:p>
        </w:tc>
        <w:tc>
          <w:tcPr>
            <w:tcW w:w="234" w:type="pct"/>
            <w:vAlign w:val="center"/>
          </w:tcPr>
          <w:p w14:paraId="77191BA1">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258" w:type="pct"/>
            <w:vAlign w:val="center"/>
          </w:tcPr>
          <w:p w14:paraId="3760121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22499F17">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472" w:type="pct"/>
            <w:vAlign w:val="center"/>
          </w:tcPr>
          <w:p w14:paraId="1B4A6CFB">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70</w:t>
            </w:r>
          </w:p>
        </w:tc>
        <w:tc>
          <w:tcPr>
            <w:tcW w:w="430" w:type="pct"/>
            <w:vMerge w:val="continue"/>
            <w:vAlign w:val="center"/>
          </w:tcPr>
          <w:p w14:paraId="251803BE">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26D8B4A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91C45E7">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50</w:t>
            </w:r>
          </w:p>
        </w:tc>
        <w:tc>
          <w:tcPr>
            <w:tcW w:w="361" w:type="pct"/>
            <w:vAlign w:val="center"/>
          </w:tcPr>
          <w:p w14:paraId="7577068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A42FC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2A92408C">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B47E777">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5C7A2A94">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519E88E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52B824C2">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5BF06BEF">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72BB5E2F">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145</w:t>
            </w:r>
          </w:p>
        </w:tc>
        <w:tc>
          <w:tcPr>
            <w:tcW w:w="234" w:type="pct"/>
            <w:vAlign w:val="center"/>
          </w:tcPr>
          <w:p w14:paraId="72B0B3AF">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258" w:type="pct"/>
            <w:vAlign w:val="center"/>
          </w:tcPr>
          <w:p w14:paraId="3386B06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4A3C67DB">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472" w:type="pct"/>
            <w:vAlign w:val="center"/>
          </w:tcPr>
          <w:p w14:paraId="6F056C5D">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74</w:t>
            </w:r>
          </w:p>
        </w:tc>
        <w:tc>
          <w:tcPr>
            <w:tcW w:w="430" w:type="pct"/>
            <w:vMerge w:val="continue"/>
            <w:vAlign w:val="center"/>
          </w:tcPr>
          <w:p w14:paraId="4CF8D302">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6FCA94F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18752026">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54</w:t>
            </w:r>
          </w:p>
        </w:tc>
        <w:tc>
          <w:tcPr>
            <w:tcW w:w="361" w:type="pct"/>
            <w:vAlign w:val="center"/>
          </w:tcPr>
          <w:p w14:paraId="54CAE48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F6626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643385CD">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D5C0B2F">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244DF49A">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1FEDB7F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519819B7">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5DC0F81B">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59680D65">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4</w:t>
            </w:r>
          </w:p>
        </w:tc>
        <w:tc>
          <w:tcPr>
            <w:tcW w:w="234" w:type="pct"/>
            <w:vAlign w:val="center"/>
          </w:tcPr>
          <w:p w14:paraId="1152956F">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37</w:t>
            </w:r>
          </w:p>
        </w:tc>
        <w:tc>
          <w:tcPr>
            <w:tcW w:w="258" w:type="pct"/>
            <w:vAlign w:val="center"/>
          </w:tcPr>
          <w:p w14:paraId="0DFFD8B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73E93E9F">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4</w:t>
            </w:r>
          </w:p>
        </w:tc>
        <w:tc>
          <w:tcPr>
            <w:tcW w:w="472" w:type="pct"/>
            <w:vAlign w:val="center"/>
          </w:tcPr>
          <w:p w14:paraId="532A9E25">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68</w:t>
            </w:r>
          </w:p>
        </w:tc>
        <w:tc>
          <w:tcPr>
            <w:tcW w:w="430" w:type="pct"/>
            <w:vMerge w:val="continue"/>
            <w:vAlign w:val="center"/>
          </w:tcPr>
          <w:p w14:paraId="57F34045">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6110EA0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49E259DD">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48</w:t>
            </w:r>
          </w:p>
        </w:tc>
        <w:tc>
          <w:tcPr>
            <w:tcW w:w="361" w:type="pct"/>
            <w:vAlign w:val="center"/>
          </w:tcPr>
          <w:p w14:paraId="3480FCA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3FA402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tcBorders>
              <w:bottom w:val="single" w:color="auto" w:sz="8" w:space="0"/>
            </w:tcBorders>
            <w:vAlign w:val="center"/>
          </w:tcPr>
          <w:p w14:paraId="3C9E273E">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tcBorders>
              <w:bottom w:val="single" w:color="auto" w:sz="8" w:space="0"/>
            </w:tcBorders>
            <w:vAlign w:val="center"/>
          </w:tcPr>
          <w:p w14:paraId="2B02579A">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524DAB1A">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402A4E6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6715CBE6">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44215DF3">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0F919D94">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153</w:t>
            </w:r>
          </w:p>
        </w:tc>
        <w:tc>
          <w:tcPr>
            <w:tcW w:w="234" w:type="pct"/>
            <w:vAlign w:val="center"/>
          </w:tcPr>
          <w:p w14:paraId="73E0D768">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106</w:t>
            </w:r>
          </w:p>
        </w:tc>
        <w:tc>
          <w:tcPr>
            <w:tcW w:w="258" w:type="pct"/>
            <w:vAlign w:val="center"/>
          </w:tcPr>
          <w:p w14:paraId="6E6D07D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5" w:type="pct"/>
            <w:vAlign w:val="center"/>
          </w:tcPr>
          <w:p w14:paraId="4014919E">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6</w:t>
            </w:r>
          </w:p>
        </w:tc>
        <w:tc>
          <w:tcPr>
            <w:tcW w:w="472" w:type="pct"/>
            <w:vAlign w:val="center"/>
          </w:tcPr>
          <w:p w14:paraId="6CD80EA1">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64</w:t>
            </w:r>
          </w:p>
        </w:tc>
        <w:tc>
          <w:tcPr>
            <w:tcW w:w="430" w:type="pct"/>
            <w:vMerge w:val="continue"/>
            <w:vAlign w:val="center"/>
          </w:tcPr>
          <w:p w14:paraId="1B724621">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3FB4235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35197450">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44</w:t>
            </w:r>
          </w:p>
        </w:tc>
        <w:tc>
          <w:tcPr>
            <w:tcW w:w="361" w:type="pct"/>
            <w:vAlign w:val="center"/>
          </w:tcPr>
          <w:p w14:paraId="4756BEE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27FFA7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restart"/>
            <w:tcBorders>
              <w:top w:val="single" w:color="auto" w:sz="8" w:space="0"/>
            </w:tcBorders>
            <w:vAlign w:val="center"/>
          </w:tcPr>
          <w:p w14:paraId="0C7FE955">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234" w:type="pct"/>
            <w:vMerge w:val="restart"/>
            <w:tcBorders>
              <w:top w:val="single" w:color="auto" w:sz="8" w:space="0"/>
            </w:tcBorders>
            <w:vAlign w:val="center"/>
          </w:tcPr>
          <w:p w14:paraId="764B0A85">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污水处理站</w:t>
            </w:r>
          </w:p>
        </w:tc>
        <w:tc>
          <w:tcPr>
            <w:tcW w:w="356" w:type="pct"/>
            <w:vAlign w:val="center"/>
          </w:tcPr>
          <w:p w14:paraId="52167564">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7741958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442CBAE2">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495B5A7C">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5740D46">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33</w:t>
            </w:r>
          </w:p>
        </w:tc>
        <w:tc>
          <w:tcPr>
            <w:tcW w:w="234" w:type="pct"/>
            <w:vAlign w:val="center"/>
          </w:tcPr>
          <w:p w14:paraId="57139EAA">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258" w:type="pct"/>
            <w:vAlign w:val="center"/>
          </w:tcPr>
          <w:p w14:paraId="6E0911CE">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w:t>
            </w:r>
          </w:p>
        </w:tc>
        <w:tc>
          <w:tcPr>
            <w:tcW w:w="235" w:type="pct"/>
            <w:vAlign w:val="center"/>
          </w:tcPr>
          <w:p w14:paraId="29B379C3">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472" w:type="pct"/>
            <w:vAlign w:val="center"/>
          </w:tcPr>
          <w:p w14:paraId="2850F692">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70</w:t>
            </w:r>
          </w:p>
        </w:tc>
        <w:tc>
          <w:tcPr>
            <w:tcW w:w="430" w:type="pct"/>
            <w:vMerge w:val="continue"/>
            <w:vAlign w:val="center"/>
          </w:tcPr>
          <w:p w14:paraId="5ECC6D37">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49709C0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265B3E3C">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50</w:t>
            </w:r>
          </w:p>
        </w:tc>
        <w:tc>
          <w:tcPr>
            <w:tcW w:w="361" w:type="pct"/>
            <w:vAlign w:val="center"/>
          </w:tcPr>
          <w:p w14:paraId="4ADF16A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2CAC9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5092A80">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3E495E5B">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13382DD0">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水泵</w:t>
            </w:r>
          </w:p>
        </w:tc>
        <w:tc>
          <w:tcPr>
            <w:tcW w:w="235" w:type="pct"/>
            <w:vAlign w:val="center"/>
          </w:tcPr>
          <w:p w14:paraId="338D623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7C11110D">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1110511B">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05A42115">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36</w:t>
            </w:r>
          </w:p>
        </w:tc>
        <w:tc>
          <w:tcPr>
            <w:tcW w:w="234" w:type="pct"/>
            <w:vAlign w:val="center"/>
          </w:tcPr>
          <w:p w14:paraId="3F2314D9">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5</w:t>
            </w:r>
          </w:p>
        </w:tc>
        <w:tc>
          <w:tcPr>
            <w:tcW w:w="258" w:type="pct"/>
            <w:vAlign w:val="center"/>
          </w:tcPr>
          <w:p w14:paraId="7F1CDB49">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w:t>
            </w:r>
          </w:p>
        </w:tc>
        <w:tc>
          <w:tcPr>
            <w:tcW w:w="235" w:type="pct"/>
            <w:vAlign w:val="center"/>
          </w:tcPr>
          <w:p w14:paraId="35384A0C">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5</w:t>
            </w:r>
          </w:p>
        </w:tc>
        <w:tc>
          <w:tcPr>
            <w:tcW w:w="472" w:type="pct"/>
            <w:vAlign w:val="center"/>
          </w:tcPr>
          <w:p w14:paraId="091A473F">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66</w:t>
            </w:r>
          </w:p>
        </w:tc>
        <w:tc>
          <w:tcPr>
            <w:tcW w:w="430" w:type="pct"/>
            <w:vMerge w:val="continue"/>
            <w:vAlign w:val="center"/>
          </w:tcPr>
          <w:p w14:paraId="5C5A5A68">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6F37A6A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5F61EB9D">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46</w:t>
            </w:r>
          </w:p>
        </w:tc>
        <w:tc>
          <w:tcPr>
            <w:tcW w:w="361" w:type="pct"/>
            <w:vAlign w:val="center"/>
          </w:tcPr>
          <w:p w14:paraId="3B38AAE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55D52A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tcBorders>
              <w:bottom w:val="single" w:color="auto" w:sz="8" w:space="0"/>
            </w:tcBorders>
            <w:vAlign w:val="center"/>
          </w:tcPr>
          <w:p w14:paraId="300C68BF">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tcBorders>
              <w:bottom w:val="single" w:color="auto" w:sz="8" w:space="0"/>
            </w:tcBorders>
            <w:vAlign w:val="center"/>
          </w:tcPr>
          <w:p w14:paraId="56558EA5">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5731D304">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水泵</w:t>
            </w:r>
          </w:p>
        </w:tc>
        <w:tc>
          <w:tcPr>
            <w:tcW w:w="235" w:type="pct"/>
            <w:vAlign w:val="center"/>
          </w:tcPr>
          <w:p w14:paraId="79C3C7F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5B162B6C">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43EC43C4">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7ECD1378">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30</w:t>
            </w:r>
          </w:p>
        </w:tc>
        <w:tc>
          <w:tcPr>
            <w:tcW w:w="234" w:type="pct"/>
            <w:vAlign w:val="center"/>
          </w:tcPr>
          <w:p w14:paraId="2449FA30">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258" w:type="pct"/>
            <w:vAlign w:val="center"/>
          </w:tcPr>
          <w:p w14:paraId="42188E3B">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w:t>
            </w:r>
          </w:p>
        </w:tc>
        <w:tc>
          <w:tcPr>
            <w:tcW w:w="235" w:type="pct"/>
            <w:vAlign w:val="center"/>
          </w:tcPr>
          <w:p w14:paraId="2F68DF44">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472" w:type="pct"/>
            <w:vAlign w:val="center"/>
          </w:tcPr>
          <w:p w14:paraId="3DC68C94">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74</w:t>
            </w:r>
          </w:p>
        </w:tc>
        <w:tc>
          <w:tcPr>
            <w:tcW w:w="430" w:type="pct"/>
            <w:vMerge w:val="continue"/>
            <w:vAlign w:val="center"/>
          </w:tcPr>
          <w:p w14:paraId="68320A0B">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511694C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698821B8">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54</w:t>
            </w:r>
          </w:p>
        </w:tc>
        <w:tc>
          <w:tcPr>
            <w:tcW w:w="361" w:type="pct"/>
            <w:vAlign w:val="center"/>
          </w:tcPr>
          <w:p w14:paraId="2C25A5A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bl>
    <w:p w14:paraId="687B132B">
      <w:pPr>
        <w:pStyle w:val="231"/>
        <w:rPr>
          <w:rFonts w:hint="default" w:cs="Times New Roman"/>
          <w:caps w:val="0"/>
          <w:smallCaps w:val="0"/>
          <w:color w:val="auto"/>
          <w:spacing w:val="0"/>
          <w:highlight w:val="none"/>
        </w:rPr>
      </w:pPr>
      <w:r>
        <w:rPr>
          <w:rFonts w:hint="default" w:cs="Times New Roman"/>
          <w:caps w:val="0"/>
          <w:smallCaps w:val="0"/>
          <w:color w:val="auto"/>
          <w:spacing w:val="0"/>
          <w:highlight w:val="none"/>
        </w:rPr>
        <w:t>表</w:t>
      </w:r>
      <w:r>
        <w:rPr>
          <w:rFonts w:cs="Times New Roman"/>
          <w:caps w:val="0"/>
          <w:smallCaps w:val="0"/>
          <w:color w:val="auto"/>
          <w:spacing w:val="0"/>
          <w:highlight w:val="none"/>
        </w:rPr>
        <w:t>3.5-7</w:t>
      </w:r>
      <w:r>
        <w:rPr>
          <w:rFonts w:hint="default" w:cs="Times New Roman"/>
          <w:caps w:val="0"/>
          <w:smallCaps w:val="0"/>
          <w:color w:val="auto"/>
          <w:spacing w:val="0"/>
          <w:highlight w:val="none"/>
        </w:rPr>
        <w:t>现有工程</w:t>
      </w:r>
      <w:r>
        <w:rPr>
          <w:rFonts w:cs="Times New Roman"/>
          <w:bCs/>
          <w:caps w:val="0"/>
          <w:smallCaps w:val="0"/>
          <w:color w:val="auto"/>
          <w:spacing w:val="0"/>
          <w:highlight w:val="none"/>
        </w:rPr>
        <w:t>噪声源强一览表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69"/>
        <w:gridCol w:w="687"/>
        <w:gridCol w:w="428"/>
        <w:gridCol w:w="905"/>
        <w:gridCol w:w="698"/>
        <w:gridCol w:w="466"/>
        <w:gridCol w:w="467"/>
        <w:gridCol w:w="487"/>
        <w:gridCol w:w="449"/>
        <w:gridCol w:w="857"/>
        <w:gridCol w:w="815"/>
        <w:gridCol w:w="869"/>
        <w:gridCol w:w="641"/>
        <w:gridCol w:w="683"/>
      </w:tblGrid>
      <w:tr w14:paraId="7A16B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Merge w:val="restart"/>
            <w:vAlign w:val="center"/>
          </w:tcPr>
          <w:p w14:paraId="2E58287F">
            <w:pPr>
              <w:pStyle w:val="233"/>
              <w:rPr>
                <w:rFonts w:cs="Times New Roman"/>
                <w:caps w:val="0"/>
                <w:smallCaps w:val="0"/>
                <w:color w:val="auto"/>
                <w:spacing w:val="0"/>
                <w:highlight w:val="none"/>
              </w:rPr>
            </w:pPr>
            <w:r>
              <w:rPr>
                <w:rFonts w:cs="Times New Roman"/>
                <w:caps w:val="0"/>
                <w:smallCaps w:val="0"/>
                <w:color w:val="auto"/>
                <w:spacing w:val="0"/>
                <w:highlight w:val="none"/>
              </w:rPr>
              <w:t>序号</w:t>
            </w:r>
          </w:p>
        </w:tc>
        <w:tc>
          <w:tcPr>
            <w:tcW w:w="198" w:type="pct"/>
            <w:vMerge w:val="restart"/>
            <w:vAlign w:val="center"/>
          </w:tcPr>
          <w:p w14:paraId="4FAC3CA2">
            <w:pPr>
              <w:pStyle w:val="233"/>
              <w:rPr>
                <w:rFonts w:cs="Times New Roman"/>
                <w:caps w:val="0"/>
                <w:smallCaps w:val="0"/>
                <w:color w:val="auto"/>
                <w:spacing w:val="0"/>
                <w:highlight w:val="none"/>
              </w:rPr>
            </w:pPr>
            <w:r>
              <w:rPr>
                <w:rFonts w:cs="Times New Roman"/>
                <w:caps w:val="0"/>
                <w:smallCaps w:val="0"/>
                <w:color w:val="auto"/>
                <w:spacing w:val="0"/>
                <w:highlight w:val="none"/>
              </w:rPr>
              <w:t>建筑物名称</w:t>
            </w:r>
          </w:p>
        </w:tc>
        <w:tc>
          <w:tcPr>
            <w:tcW w:w="370" w:type="pct"/>
            <w:vMerge w:val="restart"/>
            <w:vAlign w:val="center"/>
          </w:tcPr>
          <w:p w14:paraId="113EE3C6">
            <w:pPr>
              <w:pStyle w:val="233"/>
              <w:rPr>
                <w:rFonts w:cs="Times New Roman"/>
                <w:caps w:val="0"/>
                <w:smallCaps w:val="0"/>
                <w:color w:val="auto"/>
                <w:spacing w:val="0"/>
                <w:highlight w:val="none"/>
              </w:rPr>
            </w:pPr>
            <w:r>
              <w:rPr>
                <w:rFonts w:cs="Times New Roman"/>
                <w:caps w:val="0"/>
                <w:smallCaps w:val="0"/>
                <w:color w:val="auto"/>
                <w:spacing w:val="0"/>
                <w:highlight w:val="none"/>
              </w:rPr>
              <w:t>声源名称</w:t>
            </w:r>
          </w:p>
        </w:tc>
        <w:tc>
          <w:tcPr>
            <w:tcW w:w="230" w:type="pct"/>
            <w:vMerge w:val="restart"/>
            <w:vAlign w:val="center"/>
          </w:tcPr>
          <w:p w14:paraId="026C1742">
            <w:pPr>
              <w:pStyle w:val="233"/>
              <w:jc w:val="both"/>
              <w:rPr>
                <w:rFonts w:cs="Times New Roman"/>
                <w:caps w:val="0"/>
                <w:smallCaps w:val="0"/>
                <w:color w:val="auto"/>
                <w:spacing w:val="0"/>
                <w:highlight w:val="none"/>
              </w:rPr>
            </w:pPr>
            <w:r>
              <w:rPr>
                <w:rFonts w:hint="eastAsia" w:cs="Times New Roman"/>
                <w:caps w:val="0"/>
                <w:smallCaps w:val="0"/>
                <w:color w:val="auto"/>
                <w:spacing w:val="0"/>
                <w:highlight w:val="none"/>
              </w:rPr>
              <w:t>型号</w:t>
            </w:r>
          </w:p>
        </w:tc>
        <w:tc>
          <w:tcPr>
            <w:tcW w:w="486" w:type="pct"/>
            <w:vAlign w:val="center"/>
          </w:tcPr>
          <w:p w14:paraId="08C614A2">
            <w:pPr>
              <w:pStyle w:val="233"/>
              <w:jc w:val="both"/>
              <w:rPr>
                <w:rFonts w:cs="Times New Roman"/>
                <w:caps w:val="0"/>
                <w:smallCaps w:val="0"/>
                <w:color w:val="auto"/>
                <w:spacing w:val="0"/>
                <w:highlight w:val="none"/>
              </w:rPr>
            </w:pPr>
            <w:r>
              <w:rPr>
                <w:rFonts w:hint="eastAsia" w:cs="Times New Roman"/>
                <w:caps w:val="0"/>
                <w:smallCaps w:val="0"/>
                <w:color w:val="auto"/>
                <w:spacing w:val="0"/>
                <w:highlight w:val="none"/>
              </w:rPr>
              <w:t>声源</w:t>
            </w:r>
          </w:p>
          <w:p w14:paraId="754860AD">
            <w:pPr>
              <w:pStyle w:val="233"/>
              <w:jc w:val="both"/>
              <w:rPr>
                <w:rFonts w:cs="Times New Roman"/>
                <w:caps w:val="0"/>
                <w:smallCaps w:val="0"/>
                <w:color w:val="auto"/>
                <w:spacing w:val="0"/>
                <w:highlight w:val="none"/>
              </w:rPr>
            </w:pPr>
            <w:r>
              <w:rPr>
                <w:rFonts w:hint="eastAsia" w:cs="Times New Roman"/>
                <w:caps w:val="0"/>
                <w:smallCaps w:val="0"/>
                <w:color w:val="auto"/>
                <w:spacing w:val="0"/>
                <w:highlight w:val="none"/>
              </w:rPr>
              <w:t>源强</w:t>
            </w:r>
          </w:p>
        </w:tc>
        <w:tc>
          <w:tcPr>
            <w:tcW w:w="376" w:type="pct"/>
            <w:vMerge w:val="restart"/>
            <w:vAlign w:val="center"/>
          </w:tcPr>
          <w:p w14:paraId="117CB7CB">
            <w:pPr>
              <w:pStyle w:val="233"/>
              <w:rPr>
                <w:rFonts w:cs="Times New Roman"/>
                <w:caps w:val="0"/>
                <w:smallCaps w:val="0"/>
                <w:color w:val="auto"/>
                <w:spacing w:val="0"/>
                <w:highlight w:val="none"/>
              </w:rPr>
            </w:pPr>
            <w:r>
              <w:rPr>
                <w:rFonts w:cs="Times New Roman"/>
                <w:caps w:val="0"/>
                <w:smallCaps w:val="0"/>
                <w:color w:val="auto"/>
                <w:spacing w:val="0"/>
                <w:highlight w:val="none"/>
              </w:rPr>
              <w:t>声源控制措施</w:t>
            </w:r>
          </w:p>
        </w:tc>
        <w:tc>
          <w:tcPr>
            <w:tcW w:w="765" w:type="pct"/>
            <w:gridSpan w:val="3"/>
            <w:vAlign w:val="center"/>
          </w:tcPr>
          <w:p w14:paraId="75CAEC8E">
            <w:pPr>
              <w:pStyle w:val="233"/>
              <w:rPr>
                <w:rFonts w:cs="Times New Roman"/>
                <w:caps w:val="0"/>
                <w:smallCaps w:val="0"/>
                <w:color w:val="auto"/>
                <w:spacing w:val="0"/>
                <w:highlight w:val="none"/>
              </w:rPr>
            </w:pPr>
            <w:r>
              <w:rPr>
                <w:rFonts w:cs="Times New Roman"/>
                <w:caps w:val="0"/>
                <w:smallCaps w:val="0"/>
                <w:color w:val="auto"/>
                <w:spacing w:val="0"/>
                <w:highlight w:val="none"/>
              </w:rPr>
              <w:t>空间相对位置/m</w:t>
            </w:r>
          </w:p>
        </w:tc>
        <w:tc>
          <w:tcPr>
            <w:tcW w:w="242" w:type="pct"/>
            <w:vMerge w:val="restart"/>
            <w:vAlign w:val="center"/>
          </w:tcPr>
          <w:p w14:paraId="0C2A353C">
            <w:pPr>
              <w:pStyle w:val="233"/>
              <w:rPr>
                <w:rFonts w:cs="Times New Roman"/>
                <w:caps w:val="0"/>
                <w:smallCaps w:val="0"/>
                <w:color w:val="auto"/>
                <w:spacing w:val="0"/>
                <w:highlight w:val="none"/>
              </w:rPr>
            </w:pPr>
            <w:r>
              <w:rPr>
                <w:rFonts w:cs="Times New Roman"/>
                <w:caps w:val="0"/>
                <w:smallCaps w:val="0"/>
                <w:color w:val="auto"/>
                <w:spacing w:val="0"/>
                <w:highlight w:val="none"/>
              </w:rPr>
              <w:t>距室内边界距离</w:t>
            </w:r>
          </w:p>
        </w:tc>
        <w:tc>
          <w:tcPr>
            <w:tcW w:w="461" w:type="pct"/>
            <w:vMerge w:val="restart"/>
            <w:vAlign w:val="center"/>
          </w:tcPr>
          <w:p w14:paraId="17F9066C">
            <w:pPr>
              <w:pStyle w:val="233"/>
              <w:rPr>
                <w:rFonts w:cs="Times New Roman"/>
                <w:caps w:val="0"/>
                <w:smallCaps w:val="0"/>
                <w:color w:val="auto"/>
                <w:spacing w:val="0"/>
                <w:highlight w:val="none"/>
              </w:rPr>
            </w:pPr>
            <w:r>
              <w:rPr>
                <w:rFonts w:cs="Times New Roman"/>
                <w:caps w:val="0"/>
                <w:smallCaps w:val="0"/>
                <w:color w:val="auto"/>
                <w:spacing w:val="0"/>
                <w:highlight w:val="none"/>
              </w:rPr>
              <w:t>室内边界声级/dB(A)</w:t>
            </w:r>
          </w:p>
        </w:tc>
        <w:tc>
          <w:tcPr>
            <w:tcW w:w="438" w:type="pct"/>
            <w:vMerge w:val="restart"/>
            <w:vAlign w:val="center"/>
          </w:tcPr>
          <w:p w14:paraId="0CD73A78">
            <w:pPr>
              <w:pStyle w:val="233"/>
              <w:rPr>
                <w:rFonts w:cs="Times New Roman"/>
                <w:caps w:val="0"/>
                <w:smallCaps w:val="0"/>
                <w:color w:val="auto"/>
                <w:spacing w:val="0"/>
                <w:highlight w:val="none"/>
              </w:rPr>
            </w:pPr>
            <w:r>
              <w:rPr>
                <w:rFonts w:cs="Times New Roman"/>
                <w:caps w:val="0"/>
                <w:smallCaps w:val="0"/>
                <w:color w:val="auto"/>
                <w:spacing w:val="0"/>
                <w:highlight w:val="none"/>
              </w:rPr>
              <w:t>运行时段</w:t>
            </w:r>
          </w:p>
        </w:tc>
        <w:tc>
          <w:tcPr>
            <w:tcW w:w="467" w:type="pct"/>
            <w:vMerge w:val="restart"/>
            <w:vAlign w:val="center"/>
          </w:tcPr>
          <w:p w14:paraId="59082F2F">
            <w:pPr>
              <w:pStyle w:val="233"/>
              <w:rPr>
                <w:rFonts w:cs="Times New Roman"/>
                <w:caps w:val="0"/>
                <w:smallCaps w:val="0"/>
                <w:color w:val="auto"/>
                <w:spacing w:val="0"/>
                <w:highlight w:val="none"/>
              </w:rPr>
            </w:pPr>
            <w:r>
              <w:rPr>
                <w:rFonts w:cs="Times New Roman"/>
                <w:caps w:val="0"/>
                <w:smallCaps w:val="0"/>
                <w:color w:val="auto"/>
                <w:spacing w:val="0"/>
                <w:highlight w:val="none"/>
              </w:rPr>
              <w:t>建筑物插入损失/dB(A)</w:t>
            </w:r>
          </w:p>
        </w:tc>
        <w:tc>
          <w:tcPr>
            <w:tcW w:w="713" w:type="pct"/>
            <w:gridSpan w:val="2"/>
            <w:vAlign w:val="center"/>
          </w:tcPr>
          <w:p w14:paraId="0349FA2F">
            <w:pPr>
              <w:pStyle w:val="233"/>
              <w:rPr>
                <w:rFonts w:cs="Times New Roman"/>
                <w:caps w:val="0"/>
                <w:smallCaps w:val="0"/>
                <w:color w:val="auto"/>
                <w:spacing w:val="0"/>
                <w:highlight w:val="none"/>
              </w:rPr>
            </w:pPr>
            <w:r>
              <w:rPr>
                <w:rFonts w:cs="Times New Roman"/>
                <w:caps w:val="0"/>
                <w:smallCaps w:val="0"/>
                <w:color w:val="auto"/>
                <w:spacing w:val="0"/>
                <w:highlight w:val="none"/>
              </w:rPr>
              <w:t>建筑物外噪声</w:t>
            </w:r>
          </w:p>
        </w:tc>
      </w:tr>
      <w:tr w14:paraId="65964E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Merge w:val="continue"/>
            <w:vAlign w:val="center"/>
          </w:tcPr>
          <w:p w14:paraId="3CA19897">
            <w:pPr>
              <w:pStyle w:val="233"/>
              <w:rPr>
                <w:rFonts w:cs="Times New Roman"/>
                <w:caps w:val="0"/>
                <w:smallCaps w:val="0"/>
                <w:color w:val="auto"/>
                <w:spacing w:val="0"/>
                <w:highlight w:val="none"/>
              </w:rPr>
            </w:pPr>
          </w:p>
        </w:tc>
        <w:tc>
          <w:tcPr>
            <w:tcW w:w="198" w:type="pct"/>
            <w:vMerge w:val="continue"/>
            <w:vAlign w:val="center"/>
          </w:tcPr>
          <w:p w14:paraId="4B3B3C3E">
            <w:pPr>
              <w:pStyle w:val="233"/>
              <w:rPr>
                <w:rFonts w:cs="Times New Roman"/>
                <w:caps w:val="0"/>
                <w:smallCaps w:val="0"/>
                <w:color w:val="auto"/>
                <w:spacing w:val="0"/>
                <w:highlight w:val="none"/>
              </w:rPr>
            </w:pPr>
          </w:p>
        </w:tc>
        <w:tc>
          <w:tcPr>
            <w:tcW w:w="370" w:type="pct"/>
            <w:vMerge w:val="continue"/>
            <w:vAlign w:val="center"/>
          </w:tcPr>
          <w:p w14:paraId="6A0D0E88">
            <w:pPr>
              <w:pStyle w:val="233"/>
              <w:rPr>
                <w:rFonts w:cs="Times New Roman"/>
                <w:caps w:val="0"/>
                <w:smallCaps w:val="0"/>
                <w:color w:val="auto"/>
                <w:spacing w:val="0"/>
                <w:highlight w:val="none"/>
              </w:rPr>
            </w:pPr>
          </w:p>
        </w:tc>
        <w:tc>
          <w:tcPr>
            <w:tcW w:w="230" w:type="pct"/>
            <w:vMerge w:val="continue"/>
            <w:vAlign w:val="center"/>
          </w:tcPr>
          <w:p w14:paraId="7AB49BFB">
            <w:pPr>
              <w:pStyle w:val="233"/>
              <w:rPr>
                <w:rFonts w:cs="Times New Roman"/>
                <w:caps w:val="0"/>
                <w:smallCaps w:val="0"/>
                <w:color w:val="auto"/>
                <w:spacing w:val="0"/>
                <w:highlight w:val="none"/>
              </w:rPr>
            </w:pPr>
          </w:p>
        </w:tc>
        <w:tc>
          <w:tcPr>
            <w:tcW w:w="486" w:type="pct"/>
            <w:vAlign w:val="center"/>
          </w:tcPr>
          <w:p w14:paraId="42194C76">
            <w:pPr>
              <w:pStyle w:val="233"/>
              <w:rPr>
                <w:rFonts w:cs="Times New Roman"/>
                <w:caps w:val="0"/>
                <w:smallCaps w:val="0"/>
                <w:color w:val="auto"/>
                <w:spacing w:val="0"/>
                <w:highlight w:val="none"/>
              </w:rPr>
            </w:pPr>
            <w:r>
              <w:rPr>
                <w:rFonts w:cs="Times New Roman"/>
                <w:caps w:val="0"/>
                <w:smallCaps w:val="0"/>
                <w:color w:val="auto"/>
                <w:spacing w:val="0"/>
                <w:highlight w:val="none"/>
              </w:rPr>
              <w:t>声压级/dB(A)</w:t>
            </w:r>
          </w:p>
        </w:tc>
        <w:tc>
          <w:tcPr>
            <w:tcW w:w="376" w:type="pct"/>
            <w:vMerge w:val="continue"/>
            <w:vAlign w:val="center"/>
          </w:tcPr>
          <w:p w14:paraId="55795FE8">
            <w:pPr>
              <w:pStyle w:val="233"/>
              <w:rPr>
                <w:rFonts w:cs="Times New Roman"/>
                <w:caps w:val="0"/>
                <w:smallCaps w:val="0"/>
                <w:color w:val="auto"/>
                <w:spacing w:val="0"/>
                <w:highlight w:val="none"/>
              </w:rPr>
            </w:pPr>
          </w:p>
        </w:tc>
        <w:tc>
          <w:tcPr>
            <w:tcW w:w="251" w:type="pct"/>
            <w:vAlign w:val="center"/>
          </w:tcPr>
          <w:p w14:paraId="701DE79E">
            <w:pPr>
              <w:pStyle w:val="233"/>
              <w:rPr>
                <w:rFonts w:cs="Times New Roman"/>
                <w:caps w:val="0"/>
                <w:smallCaps w:val="0"/>
                <w:color w:val="auto"/>
                <w:spacing w:val="0"/>
                <w:highlight w:val="none"/>
              </w:rPr>
            </w:pPr>
            <w:r>
              <w:rPr>
                <w:rFonts w:cs="Times New Roman"/>
                <w:caps w:val="0"/>
                <w:smallCaps w:val="0"/>
                <w:color w:val="auto"/>
                <w:spacing w:val="0"/>
                <w:highlight w:val="none"/>
              </w:rPr>
              <w:t>X</w:t>
            </w:r>
          </w:p>
        </w:tc>
        <w:tc>
          <w:tcPr>
            <w:tcW w:w="252" w:type="pct"/>
            <w:vAlign w:val="center"/>
          </w:tcPr>
          <w:p w14:paraId="7E6E4710">
            <w:pPr>
              <w:pStyle w:val="233"/>
              <w:rPr>
                <w:rFonts w:cs="Times New Roman"/>
                <w:caps w:val="0"/>
                <w:smallCaps w:val="0"/>
                <w:color w:val="auto"/>
                <w:spacing w:val="0"/>
                <w:highlight w:val="none"/>
              </w:rPr>
            </w:pPr>
            <w:r>
              <w:rPr>
                <w:rFonts w:cs="Times New Roman"/>
                <w:caps w:val="0"/>
                <w:smallCaps w:val="0"/>
                <w:color w:val="auto"/>
                <w:spacing w:val="0"/>
                <w:highlight w:val="none"/>
              </w:rPr>
              <w:t>Y</w:t>
            </w:r>
          </w:p>
        </w:tc>
        <w:tc>
          <w:tcPr>
            <w:tcW w:w="261" w:type="pct"/>
            <w:vAlign w:val="center"/>
          </w:tcPr>
          <w:p w14:paraId="42ECD8D5">
            <w:pPr>
              <w:pStyle w:val="233"/>
              <w:rPr>
                <w:rFonts w:cs="Times New Roman"/>
                <w:caps w:val="0"/>
                <w:smallCaps w:val="0"/>
                <w:color w:val="auto"/>
                <w:spacing w:val="0"/>
                <w:highlight w:val="none"/>
              </w:rPr>
            </w:pPr>
            <w:r>
              <w:rPr>
                <w:rFonts w:cs="Times New Roman"/>
                <w:caps w:val="0"/>
                <w:smallCaps w:val="0"/>
                <w:color w:val="auto"/>
                <w:spacing w:val="0"/>
                <w:highlight w:val="none"/>
              </w:rPr>
              <w:t>Z</w:t>
            </w:r>
          </w:p>
        </w:tc>
        <w:tc>
          <w:tcPr>
            <w:tcW w:w="242" w:type="pct"/>
            <w:vMerge w:val="continue"/>
            <w:vAlign w:val="center"/>
          </w:tcPr>
          <w:p w14:paraId="517B4691">
            <w:pPr>
              <w:pStyle w:val="233"/>
              <w:rPr>
                <w:rFonts w:cs="Times New Roman"/>
                <w:caps w:val="0"/>
                <w:smallCaps w:val="0"/>
                <w:color w:val="auto"/>
                <w:spacing w:val="0"/>
                <w:highlight w:val="none"/>
              </w:rPr>
            </w:pPr>
          </w:p>
        </w:tc>
        <w:tc>
          <w:tcPr>
            <w:tcW w:w="461" w:type="pct"/>
            <w:vMerge w:val="continue"/>
            <w:vAlign w:val="center"/>
          </w:tcPr>
          <w:p w14:paraId="7B7B0311">
            <w:pPr>
              <w:pStyle w:val="233"/>
              <w:rPr>
                <w:rFonts w:cs="Times New Roman"/>
                <w:caps w:val="0"/>
                <w:smallCaps w:val="0"/>
                <w:color w:val="auto"/>
                <w:spacing w:val="0"/>
                <w:highlight w:val="none"/>
              </w:rPr>
            </w:pPr>
          </w:p>
        </w:tc>
        <w:tc>
          <w:tcPr>
            <w:tcW w:w="438" w:type="pct"/>
            <w:vMerge w:val="continue"/>
            <w:vAlign w:val="center"/>
          </w:tcPr>
          <w:p w14:paraId="07240470">
            <w:pPr>
              <w:pStyle w:val="233"/>
              <w:rPr>
                <w:rFonts w:cs="Times New Roman"/>
                <w:caps w:val="0"/>
                <w:smallCaps w:val="0"/>
                <w:color w:val="auto"/>
                <w:spacing w:val="0"/>
                <w:highlight w:val="none"/>
              </w:rPr>
            </w:pPr>
          </w:p>
        </w:tc>
        <w:tc>
          <w:tcPr>
            <w:tcW w:w="467" w:type="pct"/>
            <w:vMerge w:val="continue"/>
            <w:vAlign w:val="center"/>
          </w:tcPr>
          <w:p w14:paraId="200FB011">
            <w:pPr>
              <w:pStyle w:val="233"/>
              <w:rPr>
                <w:rFonts w:cs="Times New Roman"/>
                <w:caps w:val="0"/>
                <w:smallCaps w:val="0"/>
                <w:color w:val="auto"/>
                <w:spacing w:val="0"/>
                <w:highlight w:val="none"/>
              </w:rPr>
            </w:pPr>
          </w:p>
        </w:tc>
        <w:tc>
          <w:tcPr>
            <w:tcW w:w="345" w:type="pct"/>
            <w:vAlign w:val="center"/>
          </w:tcPr>
          <w:p w14:paraId="10660C48">
            <w:pPr>
              <w:pStyle w:val="233"/>
              <w:rPr>
                <w:rFonts w:cs="Times New Roman"/>
                <w:caps w:val="0"/>
                <w:smallCaps w:val="0"/>
                <w:color w:val="auto"/>
                <w:spacing w:val="0"/>
                <w:highlight w:val="none"/>
              </w:rPr>
            </w:pPr>
            <w:r>
              <w:rPr>
                <w:rFonts w:cs="Times New Roman"/>
                <w:caps w:val="0"/>
                <w:smallCaps w:val="0"/>
                <w:color w:val="auto"/>
                <w:spacing w:val="0"/>
                <w:highlight w:val="none"/>
              </w:rPr>
              <w:t>声压级/dB(A)</w:t>
            </w:r>
          </w:p>
        </w:tc>
        <w:tc>
          <w:tcPr>
            <w:tcW w:w="368" w:type="pct"/>
            <w:vAlign w:val="center"/>
          </w:tcPr>
          <w:p w14:paraId="5A35636A">
            <w:pPr>
              <w:pStyle w:val="233"/>
              <w:rPr>
                <w:rFonts w:cs="Times New Roman"/>
                <w:caps w:val="0"/>
                <w:smallCaps w:val="0"/>
                <w:color w:val="auto"/>
                <w:spacing w:val="0"/>
                <w:highlight w:val="none"/>
              </w:rPr>
            </w:pPr>
            <w:r>
              <w:rPr>
                <w:rFonts w:cs="Times New Roman"/>
                <w:caps w:val="0"/>
                <w:smallCaps w:val="0"/>
                <w:color w:val="auto"/>
                <w:spacing w:val="0"/>
                <w:highlight w:val="none"/>
              </w:rPr>
              <w:t>建筑物外距离</w:t>
            </w:r>
          </w:p>
        </w:tc>
      </w:tr>
      <w:tr w14:paraId="66A34C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679F363F">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198" w:type="pct"/>
            <w:vMerge w:val="restart"/>
            <w:vAlign w:val="center"/>
          </w:tcPr>
          <w:p w14:paraId="2C0D37BD">
            <w:pPr>
              <w:pStyle w:val="233"/>
              <w:rPr>
                <w:rFonts w:cs="Times New Roman"/>
                <w:caps w:val="0"/>
                <w:smallCaps w:val="0"/>
                <w:color w:val="auto"/>
                <w:spacing w:val="0"/>
                <w:highlight w:val="none"/>
              </w:rPr>
            </w:pPr>
            <w:r>
              <w:rPr>
                <w:rFonts w:cs="Times New Roman"/>
                <w:caps w:val="0"/>
                <w:smallCaps w:val="0"/>
                <w:color w:val="auto"/>
                <w:spacing w:val="0"/>
                <w:highlight w:val="none"/>
              </w:rPr>
              <w:t>生产车间</w:t>
            </w:r>
          </w:p>
        </w:tc>
        <w:tc>
          <w:tcPr>
            <w:tcW w:w="370" w:type="pct"/>
            <w:vAlign w:val="center"/>
          </w:tcPr>
          <w:p w14:paraId="111F7365">
            <w:pPr>
              <w:pStyle w:val="233"/>
              <w:rPr>
                <w:rFonts w:cs="Times New Roman"/>
                <w:caps w:val="0"/>
                <w:smallCaps w:val="0"/>
                <w:color w:val="auto"/>
                <w:spacing w:val="0"/>
                <w:highlight w:val="none"/>
              </w:rPr>
            </w:pPr>
            <w:r>
              <w:rPr>
                <w:rFonts w:cs="Times New Roman"/>
                <w:caps w:val="0"/>
                <w:smallCaps w:val="0"/>
                <w:color w:val="auto"/>
                <w:spacing w:val="0"/>
                <w:highlight w:val="none"/>
              </w:rPr>
              <w:t>水泵</w:t>
            </w:r>
          </w:p>
        </w:tc>
        <w:tc>
          <w:tcPr>
            <w:tcW w:w="230" w:type="pct"/>
            <w:vAlign w:val="center"/>
          </w:tcPr>
          <w:p w14:paraId="60118436">
            <w:pPr>
              <w:pStyle w:val="233"/>
              <w:rPr>
                <w:rFonts w:cs="Times New Roman"/>
                <w:caps w:val="0"/>
                <w:smallCaps w:val="0"/>
                <w:color w:val="auto"/>
                <w:spacing w:val="0"/>
                <w:highlight w:val="none"/>
              </w:rPr>
            </w:pPr>
          </w:p>
        </w:tc>
        <w:tc>
          <w:tcPr>
            <w:tcW w:w="486" w:type="pct"/>
            <w:vAlign w:val="center"/>
          </w:tcPr>
          <w:p w14:paraId="3D8F0A9C">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restart"/>
            <w:vAlign w:val="center"/>
          </w:tcPr>
          <w:p w14:paraId="7F287C0A">
            <w:pPr>
              <w:pStyle w:val="233"/>
              <w:rPr>
                <w:rFonts w:cs="Times New Roman"/>
                <w:caps w:val="0"/>
                <w:smallCaps w:val="0"/>
                <w:color w:val="auto"/>
                <w:spacing w:val="0"/>
                <w:highlight w:val="none"/>
              </w:rPr>
            </w:pPr>
            <w:r>
              <w:rPr>
                <w:rFonts w:cs="Times New Roman"/>
                <w:caps w:val="0"/>
                <w:smallCaps w:val="0"/>
                <w:color w:val="auto"/>
                <w:spacing w:val="0"/>
                <w:highlight w:val="none"/>
              </w:rPr>
              <w:t>低噪声设备、隔声、减振</w:t>
            </w:r>
          </w:p>
        </w:tc>
        <w:tc>
          <w:tcPr>
            <w:tcW w:w="251" w:type="pct"/>
            <w:vAlign w:val="center"/>
          </w:tcPr>
          <w:p w14:paraId="2FAE29C7">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252" w:type="pct"/>
            <w:vAlign w:val="center"/>
          </w:tcPr>
          <w:p w14:paraId="3A5F9A17">
            <w:pPr>
              <w:pStyle w:val="233"/>
              <w:rPr>
                <w:rFonts w:cs="Times New Roman"/>
                <w:caps w:val="0"/>
                <w:smallCaps w:val="0"/>
                <w:color w:val="auto"/>
                <w:spacing w:val="0"/>
                <w:highlight w:val="none"/>
              </w:rPr>
            </w:pPr>
            <w:r>
              <w:rPr>
                <w:rFonts w:cs="Times New Roman"/>
                <w:caps w:val="0"/>
                <w:smallCaps w:val="0"/>
                <w:color w:val="auto"/>
                <w:spacing w:val="0"/>
                <w:highlight w:val="none"/>
              </w:rPr>
              <w:t>4</w:t>
            </w:r>
          </w:p>
        </w:tc>
        <w:tc>
          <w:tcPr>
            <w:tcW w:w="261" w:type="pct"/>
            <w:vAlign w:val="center"/>
          </w:tcPr>
          <w:p w14:paraId="79C8D990">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7768605E">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461" w:type="pct"/>
            <w:vAlign w:val="center"/>
          </w:tcPr>
          <w:p w14:paraId="6C94ABD3">
            <w:pPr>
              <w:pStyle w:val="233"/>
              <w:rPr>
                <w:rFonts w:cs="Times New Roman"/>
                <w:caps w:val="0"/>
                <w:smallCaps w:val="0"/>
                <w:color w:val="auto"/>
                <w:spacing w:val="0"/>
                <w:highlight w:val="none"/>
              </w:rPr>
            </w:pPr>
            <w:r>
              <w:rPr>
                <w:rFonts w:cs="Times New Roman"/>
                <w:caps w:val="0"/>
                <w:smallCaps w:val="0"/>
                <w:color w:val="auto"/>
                <w:spacing w:val="0"/>
                <w:highlight w:val="none"/>
              </w:rPr>
              <w:t>71</w:t>
            </w:r>
          </w:p>
        </w:tc>
        <w:tc>
          <w:tcPr>
            <w:tcW w:w="438" w:type="pct"/>
            <w:vMerge w:val="restart"/>
            <w:vAlign w:val="center"/>
          </w:tcPr>
          <w:p w14:paraId="25D76ECD">
            <w:pPr>
              <w:pStyle w:val="233"/>
              <w:rPr>
                <w:rFonts w:cs="Times New Roman"/>
                <w:caps w:val="0"/>
                <w:smallCaps w:val="0"/>
                <w:color w:val="auto"/>
                <w:spacing w:val="0"/>
                <w:highlight w:val="none"/>
              </w:rPr>
            </w:pPr>
            <w:r>
              <w:rPr>
                <w:rFonts w:cs="Times New Roman"/>
                <w:caps w:val="0"/>
                <w:smallCaps w:val="0"/>
                <w:color w:val="auto"/>
                <w:spacing w:val="0"/>
                <w:highlight w:val="none"/>
              </w:rPr>
              <w:t>7200h</w:t>
            </w:r>
          </w:p>
        </w:tc>
        <w:tc>
          <w:tcPr>
            <w:tcW w:w="467" w:type="pct"/>
            <w:vAlign w:val="center"/>
          </w:tcPr>
          <w:p w14:paraId="4B1D51E5">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3816D090">
            <w:pPr>
              <w:pStyle w:val="233"/>
              <w:rPr>
                <w:rFonts w:cs="Times New Roman"/>
                <w:caps w:val="0"/>
                <w:smallCaps w:val="0"/>
                <w:color w:val="auto"/>
                <w:spacing w:val="0"/>
                <w:highlight w:val="none"/>
              </w:rPr>
            </w:pPr>
            <w:r>
              <w:rPr>
                <w:rFonts w:cs="Times New Roman"/>
                <w:caps w:val="0"/>
                <w:smallCaps w:val="0"/>
                <w:color w:val="auto"/>
                <w:spacing w:val="0"/>
                <w:highlight w:val="none"/>
              </w:rPr>
              <w:t>51</w:t>
            </w:r>
          </w:p>
        </w:tc>
        <w:tc>
          <w:tcPr>
            <w:tcW w:w="368" w:type="pct"/>
            <w:vAlign w:val="center"/>
          </w:tcPr>
          <w:p w14:paraId="68A70AF2">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02153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791AFB9F">
            <w:pPr>
              <w:pStyle w:val="233"/>
              <w:rPr>
                <w:rFonts w:cs="Times New Roman"/>
                <w:caps w:val="0"/>
                <w:smallCaps w:val="0"/>
                <w:color w:val="auto"/>
                <w:spacing w:val="0"/>
                <w:highlight w:val="none"/>
              </w:rPr>
            </w:pPr>
            <w:r>
              <w:rPr>
                <w:rFonts w:cs="Times New Roman"/>
                <w:caps w:val="0"/>
                <w:smallCaps w:val="0"/>
                <w:color w:val="auto"/>
                <w:spacing w:val="0"/>
                <w:highlight w:val="none"/>
              </w:rPr>
              <w:t>2</w:t>
            </w:r>
          </w:p>
        </w:tc>
        <w:tc>
          <w:tcPr>
            <w:tcW w:w="198" w:type="pct"/>
            <w:vMerge w:val="continue"/>
            <w:vAlign w:val="center"/>
          </w:tcPr>
          <w:p w14:paraId="490C450F">
            <w:pPr>
              <w:pStyle w:val="233"/>
              <w:rPr>
                <w:rFonts w:cs="Times New Roman"/>
                <w:caps w:val="0"/>
                <w:smallCaps w:val="0"/>
                <w:color w:val="auto"/>
                <w:spacing w:val="0"/>
                <w:highlight w:val="none"/>
              </w:rPr>
            </w:pPr>
          </w:p>
        </w:tc>
        <w:tc>
          <w:tcPr>
            <w:tcW w:w="370" w:type="pct"/>
            <w:vAlign w:val="center"/>
          </w:tcPr>
          <w:p w14:paraId="24C8ADA9">
            <w:pPr>
              <w:pStyle w:val="233"/>
              <w:rPr>
                <w:rFonts w:cs="Times New Roman"/>
                <w:caps w:val="0"/>
                <w:smallCaps w:val="0"/>
                <w:color w:val="auto"/>
                <w:spacing w:val="0"/>
                <w:highlight w:val="none"/>
              </w:rPr>
            </w:pPr>
            <w:r>
              <w:rPr>
                <w:rFonts w:cs="Times New Roman"/>
                <w:caps w:val="0"/>
                <w:smallCaps w:val="0"/>
                <w:color w:val="auto"/>
                <w:spacing w:val="0"/>
                <w:highlight w:val="none"/>
              </w:rPr>
              <w:t>水泵</w:t>
            </w:r>
          </w:p>
        </w:tc>
        <w:tc>
          <w:tcPr>
            <w:tcW w:w="230" w:type="pct"/>
            <w:vAlign w:val="center"/>
          </w:tcPr>
          <w:p w14:paraId="7C092899">
            <w:pPr>
              <w:pStyle w:val="233"/>
              <w:rPr>
                <w:rFonts w:cs="Times New Roman"/>
                <w:caps w:val="0"/>
                <w:smallCaps w:val="0"/>
                <w:color w:val="auto"/>
                <w:spacing w:val="0"/>
                <w:highlight w:val="none"/>
              </w:rPr>
            </w:pPr>
          </w:p>
        </w:tc>
        <w:tc>
          <w:tcPr>
            <w:tcW w:w="486" w:type="pct"/>
            <w:vAlign w:val="center"/>
          </w:tcPr>
          <w:p w14:paraId="79E68AE5">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continue"/>
            <w:vAlign w:val="center"/>
          </w:tcPr>
          <w:p w14:paraId="29729076">
            <w:pPr>
              <w:pStyle w:val="233"/>
              <w:rPr>
                <w:rFonts w:cs="Times New Roman"/>
                <w:caps w:val="0"/>
                <w:smallCaps w:val="0"/>
                <w:color w:val="auto"/>
                <w:spacing w:val="0"/>
                <w:highlight w:val="none"/>
              </w:rPr>
            </w:pPr>
          </w:p>
        </w:tc>
        <w:tc>
          <w:tcPr>
            <w:tcW w:w="251" w:type="pct"/>
            <w:vAlign w:val="center"/>
          </w:tcPr>
          <w:p w14:paraId="59E1AC2C">
            <w:pPr>
              <w:pStyle w:val="233"/>
              <w:rPr>
                <w:rFonts w:cs="Times New Roman"/>
                <w:caps w:val="0"/>
                <w:smallCaps w:val="0"/>
                <w:color w:val="auto"/>
                <w:spacing w:val="0"/>
                <w:highlight w:val="none"/>
              </w:rPr>
            </w:pPr>
            <w:r>
              <w:rPr>
                <w:rFonts w:cs="Times New Roman"/>
                <w:caps w:val="0"/>
                <w:smallCaps w:val="0"/>
                <w:color w:val="auto"/>
                <w:spacing w:val="0"/>
                <w:highlight w:val="none"/>
              </w:rPr>
              <w:t>2</w:t>
            </w:r>
          </w:p>
        </w:tc>
        <w:tc>
          <w:tcPr>
            <w:tcW w:w="252" w:type="pct"/>
            <w:vAlign w:val="center"/>
          </w:tcPr>
          <w:p w14:paraId="15A53DB4">
            <w:pPr>
              <w:pStyle w:val="233"/>
              <w:rPr>
                <w:rFonts w:cs="Times New Roman"/>
                <w:caps w:val="0"/>
                <w:smallCaps w:val="0"/>
                <w:color w:val="auto"/>
                <w:spacing w:val="0"/>
                <w:highlight w:val="none"/>
              </w:rPr>
            </w:pPr>
            <w:r>
              <w:rPr>
                <w:rFonts w:cs="Times New Roman"/>
                <w:caps w:val="0"/>
                <w:smallCaps w:val="0"/>
                <w:color w:val="auto"/>
                <w:spacing w:val="0"/>
                <w:highlight w:val="none"/>
              </w:rPr>
              <w:t>5</w:t>
            </w:r>
          </w:p>
        </w:tc>
        <w:tc>
          <w:tcPr>
            <w:tcW w:w="261" w:type="pct"/>
            <w:vAlign w:val="center"/>
          </w:tcPr>
          <w:p w14:paraId="446AB918">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3A764C1E">
            <w:pPr>
              <w:pStyle w:val="233"/>
              <w:rPr>
                <w:rFonts w:cs="Times New Roman"/>
                <w:caps w:val="0"/>
                <w:smallCaps w:val="0"/>
                <w:color w:val="auto"/>
                <w:spacing w:val="0"/>
                <w:highlight w:val="none"/>
              </w:rPr>
            </w:pPr>
            <w:r>
              <w:rPr>
                <w:rFonts w:cs="Times New Roman"/>
                <w:caps w:val="0"/>
                <w:smallCaps w:val="0"/>
                <w:color w:val="auto"/>
                <w:spacing w:val="0"/>
                <w:highlight w:val="none"/>
              </w:rPr>
              <w:t>2</w:t>
            </w:r>
          </w:p>
        </w:tc>
        <w:tc>
          <w:tcPr>
            <w:tcW w:w="461" w:type="pct"/>
            <w:vAlign w:val="center"/>
          </w:tcPr>
          <w:p w14:paraId="64F7FA35">
            <w:pPr>
              <w:pStyle w:val="233"/>
              <w:rPr>
                <w:rFonts w:cs="Times New Roman"/>
                <w:caps w:val="0"/>
                <w:smallCaps w:val="0"/>
                <w:color w:val="auto"/>
                <w:spacing w:val="0"/>
                <w:highlight w:val="none"/>
              </w:rPr>
            </w:pPr>
            <w:r>
              <w:rPr>
                <w:rFonts w:cs="Times New Roman"/>
                <w:caps w:val="0"/>
                <w:smallCaps w:val="0"/>
                <w:color w:val="auto"/>
                <w:spacing w:val="0"/>
                <w:highlight w:val="none"/>
              </w:rPr>
              <w:t>74</w:t>
            </w:r>
          </w:p>
        </w:tc>
        <w:tc>
          <w:tcPr>
            <w:tcW w:w="438" w:type="pct"/>
            <w:vMerge w:val="continue"/>
            <w:vAlign w:val="center"/>
          </w:tcPr>
          <w:p w14:paraId="7770537F">
            <w:pPr>
              <w:pStyle w:val="233"/>
              <w:rPr>
                <w:rFonts w:cs="Times New Roman"/>
                <w:caps w:val="0"/>
                <w:smallCaps w:val="0"/>
                <w:color w:val="auto"/>
                <w:spacing w:val="0"/>
                <w:highlight w:val="none"/>
              </w:rPr>
            </w:pPr>
          </w:p>
        </w:tc>
        <w:tc>
          <w:tcPr>
            <w:tcW w:w="467" w:type="pct"/>
            <w:vAlign w:val="center"/>
          </w:tcPr>
          <w:p w14:paraId="6FC8D685">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162BC3A2">
            <w:pPr>
              <w:pStyle w:val="233"/>
              <w:rPr>
                <w:rFonts w:cs="Times New Roman"/>
                <w:caps w:val="0"/>
                <w:smallCaps w:val="0"/>
                <w:color w:val="auto"/>
                <w:spacing w:val="0"/>
                <w:highlight w:val="none"/>
              </w:rPr>
            </w:pPr>
            <w:r>
              <w:rPr>
                <w:rFonts w:cs="Times New Roman"/>
                <w:caps w:val="0"/>
                <w:smallCaps w:val="0"/>
                <w:color w:val="auto"/>
                <w:spacing w:val="0"/>
                <w:highlight w:val="none"/>
              </w:rPr>
              <w:t>54</w:t>
            </w:r>
          </w:p>
        </w:tc>
        <w:tc>
          <w:tcPr>
            <w:tcW w:w="368" w:type="pct"/>
            <w:vAlign w:val="center"/>
          </w:tcPr>
          <w:p w14:paraId="6DDA1D26">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05F5AE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7715DC7F">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198" w:type="pct"/>
            <w:vMerge w:val="continue"/>
            <w:vAlign w:val="center"/>
          </w:tcPr>
          <w:p w14:paraId="011C95B0">
            <w:pPr>
              <w:pStyle w:val="233"/>
              <w:rPr>
                <w:rFonts w:cs="Times New Roman"/>
                <w:caps w:val="0"/>
                <w:smallCaps w:val="0"/>
                <w:color w:val="auto"/>
                <w:spacing w:val="0"/>
                <w:highlight w:val="none"/>
              </w:rPr>
            </w:pPr>
          </w:p>
        </w:tc>
        <w:tc>
          <w:tcPr>
            <w:tcW w:w="370" w:type="pct"/>
            <w:vAlign w:val="center"/>
          </w:tcPr>
          <w:p w14:paraId="2D4F841B">
            <w:pPr>
              <w:pStyle w:val="233"/>
              <w:rPr>
                <w:rFonts w:cs="Times New Roman"/>
                <w:caps w:val="0"/>
                <w:smallCaps w:val="0"/>
                <w:color w:val="auto"/>
                <w:spacing w:val="0"/>
                <w:highlight w:val="none"/>
              </w:rPr>
            </w:pPr>
            <w:r>
              <w:rPr>
                <w:rFonts w:cs="Times New Roman"/>
                <w:caps w:val="0"/>
                <w:smallCaps w:val="0"/>
                <w:color w:val="auto"/>
                <w:spacing w:val="0"/>
                <w:highlight w:val="none"/>
              </w:rPr>
              <w:t>风机</w:t>
            </w:r>
          </w:p>
        </w:tc>
        <w:tc>
          <w:tcPr>
            <w:tcW w:w="230" w:type="pct"/>
            <w:vAlign w:val="center"/>
          </w:tcPr>
          <w:p w14:paraId="00D856C0">
            <w:pPr>
              <w:pStyle w:val="233"/>
              <w:rPr>
                <w:rFonts w:cs="Times New Roman"/>
                <w:caps w:val="0"/>
                <w:smallCaps w:val="0"/>
                <w:color w:val="auto"/>
                <w:spacing w:val="0"/>
                <w:highlight w:val="none"/>
              </w:rPr>
            </w:pPr>
          </w:p>
        </w:tc>
        <w:tc>
          <w:tcPr>
            <w:tcW w:w="486" w:type="pct"/>
            <w:vAlign w:val="center"/>
          </w:tcPr>
          <w:p w14:paraId="3D7FA136">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continue"/>
            <w:vAlign w:val="center"/>
          </w:tcPr>
          <w:p w14:paraId="3DDFD42D">
            <w:pPr>
              <w:pStyle w:val="233"/>
              <w:rPr>
                <w:rFonts w:cs="Times New Roman"/>
                <w:caps w:val="0"/>
                <w:smallCaps w:val="0"/>
                <w:color w:val="auto"/>
                <w:spacing w:val="0"/>
                <w:highlight w:val="none"/>
              </w:rPr>
            </w:pPr>
          </w:p>
        </w:tc>
        <w:tc>
          <w:tcPr>
            <w:tcW w:w="251" w:type="pct"/>
            <w:vAlign w:val="center"/>
          </w:tcPr>
          <w:p w14:paraId="54EDF988">
            <w:pPr>
              <w:pStyle w:val="233"/>
              <w:rPr>
                <w:rFonts w:cs="Times New Roman"/>
                <w:caps w:val="0"/>
                <w:smallCaps w:val="0"/>
                <w:color w:val="auto"/>
                <w:spacing w:val="0"/>
                <w:highlight w:val="none"/>
              </w:rPr>
            </w:pPr>
            <w:r>
              <w:rPr>
                <w:rFonts w:cs="Times New Roman"/>
                <w:caps w:val="0"/>
                <w:smallCaps w:val="0"/>
                <w:color w:val="auto"/>
                <w:spacing w:val="0"/>
                <w:highlight w:val="none"/>
              </w:rPr>
              <w:t>4</w:t>
            </w:r>
          </w:p>
        </w:tc>
        <w:tc>
          <w:tcPr>
            <w:tcW w:w="252" w:type="pct"/>
            <w:vAlign w:val="center"/>
          </w:tcPr>
          <w:p w14:paraId="59E62882">
            <w:pPr>
              <w:pStyle w:val="233"/>
              <w:rPr>
                <w:rFonts w:cs="Times New Roman"/>
                <w:caps w:val="0"/>
                <w:smallCaps w:val="0"/>
                <w:color w:val="auto"/>
                <w:spacing w:val="0"/>
                <w:highlight w:val="none"/>
              </w:rPr>
            </w:pPr>
            <w:r>
              <w:rPr>
                <w:rFonts w:cs="Times New Roman"/>
                <w:caps w:val="0"/>
                <w:smallCaps w:val="0"/>
                <w:color w:val="auto"/>
                <w:spacing w:val="0"/>
                <w:highlight w:val="none"/>
              </w:rPr>
              <w:t>12</w:t>
            </w:r>
          </w:p>
        </w:tc>
        <w:tc>
          <w:tcPr>
            <w:tcW w:w="261" w:type="pct"/>
            <w:vAlign w:val="center"/>
          </w:tcPr>
          <w:p w14:paraId="416BA429">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5F89FF30">
            <w:pPr>
              <w:pStyle w:val="233"/>
              <w:rPr>
                <w:rFonts w:cs="Times New Roman"/>
                <w:caps w:val="0"/>
                <w:smallCaps w:val="0"/>
                <w:color w:val="auto"/>
                <w:spacing w:val="0"/>
                <w:highlight w:val="none"/>
              </w:rPr>
            </w:pPr>
            <w:r>
              <w:rPr>
                <w:rFonts w:cs="Times New Roman"/>
                <w:caps w:val="0"/>
                <w:smallCaps w:val="0"/>
                <w:color w:val="auto"/>
                <w:spacing w:val="0"/>
                <w:highlight w:val="none"/>
              </w:rPr>
              <w:t>8</w:t>
            </w:r>
          </w:p>
        </w:tc>
        <w:tc>
          <w:tcPr>
            <w:tcW w:w="461" w:type="pct"/>
            <w:vAlign w:val="center"/>
          </w:tcPr>
          <w:p w14:paraId="6524ACE9">
            <w:pPr>
              <w:pStyle w:val="233"/>
              <w:rPr>
                <w:rFonts w:cs="Times New Roman"/>
                <w:caps w:val="0"/>
                <w:smallCaps w:val="0"/>
                <w:color w:val="auto"/>
                <w:spacing w:val="0"/>
                <w:highlight w:val="none"/>
              </w:rPr>
            </w:pPr>
            <w:r>
              <w:rPr>
                <w:rFonts w:cs="Times New Roman"/>
                <w:caps w:val="0"/>
                <w:smallCaps w:val="0"/>
                <w:color w:val="auto"/>
                <w:spacing w:val="0"/>
                <w:highlight w:val="none"/>
              </w:rPr>
              <w:t>62</w:t>
            </w:r>
          </w:p>
        </w:tc>
        <w:tc>
          <w:tcPr>
            <w:tcW w:w="438" w:type="pct"/>
            <w:vMerge w:val="continue"/>
            <w:vAlign w:val="center"/>
          </w:tcPr>
          <w:p w14:paraId="0832017A">
            <w:pPr>
              <w:pStyle w:val="233"/>
              <w:rPr>
                <w:rFonts w:cs="Times New Roman"/>
                <w:caps w:val="0"/>
                <w:smallCaps w:val="0"/>
                <w:color w:val="auto"/>
                <w:spacing w:val="0"/>
                <w:highlight w:val="none"/>
              </w:rPr>
            </w:pPr>
          </w:p>
        </w:tc>
        <w:tc>
          <w:tcPr>
            <w:tcW w:w="467" w:type="pct"/>
            <w:vAlign w:val="center"/>
          </w:tcPr>
          <w:p w14:paraId="42B6CD62">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0A1F4420">
            <w:pPr>
              <w:pStyle w:val="233"/>
              <w:rPr>
                <w:rFonts w:cs="Times New Roman"/>
                <w:caps w:val="0"/>
                <w:smallCaps w:val="0"/>
                <w:color w:val="auto"/>
                <w:spacing w:val="0"/>
                <w:highlight w:val="none"/>
              </w:rPr>
            </w:pPr>
            <w:r>
              <w:rPr>
                <w:rFonts w:cs="Times New Roman"/>
                <w:caps w:val="0"/>
                <w:smallCaps w:val="0"/>
                <w:color w:val="auto"/>
                <w:spacing w:val="0"/>
                <w:highlight w:val="none"/>
              </w:rPr>
              <w:t>42</w:t>
            </w:r>
          </w:p>
        </w:tc>
        <w:tc>
          <w:tcPr>
            <w:tcW w:w="368" w:type="pct"/>
            <w:vAlign w:val="center"/>
          </w:tcPr>
          <w:p w14:paraId="2FF46444">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326AFB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6D053672">
            <w:pPr>
              <w:pStyle w:val="233"/>
              <w:rPr>
                <w:rFonts w:cs="Times New Roman"/>
                <w:caps w:val="0"/>
                <w:smallCaps w:val="0"/>
                <w:color w:val="auto"/>
                <w:spacing w:val="0"/>
                <w:highlight w:val="none"/>
              </w:rPr>
            </w:pPr>
            <w:r>
              <w:rPr>
                <w:rFonts w:cs="Times New Roman"/>
                <w:caps w:val="0"/>
                <w:smallCaps w:val="0"/>
                <w:color w:val="auto"/>
                <w:spacing w:val="0"/>
                <w:highlight w:val="none"/>
              </w:rPr>
              <w:t>4</w:t>
            </w:r>
          </w:p>
        </w:tc>
        <w:tc>
          <w:tcPr>
            <w:tcW w:w="198" w:type="pct"/>
            <w:vMerge w:val="continue"/>
            <w:vAlign w:val="center"/>
          </w:tcPr>
          <w:p w14:paraId="53AD8877">
            <w:pPr>
              <w:pStyle w:val="233"/>
              <w:rPr>
                <w:rFonts w:cs="Times New Roman"/>
                <w:caps w:val="0"/>
                <w:smallCaps w:val="0"/>
                <w:color w:val="auto"/>
                <w:spacing w:val="0"/>
                <w:highlight w:val="none"/>
              </w:rPr>
            </w:pPr>
          </w:p>
        </w:tc>
        <w:tc>
          <w:tcPr>
            <w:tcW w:w="370" w:type="pct"/>
            <w:vAlign w:val="center"/>
          </w:tcPr>
          <w:p w14:paraId="522E0C03">
            <w:pPr>
              <w:pStyle w:val="233"/>
              <w:rPr>
                <w:rFonts w:cs="Times New Roman"/>
                <w:caps w:val="0"/>
                <w:smallCaps w:val="0"/>
                <w:color w:val="auto"/>
                <w:spacing w:val="0"/>
                <w:highlight w:val="none"/>
              </w:rPr>
            </w:pPr>
            <w:r>
              <w:rPr>
                <w:rFonts w:cs="Times New Roman"/>
                <w:caps w:val="0"/>
                <w:smallCaps w:val="0"/>
                <w:color w:val="auto"/>
                <w:spacing w:val="0"/>
                <w:highlight w:val="none"/>
              </w:rPr>
              <w:t>组框机</w:t>
            </w:r>
          </w:p>
        </w:tc>
        <w:tc>
          <w:tcPr>
            <w:tcW w:w="230" w:type="pct"/>
            <w:vAlign w:val="center"/>
          </w:tcPr>
          <w:p w14:paraId="64088966">
            <w:pPr>
              <w:pStyle w:val="233"/>
              <w:rPr>
                <w:rFonts w:cs="Times New Roman"/>
                <w:caps w:val="0"/>
                <w:smallCaps w:val="0"/>
                <w:color w:val="auto"/>
                <w:spacing w:val="0"/>
                <w:highlight w:val="none"/>
              </w:rPr>
            </w:pPr>
          </w:p>
        </w:tc>
        <w:tc>
          <w:tcPr>
            <w:tcW w:w="486" w:type="pct"/>
            <w:vAlign w:val="center"/>
          </w:tcPr>
          <w:p w14:paraId="52E189EE">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continue"/>
            <w:vAlign w:val="center"/>
          </w:tcPr>
          <w:p w14:paraId="5A2167DC">
            <w:pPr>
              <w:pStyle w:val="233"/>
              <w:rPr>
                <w:rFonts w:cs="Times New Roman"/>
                <w:caps w:val="0"/>
                <w:smallCaps w:val="0"/>
                <w:color w:val="auto"/>
                <w:spacing w:val="0"/>
                <w:highlight w:val="none"/>
              </w:rPr>
            </w:pPr>
          </w:p>
        </w:tc>
        <w:tc>
          <w:tcPr>
            <w:tcW w:w="251" w:type="pct"/>
            <w:vAlign w:val="center"/>
          </w:tcPr>
          <w:p w14:paraId="1C8F375F">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252" w:type="pct"/>
            <w:vAlign w:val="center"/>
          </w:tcPr>
          <w:p w14:paraId="39616F4F">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261" w:type="pct"/>
            <w:vAlign w:val="center"/>
          </w:tcPr>
          <w:p w14:paraId="71B44B1B">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1E304AC7">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461" w:type="pct"/>
            <w:vAlign w:val="center"/>
          </w:tcPr>
          <w:p w14:paraId="2E862158">
            <w:pPr>
              <w:pStyle w:val="233"/>
              <w:rPr>
                <w:rFonts w:cs="Times New Roman"/>
                <w:caps w:val="0"/>
                <w:smallCaps w:val="0"/>
                <w:color w:val="auto"/>
                <w:spacing w:val="0"/>
                <w:highlight w:val="none"/>
              </w:rPr>
            </w:pPr>
            <w:r>
              <w:rPr>
                <w:rFonts w:cs="Times New Roman"/>
                <w:caps w:val="0"/>
                <w:smallCaps w:val="0"/>
                <w:color w:val="auto"/>
                <w:spacing w:val="0"/>
                <w:highlight w:val="none"/>
              </w:rPr>
              <w:t>71</w:t>
            </w:r>
          </w:p>
        </w:tc>
        <w:tc>
          <w:tcPr>
            <w:tcW w:w="438" w:type="pct"/>
            <w:vMerge w:val="continue"/>
            <w:vAlign w:val="center"/>
          </w:tcPr>
          <w:p w14:paraId="05531E56">
            <w:pPr>
              <w:pStyle w:val="233"/>
              <w:rPr>
                <w:rFonts w:cs="Times New Roman"/>
                <w:caps w:val="0"/>
                <w:smallCaps w:val="0"/>
                <w:color w:val="auto"/>
                <w:spacing w:val="0"/>
                <w:highlight w:val="none"/>
              </w:rPr>
            </w:pPr>
          </w:p>
        </w:tc>
        <w:tc>
          <w:tcPr>
            <w:tcW w:w="467" w:type="pct"/>
            <w:vAlign w:val="center"/>
          </w:tcPr>
          <w:p w14:paraId="01AE652E">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64F86ACE">
            <w:pPr>
              <w:pStyle w:val="233"/>
              <w:rPr>
                <w:rFonts w:cs="Times New Roman"/>
                <w:caps w:val="0"/>
                <w:smallCaps w:val="0"/>
                <w:color w:val="auto"/>
                <w:spacing w:val="0"/>
                <w:highlight w:val="none"/>
              </w:rPr>
            </w:pPr>
            <w:r>
              <w:rPr>
                <w:rFonts w:cs="Times New Roman"/>
                <w:caps w:val="0"/>
                <w:smallCaps w:val="0"/>
                <w:color w:val="auto"/>
                <w:spacing w:val="0"/>
                <w:highlight w:val="none"/>
              </w:rPr>
              <w:t>51</w:t>
            </w:r>
          </w:p>
        </w:tc>
        <w:tc>
          <w:tcPr>
            <w:tcW w:w="368" w:type="pct"/>
            <w:vAlign w:val="center"/>
          </w:tcPr>
          <w:p w14:paraId="55232C7B">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6ADB32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5DB1809E">
            <w:pPr>
              <w:pStyle w:val="233"/>
              <w:rPr>
                <w:rFonts w:cs="Times New Roman"/>
                <w:caps w:val="0"/>
                <w:smallCaps w:val="0"/>
                <w:color w:val="auto"/>
                <w:spacing w:val="0"/>
                <w:highlight w:val="none"/>
              </w:rPr>
            </w:pPr>
            <w:r>
              <w:rPr>
                <w:rFonts w:cs="Times New Roman"/>
                <w:caps w:val="0"/>
                <w:smallCaps w:val="0"/>
                <w:color w:val="auto"/>
                <w:spacing w:val="0"/>
                <w:highlight w:val="none"/>
              </w:rPr>
              <w:t>5</w:t>
            </w:r>
          </w:p>
        </w:tc>
        <w:tc>
          <w:tcPr>
            <w:tcW w:w="198" w:type="pct"/>
            <w:vMerge w:val="continue"/>
            <w:vAlign w:val="center"/>
          </w:tcPr>
          <w:p w14:paraId="77D94D21">
            <w:pPr>
              <w:pStyle w:val="233"/>
              <w:rPr>
                <w:rFonts w:cs="Times New Roman"/>
                <w:caps w:val="0"/>
                <w:smallCaps w:val="0"/>
                <w:color w:val="auto"/>
                <w:spacing w:val="0"/>
                <w:highlight w:val="none"/>
              </w:rPr>
            </w:pPr>
          </w:p>
        </w:tc>
        <w:tc>
          <w:tcPr>
            <w:tcW w:w="370" w:type="pct"/>
            <w:vAlign w:val="center"/>
          </w:tcPr>
          <w:p w14:paraId="65DDBB92">
            <w:pPr>
              <w:pStyle w:val="233"/>
              <w:rPr>
                <w:rFonts w:cs="Times New Roman"/>
                <w:caps w:val="0"/>
                <w:smallCaps w:val="0"/>
                <w:color w:val="auto"/>
                <w:spacing w:val="0"/>
                <w:highlight w:val="none"/>
              </w:rPr>
            </w:pPr>
            <w:r>
              <w:rPr>
                <w:rFonts w:cs="Times New Roman"/>
                <w:caps w:val="0"/>
                <w:smallCaps w:val="0"/>
                <w:color w:val="auto"/>
                <w:spacing w:val="0"/>
                <w:highlight w:val="none"/>
              </w:rPr>
              <w:t>清洗机</w:t>
            </w:r>
          </w:p>
        </w:tc>
        <w:tc>
          <w:tcPr>
            <w:tcW w:w="230" w:type="pct"/>
            <w:vAlign w:val="center"/>
          </w:tcPr>
          <w:p w14:paraId="052C8023">
            <w:pPr>
              <w:pStyle w:val="233"/>
              <w:rPr>
                <w:rFonts w:cs="Times New Roman"/>
                <w:caps w:val="0"/>
                <w:smallCaps w:val="0"/>
                <w:color w:val="auto"/>
                <w:spacing w:val="0"/>
                <w:highlight w:val="none"/>
              </w:rPr>
            </w:pPr>
          </w:p>
        </w:tc>
        <w:tc>
          <w:tcPr>
            <w:tcW w:w="486" w:type="pct"/>
            <w:vAlign w:val="center"/>
          </w:tcPr>
          <w:p w14:paraId="1460264D">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continue"/>
            <w:vAlign w:val="center"/>
          </w:tcPr>
          <w:p w14:paraId="2CFB7DBC">
            <w:pPr>
              <w:pStyle w:val="233"/>
              <w:rPr>
                <w:rFonts w:cs="Times New Roman"/>
                <w:caps w:val="0"/>
                <w:smallCaps w:val="0"/>
                <w:color w:val="auto"/>
                <w:spacing w:val="0"/>
                <w:highlight w:val="none"/>
              </w:rPr>
            </w:pPr>
          </w:p>
        </w:tc>
        <w:tc>
          <w:tcPr>
            <w:tcW w:w="251" w:type="pct"/>
            <w:vAlign w:val="center"/>
          </w:tcPr>
          <w:p w14:paraId="11323973">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252" w:type="pct"/>
            <w:vAlign w:val="center"/>
          </w:tcPr>
          <w:p w14:paraId="626CE847">
            <w:pPr>
              <w:pStyle w:val="233"/>
              <w:rPr>
                <w:rFonts w:cs="Times New Roman"/>
                <w:caps w:val="0"/>
                <w:smallCaps w:val="0"/>
                <w:color w:val="auto"/>
                <w:spacing w:val="0"/>
                <w:highlight w:val="none"/>
              </w:rPr>
            </w:pPr>
            <w:r>
              <w:rPr>
                <w:rFonts w:cs="Times New Roman"/>
                <w:caps w:val="0"/>
                <w:smallCaps w:val="0"/>
                <w:color w:val="auto"/>
                <w:spacing w:val="0"/>
                <w:highlight w:val="none"/>
              </w:rPr>
              <w:t>16</w:t>
            </w:r>
          </w:p>
        </w:tc>
        <w:tc>
          <w:tcPr>
            <w:tcW w:w="261" w:type="pct"/>
            <w:vAlign w:val="center"/>
          </w:tcPr>
          <w:p w14:paraId="2CEEC94E">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0D52A0B5">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461" w:type="pct"/>
            <w:vAlign w:val="center"/>
          </w:tcPr>
          <w:p w14:paraId="0F2413F1">
            <w:pPr>
              <w:pStyle w:val="233"/>
              <w:rPr>
                <w:rFonts w:cs="Times New Roman"/>
                <w:caps w:val="0"/>
                <w:smallCaps w:val="0"/>
                <w:color w:val="auto"/>
                <w:spacing w:val="0"/>
                <w:highlight w:val="none"/>
              </w:rPr>
            </w:pPr>
            <w:r>
              <w:rPr>
                <w:rFonts w:cs="Times New Roman"/>
                <w:caps w:val="0"/>
                <w:smallCaps w:val="0"/>
                <w:color w:val="auto"/>
                <w:spacing w:val="0"/>
                <w:highlight w:val="none"/>
              </w:rPr>
              <w:t>61</w:t>
            </w:r>
          </w:p>
        </w:tc>
        <w:tc>
          <w:tcPr>
            <w:tcW w:w="438" w:type="pct"/>
            <w:vMerge w:val="continue"/>
            <w:vAlign w:val="center"/>
          </w:tcPr>
          <w:p w14:paraId="2951C200">
            <w:pPr>
              <w:pStyle w:val="233"/>
              <w:rPr>
                <w:rFonts w:cs="Times New Roman"/>
                <w:caps w:val="0"/>
                <w:smallCaps w:val="0"/>
                <w:color w:val="auto"/>
                <w:spacing w:val="0"/>
                <w:highlight w:val="none"/>
              </w:rPr>
            </w:pPr>
          </w:p>
        </w:tc>
        <w:tc>
          <w:tcPr>
            <w:tcW w:w="467" w:type="pct"/>
            <w:vAlign w:val="center"/>
          </w:tcPr>
          <w:p w14:paraId="75BE7B4D">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4F7B7528">
            <w:pPr>
              <w:pStyle w:val="233"/>
              <w:rPr>
                <w:rFonts w:cs="Times New Roman"/>
                <w:caps w:val="0"/>
                <w:smallCaps w:val="0"/>
                <w:color w:val="auto"/>
                <w:spacing w:val="0"/>
                <w:highlight w:val="none"/>
              </w:rPr>
            </w:pPr>
            <w:r>
              <w:rPr>
                <w:rFonts w:cs="Times New Roman"/>
                <w:caps w:val="0"/>
                <w:smallCaps w:val="0"/>
                <w:color w:val="auto"/>
                <w:spacing w:val="0"/>
                <w:highlight w:val="none"/>
              </w:rPr>
              <w:t>41</w:t>
            </w:r>
          </w:p>
        </w:tc>
        <w:tc>
          <w:tcPr>
            <w:tcW w:w="368" w:type="pct"/>
            <w:vAlign w:val="center"/>
          </w:tcPr>
          <w:p w14:paraId="5DCD7D10">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365EC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53917930">
            <w:pPr>
              <w:pStyle w:val="233"/>
              <w:rPr>
                <w:rFonts w:cs="Times New Roman"/>
                <w:caps w:val="0"/>
                <w:smallCaps w:val="0"/>
                <w:color w:val="auto"/>
                <w:spacing w:val="0"/>
                <w:highlight w:val="none"/>
              </w:rPr>
            </w:pPr>
            <w:r>
              <w:rPr>
                <w:rFonts w:cs="Times New Roman"/>
                <w:caps w:val="0"/>
                <w:smallCaps w:val="0"/>
                <w:color w:val="auto"/>
                <w:spacing w:val="0"/>
                <w:highlight w:val="none"/>
              </w:rPr>
              <w:t>6</w:t>
            </w:r>
          </w:p>
        </w:tc>
        <w:tc>
          <w:tcPr>
            <w:tcW w:w="198" w:type="pct"/>
            <w:vMerge w:val="continue"/>
            <w:vAlign w:val="center"/>
          </w:tcPr>
          <w:p w14:paraId="4EDC0289">
            <w:pPr>
              <w:pStyle w:val="233"/>
              <w:rPr>
                <w:rFonts w:cs="Times New Roman"/>
                <w:caps w:val="0"/>
                <w:smallCaps w:val="0"/>
                <w:color w:val="auto"/>
                <w:spacing w:val="0"/>
                <w:highlight w:val="none"/>
              </w:rPr>
            </w:pPr>
          </w:p>
        </w:tc>
        <w:tc>
          <w:tcPr>
            <w:tcW w:w="370" w:type="pct"/>
            <w:vAlign w:val="center"/>
          </w:tcPr>
          <w:p w14:paraId="45A02F5B">
            <w:pPr>
              <w:pStyle w:val="233"/>
              <w:rPr>
                <w:rFonts w:cs="Times New Roman"/>
                <w:caps w:val="0"/>
                <w:smallCaps w:val="0"/>
                <w:color w:val="auto"/>
                <w:spacing w:val="0"/>
                <w:highlight w:val="none"/>
              </w:rPr>
            </w:pPr>
            <w:r>
              <w:rPr>
                <w:rFonts w:cs="Times New Roman"/>
                <w:caps w:val="0"/>
                <w:smallCaps w:val="0"/>
                <w:color w:val="auto"/>
                <w:spacing w:val="0"/>
                <w:highlight w:val="none"/>
              </w:rPr>
              <w:t>风机</w:t>
            </w:r>
          </w:p>
        </w:tc>
        <w:tc>
          <w:tcPr>
            <w:tcW w:w="230" w:type="pct"/>
            <w:vAlign w:val="center"/>
          </w:tcPr>
          <w:p w14:paraId="112AC2DE">
            <w:pPr>
              <w:pStyle w:val="233"/>
              <w:rPr>
                <w:rFonts w:cs="Times New Roman"/>
                <w:caps w:val="0"/>
                <w:smallCaps w:val="0"/>
                <w:color w:val="auto"/>
                <w:spacing w:val="0"/>
                <w:highlight w:val="none"/>
              </w:rPr>
            </w:pPr>
          </w:p>
        </w:tc>
        <w:tc>
          <w:tcPr>
            <w:tcW w:w="486" w:type="pct"/>
            <w:vAlign w:val="center"/>
          </w:tcPr>
          <w:p w14:paraId="5352F4DE">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continue"/>
            <w:vAlign w:val="center"/>
          </w:tcPr>
          <w:p w14:paraId="73243EF5">
            <w:pPr>
              <w:pStyle w:val="233"/>
              <w:rPr>
                <w:rFonts w:cs="Times New Roman"/>
                <w:caps w:val="0"/>
                <w:smallCaps w:val="0"/>
                <w:color w:val="auto"/>
                <w:spacing w:val="0"/>
                <w:highlight w:val="none"/>
              </w:rPr>
            </w:pPr>
          </w:p>
        </w:tc>
        <w:tc>
          <w:tcPr>
            <w:tcW w:w="251" w:type="pct"/>
            <w:vAlign w:val="center"/>
          </w:tcPr>
          <w:p w14:paraId="4539ECFF">
            <w:pPr>
              <w:pStyle w:val="233"/>
              <w:rPr>
                <w:rFonts w:cs="Times New Roman"/>
                <w:caps w:val="0"/>
                <w:smallCaps w:val="0"/>
                <w:color w:val="auto"/>
                <w:spacing w:val="0"/>
                <w:highlight w:val="none"/>
              </w:rPr>
            </w:pPr>
            <w:r>
              <w:rPr>
                <w:rFonts w:cs="Times New Roman"/>
                <w:caps w:val="0"/>
                <w:smallCaps w:val="0"/>
                <w:color w:val="auto"/>
                <w:spacing w:val="0"/>
                <w:highlight w:val="none"/>
              </w:rPr>
              <w:t>15</w:t>
            </w:r>
          </w:p>
        </w:tc>
        <w:tc>
          <w:tcPr>
            <w:tcW w:w="252" w:type="pct"/>
            <w:vAlign w:val="center"/>
          </w:tcPr>
          <w:p w14:paraId="464E7052">
            <w:pPr>
              <w:pStyle w:val="233"/>
              <w:rPr>
                <w:rFonts w:cs="Times New Roman"/>
                <w:caps w:val="0"/>
                <w:smallCaps w:val="0"/>
                <w:color w:val="auto"/>
                <w:spacing w:val="0"/>
                <w:highlight w:val="none"/>
              </w:rPr>
            </w:pPr>
            <w:r>
              <w:rPr>
                <w:rFonts w:cs="Times New Roman"/>
                <w:caps w:val="0"/>
                <w:smallCaps w:val="0"/>
                <w:color w:val="auto"/>
                <w:spacing w:val="0"/>
                <w:highlight w:val="none"/>
              </w:rPr>
              <w:t>22</w:t>
            </w:r>
          </w:p>
        </w:tc>
        <w:tc>
          <w:tcPr>
            <w:tcW w:w="261" w:type="pct"/>
            <w:vAlign w:val="center"/>
          </w:tcPr>
          <w:p w14:paraId="0795EC36">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0CB69D24">
            <w:pPr>
              <w:pStyle w:val="233"/>
              <w:rPr>
                <w:rFonts w:cs="Times New Roman"/>
                <w:caps w:val="0"/>
                <w:smallCaps w:val="0"/>
                <w:color w:val="auto"/>
                <w:spacing w:val="0"/>
                <w:highlight w:val="none"/>
              </w:rPr>
            </w:pPr>
            <w:r>
              <w:rPr>
                <w:rFonts w:cs="Times New Roman"/>
                <w:caps w:val="0"/>
                <w:smallCaps w:val="0"/>
                <w:color w:val="auto"/>
                <w:spacing w:val="0"/>
                <w:highlight w:val="none"/>
              </w:rPr>
              <w:t>15</w:t>
            </w:r>
          </w:p>
        </w:tc>
        <w:tc>
          <w:tcPr>
            <w:tcW w:w="461" w:type="pct"/>
            <w:vAlign w:val="center"/>
          </w:tcPr>
          <w:p w14:paraId="0167EC8A">
            <w:pPr>
              <w:pStyle w:val="233"/>
              <w:rPr>
                <w:rFonts w:cs="Times New Roman"/>
                <w:caps w:val="0"/>
                <w:smallCaps w:val="0"/>
                <w:color w:val="auto"/>
                <w:spacing w:val="0"/>
                <w:highlight w:val="none"/>
              </w:rPr>
            </w:pPr>
            <w:r>
              <w:rPr>
                <w:rFonts w:cs="Times New Roman"/>
                <w:caps w:val="0"/>
                <w:smallCaps w:val="0"/>
                <w:color w:val="auto"/>
                <w:spacing w:val="0"/>
                <w:highlight w:val="none"/>
              </w:rPr>
              <w:t>56</w:t>
            </w:r>
          </w:p>
        </w:tc>
        <w:tc>
          <w:tcPr>
            <w:tcW w:w="438" w:type="pct"/>
            <w:vMerge w:val="continue"/>
            <w:vAlign w:val="center"/>
          </w:tcPr>
          <w:p w14:paraId="25F6C16F">
            <w:pPr>
              <w:pStyle w:val="233"/>
              <w:rPr>
                <w:rFonts w:cs="Times New Roman"/>
                <w:caps w:val="0"/>
                <w:smallCaps w:val="0"/>
                <w:color w:val="auto"/>
                <w:spacing w:val="0"/>
                <w:highlight w:val="none"/>
              </w:rPr>
            </w:pPr>
          </w:p>
        </w:tc>
        <w:tc>
          <w:tcPr>
            <w:tcW w:w="467" w:type="pct"/>
            <w:vAlign w:val="center"/>
          </w:tcPr>
          <w:p w14:paraId="41382BDB">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00DBF230">
            <w:pPr>
              <w:pStyle w:val="233"/>
              <w:rPr>
                <w:rFonts w:cs="Times New Roman"/>
                <w:caps w:val="0"/>
                <w:smallCaps w:val="0"/>
                <w:color w:val="auto"/>
                <w:spacing w:val="0"/>
                <w:highlight w:val="none"/>
              </w:rPr>
            </w:pPr>
            <w:r>
              <w:rPr>
                <w:rFonts w:cs="Times New Roman"/>
                <w:caps w:val="0"/>
                <w:smallCaps w:val="0"/>
                <w:color w:val="auto"/>
                <w:spacing w:val="0"/>
                <w:highlight w:val="none"/>
              </w:rPr>
              <w:t>36</w:t>
            </w:r>
          </w:p>
        </w:tc>
        <w:tc>
          <w:tcPr>
            <w:tcW w:w="368" w:type="pct"/>
            <w:vAlign w:val="center"/>
          </w:tcPr>
          <w:p w14:paraId="29CA8CAC">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71110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8" w:type="pct"/>
            <w:vAlign w:val="center"/>
          </w:tcPr>
          <w:p w14:paraId="1DB6697D">
            <w:pPr>
              <w:pStyle w:val="233"/>
              <w:rPr>
                <w:rFonts w:cs="Times New Roman"/>
                <w:caps w:val="0"/>
                <w:smallCaps w:val="0"/>
                <w:color w:val="auto"/>
                <w:spacing w:val="0"/>
                <w:highlight w:val="none"/>
              </w:rPr>
            </w:pPr>
            <w:r>
              <w:rPr>
                <w:rFonts w:cs="Times New Roman"/>
                <w:caps w:val="0"/>
                <w:smallCaps w:val="0"/>
                <w:color w:val="auto"/>
                <w:spacing w:val="0"/>
                <w:highlight w:val="none"/>
              </w:rPr>
              <w:t>7</w:t>
            </w:r>
          </w:p>
        </w:tc>
        <w:tc>
          <w:tcPr>
            <w:tcW w:w="198" w:type="pct"/>
            <w:vMerge w:val="continue"/>
            <w:vAlign w:val="center"/>
          </w:tcPr>
          <w:p w14:paraId="3B6FB403">
            <w:pPr>
              <w:pStyle w:val="233"/>
              <w:rPr>
                <w:rFonts w:cs="Times New Roman"/>
                <w:caps w:val="0"/>
                <w:smallCaps w:val="0"/>
                <w:color w:val="auto"/>
                <w:spacing w:val="0"/>
                <w:highlight w:val="none"/>
              </w:rPr>
            </w:pPr>
          </w:p>
        </w:tc>
        <w:tc>
          <w:tcPr>
            <w:tcW w:w="370" w:type="pct"/>
            <w:vAlign w:val="center"/>
          </w:tcPr>
          <w:p w14:paraId="6DCB23A5">
            <w:pPr>
              <w:pStyle w:val="233"/>
              <w:rPr>
                <w:rFonts w:cs="Times New Roman"/>
                <w:caps w:val="0"/>
                <w:smallCaps w:val="0"/>
                <w:color w:val="auto"/>
                <w:spacing w:val="0"/>
                <w:highlight w:val="none"/>
              </w:rPr>
            </w:pPr>
            <w:r>
              <w:rPr>
                <w:rFonts w:cs="Times New Roman"/>
                <w:caps w:val="0"/>
                <w:smallCaps w:val="0"/>
                <w:color w:val="auto"/>
                <w:spacing w:val="0"/>
                <w:highlight w:val="none"/>
              </w:rPr>
              <w:t>风机</w:t>
            </w:r>
          </w:p>
        </w:tc>
        <w:tc>
          <w:tcPr>
            <w:tcW w:w="230" w:type="pct"/>
            <w:vAlign w:val="center"/>
          </w:tcPr>
          <w:p w14:paraId="5D634792">
            <w:pPr>
              <w:pStyle w:val="233"/>
              <w:rPr>
                <w:rFonts w:cs="Times New Roman"/>
                <w:caps w:val="0"/>
                <w:smallCaps w:val="0"/>
                <w:color w:val="auto"/>
                <w:spacing w:val="0"/>
                <w:highlight w:val="none"/>
              </w:rPr>
            </w:pPr>
          </w:p>
        </w:tc>
        <w:tc>
          <w:tcPr>
            <w:tcW w:w="486" w:type="pct"/>
            <w:vAlign w:val="center"/>
          </w:tcPr>
          <w:p w14:paraId="7AC115D2">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76" w:type="pct"/>
            <w:vMerge w:val="continue"/>
            <w:vAlign w:val="center"/>
          </w:tcPr>
          <w:p w14:paraId="40A21560">
            <w:pPr>
              <w:pStyle w:val="233"/>
              <w:rPr>
                <w:rFonts w:cs="Times New Roman"/>
                <w:caps w:val="0"/>
                <w:smallCaps w:val="0"/>
                <w:color w:val="auto"/>
                <w:spacing w:val="0"/>
                <w:highlight w:val="none"/>
              </w:rPr>
            </w:pPr>
          </w:p>
        </w:tc>
        <w:tc>
          <w:tcPr>
            <w:tcW w:w="251" w:type="pct"/>
            <w:vAlign w:val="center"/>
          </w:tcPr>
          <w:p w14:paraId="4C03F116">
            <w:pPr>
              <w:pStyle w:val="233"/>
              <w:rPr>
                <w:rFonts w:cs="Times New Roman"/>
                <w:caps w:val="0"/>
                <w:smallCaps w:val="0"/>
                <w:color w:val="auto"/>
                <w:spacing w:val="0"/>
                <w:highlight w:val="none"/>
              </w:rPr>
            </w:pPr>
            <w:r>
              <w:rPr>
                <w:rFonts w:cs="Times New Roman"/>
                <w:caps w:val="0"/>
                <w:smallCaps w:val="0"/>
                <w:color w:val="auto"/>
                <w:spacing w:val="0"/>
                <w:highlight w:val="none"/>
              </w:rPr>
              <w:t>18</w:t>
            </w:r>
          </w:p>
        </w:tc>
        <w:tc>
          <w:tcPr>
            <w:tcW w:w="252" w:type="pct"/>
            <w:vAlign w:val="center"/>
          </w:tcPr>
          <w:p w14:paraId="4CAD0588">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261" w:type="pct"/>
            <w:vAlign w:val="center"/>
          </w:tcPr>
          <w:p w14:paraId="347807AA">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42" w:type="pct"/>
            <w:vAlign w:val="center"/>
          </w:tcPr>
          <w:p w14:paraId="0CC05AC9">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461" w:type="pct"/>
            <w:vAlign w:val="center"/>
          </w:tcPr>
          <w:p w14:paraId="32A0684E">
            <w:pPr>
              <w:pStyle w:val="233"/>
              <w:rPr>
                <w:rFonts w:cs="Times New Roman"/>
                <w:caps w:val="0"/>
                <w:smallCaps w:val="0"/>
                <w:color w:val="auto"/>
                <w:spacing w:val="0"/>
                <w:highlight w:val="none"/>
              </w:rPr>
            </w:pPr>
            <w:r>
              <w:rPr>
                <w:rFonts w:cs="Times New Roman"/>
                <w:caps w:val="0"/>
                <w:smallCaps w:val="0"/>
                <w:color w:val="auto"/>
                <w:spacing w:val="0"/>
                <w:highlight w:val="none"/>
              </w:rPr>
              <w:t>61</w:t>
            </w:r>
          </w:p>
        </w:tc>
        <w:tc>
          <w:tcPr>
            <w:tcW w:w="438" w:type="pct"/>
            <w:vMerge w:val="continue"/>
            <w:vAlign w:val="center"/>
          </w:tcPr>
          <w:p w14:paraId="4985C474">
            <w:pPr>
              <w:pStyle w:val="233"/>
              <w:rPr>
                <w:rFonts w:cs="Times New Roman"/>
                <w:caps w:val="0"/>
                <w:smallCaps w:val="0"/>
                <w:color w:val="auto"/>
                <w:spacing w:val="0"/>
                <w:highlight w:val="none"/>
              </w:rPr>
            </w:pPr>
          </w:p>
        </w:tc>
        <w:tc>
          <w:tcPr>
            <w:tcW w:w="467" w:type="pct"/>
            <w:vAlign w:val="center"/>
          </w:tcPr>
          <w:p w14:paraId="61BA5C76">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345" w:type="pct"/>
            <w:vAlign w:val="center"/>
          </w:tcPr>
          <w:p w14:paraId="3F07B298">
            <w:pPr>
              <w:pStyle w:val="233"/>
              <w:rPr>
                <w:rFonts w:cs="Times New Roman"/>
                <w:caps w:val="0"/>
                <w:smallCaps w:val="0"/>
                <w:color w:val="auto"/>
                <w:spacing w:val="0"/>
                <w:highlight w:val="none"/>
              </w:rPr>
            </w:pPr>
            <w:r>
              <w:rPr>
                <w:rFonts w:cs="Times New Roman"/>
                <w:caps w:val="0"/>
                <w:smallCaps w:val="0"/>
                <w:color w:val="auto"/>
                <w:spacing w:val="0"/>
                <w:highlight w:val="none"/>
              </w:rPr>
              <w:t>41</w:t>
            </w:r>
          </w:p>
        </w:tc>
        <w:tc>
          <w:tcPr>
            <w:tcW w:w="368" w:type="pct"/>
            <w:vAlign w:val="center"/>
          </w:tcPr>
          <w:p w14:paraId="0B49BB75">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bl>
    <w:p w14:paraId="66C4CA51">
      <w:pPr>
        <w:pStyle w:val="6"/>
        <w:widowControl w:val="0"/>
        <w:rPr>
          <w:rFonts w:eastAsia="宋体"/>
          <w:caps w:val="0"/>
          <w:smallCaps w:val="0"/>
          <w:color w:val="auto"/>
          <w:spacing w:val="0"/>
          <w:highlight w:val="none"/>
        </w:rPr>
      </w:pPr>
      <w:r>
        <w:rPr>
          <w:rFonts w:eastAsia="宋体"/>
          <w:caps w:val="0"/>
          <w:smallCaps w:val="0"/>
          <w:color w:val="auto"/>
          <w:spacing w:val="0"/>
          <w:highlight w:val="none"/>
        </w:rPr>
        <w:t>3.5.1.4固体废物</w:t>
      </w:r>
    </w:p>
    <w:p w14:paraId="7256B732">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运营期固体废物主要为废靶材、废玻璃基板、废包装材料等一般固体废物，废真空罩、废石墨舟、破裂玻璃、废电池组件、过滤收尘灰、废过滤器、废离子树脂、化学包装材料、废活性炭、废润滑油、废劳保手套、</w:t>
      </w:r>
      <w:r>
        <w:rPr>
          <w:rFonts w:eastAsia="宋体"/>
          <w:caps w:val="0"/>
          <w:smallCaps w:val="0"/>
          <w:color w:val="auto"/>
          <w:spacing w:val="0"/>
          <w:highlight w:val="none"/>
        </w:rPr>
        <w:t>废</w:t>
      </w:r>
      <w:r>
        <w:rPr>
          <w:rFonts w:hint="eastAsia" w:eastAsia="宋体"/>
          <w:caps w:val="0"/>
          <w:smallCaps w:val="0"/>
          <w:color w:val="auto"/>
          <w:spacing w:val="0"/>
          <w:highlight w:val="none"/>
        </w:rPr>
        <w:t>润滑</w:t>
      </w:r>
      <w:r>
        <w:rPr>
          <w:rFonts w:eastAsia="宋体"/>
          <w:caps w:val="0"/>
          <w:smallCaps w:val="0"/>
          <w:color w:val="auto"/>
          <w:spacing w:val="0"/>
          <w:highlight w:val="none"/>
        </w:rPr>
        <w:t>油</w:t>
      </w:r>
      <w:r>
        <w:rPr>
          <w:rFonts w:hint="eastAsia" w:eastAsia="宋体"/>
          <w:caps w:val="0"/>
          <w:smallCaps w:val="0"/>
          <w:color w:val="auto"/>
          <w:spacing w:val="0"/>
          <w:highlight w:val="none"/>
        </w:rPr>
        <w:t>油</w:t>
      </w:r>
      <w:r>
        <w:rPr>
          <w:rFonts w:eastAsia="宋体"/>
          <w:caps w:val="0"/>
          <w:smallCaps w:val="0"/>
          <w:color w:val="auto"/>
          <w:spacing w:val="0"/>
          <w:highlight w:val="none"/>
        </w:rPr>
        <w:t>桶、</w:t>
      </w:r>
      <w:r>
        <w:rPr>
          <w:rFonts w:hint="eastAsia" w:eastAsia="宋体"/>
          <w:caps w:val="0"/>
          <w:smallCaps w:val="0"/>
          <w:color w:val="auto"/>
          <w:spacing w:val="0"/>
          <w:highlight w:val="none"/>
        </w:rPr>
        <w:t>废胶桶、</w:t>
      </w:r>
      <w:r>
        <w:rPr>
          <w:rFonts w:eastAsia="宋体"/>
          <w:caps w:val="0"/>
          <w:smallCaps w:val="0"/>
          <w:color w:val="auto"/>
          <w:spacing w:val="0"/>
          <w:highlight w:val="none"/>
        </w:rPr>
        <w:t>污水处理设施产生的废过滤膜、废铅蓄电池、废反渗透膜、污泥、蒸发结晶盐等。</w:t>
      </w:r>
    </w:p>
    <w:p w14:paraId="5613F18D">
      <w:pPr>
        <w:widowControl w:val="0"/>
        <w:spacing w:line="360" w:lineRule="auto"/>
        <w:ind w:left="14" w:right="63" w:firstLine="478"/>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废靶材、废防溅射板、纯水制备废渗透膜、废离子交换树脂定期由厂家进行回收，废玻璃基板、废背板玻璃、废包装材料定期外售回收单位。</w:t>
      </w:r>
    </w:p>
    <w:p w14:paraId="1D107CDF">
      <w:pPr>
        <w:pStyle w:val="194"/>
        <w:widowControl w:val="0"/>
        <w:spacing w:line="360" w:lineRule="auto"/>
        <w:ind w:firstLine="476"/>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项目生产过程产生的废真空罩、废石墨舟、破裂玻璃、废电池组件、收尘灰、废活性炭、化学包装材料、废机油、</w:t>
      </w:r>
      <w:r>
        <w:rPr>
          <w:rFonts w:ascii="Times New Roman" w:hAnsi="Times New Roman" w:eastAsia="宋体" w:cs="Times New Roman"/>
          <w:caps w:val="0"/>
          <w:smallCaps w:val="0"/>
          <w:color w:val="auto"/>
          <w:spacing w:val="0"/>
          <w:highlight w:val="none"/>
        </w:rPr>
        <w:t>废</w:t>
      </w:r>
      <w:r>
        <w:rPr>
          <w:rFonts w:hint="eastAsia" w:eastAsia="宋体" w:cs="Times New Roman"/>
          <w:caps w:val="0"/>
          <w:smallCaps w:val="0"/>
          <w:color w:val="auto"/>
          <w:spacing w:val="0"/>
          <w:highlight w:val="none"/>
        </w:rPr>
        <w:t>润滑</w:t>
      </w:r>
      <w:r>
        <w:rPr>
          <w:rFonts w:ascii="Times New Roman" w:hAnsi="Times New Roman" w:eastAsia="宋体" w:cs="Times New Roman"/>
          <w:caps w:val="0"/>
          <w:smallCaps w:val="0"/>
          <w:color w:val="auto"/>
          <w:spacing w:val="0"/>
          <w:highlight w:val="none"/>
        </w:rPr>
        <w:t>油</w:t>
      </w:r>
      <w:r>
        <w:rPr>
          <w:rFonts w:hint="eastAsia" w:eastAsia="宋体" w:cs="Times New Roman"/>
          <w:caps w:val="0"/>
          <w:smallCaps w:val="0"/>
          <w:color w:val="auto"/>
          <w:spacing w:val="0"/>
          <w:highlight w:val="none"/>
        </w:rPr>
        <w:t>油</w:t>
      </w:r>
      <w:r>
        <w:rPr>
          <w:rFonts w:ascii="Times New Roman" w:hAnsi="Times New Roman" w:eastAsia="宋体" w:cs="Times New Roman"/>
          <w:caps w:val="0"/>
          <w:smallCaps w:val="0"/>
          <w:color w:val="auto"/>
          <w:spacing w:val="0"/>
          <w:highlight w:val="none"/>
        </w:rPr>
        <w:t>桶、</w:t>
      </w:r>
      <w:r>
        <w:rPr>
          <w:rFonts w:hint="eastAsia" w:eastAsia="宋体" w:cs="Times New Roman"/>
          <w:caps w:val="0"/>
          <w:smallCaps w:val="0"/>
          <w:color w:val="auto"/>
          <w:spacing w:val="0"/>
          <w:highlight w:val="none"/>
        </w:rPr>
        <w:t>废胶桶、</w:t>
      </w:r>
      <w:r>
        <w:rPr>
          <w:rFonts w:ascii="Times New Roman" w:hAnsi="Times New Roman" w:eastAsia="宋体" w:cs="Times New Roman"/>
          <w:caps w:val="0"/>
          <w:smallCaps w:val="0"/>
          <w:color w:val="auto"/>
          <w:spacing w:val="0"/>
          <w:szCs w:val="24"/>
          <w:highlight w:val="none"/>
        </w:rPr>
        <w:t>污水处理设施产生的废过滤膜、废反渗透膜、实验废液、污泥及蒸发结晶盐均属于危险废物，于危险废物贮存库暂存后交</w:t>
      </w:r>
      <w:r>
        <w:rPr>
          <w:rFonts w:hint="eastAsia" w:ascii="Times New Roman" w:hAnsi="Times New Roman" w:eastAsia="宋体" w:cs="Times New Roman"/>
          <w:caps w:val="0"/>
          <w:smallCaps w:val="0"/>
          <w:color w:val="auto"/>
          <w:spacing w:val="0"/>
          <w:szCs w:val="24"/>
          <w:highlight w:val="none"/>
        </w:rPr>
        <w:t>由</w:t>
      </w:r>
      <w:r>
        <w:rPr>
          <w:rFonts w:ascii="Times New Roman" w:hAnsi="Times New Roman" w:eastAsia="宋体" w:cs="Times New Roman"/>
          <w:caps w:val="0"/>
          <w:smallCaps w:val="0"/>
          <w:color w:val="auto"/>
          <w:spacing w:val="0"/>
          <w:szCs w:val="24"/>
          <w:highlight w:val="none"/>
        </w:rPr>
        <w:t>有危废资质单位处理。废铅蓄电池</w:t>
      </w:r>
      <w:r>
        <w:rPr>
          <w:rFonts w:hint="eastAsia" w:ascii="Times New Roman" w:hAnsi="Times New Roman" w:eastAsia="宋体" w:cs="Times New Roman"/>
          <w:caps w:val="0"/>
          <w:smallCaps w:val="0"/>
          <w:color w:val="auto"/>
          <w:spacing w:val="0"/>
          <w:szCs w:val="24"/>
          <w:highlight w:val="none"/>
        </w:rPr>
        <w:t>为危险废物，</w:t>
      </w:r>
      <w:r>
        <w:rPr>
          <w:rFonts w:ascii="Times New Roman" w:hAnsi="Times New Roman" w:eastAsia="宋体" w:cs="Times New Roman"/>
          <w:caps w:val="0"/>
          <w:smallCaps w:val="0"/>
          <w:color w:val="auto"/>
          <w:spacing w:val="0"/>
          <w:highlight w:val="none"/>
        </w:rPr>
        <w:t>换下后直接由厂家回收，定不在厂区内暂存。</w:t>
      </w:r>
    </w:p>
    <w:p w14:paraId="4EF3610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1、一般工业固体废物</w:t>
      </w:r>
    </w:p>
    <w:p w14:paraId="4FD8DB53">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（1）废玻璃基板S1</w:t>
      </w:r>
    </w:p>
    <w:p w14:paraId="2134BCAF">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原料TCO玻璃和背板玻璃在进厂后，通过膜面检查对玻璃的表面进行目检，将存在裂纹、刮伤缺陷的基板剔除，这部分玻璃按原料使用量的5‰计；通过在线检测装置会产生一些不符合生产要求的不合格玻璃，根据企业提供的资料，不合格玻璃产生量按原料使用量的3%计，玻璃基板按每平方米7.7kg计算，则不合格玻璃产生量为213.19t/a，经收集后全部由供应商回收处置。</w:t>
      </w:r>
    </w:p>
    <w:p w14:paraId="4F4B3BA9">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（2）废靶材S6</w:t>
      </w:r>
    </w:p>
    <w:p w14:paraId="0B45796D">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在ZnTe膜层溅射和背电极镀膜工序会产生废靶材，废靶材为高纯ZnTe靶材、Mo靶材、Al靶材、Cr靶材，根据物料及元素平衡，废靶材产生量约为0.5t/a（包含各金属元素0.0233t/a），经收集后全部由供应商回收处置。</w:t>
      </w:r>
    </w:p>
    <w:p w14:paraId="6B16D84D">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（3）废防溅射板S8</w:t>
      </w:r>
    </w:p>
    <w:p w14:paraId="3E123802">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为防止磁控溅射过程靶材溅射到玻璃基板和靶材周围区域，减少对磁控溅射设备的污染，在设备内壁设有陶瓷材料防溅射板，防溅射板定期进行更换，产生量约为0.1t/a，经收集后全部由供应商回收处置。</w:t>
      </w:r>
    </w:p>
    <w:p w14:paraId="6C7BD915">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（4）废膜组件S9</w:t>
      </w:r>
    </w:p>
    <w:p w14:paraId="01BA69B5">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设有1套纯水制备系统，用于活化层清洗、基板清洗、溶液配制和闭路循环冷却水补充，纯水制备系统采用反渗透工艺，其砂滤、炭滤和反渗透等膜组件每2-3a更换1次，产生量为0.5t/a，经收集后全部由供应商回收处置。</w:t>
      </w:r>
    </w:p>
    <w:p w14:paraId="4FB4D493">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（5）废包装材料1#S10</w:t>
      </w:r>
    </w:p>
    <w:p w14:paraId="39BB98F5">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本工程原料TCO玻璃、背板玻璃等废包装材料产生量为0.2t/a，集中收集外售。</w:t>
      </w:r>
    </w:p>
    <w:p w14:paraId="587A241F">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（6）废离子交换树脂S13</w:t>
      </w:r>
    </w:p>
    <w:p w14:paraId="5D4098D2">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本工程纯制备系统设有离子交换树脂，离子交换树脂每5年更换1次，新增废离子交换树脂产生量约为0.1t，经收集后全部由供应商回收处置。</w:t>
      </w:r>
    </w:p>
    <w:p w14:paraId="40FB966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2、危险废物</w:t>
      </w:r>
    </w:p>
    <w:p w14:paraId="6D89F051">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（1）废真空罩S2和废石墨舟S3</w:t>
      </w:r>
    </w:p>
    <w:p w14:paraId="0F331289">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CSS镀膜过程会有少量的CdSe、CdTe沉积在镀膜设备的真空罩和石墨舟表面，定期对真空罩和石墨舟进行更换，废真空罩S2产生量为0.1t/a，废石墨舟S3产生量为0.05t/a。废真空罩S2和废石墨舟S3属于《国家危险废物名录》中的危险废物（HW46），拟在危险废物贮存库暂存，定期交由有资质单位进行处置。</w:t>
      </w:r>
    </w:p>
    <w:p w14:paraId="3C6C3003">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（2）碎玻璃S4和废电池组件S5</w:t>
      </w:r>
    </w:p>
    <w:p w14:paraId="5FFAD9BE">
      <w:pPr>
        <w:pStyle w:val="194"/>
        <w:widowControl w:val="0"/>
        <w:spacing w:line="360" w:lineRule="auto"/>
        <w:ind w:firstLine="48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电池基板和成品太阳能电池经性能测试后，会产生一些性能不达标的残次品，且已无法通过厂内维修部门修理合格；镀膜过程中基板因内部缺陷、受热不均等问题出现破碎，会产生碎玻璃，这两部分产生的残次品量为总产量的1%，则残次品的产生量为4120片/年，其中碎玻璃量为24.504t/a，废电池组件量为36.756t/a，碎玻璃和废电池组件中主要有害成分为重金属Cd，属于《国家危险废物名录》中的危险废物（HW26），拟在危险废物贮存库内暂存，定期交由有资质单位进行处置。</w:t>
      </w:r>
    </w:p>
    <w:p w14:paraId="5EEF3810">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（3）废UV灯管S7</w:t>
      </w:r>
    </w:p>
    <w:p w14:paraId="38B6A02D">
      <w:pPr>
        <w:pStyle w:val="194"/>
        <w:widowControl w:val="0"/>
        <w:spacing w:line="360" w:lineRule="auto"/>
        <w:ind w:firstLine="48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本工程</w:t>
      </w:r>
      <w:r>
        <w:rPr>
          <w:rFonts w:ascii="Times New Roman" w:hAnsi="Times New Roman" w:eastAsia="宋体" w:cs="Times New Roman"/>
          <w:caps w:val="0"/>
          <w:smallCaps w:val="0"/>
          <w:color w:val="auto"/>
          <w:spacing w:val="0"/>
          <w:kern w:val="0"/>
          <w:szCs w:val="24"/>
          <w:highlight w:val="none"/>
          <w:lang w:bidi="ar"/>
        </w:rPr>
        <w:t>光刻胶涂覆曝光固化</w:t>
      </w:r>
      <w:r>
        <w:rPr>
          <w:rFonts w:ascii="Times New Roman" w:hAnsi="Times New Roman" w:eastAsia="宋体" w:cs="Times New Roman"/>
          <w:caps w:val="0"/>
          <w:smallCaps w:val="0"/>
          <w:color w:val="auto"/>
          <w:spacing w:val="0"/>
          <w:highlight w:val="none"/>
        </w:rPr>
        <w:t>工序产生的废UV灯管S7，产生量为0.01t/3a，废UV灯管属于《国家危险废物名录》中的危险废物（HW29），在危险废物贮存库暂存，定期交由有资质单位进行处置。</w:t>
      </w:r>
    </w:p>
    <w:p w14:paraId="5897688E">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（4）布袋收尘灰S11和废过滤袋S12</w:t>
      </w:r>
    </w:p>
    <w:p w14:paraId="12A06E32">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本工程CSS镀膜、活化层活化、膜层溅射、背电极镀膜、激光刻线和边缘处理工序产生的含尘废气采用H14级等高效离子过滤器过滤处理，收尘灰S11主要有害成分为镉及其化合物，</w:t>
      </w:r>
      <w:r>
        <w:rPr>
          <w:rFonts w:ascii="Times New Roman" w:hAnsi="Times New Roman" w:eastAsia="宋体" w:cs="Times New Roman"/>
          <w:caps w:val="0"/>
          <w:smallCaps w:val="0"/>
          <w:color w:val="auto"/>
          <w:spacing w:val="0"/>
          <w:highlight w:val="none"/>
        </w:rPr>
        <w:t>属于《国家危险废物名录》中的危险废物（HW26），</w:t>
      </w:r>
      <w:r>
        <w:rPr>
          <w:rFonts w:ascii="Times New Roman" w:hAnsi="Times New Roman" w:eastAsia="宋体" w:cs="Times New Roman"/>
          <w:caps w:val="0"/>
          <w:smallCaps w:val="0"/>
          <w:color w:val="auto"/>
          <w:spacing w:val="0"/>
          <w:highlight w:val="none"/>
        </w:rPr>
        <w:t>产生量为3.</w:t>
      </w:r>
      <w:r>
        <w:rPr>
          <w:rFonts w:hint="eastAsia" w:ascii="Times New Roman" w:hAnsi="Times New Roman" w:eastAsia="宋体" w:cs="Times New Roman"/>
          <w:caps w:val="0"/>
          <w:smallCaps w:val="0"/>
          <w:color w:val="auto"/>
          <w:spacing w:val="0"/>
          <w:highlight w:val="none"/>
          <w:lang w:val="en-US" w:eastAsia="zh-CN"/>
        </w:rPr>
        <w:t>80</w:t>
      </w:r>
      <w:r>
        <w:rPr>
          <w:rFonts w:ascii="Times New Roman" w:hAnsi="Times New Roman" w:eastAsia="宋体" w:cs="Times New Roman"/>
          <w:caps w:val="0"/>
          <w:smallCaps w:val="0"/>
          <w:color w:val="auto"/>
          <w:spacing w:val="0"/>
          <w:highlight w:val="none"/>
        </w:rPr>
        <w:t>t/a</w:t>
      </w:r>
      <w:r>
        <w:rPr>
          <w:rFonts w:ascii="Times New Roman" w:hAnsi="Times New Roman" w:eastAsia="宋体" w:cs="Times New Roman"/>
          <w:caps w:val="0"/>
          <w:smallCaps w:val="0"/>
          <w:color w:val="auto"/>
          <w:spacing w:val="0"/>
          <w:highlight w:val="none"/>
        </w:rPr>
        <w:t>，拟在危险废物贮存库暂存，定期交由有资质单位进行处置。</w:t>
      </w:r>
    </w:p>
    <w:p w14:paraId="1E89CE35">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高效离子过滤器除尘滤袋定期进行更换，废过滤袋S12属于《国家危险废物名录》中的危险废物（HW49），产生量为0.5t（3a），拟在危险废物贮存库暂存，定期交由有资质单位进行处置。</w:t>
      </w:r>
    </w:p>
    <w:p w14:paraId="77C6C4F6">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（5）废活性炭S14</w:t>
      </w:r>
    </w:p>
    <w:p w14:paraId="3578ECFA">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w:t>
      </w:r>
      <w:r>
        <w:rPr>
          <w:rFonts w:ascii="Times New Roman" w:hAnsi="Times New Roman" w:eastAsia="宋体" w:cs="Times New Roman"/>
          <w:caps w:val="0"/>
          <w:smallCaps w:val="0"/>
          <w:color w:val="auto"/>
          <w:spacing w:val="0"/>
          <w:kern w:val="0"/>
          <w:szCs w:val="24"/>
          <w:highlight w:val="none"/>
          <w:lang w:bidi="ar"/>
        </w:rPr>
        <w:t>光刻胶涂覆曝光固化</w:t>
      </w:r>
      <w:r>
        <w:rPr>
          <w:rFonts w:ascii="Times New Roman" w:hAnsi="Times New Roman" w:eastAsia="宋体" w:cs="Times New Roman"/>
          <w:caps w:val="0"/>
          <w:smallCaps w:val="0"/>
          <w:color w:val="auto"/>
          <w:spacing w:val="0"/>
          <w:highlight w:val="none"/>
        </w:rPr>
        <w:t>工序产生的挥发性有机物采用两级活性炭吸附装置处理，定期产生饱和的废活性炭S14，产生量为1.5t/a，废活性炭属于《国家危险废物名录》中的危险废物（HW49），拟在危险废物贮存库暂存，定期交由有资质单位进行处置。</w:t>
      </w:r>
    </w:p>
    <w:p w14:paraId="2DAB8660">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（6）含镉废水处理系统污泥及蒸发结晶S15</w:t>
      </w:r>
    </w:p>
    <w:p w14:paraId="62A4CA7B">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本工程含镉废水处理系统采用化学沉淀处理工艺，化学沉淀采用氢氧化物沉淀处理技术，产生的污泥及蒸发结晶主要成分为Cd(OH)</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，产生量为15t/a。化学污泥及蒸发结晶S19属于《国家危险废物名录》中的危险废物（HW26），拟在危险废物贮存库暂存，定期交由有资质单位进行处置。</w:t>
      </w:r>
    </w:p>
    <w:p w14:paraId="5795FA53">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（7）废劳保用品S16、废包装材料2#S17</w:t>
      </w:r>
    </w:p>
    <w:p w14:paraId="7787DCF8">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废劳保用品主要为工人生产过</w:t>
      </w:r>
      <w:r>
        <w:rPr>
          <w:rFonts w:hint="eastAsia" w:ascii="Times New Roman" w:hAnsi="Times New Roman" w:eastAsia="宋体" w:cs="Times New Roman"/>
          <w:caps w:val="0"/>
          <w:smallCaps w:val="0"/>
          <w:color w:val="auto"/>
          <w:spacing w:val="0"/>
          <w:highlight w:val="none"/>
        </w:rPr>
        <w:t>程中</w:t>
      </w:r>
      <w:r>
        <w:rPr>
          <w:rFonts w:ascii="Times New Roman" w:hAnsi="Times New Roman" w:eastAsia="宋体" w:cs="Times New Roman"/>
          <w:caps w:val="0"/>
          <w:smallCaps w:val="0"/>
          <w:color w:val="auto"/>
          <w:spacing w:val="0"/>
          <w:highlight w:val="none"/>
        </w:rPr>
        <w:t>使用的沾染危险废物的废手套，产生量为0.1t/a；</w:t>
      </w:r>
      <w:r>
        <w:rPr>
          <w:rFonts w:ascii="Times New Roman" w:hAnsi="Times New Roman" w:eastAsia="宋体" w:cs="Times New Roman"/>
          <w:caps w:val="0"/>
          <w:smallCaps w:val="0"/>
          <w:color w:val="auto"/>
          <w:spacing w:val="0"/>
          <w:highlight w:val="none"/>
        </w:rPr>
        <w:t>与化学物质直接接触的包装材料主要为CdSe、CdTe、CdCl</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等内包装材料和润滑油、光刻胶等容器桶，产生量为0.4t/a，</w:t>
      </w:r>
      <w:r>
        <w:rPr>
          <w:rFonts w:ascii="Times New Roman" w:hAnsi="Times New Roman" w:eastAsia="宋体" w:cs="Times New Roman"/>
          <w:caps w:val="0"/>
          <w:smallCaps w:val="0"/>
          <w:color w:val="auto"/>
          <w:spacing w:val="0"/>
          <w:highlight w:val="none"/>
        </w:rPr>
        <w:t>劳保用品S16、废包装材料2#S17均属于《国家危险废物名录》中的危险废物（HW49），拟在危险废物贮存库暂存，定期交由有资质单位进行处置。</w:t>
      </w:r>
    </w:p>
    <w:p w14:paraId="1CD6FAE0">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（8）废润滑油S18</w:t>
      </w:r>
    </w:p>
    <w:p w14:paraId="11E62F43">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设备维护产生废润滑油，废润滑油产量约为0.1t/a，废润滑油属于《国家危险废物名录》中的危险废物（HW08），拟在危险废物贮存库暂存，定期交由有资质单位进行处置。</w:t>
      </w:r>
    </w:p>
    <w:p w14:paraId="2087FDC3">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（9）废铅蓄电池S19</w:t>
      </w:r>
    </w:p>
    <w:p w14:paraId="71E0F40C">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生产过程中仪器设备更换下来的废铅蓄电池，废铅蓄电池产量约为0.1t/3a，废铅蓄电池属于《国家危险废物名录》中的危险废物（HW31），换下后直接由厂家回收</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不在厂区内暂存。</w:t>
      </w:r>
    </w:p>
    <w:p w14:paraId="284F2E55">
      <w:pPr>
        <w:pStyle w:val="194"/>
        <w:widowControl w:val="0"/>
        <w:numPr>
          <w:ilvl w:val="0"/>
          <w:numId w:val="12"/>
        </w:numPr>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实验废液S20</w:t>
      </w:r>
    </w:p>
    <w:p w14:paraId="12C2E5BD">
      <w:pPr>
        <w:pStyle w:val="194"/>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离线实验室检验过程中产生的实验废液，实验废液产生量为0.01t，实验废液属于《国家危险废物名录》中的危险废物（HW49）。</w:t>
      </w:r>
    </w:p>
    <w:p w14:paraId="6A150B6C">
      <w:pPr>
        <w:pStyle w:val="194"/>
        <w:widowControl w:val="0"/>
        <w:spacing w:line="360" w:lineRule="auto"/>
        <w:ind w:firstLine="446"/>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b/>
          <w:bCs/>
          <w:caps w:val="0"/>
          <w:smallCaps w:val="0"/>
          <w:color w:val="auto"/>
          <w:spacing w:val="0"/>
          <w:sz w:val="21"/>
          <w:szCs w:val="21"/>
          <w:highlight w:val="none"/>
        </w:rPr>
        <w:t>表3.5-8 固体废物</w:t>
      </w:r>
      <w:r>
        <w:rPr>
          <w:rFonts w:ascii="Times New Roman" w:hAnsi="Times New Roman" w:eastAsia="宋体" w:cs="Times New Roman"/>
          <w:b/>
          <w:bCs/>
          <w:caps w:val="0"/>
          <w:smallCaps w:val="0"/>
          <w:color w:val="auto"/>
          <w:spacing w:val="0"/>
          <w:sz w:val="21"/>
          <w:szCs w:val="21"/>
          <w:highlight w:val="none"/>
        </w:rPr>
        <w:t>污染源源强核算结果一览表</w:t>
      </w:r>
    </w:p>
    <w:tbl>
      <w:tblPr>
        <w:tblStyle w:val="176"/>
        <w:tblW w:w="5000" w:type="pct"/>
        <w:tblInd w:w="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15"/>
        <w:gridCol w:w="1321"/>
        <w:gridCol w:w="1078"/>
        <w:gridCol w:w="1500"/>
        <w:gridCol w:w="1106"/>
        <w:gridCol w:w="752"/>
        <w:gridCol w:w="1033"/>
        <w:gridCol w:w="1764"/>
      </w:tblGrid>
      <w:tr w14:paraId="0B2385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515" w:type="dxa"/>
            <w:tcBorders>
              <w:tl2br w:val="nil"/>
              <w:tr2bl w:val="nil"/>
            </w:tcBorders>
            <w:vAlign w:val="center"/>
          </w:tcPr>
          <w:p w14:paraId="00DCBF8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工序</w:t>
            </w:r>
          </w:p>
        </w:tc>
        <w:tc>
          <w:tcPr>
            <w:tcW w:w="1321" w:type="dxa"/>
            <w:tcBorders>
              <w:tl2br w:val="nil"/>
              <w:tr2bl w:val="nil"/>
            </w:tcBorders>
            <w:vAlign w:val="center"/>
          </w:tcPr>
          <w:p w14:paraId="2639B93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装置</w:t>
            </w:r>
          </w:p>
        </w:tc>
        <w:tc>
          <w:tcPr>
            <w:tcW w:w="1078" w:type="dxa"/>
            <w:tcBorders>
              <w:tl2br w:val="nil"/>
              <w:tr2bl w:val="nil"/>
            </w:tcBorders>
            <w:vAlign w:val="center"/>
          </w:tcPr>
          <w:p w14:paraId="294243B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固体废物名称</w:t>
            </w:r>
          </w:p>
        </w:tc>
        <w:tc>
          <w:tcPr>
            <w:tcW w:w="1500" w:type="dxa"/>
            <w:tcBorders>
              <w:tl2br w:val="nil"/>
              <w:tr2bl w:val="nil"/>
            </w:tcBorders>
            <w:vAlign w:val="center"/>
          </w:tcPr>
          <w:p w14:paraId="2869C70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主要成分</w:t>
            </w:r>
          </w:p>
        </w:tc>
        <w:tc>
          <w:tcPr>
            <w:tcW w:w="1106" w:type="dxa"/>
            <w:tcBorders>
              <w:tl2br w:val="nil"/>
              <w:tr2bl w:val="nil"/>
            </w:tcBorders>
            <w:vAlign w:val="center"/>
          </w:tcPr>
          <w:p w14:paraId="35FB669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固废属性</w:t>
            </w:r>
          </w:p>
        </w:tc>
        <w:tc>
          <w:tcPr>
            <w:tcW w:w="752" w:type="dxa"/>
            <w:tcBorders>
              <w:tl2br w:val="nil"/>
              <w:tr2bl w:val="nil"/>
            </w:tcBorders>
            <w:vAlign w:val="center"/>
          </w:tcPr>
          <w:p w14:paraId="115A6F1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固废代码</w:t>
            </w:r>
          </w:p>
        </w:tc>
        <w:tc>
          <w:tcPr>
            <w:tcW w:w="1033" w:type="dxa"/>
            <w:tcBorders>
              <w:tl2br w:val="nil"/>
              <w:tr2bl w:val="nil"/>
            </w:tcBorders>
            <w:vAlign w:val="center"/>
          </w:tcPr>
          <w:p w14:paraId="51C93D5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产生量(t/a)</w:t>
            </w:r>
          </w:p>
        </w:tc>
        <w:tc>
          <w:tcPr>
            <w:tcW w:w="1765" w:type="dxa"/>
            <w:tcBorders>
              <w:tl2br w:val="nil"/>
              <w:tr2bl w:val="nil"/>
            </w:tcBorders>
            <w:vAlign w:val="center"/>
          </w:tcPr>
          <w:p w14:paraId="546CCB5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处置措施</w:t>
            </w:r>
          </w:p>
        </w:tc>
      </w:tr>
      <w:tr w14:paraId="17ED9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1" w:hRule="atLeast"/>
        </w:trPr>
        <w:tc>
          <w:tcPr>
            <w:tcW w:w="515" w:type="dxa"/>
            <w:vMerge w:val="restart"/>
            <w:tcBorders>
              <w:tl2br w:val="nil"/>
              <w:tr2bl w:val="nil"/>
            </w:tcBorders>
            <w:vAlign w:val="center"/>
          </w:tcPr>
          <w:p w14:paraId="376AFB1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生产工序</w:t>
            </w:r>
          </w:p>
        </w:tc>
        <w:tc>
          <w:tcPr>
            <w:tcW w:w="1321" w:type="dxa"/>
            <w:tcBorders>
              <w:tl2br w:val="nil"/>
              <w:tr2bl w:val="nil"/>
            </w:tcBorders>
            <w:vAlign w:val="center"/>
          </w:tcPr>
          <w:p w14:paraId="6912000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玻璃基板检测</w:t>
            </w:r>
          </w:p>
        </w:tc>
        <w:tc>
          <w:tcPr>
            <w:tcW w:w="1078" w:type="dxa"/>
            <w:tcBorders>
              <w:tl2br w:val="nil"/>
              <w:tr2bl w:val="nil"/>
            </w:tcBorders>
            <w:vAlign w:val="center"/>
          </w:tcPr>
          <w:p w14:paraId="4846B35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废玻璃基</w:t>
            </w:r>
          </w:p>
          <w:p w14:paraId="6B9BB94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板</w:t>
            </w:r>
          </w:p>
        </w:tc>
        <w:tc>
          <w:tcPr>
            <w:tcW w:w="1500" w:type="dxa"/>
            <w:tcBorders>
              <w:tl2br w:val="nil"/>
              <w:tr2bl w:val="nil"/>
            </w:tcBorders>
            <w:vAlign w:val="center"/>
          </w:tcPr>
          <w:p w14:paraId="4ED07C1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玻璃</w:t>
            </w:r>
          </w:p>
        </w:tc>
        <w:tc>
          <w:tcPr>
            <w:tcW w:w="1106" w:type="dxa"/>
            <w:tcBorders>
              <w:tl2br w:val="nil"/>
              <w:tr2bl w:val="nil"/>
            </w:tcBorders>
            <w:vAlign w:val="center"/>
          </w:tcPr>
          <w:p w14:paraId="16CD2AE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7EE8496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hint="eastAsia" w:ascii="Times New Roman" w:hAnsi="Times New Roman" w:eastAsia="宋体" w:cs="Times New Roman"/>
                <w:caps w:val="0"/>
                <w:smallCaps w:val="0"/>
                <w:color w:val="auto"/>
                <w:spacing w:val="0"/>
                <w:sz w:val="20"/>
                <w:szCs w:val="20"/>
                <w:highlight w:val="none"/>
                <w:lang w:eastAsia="en-US"/>
              </w:rPr>
              <w:t>9</w:t>
            </w:r>
            <w:r>
              <w:rPr>
                <w:rFonts w:ascii="Times New Roman" w:hAnsi="Times New Roman" w:eastAsia="宋体" w:cs="Times New Roman"/>
                <w:caps w:val="0"/>
                <w:smallCaps w:val="0"/>
                <w:color w:val="auto"/>
                <w:spacing w:val="0"/>
                <w:sz w:val="20"/>
                <w:szCs w:val="20"/>
                <w:highlight w:val="none"/>
                <w:lang w:eastAsia="en-US"/>
              </w:rPr>
              <w:t>00-004-S17</w:t>
            </w:r>
          </w:p>
        </w:tc>
        <w:tc>
          <w:tcPr>
            <w:tcW w:w="1033" w:type="dxa"/>
            <w:tcBorders>
              <w:tl2br w:val="nil"/>
              <w:tr2bl w:val="nil"/>
            </w:tcBorders>
            <w:vAlign w:val="center"/>
          </w:tcPr>
          <w:p w14:paraId="775241B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213.19</w:t>
            </w:r>
          </w:p>
        </w:tc>
        <w:tc>
          <w:tcPr>
            <w:tcW w:w="1765" w:type="dxa"/>
            <w:tcBorders>
              <w:tl2br w:val="nil"/>
              <w:tr2bl w:val="nil"/>
            </w:tcBorders>
            <w:vAlign w:val="center"/>
          </w:tcPr>
          <w:p w14:paraId="0BC6694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外售回收单位</w:t>
            </w:r>
          </w:p>
        </w:tc>
      </w:tr>
      <w:tr w14:paraId="1A3FA7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6C44D0F1">
            <w:pPr>
              <w:pStyle w:val="195"/>
              <w:widowControl w:val="0"/>
              <w:jc w:val="center"/>
              <w:rPr>
                <w:rFonts w:ascii="Times New Roman" w:hAnsi="Times New Roman" w:cs="Times New Roman"/>
                <w:caps w:val="0"/>
                <w:smallCaps w:val="0"/>
                <w:color w:val="auto"/>
                <w:spacing w:val="0"/>
                <w:highlight w:val="none"/>
              </w:rPr>
            </w:pPr>
          </w:p>
        </w:tc>
        <w:tc>
          <w:tcPr>
            <w:tcW w:w="1321" w:type="dxa"/>
            <w:tcBorders>
              <w:tl2br w:val="nil"/>
              <w:tr2bl w:val="nil"/>
            </w:tcBorders>
            <w:vAlign w:val="center"/>
          </w:tcPr>
          <w:p w14:paraId="03C09C4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ZnTe膜层溅射和背电极镀膜</w:t>
            </w:r>
          </w:p>
        </w:tc>
        <w:tc>
          <w:tcPr>
            <w:tcW w:w="1078" w:type="dxa"/>
            <w:tcBorders>
              <w:tl2br w:val="nil"/>
              <w:tr2bl w:val="nil"/>
            </w:tcBorders>
            <w:vAlign w:val="center"/>
          </w:tcPr>
          <w:p w14:paraId="07C2B3D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废靶材</w:t>
            </w:r>
          </w:p>
        </w:tc>
        <w:tc>
          <w:tcPr>
            <w:tcW w:w="1500" w:type="dxa"/>
            <w:tcBorders>
              <w:tl2br w:val="nil"/>
              <w:tr2bl w:val="nil"/>
            </w:tcBorders>
            <w:vAlign w:val="center"/>
          </w:tcPr>
          <w:p w14:paraId="13DD0B1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废ZnTe</w:t>
            </w:r>
            <w:r>
              <w:rPr>
                <w:rFonts w:ascii="Times New Roman" w:hAnsi="Times New Roman" w:cs="Times New Roman"/>
                <w:caps w:val="0"/>
                <w:smallCaps w:val="0"/>
                <w:color w:val="auto"/>
                <w:spacing w:val="0"/>
                <w:highlight w:val="none"/>
                <w:lang w:eastAsia="zh-CN"/>
              </w:rPr>
              <w:t>、</w:t>
            </w:r>
            <w:r>
              <w:rPr>
                <w:rFonts w:ascii="Times New Roman" w:hAnsi="Times New Roman" w:cs="Times New Roman"/>
                <w:caps w:val="0"/>
                <w:smallCaps w:val="0"/>
                <w:color w:val="auto"/>
                <w:spacing w:val="0"/>
                <w:highlight w:val="none"/>
              </w:rPr>
              <w:t>Mo</w:t>
            </w:r>
            <w:r>
              <w:rPr>
                <w:rFonts w:ascii="Times New Roman" w:hAnsi="Times New Roman" w:cs="Times New Roman"/>
                <w:caps w:val="0"/>
                <w:smallCaps w:val="0"/>
                <w:color w:val="auto"/>
                <w:spacing w:val="0"/>
                <w:highlight w:val="none"/>
                <w:lang w:eastAsia="zh-CN"/>
              </w:rPr>
              <w:t>、Al、Cr</w:t>
            </w:r>
            <w:r>
              <w:rPr>
                <w:rFonts w:ascii="Times New Roman" w:hAnsi="Times New Roman" w:cs="Times New Roman"/>
                <w:caps w:val="0"/>
                <w:smallCaps w:val="0"/>
                <w:color w:val="auto"/>
                <w:spacing w:val="0"/>
                <w:highlight w:val="none"/>
              </w:rPr>
              <w:t>靶材</w:t>
            </w:r>
          </w:p>
        </w:tc>
        <w:tc>
          <w:tcPr>
            <w:tcW w:w="1106" w:type="dxa"/>
            <w:tcBorders>
              <w:tl2br w:val="nil"/>
              <w:tr2bl w:val="nil"/>
            </w:tcBorders>
            <w:vAlign w:val="center"/>
          </w:tcPr>
          <w:p w14:paraId="63F8F9A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64BB7E2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900-002-S17</w:t>
            </w:r>
          </w:p>
        </w:tc>
        <w:tc>
          <w:tcPr>
            <w:tcW w:w="1033" w:type="dxa"/>
            <w:tcBorders>
              <w:tl2br w:val="nil"/>
              <w:tr2bl w:val="nil"/>
            </w:tcBorders>
            <w:vAlign w:val="center"/>
          </w:tcPr>
          <w:p w14:paraId="162B8462">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0.50</w:t>
            </w:r>
          </w:p>
        </w:tc>
        <w:tc>
          <w:tcPr>
            <w:tcW w:w="1765" w:type="dxa"/>
            <w:tcBorders>
              <w:tl2br w:val="nil"/>
              <w:tr2bl w:val="nil"/>
            </w:tcBorders>
            <w:vAlign w:val="center"/>
          </w:tcPr>
          <w:p w14:paraId="5B5FDD0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364E6A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3A0DA66A">
            <w:pPr>
              <w:pStyle w:val="195"/>
              <w:widowControl w:val="0"/>
              <w:jc w:val="center"/>
              <w:rPr>
                <w:rFonts w:ascii="Times New Roman" w:hAnsi="Times New Roman" w:cs="Times New Roman"/>
                <w:caps w:val="0"/>
                <w:smallCaps w:val="0"/>
                <w:color w:val="auto"/>
                <w:spacing w:val="0"/>
                <w:highlight w:val="none"/>
              </w:rPr>
            </w:pPr>
          </w:p>
        </w:tc>
        <w:tc>
          <w:tcPr>
            <w:tcW w:w="1321" w:type="dxa"/>
            <w:tcBorders>
              <w:tl2br w:val="nil"/>
              <w:tr2bl w:val="nil"/>
            </w:tcBorders>
            <w:vAlign w:val="center"/>
          </w:tcPr>
          <w:p w14:paraId="6EBB04E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ZnTe膜层溅射和背电极镀膜</w:t>
            </w:r>
          </w:p>
        </w:tc>
        <w:tc>
          <w:tcPr>
            <w:tcW w:w="1078" w:type="dxa"/>
            <w:tcBorders>
              <w:tl2br w:val="nil"/>
              <w:tr2bl w:val="nil"/>
            </w:tcBorders>
            <w:vAlign w:val="center"/>
          </w:tcPr>
          <w:p w14:paraId="55F93AB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废防溅射板</w:t>
            </w:r>
          </w:p>
        </w:tc>
        <w:tc>
          <w:tcPr>
            <w:tcW w:w="1500" w:type="dxa"/>
            <w:tcBorders>
              <w:tl2br w:val="nil"/>
              <w:tr2bl w:val="nil"/>
            </w:tcBorders>
            <w:vAlign w:val="center"/>
          </w:tcPr>
          <w:p w14:paraId="5367EE4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含</w:t>
            </w:r>
            <w:r>
              <w:rPr>
                <w:rFonts w:ascii="Times New Roman" w:hAnsi="Times New Roman" w:cs="Times New Roman"/>
                <w:caps w:val="0"/>
                <w:smallCaps w:val="0"/>
                <w:color w:val="auto"/>
                <w:spacing w:val="0"/>
                <w:highlight w:val="none"/>
              </w:rPr>
              <w:t>ZnTe</w:t>
            </w:r>
            <w:r>
              <w:rPr>
                <w:rFonts w:ascii="Times New Roman" w:hAnsi="Times New Roman" w:cs="Times New Roman"/>
                <w:caps w:val="0"/>
                <w:smallCaps w:val="0"/>
                <w:color w:val="auto"/>
                <w:spacing w:val="0"/>
                <w:highlight w:val="none"/>
                <w:lang w:eastAsia="zh-CN"/>
              </w:rPr>
              <w:t>、</w:t>
            </w:r>
            <w:r>
              <w:rPr>
                <w:rFonts w:ascii="Times New Roman" w:hAnsi="Times New Roman" w:cs="Times New Roman"/>
                <w:caps w:val="0"/>
                <w:smallCaps w:val="0"/>
                <w:color w:val="auto"/>
                <w:spacing w:val="0"/>
                <w:highlight w:val="none"/>
              </w:rPr>
              <w:t>Mo</w:t>
            </w:r>
            <w:r>
              <w:rPr>
                <w:rFonts w:ascii="Times New Roman" w:hAnsi="Times New Roman" w:cs="Times New Roman"/>
                <w:caps w:val="0"/>
                <w:smallCaps w:val="0"/>
                <w:color w:val="auto"/>
                <w:spacing w:val="0"/>
                <w:highlight w:val="none"/>
                <w:lang w:eastAsia="zh-CN"/>
              </w:rPr>
              <w:t>、Al、Cr</w:t>
            </w:r>
            <w:r>
              <w:rPr>
                <w:rFonts w:ascii="Times New Roman" w:hAnsi="Times New Roman" w:cs="Times New Roman"/>
                <w:caps w:val="0"/>
                <w:smallCaps w:val="0"/>
                <w:color w:val="auto"/>
                <w:spacing w:val="0"/>
                <w:highlight w:val="none"/>
              </w:rPr>
              <w:t>靶材</w:t>
            </w:r>
          </w:p>
        </w:tc>
        <w:tc>
          <w:tcPr>
            <w:tcW w:w="1106" w:type="dxa"/>
            <w:tcBorders>
              <w:tl2br w:val="nil"/>
              <w:tr2bl w:val="nil"/>
            </w:tcBorders>
            <w:vAlign w:val="center"/>
          </w:tcPr>
          <w:p w14:paraId="48BBCC5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5DCCA8C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900-002-S17</w:t>
            </w:r>
          </w:p>
        </w:tc>
        <w:tc>
          <w:tcPr>
            <w:tcW w:w="1033" w:type="dxa"/>
            <w:tcBorders>
              <w:tl2br w:val="nil"/>
              <w:tr2bl w:val="nil"/>
            </w:tcBorders>
            <w:vAlign w:val="center"/>
          </w:tcPr>
          <w:p w14:paraId="7549636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tcBorders>
              <w:tl2br w:val="nil"/>
              <w:tr2bl w:val="nil"/>
            </w:tcBorders>
            <w:vAlign w:val="center"/>
          </w:tcPr>
          <w:p w14:paraId="0B1D8B7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0AEC63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24CAB3FE">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restart"/>
            <w:tcBorders>
              <w:tl2br w:val="nil"/>
              <w:tr2bl w:val="nil"/>
            </w:tcBorders>
            <w:vAlign w:val="center"/>
          </w:tcPr>
          <w:p w14:paraId="7D077C0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CdS/CdTe镀膜</w:t>
            </w:r>
          </w:p>
        </w:tc>
        <w:tc>
          <w:tcPr>
            <w:tcW w:w="1078" w:type="dxa"/>
            <w:tcBorders>
              <w:tl2br w:val="nil"/>
              <w:tr2bl w:val="nil"/>
            </w:tcBorders>
            <w:vAlign w:val="center"/>
          </w:tcPr>
          <w:p w14:paraId="7D1EF6A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废真空罩</w:t>
            </w:r>
          </w:p>
        </w:tc>
        <w:tc>
          <w:tcPr>
            <w:tcW w:w="1500" w:type="dxa"/>
            <w:tcBorders>
              <w:tl2br w:val="nil"/>
              <w:tr2bl w:val="nil"/>
            </w:tcBorders>
            <w:vAlign w:val="center"/>
          </w:tcPr>
          <w:p w14:paraId="708AEF7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含镉真空罩</w:t>
            </w:r>
          </w:p>
        </w:tc>
        <w:tc>
          <w:tcPr>
            <w:tcW w:w="1106" w:type="dxa"/>
            <w:tcBorders>
              <w:tl2br w:val="nil"/>
              <w:tr2bl w:val="nil"/>
            </w:tcBorders>
            <w:vAlign w:val="center"/>
          </w:tcPr>
          <w:p w14:paraId="6604360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0F38466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043BF1EC">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2EA9B69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tcBorders>
              <w:tl2br w:val="nil"/>
              <w:tr2bl w:val="nil"/>
            </w:tcBorders>
            <w:vAlign w:val="center"/>
          </w:tcPr>
          <w:p w14:paraId="59AAFB3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57EBF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172A9A20">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13B967AD">
            <w:pPr>
              <w:widowControl w:val="0"/>
              <w:jc w:val="center"/>
              <w:rPr>
                <w:rFonts w:ascii="Times New Roman" w:hAnsi="Times New Roman" w:eastAsia="宋体" w:cs="Times New Roman"/>
                <w:caps w:val="0"/>
                <w:smallCaps w:val="0"/>
                <w:color w:val="auto"/>
                <w:spacing w:val="0"/>
                <w:sz w:val="21"/>
                <w:highlight w:val="none"/>
                <w:lang w:eastAsia="en-US"/>
              </w:rPr>
            </w:pPr>
          </w:p>
        </w:tc>
        <w:tc>
          <w:tcPr>
            <w:tcW w:w="1078" w:type="dxa"/>
            <w:tcBorders>
              <w:tl2br w:val="nil"/>
              <w:tr2bl w:val="nil"/>
            </w:tcBorders>
            <w:vAlign w:val="center"/>
          </w:tcPr>
          <w:p w14:paraId="5DD2CB8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废石墨舟</w:t>
            </w:r>
          </w:p>
        </w:tc>
        <w:tc>
          <w:tcPr>
            <w:tcW w:w="1500" w:type="dxa"/>
            <w:tcBorders>
              <w:tl2br w:val="nil"/>
              <w:tr2bl w:val="nil"/>
            </w:tcBorders>
            <w:vAlign w:val="center"/>
          </w:tcPr>
          <w:p w14:paraId="79A15C7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含镉石墨舟</w:t>
            </w:r>
          </w:p>
        </w:tc>
        <w:tc>
          <w:tcPr>
            <w:tcW w:w="1106" w:type="dxa"/>
            <w:tcBorders>
              <w:tl2br w:val="nil"/>
              <w:tr2bl w:val="nil"/>
            </w:tcBorders>
            <w:vAlign w:val="center"/>
          </w:tcPr>
          <w:p w14:paraId="2DB6EDA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255E3B14">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425A338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28FFF4F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0.05</w:t>
            </w:r>
          </w:p>
        </w:tc>
        <w:tc>
          <w:tcPr>
            <w:tcW w:w="1765" w:type="dxa"/>
            <w:tcBorders>
              <w:tl2br w:val="nil"/>
              <w:tr2bl w:val="nil"/>
            </w:tcBorders>
            <w:vAlign w:val="center"/>
          </w:tcPr>
          <w:p w14:paraId="282AEA8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2329B5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6169FD24">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6C92595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电池组件检测</w:t>
            </w:r>
          </w:p>
        </w:tc>
        <w:tc>
          <w:tcPr>
            <w:tcW w:w="1078" w:type="dxa"/>
            <w:tcBorders>
              <w:tl2br w:val="nil"/>
              <w:tr2bl w:val="nil"/>
            </w:tcBorders>
            <w:vAlign w:val="center"/>
          </w:tcPr>
          <w:p w14:paraId="6A55190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废电池组</w:t>
            </w:r>
          </w:p>
          <w:p w14:paraId="20B7E72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件、破裂</w:t>
            </w:r>
          </w:p>
          <w:p w14:paraId="7E788C1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玻璃</w:t>
            </w:r>
          </w:p>
        </w:tc>
        <w:tc>
          <w:tcPr>
            <w:tcW w:w="1500" w:type="dxa"/>
            <w:tcBorders>
              <w:tl2br w:val="nil"/>
              <w:tr2bl w:val="nil"/>
            </w:tcBorders>
            <w:vAlign w:val="center"/>
          </w:tcPr>
          <w:p w14:paraId="7557447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含镉电池组件、破裂玻璃</w:t>
            </w:r>
          </w:p>
        </w:tc>
        <w:tc>
          <w:tcPr>
            <w:tcW w:w="1106" w:type="dxa"/>
            <w:tcBorders>
              <w:tl2br w:val="nil"/>
              <w:tr2bl w:val="nil"/>
            </w:tcBorders>
            <w:vAlign w:val="center"/>
          </w:tcPr>
          <w:p w14:paraId="3B199F8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628905A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2E6648A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7012DB5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61.26</w:t>
            </w:r>
          </w:p>
        </w:tc>
        <w:tc>
          <w:tcPr>
            <w:tcW w:w="1765" w:type="dxa"/>
            <w:tcBorders>
              <w:tl2br w:val="nil"/>
              <w:tr2bl w:val="nil"/>
            </w:tcBorders>
            <w:vAlign w:val="center"/>
          </w:tcPr>
          <w:p w14:paraId="3E81893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1A3549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7EDE1EB3">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27A91F7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光刻胶涂覆曝光固化</w:t>
            </w:r>
          </w:p>
        </w:tc>
        <w:tc>
          <w:tcPr>
            <w:tcW w:w="1078" w:type="dxa"/>
            <w:tcBorders>
              <w:tl2br w:val="nil"/>
              <w:tr2bl w:val="nil"/>
            </w:tcBorders>
            <w:vAlign w:val="center"/>
          </w:tcPr>
          <w:p w14:paraId="552090C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废UV</w:t>
            </w:r>
          </w:p>
          <w:p w14:paraId="19D67D5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灯管</w:t>
            </w:r>
          </w:p>
        </w:tc>
        <w:tc>
          <w:tcPr>
            <w:tcW w:w="1500" w:type="dxa"/>
            <w:tcBorders>
              <w:tl2br w:val="nil"/>
              <w:tr2bl w:val="nil"/>
            </w:tcBorders>
            <w:vAlign w:val="center"/>
          </w:tcPr>
          <w:p w14:paraId="2961DD7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UV灯管（含汞）</w:t>
            </w:r>
          </w:p>
        </w:tc>
        <w:tc>
          <w:tcPr>
            <w:tcW w:w="1106" w:type="dxa"/>
            <w:tcBorders>
              <w:tl2br w:val="nil"/>
              <w:tr2bl w:val="nil"/>
            </w:tcBorders>
            <w:vAlign w:val="center"/>
          </w:tcPr>
          <w:p w14:paraId="48C6EBA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危险废物HW2</w:t>
            </w:r>
            <w:r>
              <w:rPr>
                <w:rFonts w:ascii="Times New Roman" w:hAnsi="Times New Roman" w:cs="Times New Roman"/>
                <w:caps w:val="0"/>
                <w:smallCaps w:val="0"/>
                <w:color w:val="auto"/>
                <w:spacing w:val="0"/>
                <w:highlight w:val="none"/>
                <w:lang w:eastAsia="zh-CN"/>
              </w:rPr>
              <w:t>9</w:t>
            </w:r>
          </w:p>
        </w:tc>
        <w:tc>
          <w:tcPr>
            <w:tcW w:w="752" w:type="dxa"/>
            <w:tcBorders>
              <w:tl2br w:val="nil"/>
              <w:tr2bl w:val="nil"/>
            </w:tcBorders>
            <w:vAlign w:val="center"/>
          </w:tcPr>
          <w:p w14:paraId="18A818A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4C2903E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23-29</w:t>
            </w:r>
          </w:p>
        </w:tc>
        <w:tc>
          <w:tcPr>
            <w:tcW w:w="1033" w:type="dxa"/>
            <w:tcBorders>
              <w:tl2br w:val="nil"/>
              <w:tr2bl w:val="nil"/>
            </w:tcBorders>
            <w:vAlign w:val="center"/>
          </w:tcPr>
          <w:p w14:paraId="18813374">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0.01（3a）</w:t>
            </w:r>
          </w:p>
        </w:tc>
        <w:tc>
          <w:tcPr>
            <w:tcW w:w="1765" w:type="dxa"/>
            <w:tcBorders>
              <w:tl2br w:val="nil"/>
              <w:tr2bl w:val="nil"/>
            </w:tcBorders>
            <w:vAlign w:val="center"/>
          </w:tcPr>
          <w:p w14:paraId="55F5FE7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5A0910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60D4B6C9">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1DBE191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产品包装</w:t>
            </w:r>
          </w:p>
        </w:tc>
        <w:tc>
          <w:tcPr>
            <w:tcW w:w="1078" w:type="dxa"/>
            <w:tcBorders>
              <w:tl2br w:val="nil"/>
              <w:tr2bl w:val="nil"/>
            </w:tcBorders>
            <w:vAlign w:val="center"/>
          </w:tcPr>
          <w:p w14:paraId="2BAA1C8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废弃包装物</w:t>
            </w:r>
          </w:p>
        </w:tc>
        <w:tc>
          <w:tcPr>
            <w:tcW w:w="1500" w:type="dxa"/>
            <w:tcBorders>
              <w:tl2br w:val="nil"/>
              <w:tr2bl w:val="nil"/>
            </w:tcBorders>
            <w:vAlign w:val="center"/>
          </w:tcPr>
          <w:p w14:paraId="67DAA9F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包装物</w:t>
            </w:r>
          </w:p>
        </w:tc>
        <w:tc>
          <w:tcPr>
            <w:tcW w:w="1106" w:type="dxa"/>
            <w:tcBorders>
              <w:tl2br w:val="nil"/>
              <w:tr2bl w:val="nil"/>
            </w:tcBorders>
            <w:vAlign w:val="center"/>
          </w:tcPr>
          <w:p w14:paraId="0FA4468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4D10B66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900-005-S17</w:t>
            </w:r>
          </w:p>
        </w:tc>
        <w:tc>
          <w:tcPr>
            <w:tcW w:w="1033" w:type="dxa"/>
            <w:tcBorders>
              <w:tl2br w:val="nil"/>
              <w:tr2bl w:val="nil"/>
            </w:tcBorders>
            <w:vAlign w:val="center"/>
          </w:tcPr>
          <w:p w14:paraId="189BDD3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w:t>
            </w:r>
          </w:p>
        </w:tc>
        <w:tc>
          <w:tcPr>
            <w:tcW w:w="1765" w:type="dxa"/>
            <w:tcBorders>
              <w:tl2br w:val="nil"/>
              <w:tr2bl w:val="nil"/>
            </w:tcBorders>
            <w:vAlign w:val="center"/>
          </w:tcPr>
          <w:p w14:paraId="56913CD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集中收集外售</w:t>
            </w:r>
          </w:p>
        </w:tc>
      </w:tr>
      <w:tr w14:paraId="16C1AF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58E34F8E">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restart"/>
            <w:tcBorders>
              <w:tl2br w:val="nil"/>
              <w:tr2bl w:val="nil"/>
            </w:tcBorders>
            <w:vAlign w:val="center"/>
          </w:tcPr>
          <w:p w14:paraId="5910699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纯水制备</w:t>
            </w:r>
          </w:p>
        </w:tc>
        <w:tc>
          <w:tcPr>
            <w:tcW w:w="1078" w:type="dxa"/>
            <w:tcBorders>
              <w:tl2br w:val="nil"/>
              <w:tr2bl w:val="nil"/>
            </w:tcBorders>
            <w:vAlign w:val="center"/>
          </w:tcPr>
          <w:p w14:paraId="403D5E4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废渗透膜</w:t>
            </w:r>
          </w:p>
        </w:tc>
        <w:tc>
          <w:tcPr>
            <w:tcW w:w="1500" w:type="dxa"/>
            <w:tcBorders>
              <w:tl2br w:val="nil"/>
              <w:tr2bl w:val="nil"/>
            </w:tcBorders>
            <w:vAlign w:val="center"/>
          </w:tcPr>
          <w:p w14:paraId="182FD5E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渗透膜</w:t>
            </w:r>
          </w:p>
        </w:tc>
        <w:tc>
          <w:tcPr>
            <w:tcW w:w="1106" w:type="dxa"/>
            <w:tcBorders>
              <w:tl2br w:val="nil"/>
              <w:tr2bl w:val="nil"/>
            </w:tcBorders>
            <w:vAlign w:val="center"/>
          </w:tcPr>
          <w:p w14:paraId="3690781F">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一般固废</w:t>
            </w:r>
          </w:p>
        </w:tc>
        <w:tc>
          <w:tcPr>
            <w:tcW w:w="752" w:type="dxa"/>
            <w:tcBorders>
              <w:tl2br w:val="nil"/>
              <w:tr2bl w:val="nil"/>
            </w:tcBorders>
            <w:vAlign w:val="center"/>
          </w:tcPr>
          <w:p w14:paraId="3BD4E72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900-099-S59</w:t>
            </w:r>
          </w:p>
        </w:tc>
        <w:tc>
          <w:tcPr>
            <w:tcW w:w="1033" w:type="dxa"/>
            <w:tcBorders>
              <w:tl2br w:val="nil"/>
              <w:tr2bl w:val="nil"/>
            </w:tcBorders>
            <w:vAlign w:val="center"/>
          </w:tcPr>
          <w:p w14:paraId="2980BF0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w:t>
            </w:r>
          </w:p>
        </w:tc>
        <w:tc>
          <w:tcPr>
            <w:tcW w:w="1765" w:type="dxa"/>
            <w:tcBorders>
              <w:tl2br w:val="nil"/>
              <w:tr2bl w:val="nil"/>
            </w:tcBorders>
            <w:vAlign w:val="center"/>
          </w:tcPr>
          <w:p w14:paraId="0EEF880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287123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62B5F079">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746BB7BC">
            <w:pPr>
              <w:pStyle w:val="195"/>
              <w:widowControl w:val="0"/>
              <w:jc w:val="center"/>
              <w:rPr>
                <w:rFonts w:ascii="Times New Roman" w:hAnsi="Times New Roman" w:cs="Times New Roman"/>
                <w:caps w:val="0"/>
                <w:smallCaps w:val="0"/>
                <w:color w:val="auto"/>
                <w:spacing w:val="0"/>
                <w:highlight w:val="none"/>
              </w:rPr>
            </w:pPr>
          </w:p>
        </w:tc>
        <w:tc>
          <w:tcPr>
            <w:tcW w:w="1078" w:type="dxa"/>
            <w:tcBorders>
              <w:tl2br w:val="nil"/>
              <w:tr2bl w:val="nil"/>
            </w:tcBorders>
            <w:vAlign w:val="center"/>
          </w:tcPr>
          <w:p w14:paraId="226A8F0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废离子交换树脂</w:t>
            </w:r>
          </w:p>
        </w:tc>
        <w:tc>
          <w:tcPr>
            <w:tcW w:w="1500" w:type="dxa"/>
            <w:tcBorders>
              <w:tl2br w:val="nil"/>
              <w:tr2bl w:val="nil"/>
            </w:tcBorders>
            <w:vAlign w:val="center"/>
          </w:tcPr>
          <w:p w14:paraId="124ACBD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离子交换树脂</w:t>
            </w:r>
          </w:p>
        </w:tc>
        <w:tc>
          <w:tcPr>
            <w:tcW w:w="1106" w:type="dxa"/>
            <w:tcBorders>
              <w:tl2br w:val="nil"/>
              <w:tr2bl w:val="nil"/>
            </w:tcBorders>
            <w:vAlign w:val="center"/>
          </w:tcPr>
          <w:p w14:paraId="5C5A449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一般固废</w:t>
            </w:r>
          </w:p>
        </w:tc>
        <w:tc>
          <w:tcPr>
            <w:tcW w:w="752" w:type="dxa"/>
            <w:tcBorders>
              <w:tl2br w:val="nil"/>
              <w:tr2bl w:val="nil"/>
            </w:tcBorders>
            <w:vAlign w:val="center"/>
          </w:tcPr>
          <w:p w14:paraId="32FD902F">
            <w:pPr>
              <w:widowControl w:val="0"/>
              <w:jc w:val="center"/>
              <w:rPr>
                <w:rFonts w:ascii="Times New Roman" w:hAnsi="Times New Roman" w:eastAsia="宋体" w:cs="Times New Roman"/>
                <w:caps w:val="0"/>
                <w:smallCaps w:val="0"/>
                <w:color w:val="auto"/>
                <w:spacing w:val="0"/>
                <w:position w:val="1"/>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900-008-S59</w:t>
            </w:r>
          </w:p>
        </w:tc>
        <w:tc>
          <w:tcPr>
            <w:tcW w:w="1033" w:type="dxa"/>
            <w:tcBorders>
              <w:tl2br w:val="nil"/>
              <w:tr2bl w:val="nil"/>
            </w:tcBorders>
            <w:vAlign w:val="center"/>
          </w:tcPr>
          <w:p w14:paraId="5B0A5FC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tcBorders>
              <w:tl2br w:val="nil"/>
              <w:tr2bl w:val="nil"/>
            </w:tcBorders>
            <w:vAlign w:val="center"/>
          </w:tcPr>
          <w:p w14:paraId="393A7AC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由厂家回收处置</w:t>
            </w:r>
          </w:p>
        </w:tc>
      </w:tr>
      <w:tr w14:paraId="6484C4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15" w:type="dxa"/>
            <w:vMerge w:val="restart"/>
            <w:tcBorders>
              <w:tl2br w:val="nil"/>
              <w:tr2bl w:val="nil"/>
            </w:tcBorders>
            <w:vAlign w:val="center"/>
          </w:tcPr>
          <w:p w14:paraId="1153508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辅助设施</w:t>
            </w:r>
          </w:p>
        </w:tc>
        <w:tc>
          <w:tcPr>
            <w:tcW w:w="1321" w:type="dxa"/>
            <w:tcBorders>
              <w:tl2br w:val="nil"/>
              <w:tr2bl w:val="nil"/>
            </w:tcBorders>
            <w:vAlign w:val="center"/>
          </w:tcPr>
          <w:p w14:paraId="1C9843E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设备维修</w:t>
            </w:r>
          </w:p>
        </w:tc>
        <w:tc>
          <w:tcPr>
            <w:tcW w:w="1078" w:type="dxa"/>
            <w:tcBorders>
              <w:tl2br w:val="nil"/>
              <w:tr2bl w:val="nil"/>
            </w:tcBorders>
            <w:vAlign w:val="center"/>
          </w:tcPr>
          <w:p w14:paraId="30433E9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1500" w:type="dxa"/>
            <w:tcBorders>
              <w:tl2br w:val="nil"/>
              <w:tr2bl w:val="nil"/>
            </w:tcBorders>
            <w:vAlign w:val="center"/>
          </w:tcPr>
          <w:p w14:paraId="2DF15C1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矿物油</w:t>
            </w:r>
          </w:p>
        </w:tc>
        <w:tc>
          <w:tcPr>
            <w:tcW w:w="1106" w:type="dxa"/>
            <w:tcBorders>
              <w:tl2br w:val="nil"/>
              <w:tr2bl w:val="nil"/>
            </w:tcBorders>
            <w:vAlign w:val="center"/>
          </w:tcPr>
          <w:p w14:paraId="05CB1EC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危险废物HW08</w:t>
            </w:r>
          </w:p>
        </w:tc>
        <w:tc>
          <w:tcPr>
            <w:tcW w:w="752" w:type="dxa"/>
            <w:tcBorders>
              <w:tl2br w:val="nil"/>
              <w:tr2bl w:val="nil"/>
            </w:tcBorders>
            <w:vAlign w:val="center"/>
          </w:tcPr>
          <w:p w14:paraId="20C0A21F">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900-2</w:t>
            </w:r>
          </w:p>
          <w:p w14:paraId="411742C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49-08</w:t>
            </w:r>
          </w:p>
        </w:tc>
        <w:tc>
          <w:tcPr>
            <w:tcW w:w="1033" w:type="dxa"/>
            <w:tcBorders>
              <w:tl2br w:val="nil"/>
              <w:tr2bl w:val="nil"/>
            </w:tcBorders>
            <w:vAlign w:val="center"/>
          </w:tcPr>
          <w:p w14:paraId="2C5C9F0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vMerge w:val="restart"/>
            <w:tcBorders>
              <w:tl2br w:val="nil"/>
              <w:tr2bl w:val="nil"/>
            </w:tcBorders>
            <w:vAlign w:val="center"/>
          </w:tcPr>
          <w:p w14:paraId="41EB4EC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5F49F3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470C3D23">
            <w:pPr>
              <w:pStyle w:val="195"/>
              <w:widowControl w:val="0"/>
              <w:jc w:val="center"/>
              <w:rPr>
                <w:rFonts w:ascii="Times New Roman" w:hAnsi="Times New Roman" w:cs="Times New Roman"/>
                <w:caps w:val="0"/>
                <w:smallCaps w:val="0"/>
                <w:color w:val="auto"/>
                <w:spacing w:val="0"/>
                <w:highlight w:val="none"/>
                <w:lang w:eastAsia="zh-CN"/>
              </w:rPr>
            </w:pPr>
          </w:p>
        </w:tc>
        <w:tc>
          <w:tcPr>
            <w:tcW w:w="1321" w:type="dxa"/>
            <w:tcBorders>
              <w:tl2br w:val="nil"/>
              <w:tr2bl w:val="nil"/>
            </w:tcBorders>
            <w:vAlign w:val="center"/>
          </w:tcPr>
          <w:p w14:paraId="1F46A21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日常使用</w:t>
            </w:r>
          </w:p>
        </w:tc>
        <w:tc>
          <w:tcPr>
            <w:tcW w:w="1078" w:type="dxa"/>
            <w:tcBorders>
              <w:tl2br w:val="nil"/>
              <w:tr2bl w:val="nil"/>
            </w:tcBorders>
            <w:vAlign w:val="center"/>
          </w:tcPr>
          <w:p w14:paraId="385750C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废劳保用品</w:t>
            </w:r>
          </w:p>
        </w:tc>
        <w:tc>
          <w:tcPr>
            <w:tcW w:w="1500" w:type="dxa"/>
            <w:tcBorders>
              <w:tl2br w:val="nil"/>
              <w:tr2bl w:val="nil"/>
            </w:tcBorders>
            <w:vAlign w:val="center"/>
          </w:tcPr>
          <w:p w14:paraId="496F45A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沾染危险废物的废手套</w:t>
            </w:r>
          </w:p>
        </w:tc>
        <w:tc>
          <w:tcPr>
            <w:tcW w:w="1106" w:type="dxa"/>
            <w:tcBorders>
              <w:tl2br w:val="nil"/>
              <w:tr2bl w:val="nil"/>
            </w:tcBorders>
            <w:vAlign w:val="center"/>
          </w:tcPr>
          <w:p w14:paraId="32D7F42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3EF01F6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6AA0160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47-49</w:t>
            </w:r>
          </w:p>
        </w:tc>
        <w:tc>
          <w:tcPr>
            <w:tcW w:w="1033" w:type="dxa"/>
            <w:tcBorders>
              <w:tl2br w:val="nil"/>
              <w:tr2bl w:val="nil"/>
            </w:tcBorders>
            <w:vAlign w:val="center"/>
          </w:tcPr>
          <w:p w14:paraId="0EFDB80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vMerge w:val="continue"/>
            <w:tcBorders>
              <w:tl2br w:val="nil"/>
              <w:tr2bl w:val="nil"/>
            </w:tcBorders>
            <w:vAlign w:val="center"/>
          </w:tcPr>
          <w:p w14:paraId="6B77AFA0">
            <w:pPr>
              <w:pStyle w:val="195"/>
              <w:widowControl w:val="0"/>
              <w:jc w:val="center"/>
              <w:rPr>
                <w:rFonts w:ascii="Times New Roman" w:hAnsi="Times New Roman" w:cs="Times New Roman"/>
                <w:caps w:val="0"/>
                <w:smallCaps w:val="0"/>
                <w:color w:val="auto"/>
                <w:spacing w:val="0"/>
                <w:highlight w:val="none"/>
                <w:lang w:eastAsia="zh-CN"/>
              </w:rPr>
            </w:pPr>
          </w:p>
        </w:tc>
      </w:tr>
      <w:tr w14:paraId="222040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1B6BC8C2">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6522CCC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原料包装</w:t>
            </w:r>
          </w:p>
        </w:tc>
        <w:tc>
          <w:tcPr>
            <w:tcW w:w="1078" w:type="dxa"/>
            <w:tcBorders>
              <w:tl2br w:val="nil"/>
              <w:tr2bl w:val="nil"/>
            </w:tcBorders>
            <w:vAlign w:val="center"/>
          </w:tcPr>
          <w:p w14:paraId="41891A8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1500" w:type="dxa"/>
            <w:tcBorders>
              <w:tl2br w:val="nil"/>
              <w:tr2bl w:val="nil"/>
            </w:tcBorders>
            <w:vAlign w:val="center"/>
          </w:tcPr>
          <w:p w14:paraId="5679F8C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沾染危险废物的废包装</w:t>
            </w:r>
          </w:p>
        </w:tc>
        <w:tc>
          <w:tcPr>
            <w:tcW w:w="1106" w:type="dxa"/>
            <w:tcBorders>
              <w:tl2br w:val="nil"/>
              <w:tr2bl w:val="nil"/>
            </w:tcBorders>
            <w:vAlign w:val="center"/>
          </w:tcPr>
          <w:p w14:paraId="2C16481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63415AA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4743600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47-49</w:t>
            </w:r>
          </w:p>
        </w:tc>
        <w:tc>
          <w:tcPr>
            <w:tcW w:w="1033" w:type="dxa"/>
            <w:tcBorders>
              <w:tl2br w:val="nil"/>
              <w:tr2bl w:val="nil"/>
            </w:tcBorders>
            <w:vAlign w:val="center"/>
          </w:tcPr>
          <w:p w14:paraId="12FA508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0.4</w:t>
            </w:r>
          </w:p>
        </w:tc>
        <w:tc>
          <w:tcPr>
            <w:tcW w:w="1765" w:type="dxa"/>
            <w:vMerge w:val="continue"/>
            <w:tcBorders>
              <w:tl2br w:val="nil"/>
              <w:tr2bl w:val="nil"/>
            </w:tcBorders>
            <w:vAlign w:val="center"/>
          </w:tcPr>
          <w:p w14:paraId="4D2DF1DB">
            <w:pPr>
              <w:pStyle w:val="195"/>
              <w:widowControl w:val="0"/>
              <w:jc w:val="center"/>
              <w:rPr>
                <w:rFonts w:ascii="Times New Roman" w:hAnsi="Times New Roman" w:cs="Times New Roman"/>
                <w:caps w:val="0"/>
                <w:smallCaps w:val="0"/>
                <w:color w:val="auto"/>
                <w:spacing w:val="0"/>
                <w:highlight w:val="none"/>
              </w:rPr>
            </w:pPr>
          </w:p>
        </w:tc>
      </w:tr>
      <w:tr w14:paraId="1E098C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74EC767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3CB570B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设备维护</w:t>
            </w:r>
          </w:p>
        </w:tc>
        <w:tc>
          <w:tcPr>
            <w:tcW w:w="1078" w:type="dxa"/>
            <w:tcBorders>
              <w:tl2br w:val="nil"/>
              <w:tr2bl w:val="nil"/>
            </w:tcBorders>
            <w:vAlign w:val="center"/>
          </w:tcPr>
          <w:p w14:paraId="4429F9B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500" w:type="dxa"/>
            <w:tcBorders>
              <w:tl2br w:val="nil"/>
              <w:tr2bl w:val="nil"/>
            </w:tcBorders>
            <w:vAlign w:val="center"/>
          </w:tcPr>
          <w:p w14:paraId="08CCD3F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106" w:type="dxa"/>
            <w:tcBorders>
              <w:tl2br w:val="nil"/>
              <w:tr2bl w:val="nil"/>
            </w:tcBorders>
            <w:vAlign w:val="center"/>
          </w:tcPr>
          <w:p w14:paraId="43886FB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w:t>
            </w:r>
            <w:r>
              <w:rPr>
                <w:rFonts w:ascii="Times New Roman" w:hAnsi="Times New Roman" w:cs="Times New Roman"/>
                <w:caps w:val="0"/>
                <w:smallCaps w:val="0"/>
                <w:color w:val="auto"/>
                <w:spacing w:val="0"/>
                <w:highlight w:val="none"/>
                <w:lang w:eastAsia="zh-CN"/>
              </w:rPr>
              <w:t>31</w:t>
            </w:r>
          </w:p>
        </w:tc>
        <w:tc>
          <w:tcPr>
            <w:tcW w:w="752" w:type="dxa"/>
            <w:tcBorders>
              <w:tl2br w:val="nil"/>
              <w:tr2bl w:val="nil"/>
            </w:tcBorders>
            <w:vAlign w:val="center"/>
          </w:tcPr>
          <w:p w14:paraId="62108A1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42EDA97A">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52-31</w:t>
            </w:r>
          </w:p>
        </w:tc>
        <w:tc>
          <w:tcPr>
            <w:tcW w:w="1033" w:type="dxa"/>
            <w:tcBorders>
              <w:tl2br w:val="nil"/>
              <w:tr2bl w:val="nil"/>
            </w:tcBorders>
            <w:vAlign w:val="center"/>
          </w:tcPr>
          <w:p w14:paraId="7CFC66A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0.1（3a）</w:t>
            </w:r>
          </w:p>
        </w:tc>
        <w:tc>
          <w:tcPr>
            <w:tcW w:w="1765" w:type="dxa"/>
            <w:tcBorders>
              <w:tl2br w:val="nil"/>
              <w:tr2bl w:val="nil"/>
            </w:tcBorders>
            <w:vAlign w:val="center"/>
          </w:tcPr>
          <w:p w14:paraId="3C938F1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不在厂区暂存，直接由厂家回收</w:t>
            </w:r>
          </w:p>
        </w:tc>
      </w:tr>
      <w:tr w14:paraId="485A57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7" w:hRule="atLeast"/>
        </w:trPr>
        <w:tc>
          <w:tcPr>
            <w:tcW w:w="515" w:type="dxa"/>
            <w:vMerge w:val="continue"/>
            <w:tcBorders>
              <w:tl2br w:val="nil"/>
              <w:tr2bl w:val="nil"/>
            </w:tcBorders>
            <w:vAlign w:val="center"/>
          </w:tcPr>
          <w:p w14:paraId="7B29D2DD">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47F8321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检测</w:t>
            </w:r>
          </w:p>
        </w:tc>
        <w:tc>
          <w:tcPr>
            <w:tcW w:w="1078" w:type="dxa"/>
            <w:tcBorders>
              <w:tl2br w:val="nil"/>
              <w:tr2bl w:val="nil"/>
            </w:tcBorders>
            <w:vAlign w:val="center"/>
          </w:tcPr>
          <w:p w14:paraId="7BDB16F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1500" w:type="dxa"/>
            <w:tcBorders>
              <w:tl2br w:val="nil"/>
              <w:tr2bl w:val="nil"/>
            </w:tcBorders>
            <w:vAlign w:val="center"/>
          </w:tcPr>
          <w:p w14:paraId="0DA9D62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产生的含无机废液</w:t>
            </w:r>
          </w:p>
        </w:tc>
        <w:tc>
          <w:tcPr>
            <w:tcW w:w="1106" w:type="dxa"/>
            <w:tcBorders>
              <w:tl2br w:val="nil"/>
              <w:tr2bl w:val="nil"/>
            </w:tcBorders>
            <w:vAlign w:val="center"/>
          </w:tcPr>
          <w:p w14:paraId="1EA4EA7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76F9D99A">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900-047-49</w:t>
            </w:r>
          </w:p>
        </w:tc>
        <w:tc>
          <w:tcPr>
            <w:tcW w:w="1033" w:type="dxa"/>
            <w:tcBorders>
              <w:tl2br w:val="nil"/>
              <w:tr2bl w:val="nil"/>
            </w:tcBorders>
            <w:vAlign w:val="center"/>
          </w:tcPr>
          <w:p w14:paraId="3559846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0.01</w:t>
            </w:r>
          </w:p>
        </w:tc>
        <w:tc>
          <w:tcPr>
            <w:tcW w:w="1765" w:type="dxa"/>
            <w:tcBorders>
              <w:tl2br w:val="nil"/>
              <w:tr2bl w:val="nil"/>
            </w:tcBorders>
            <w:vAlign w:val="center"/>
          </w:tcPr>
          <w:p w14:paraId="022EEFC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6CF1A1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2" w:hRule="atLeast"/>
        </w:trPr>
        <w:tc>
          <w:tcPr>
            <w:tcW w:w="515" w:type="dxa"/>
            <w:vMerge w:val="restart"/>
            <w:tcBorders>
              <w:tl2br w:val="nil"/>
              <w:tr2bl w:val="nil"/>
            </w:tcBorders>
            <w:vAlign w:val="center"/>
          </w:tcPr>
          <w:p w14:paraId="51BE241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环保工程</w:t>
            </w:r>
          </w:p>
        </w:tc>
        <w:tc>
          <w:tcPr>
            <w:tcW w:w="1321" w:type="dxa"/>
            <w:vMerge w:val="restart"/>
            <w:tcBorders>
              <w:tl2br w:val="nil"/>
              <w:tr2bl w:val="nil"/>
            </w:tcBorders>
            <w:vAlign w:val="center"/>
          </w:tcPr>
          <w:p w14:paraId="7D4DBCC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废水处理</w:t>
            </w:r>
          </w:p>
        </w:tc>
        <w:tc>
          <w:tcPr>
            <w:tcW w:w="1078" w:type="dxa"/>
            <w:tcBorders>
              <w:tl2br w:val="nil"/>
              <w:tr2bl w:val="nil"/>
            </w:tcBorders>
            <w:vAlign w:val="center"/>
          </w:tcPr>
          <w:p w14:paraId="6B013AD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w:t>
            </w:r>
          </w:p>
          <w:p w14:paraId="700F21C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膜、废反</w:t>
            </w:r>
          </w:p>
          <w:p w14:paraId="1512302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1500" w:type="dxa"/>
            <w:tcBorders>
              <w:tl2br w:val="nil"/>
              <w:tr2bl w:val="nil"/>
            </w:tcBorders>
            <w:vAlign w:val="center"/>
          </w:tcPr>
          <w:p w14:paraId="7DD6724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废过滤膜、废反渗透膜</w:t>
            </w:r>
          </w:p>
        </w:tc>
        <w:tc>
          <w:tcPr>
            <w:tcW w:w="1106" w:type="dxa"/>
            <w:tcBorders>
              <w:tl2br w:val="nil"/>
              <w:tr2bl w:val="nil"/>
            </w:tcBorders>
            <w:vAlign w:val="center"/>
          </w:tcPr>
          <w:p w14:paraId="2EF9C24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7C903B8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428E7F7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981C8CC">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w:t>
            </w:r>
          </w:p>
        </w:tc>
        <w:tc>
          <w:tcPr>
            <w:tcW w:w="1765" w:type="dxa"/>
            <w:vMerge w:val="restart"/>
            <w:tcBorders>
              <w:tl2br w:val="nil"/>
              <w:tr2bl w:val="nil"/>
            </w:tcBorders>
            <w:vAlign w:val="center"/>
          </w:tcPr>
          <w:p w14:paraId="0696A48E">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718843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515" w:type="dxa"/>
            <w:vMerge w:val="continue"/>
            <w:tcBorders>
              <w:tl2br w:val="nil"/>
              <w:tr2bl w:val="nil"/>
            </w:tcBorders>
            <w:vAlign w:val="center"/>
          </w:tcPr>
          <w:p w14:paraId="3D77BFDA">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41FEC06A">
            <w:pPr>
              <w:widowControl w:val="0"/>
              <w:jc w:val="center"/>
              <w:rPr>
                <w:rFonts w:ascii="Times New Roman" w:hAnsi="Times New Roman" w:eastAsia="宋体" w:cs="Times New Roman"/>
                <w:caps w:val="0"/>
                <w:smallCaps w:val="0"/>
                <w:color w:val="auto"/>
                <w:spacing w:val="0"/>
                <w:sz w:val="21"/>
                <w:highlight w:val="none"/>
                <w:lang w:eastAsia="en-US"/>
              </w:rPr>
            </w:pPr>
          </w:p>
        </w:tc>
        <w:tc>
          <w:tcPr>
            <w:tcW w:w="1078" w:type="dxa"/>
            <w:tcBorders>
              <w:tl2br w:val="nil"/>
              <w:tr2bl w:val="nil"/>
            </w:tcBorders>
            <w:vAlign w:val="center"/>
          </w:tcPr>
          <w:p w14:paraId="0A6359C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污泥、蒸发结晶盐</w:t>
            </w:r>
          </w:p>
        </w:tc>
        <w:tc>
          <w:tcPr>
            <w:tcW w:w="1500" w:type="dxa"/>
            <w:tcBorders>
              <w:tl2br w:val="nil"/>
              <w:tr2bl w:val="nil"/>
            </w:tcBorders>
            <w:vAlign w:val="center"/>
          </w:tcPr>
          <w:p w14:paraId="387778D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含镉污泥、蒸发结晶盐</w:t>
            </w:r>
          </w:p>
        </w:tc>
        <w:tc>
          <w:tcPr>
            <w:tcW w:w="1106" w:type="dxa"/>
            <w:tcBorders>
              <w:tl2br w:val="nil"/>
              <w:tr2bl w:val="nil"/>
            </w:tcBorders>
            <w:vAlign w:val="center"/>
          </w:tcPr>
          <w:p w14:paraId="563FDFF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561D80BC">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4424827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02D4C874">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15</w:t>
            </w:r>
          </w:p>
        </w:tc>
        <w:tc>
          <w:tcPr>
            <w:tcW w:w="1765" w:type="dxa"/>
            <w:vMerge w:val="continue"/>
            <w:tcBorders>
              <w:tl2br w:val="nil"/>
              <w:tr2bl w:val="nil"/>
            </w:tcBorders>
            <w:vAlign w:val="center"/>
          </w:tcPr>
          <w:p w14:paraId="79A4E5D0">
            <w:pPr>
              <w:widowControl w:val="0"/>
              <w:jc w:val="center"/>
              <w:rPr>
                <w:rFonts w:ascii="Times New Roman" w:hAnsi="Times New Roman" w:eastAsia="宋体" w:cs="Times New Roman"/>
                <w:caps w:val="0"/>
                <w:smallCaps w:val="0"/>
                <w:color w:val="auto"/>
                <w:spacing w:val="0"/>
                <w:sz w:val="21"/>
                <w:highlight w:val="none"/>
                <w:lang w:eastAsia="en-US"/>
              </w:rPr>
            </w:pPr>
          </w:p>
        </w:tc>
      </w:tr>
      <w:tr w14:paraId="6EB5DC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7F06D10D">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restart"/>
            <w:tcBorders>
              <w:tl2br w:val="nil"/>
              <w:tr2bl w:val="nil"/>
            </w:tcBorders>
            <w:vAlign w:val="center"/>
          </w:tcPr>
          <w:p w14:paraId="2677E72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废气处理</w:t>
            </w:r>
          </w:p>
        </w:tc>
        <w:tc>
          <w:tcPr>
            <w:tcW w:w="1078" w:type="dxa"/>
            <w:tcBorders>
              <w:tl2br w:val="nil"/>
              <w:tr2bl w:val="nil"/>
            </w:tcBorders>
            <w:vAlign w:val="center"/>
          </w:tcPr>
          <w:p w14:paraId="0B0DCE5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收尘灰</w:t>
            </w:r>
          </w:p>
        </w:tc>
        <w:tc>
          <w:tcPr>
            <w:tcW w:w="1500" w:type="dxa"/>
            <w:tcBorders>
              <w:tl2br w:val="nil"/>
              <w:tr2bl w:val="nil"/>
            </w:tcBorders>
            <w:vAlign w:val="center"/>
          </w:tcPr>
          <w:p w14:paraId="3D3737B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颗粒物、镉及其化合物</w:t>
            </w:r>
          </w:p>
        </w:tc>
        <w:tc>
          <w:tcPr>
            <w:tcW w:w="1106" w:type="dxa"/>
            <w:tcBorders>
              <w:tl2br w:val="nil"/>
              <w:tr2bl w:val="nil"/>
            </w:tcBorders>
            <w:vAlign w:val="center"/>
          </w:tcPr>
          <w:p w14:paraId="2466933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74DA7D3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1C1B480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56B2D5A">
            <w:pPr>
              <w:widowControl w:val="0"/>
              <w:jc w:val="center"/>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3.80</w:t>
            </w:r>
          </w:p>
        </w:tc>
        <w:tc>
          <w:tcPr>
            <w:tcW w:w="1765" w:type="dxa"/>
            <w:vMerge w:val="restart"/>
            <w:tcBorders>
              <w:tl2br w:val="nil"/>
              <w:tr2bl w:val="nil"/>
            </w:tcBorders>
            <w:vAlign w:val="center"/>
          </w:tcPr>
          <w:p w14:paraId="7D3DB74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4936E4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3D1A204B">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105C30CB">
            <w:pPr>
              <w:pStyle w:val="195"/>
              <w:widowControl w:val="0"/>
              <w:jc w:val="center"/>
              <w:rPr>
                <w:rFonts w:ascii="Times New Roman" w:hAnsi="Times New Roman" w:cs="Times New Roman"/>
                <w:caps w:val="0"/>
                <w:smallCaps w:val="0"/>
                <w:color w:val="auto"/>
                <w:spacing w:val="0"/>
                <w:highlight w:val="none"/>
                <w:lang w:eastAsia="zh-CN"/>
              </w:rPr>
            </w:pPr>
          </w:p>
        </w:tc>
        <w:tc>
          <w:tcPr>
            <w:tcW w:w="1078" w:type="dxa"/>
            <w:tcBorders>
              <w:tl2br w:val="nil"/>
              <w:tr2bl w:val="nil"/>
            </w:tcBorders>
            <w:vAlign w:val="center"/>
          </w:tcPr>
          <w:p w14:paraId="53AF050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废过滤器</w:t>
            </w:r>
          </w:p>
        </w:tc>
        <w:tc>
          <w:tcPr>
            <w:tcW w:w="1500" w:type="dxa"/>
            <w:tcBorders>
              <w:tl2br w:val="nil"/>
              <w:tr2bl w:val="nil"/>
            </w:tcBorders>
            <w:vAlign w:val="center"/>
          </w:tcPr>
          <w:p w14:paraId="5350D55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含镉过滤器</w:t>
            </w:r>
          </w:p>
        </w:tc>
        <w:tc>
          <w:tcPr>
            <w:tcW w:w="1106" w:type="dxa"/>
            <w:tcBorders>
              <w:tl2br w:val="nil"/>
              <w:tr2bl w:val="nil"/>
            </w:tcBorders>
            <w:vAlign w:val="center"/>
          </w:tcPr>
          <w:p w14:paraId="7C7E8E3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5D3E0BA4">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38D79E9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626D183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0.5（3a）</w:t>
            </w:r>
          </w:p>
        </w:tc>
        <w:tc>
          <w:tcPr>
            <w:tcW w:w="1765" w:type="dxa"/>
            <w:vMerge w:val="continue"/>
            <w:tcBorders>
              <w:tl2br w:val="nil"/>
              <w:tr2bl w:val="nil"/>
            </w:tcBorders>
            <w:vAlign w:val="center"/>
          </w:tcPr>
          <w:p w14:paraId="34ABC2CC">
            <w:pPr>
              <w:pStyle w:val="195"/>
              <w:widowControl w:val="0"/>
              <w:jc w:val="center"/>
              <w:rPr>
                <w:rFonts w:ascii="Times New Roman" w:hAnsi="Times New Roman" w:cs="Times New Roman"/>
                <w:caps w:val="0"/>
                <w:smallCaps w:val="0"/>
                <w:color w:val="auto"/>
                <w:spacing w:val="0"/>
                <w:highlight w:val="none"/>
                <w:lang w:eastAsia="zh-CN"/>
              </w:rPr>
            </w:pPr>
          </w:p>
        </w:tc>
      </w:tr>
      <w:tr w14:paraId="74F82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50F26431">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3F026790">
            <w:pPr>
              <w:pStyle w:val="195"/>
              <w:widowControl w:val="0"/>
              <w:jc w:val="center"/>
              <w:rPr>
                <w:rFonts w:ascii="Times New Roman" w:hAnsi="Times New Roman" w:cs="Times New Roman"/>
                <w:caps w:val="0"/>
                <w:smallCaps w:val="0"/>
                <w:color w:val="auto"/>
                <w:spacing w:val="0"/>
                <w:highlight w:val="none"/>
                <w:lang w:eastAsia="zh-CN"/>
              </w:rPr>
            </w:pPr>
          </w:p>
        </w:tc>
        <w:tc>
          <w:tcPr>
            <w:tcW w:w="1078" w:type="dxa"/>
            <w:tcBorders>
              <w:tl2br w:val="nil"/>
              <w:tr2bl w:val="nil"/>
            </w:tcBorders>
            <w:vAlign w:val="center"/>
          </w:tcPr>
          <w:p w14:paraId="7D089CA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1500" w:type="dxa"/>
            <w:tcBorders>
              <w:tl2br w:val="nil"/>
              <w:tr2bl w:val="nil"/>
            </w:tcBorders>
            <w:vAlign w:val="center"/>
          </w:tcPr>
          <w:p w14:paraId="68E3977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饱和活性炭</w:t>
            </w:r>
          </w:p>
        </w:tc>
        <w:tc>
          <w:tcPr>
            <w:tcW w:w="1106" w:type="dxa"/>
            <w:tcBorders>
              <w:tl2br w:val="nil"/>
              <w:tr2bl w:val="nil"/>
            </w:tcBorders>
            <w:vAlign w:val="center"/>
          </w:tcPr>
          <w:p w14:paraId="11A1686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w:t>
            </w:r>
            <w:r>
              <w:rPr>
                <w:rFonts w:ascii="Times New Roman" w:hAnsi="Times New Roman" w:cs="Times New Roman"/>
                <w:caps w:val="0"/>
                <w:smallCaps w:val="0"/>
                <w:color w:val="auto"/>
                <w:spacing w:val="0"/>
                <w:highlight w:val="none"/>
                <w:lang w:eastAsia="zh-CN"/>
              </w:rPr>
              <w:t>49</w:t>
            </w:r>
          </w:p>
        </w:tc>
        <w:tc>
          <w:tcPr>
            <w:tcW w:w="752" w:type="dxa"/>
            <w:tcBorders>
              <w:tl2br w:val="nil"/>
              <w:tr2bl w:val="nil"/>
            </w:tcBorders>
            <w:vAlign w:val="center"/>
          </w:tcPr>
          <w:p w14:paraId="5964A6C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19CADB8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39-49</w:t>
            </w:r>
          </w:p>
        </w:tc>
        <w:tc>
          <w:tcPr>
            <w:tcW w:w="1033" w:type="dxa"/>
            <w:tcBorders>
              <w:tl2br w:val="nil"/>
              <w:tr2bl w:val="nil"/>
            </w:tcBorders>
            <w:vAlign w:val="center"/>
          </w:tcPr>
          <w:p w14:paraId="6A91C63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1.5</w:t>
            </w:r>
          </w:p>
        </w:tc>
        <w:tc>
          <w:tcPr>
            <w:tcW w:w="1765" w:type="dxa"/>
            <w:vMerge w:val="continue"/>
            <w:tcBorders>
              <w:tl2br w:val="nil"/>
              <w:tr2bl w:val="nil"/>
            </w:tcBorders>
            <w:vAlign w:val="center"/>
          </w:tcPr>
          <w:p w14:paraId="28D6226E">
            <w:pPr>
              <w:pStyle w:val="195"/>
              <w:widowControl w:val="0"/>
              <w:jc w:val="center"/>
              <w:rPr>
                <w:rFonts w:ascii="Times New Roman" w:hAnsi="Times New Roman" w:cs="Times New Roman"/>
                <w:caps w:val="0"/>
                <w:smallCaps w:val="0"/>
                <w:color w:val="auto"/>
                <w:spacing w:val="0"/>
                <w:highlight w:val="none"/>
                <w:lang w:eastAsia="zh-CN"/>
              </w:rPr>
            </w:pPr>
          </w:p>
        </w:tc>
      </w:tr>
    </w:tbl>
    <w:p w14:paraId="4E87A2E0">
      <w:pPr>
        <w:pStyle w:val="194"/>
        <w:widowControl w:val="0"/>
        <w:spacing w:line="240" w:lineRule="auto"/>
        <w:ind w:firstLine="446"/>
        <w:jc w:val="center"/>
        <w:rPr>
          <w:rFonts w:ascii="Times New Roman" w:hAnsi="Times New Roman" w:eastAsia="宋体" w:cs="Times New Roman"/>
          <w:b/>
          <w:bCs/>
          <w:caps w:val="0"/>
          <w:smallCaps w:val="0"/>
          <w:color w:val="auto"/>
          <w:spacing w:val="0"/>
          <w:sz w:val="21"/>
          <w:szCs w:val="21"/>
          <w:highlight w:val="none"/>
        </w:rPr>
      </w:pPr>
      <w:r>
        <w:rPr>
          <w:rFonts w:hint="eastAsia" w:ascii="Times New Roman" w:hAnsi="Times New Roman" w:eastAsia="宋体" w:cs="Times New Roman"/>
          <w:b/>
          <w:bCs/>
          <w:caps w:val="0"/>
          <w:smallCaps w:val="0"/>
          <w:color w:val="auto"/>
          <w:spacing w:val="0"/>
          <w:sz w:val="21"/>
          <w:szCs w:val="21"/>
          <w:highlight w:val="none"/>
        </w:rPr>
        <w:t>表3.5-9</w:t>
      </w:r>
      <w:r>
        <w:rPr>
          <w:rFonts w:ascii="Times New Roman" w:hAnsi="Times New Roman" w:eastAsia="宋体" w:cs="Times New Roman"/>
          <w:b/>
          <w:bCs/>
          <w:caps w:val="0"/>
          <w:smallCaps w:val="0"/>
          <w:color w:val="auto"/>
          <w:spacing w:val="0"/>
          <w:sz w:val="21"/>
          <w:szCs w:val="21"/>
          <w:highlight w:val="none"/>
        </w:rPr>
        <w:t>工程分析中危险废物汇总样表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4"/>
        <w:gridCol w:w="733"/>
        <w:gridCol w:w="671"/>
        <w:gridCol w:w="792"/>
        <w:gridCol w:w="733"/>
        <w:gridCol w:w="781"/>
        <w:gridCol w:w="573"/>
        <w:gridCol w:w="757"/>
        <w:gridCol w:w="719"/>
        <w:gridCol w:w="732"/>
        <w:gridCol w:w="657"/>
        <w:gridCol w:w="1683"/>
      </w:tblGrid>
      <w:tr w14:paraId="08176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44" w:type="pct"/>
            <w:vAlign w:val="center"/>
          </w:tcPr>
          <w:p w14:paraId="36A2983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序号</w:t>
            </w:r>
          </w:p>
        </w:tc>
        <w:tc>
          <w:tcPr>
            <w:tcW w:w="394" w:type="pct"/>
            <w:vAlign w:val="center"/>
          </w:tcPr>
          <w:p w14:paraId="6919D7E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危险废物名称</w:t>
            </w:r>
          </w:p>
        </w:tc>
        <w:tc>
          <w:tcPr>
            <w:tcW w:w="361" w:type="pct"/>
            <w:vAlign w:val="center"/>
          </w:tcPr>
          <w:p w14:paraId="74339AB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危险废物类别</w:t>
            </w:r>
          </w:p>
        </w:tc>
        <w:tc>
          <w:tcPr>
            <w:tcW w:w="426" w:type="pct"/>
            <w:vAlign w:val="center"/>
          </w:tcPr>
          <w:p w14:paraId="3279C09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危险废物代码</w:t>
            </w:r>
          </w:p>
        </w:tc>
        <w:tc>
          <w:tcPr>
            <w:tcW w:w="394" w:type="pct"/>
            <w:vAlign w:val="center"/>
          </w:tcPr>
          <w:p w14:paraId="0A61C46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产生量（吨/年）</w:t>
            </w:r>
          </w:p>
        </w:tc>
        <w:tc>
          <w:tcPr>
            <w:tcW w:w="420" w:type="pct"/>
            <w:vAlign w:val="center"/>
          </w:tcPr>
          <w:p w14:paraId="6C81E94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产生工序及装置</w:t>
            </w:r>
          </w:p>
        </w:tc>
        <w:tc>
          <w:tcPr>
            <w:tcW w:w="308" w:type="pct"/>
            <w:tcBorders>
              <w:bottom w:val="single" w:color="auto" w:sz="4" w:space="0"/>
            </w:tcBorders>
            <w:vAlign w:val="center"/>
          </w:tcPr>
          <w:p w14:paraId="6F5B194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形态</w:t>
            </w:r>
          </w:p>
        </w:tc>
        <w:tc>
          <w:tcPr>
            <w:tcW w:w="407" w:type="pct"/>
            <w:tcBorders>
              <w:bottom w:val="single" w:color="auto" w:sz="4" w:space="0"/>
            </w:tcBorders>
            <w:vAlign w:val="center"/>
          </w:tcPr>
          <w:p w14:paraId="4525E46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主要成分</w:t>
            </w:r>
          </w:p>
        </w:tc>
        <w:tc>
          <w:tcPr>
            <w:tcW w:w="387" w:type="pct"/>
            <w:tcBorders>
              <w:bottom w:val="single" w:color="auto" w:sz="4" w:space="0"/>
            </w:tcBorders>
            <w:vAlign w:val="center"/>
          </w:tcPr>
          <w:p w14:paraId="165B5C6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有害成分</w:t>
            </w:r>
          </w:p>
        </w:tc>
        <w:tc>
          <w:tcPr>
            <w:tcW w:w="394" w:type="pct"/>
            <w:tcBorders>
              <w:bottom w:val="single" w:color="auto" w:sz="4" w:space="0"/>
            </w:tcBorders>
            <w:vAlign w:val="center"/>
          </w:tcPr>
          <w:p w14:paraId="37E49E7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产废周期</w:t>
            </w:r>
          </w:p>
        </w:tc>
        <w:tc>
          <w:tcPr>
            <w:tcW w:w="354" w:type="pct"/>
            <w:tcBorders>
              <w:bottom w:val="single" w:color="auto" w:sz="4" w:space="0"/>
            </w:tcBorders>
            <w:vAlign w:val="center"/>
          </w:tcPr>
          <w:p w14:paraId="772F8AF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危险特性</w:t>
            </w:r>
          </w:p>
        </w:tc>
        <w:tc>
          <w:tcPr>
            <w:tcW w:w="906" w:type="pct"/>
            <w:tcBorders>
              <w:bottom w:val="single" w:color="auto" w:sz="4" w:space="0"/>
            </w:tcBorders>
            <w:vAlign w:val="center"/>
          </w:tcPr>
          <w:p w14:paraId="73BEF07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污染防治措施</w:t>
            </w:r>
          </w:p>
        </w:tc>
      </w:tr>
      <w:tr w14:paraId="40F23E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12D8F2A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1</w:t>
            </w:r>
          </w:p>
        </w:tc>
        <w:tc>
          <w:tcPr>
            <w:tcW w:w="394" w:type="pct"/>
            <w:vAlign w:val="center"/>
          </w:tcPr>
          <w:p w14:paraId="155B5B4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废真空罩</w:t>
            </w:r>
          </w:p>
        </w:tc>
        <w:tc>
          <w:tcPr>
            <w:tcW w:w="361" w:type="pct"/>
            <w:vAlign w:val="center"/>
          </w:tcPr>
          <w:p w14:paraId="26E6846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HW26</w:t>
            </w:r>
          </w:p>
        </w:tc>
        <w:tc>
          <w:tcPr>
            <w:tcW w:w="426" w:type="pct"/>
            <w:vAlign w:val="center"/>
          </w:tcPr>
          <w:p w14:paraId="2D3E106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384-0</w:t>
            </w:r>
          </w:p>
          <w:p w14:paraId="688A895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02-26</w:t>
            </w:r>
          </w:p>
        </w:tc>
        <w:tc>
          <w:tcPr>
            <w:tcW w:w="394" w:type="pct"/>
            <w:vAlign w:val="center"/>
          </w:tcPr>
          <w:p w14:paraId="71D6B78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0.1</w:t>
            </w:r>
          </w:p>
        </w:tc>
        <w:tc>
          <w:tcPr>
            <w:tcW w:w="420" w:type="pct"/>
            <w:vAlign w:val="center"/>
          </w:tcPr>
          <w:p w14:paraId="3F93A2A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CdS/CdTe镀膜</w:t>
            </w:r>
          </w:p>
        </w:tc>
        <w:tc>
          <w:tcPr>
            <w:tcW w:w="308" w:type="pct"/>
            <w:vAlign w:val="center"/>
          </w:tcPr>
          <w:p w14:paraId="21E5CEB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52B5CC1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含镉真空罩</w:t>
            </w:r>
          </w:p>
        </w:tc>
        <w:tc>
          <w:tcPr>
            <w:tcW w:w="387" w:type="pct"/>
            <w:vAlign w:val="center"/>
          </w:tcPr>
          <w:p w14:paraId="390C8E1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镉</w:t>
            </w:r>
          </w:p>
        </w:tc>
        <w:tc>
          <w:tcPr>
            <w:tcW w:w="394" w:type="pct"/>
            <w:vAlign w:val="center"/>
          </w:tcPr>
          <w:p w14:paraId="019CA96E">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24</w:t>
            </w:r>
            <w:r>
              <w:rPr>
                <w:rFonts w:ascii="Times New Roman" w:hAnsi="Times New Roman" w:cs="Times New Roman"/>
                <w:caps w:val="0"/>
                <w:smallCaps w:val="0"/>
                <w:color w:val="auto"/>
                <w:spacing w:val="0"/>
                <w:highlight w:val="none"/>
                <w:lang w:eastAsia="zh-CN"/>
              </w:rPr>
              <w:t>个月</w:t>
            </w:r>
          </w:p>
        </w:tc>
        <w:tc>
          <w:tcPr>
            <w:tcW w:w="354" w:type="pct"/>
            <w:vAlign w:val="center"/>
          </w:tcPr>
          <w:p w14:paraId="09AF9E0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5EC3E6D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43C19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29A56B3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2</w:t>
            </w:r>
          </w:p>
        </w:tc>
        <w:tc>
          <w:tcPr>
            <w:tcW w:w="394" w:type="pct"/>
            <w:vAlign w:val="center"/>
          </w:tcPr>
          <w:p w14:paraId="4AC238C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废石墨舟</w:t>
            </w:r>
          </w:p>
        </w:tc>
        <w:tc>
          <w:tcPr>
            <w:tcW w:w="361" w:type="pct"/>
            <w:vAlign w:val="center"/>
          </w:tcPr>
          <w:p w14:paraId="1C8F00E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HW26</w:t>
            </w:r>
          </w:p>
        </w:tc>
        <w:tc>
          <w:tcPr>
            <w:tcW w:w="426" w:type="pct"/>
            <w:vAlign w:val="center"/>
          </w:tcPr>
          <w:p w14:paraId="5A3A889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384-0</w:t>
            </w:r>
          </w:p>
          <w:p w14:paraId="771A9C9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02-26</w:t>
            </w:r>
          </w:p>
        </w:tc>
        <w:tc>
          <w:tcPr>
            <w:tcW w:w="394" w:type="pct"/>
            <w:vAlign w:val="center"/>
          </w:tcPr>
          <w:p w14:paraId="326CE69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0.05</w:t>
            </w:r>
          </w:p>
        </w:tc>
        <w:tc>
          <w:tcPr>
            <w:tcW w:w="420" w:type="pct"/>
            <w:vAlign w:val="center"/>
          </w:tcPr>
          <w:p w14:paraId="2C2674F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CdS/CdTe镀膜</w:t>
            </w:r>
          </w:p>
        </w:tc>
        <w:tc>
          <w:tcPr>
            <w:tcW w:w="308" w:type="pct"/>
            <w:vAlign w:val="center"/>
          </w:tcPr>
          <w:p w14:paraId="37BD455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固态</w:t>
            </w:r>
          </w:p>
        </w:tc>
        <w:tc>
          <w:tcPr>
            <w:tcW w:w="407" w:type="pct"/>
            <w:vAlign w:val="center"/>
          </w:tcPr>
          <w:p w14:paraId="4379E41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含镉石墨舟</w:t>
            </w:r>
          </w:p>
        </w:tc>
        <w:tc>
          <w:tcPr>
            <w:tcW w:w="387" w:type="pct"/>
            <w:vAlign w:val="center"/>
          </w:tcPr>
          <w:p w14:paraId="1B3B3EF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镉</w:t>
            </w:r>
          </w:p>
        </w:tc>
        <w:tc>
          <w:tcPr>
            <w:tcW w:w="394" w:type="pct"/>
            <w:vAlign w:val="center"/>
          </w:tcPr>
          <w:p w14:paraId="6CC372C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24</w:t>
            </w:r>
            <w:r>
              <w:rPr>
                <w:rFonts w:ascii="Times New Roman" w:hAnsi="Times New Roman" w:cs="Times New Roman"/>
                <w:caps w:val="0"/>
                <w:smallCaps w:val="0"/>
                <w:color w:val="auto"/>
                <w:spacing w:val="0"/>
                <w:highlight w:val="none"/>
                <w:lang w:eastAsia="zh-CN"/>
              </w:rPr>
              <w:t>个月</w:t>
            </w:r>
          </w:p>
        </w:tc>
        <w:tc>
          <w:tcPr>
            <w:tcW w:w="354" w:type="pct"/>
            <w:vAlign w:val="center"/>
          </w:tcPr>
          <w:p w14:paraId="563736D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59C0461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0904AB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71B117B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3</w:t>
            </w:r>
          </w:p>
        </w:tc>
        <w:tc>
          <w:tcPr>
            <w:tcW w:w="394" w:type="pct"/>
            <w:vAlign w:val="center"/>
          </w:tcPr>
          <w:p w14:paraId="36CB24B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废电池组</w:t>
            </w:r>
          </w:p>
          <w:p w14:paraId="0C10C0D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件、破裂</w:t>
            </w:r>
          </w:p>
          <w:p w14:paraId="680932E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玻璃</w:t>
            </w:r>
          </w:p>
        </w:tc>
        <w:tc>
          <w:tcPr>
            <w:tcW w:w="361" w:type="pct"/>
            <w:vAlign w:val="center"/>
          </w:tcPr>
          <w:p w14:paraId="7549047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HW26</w:t>
            </w:r>
          </w:p>
        </w:tc>
        <w:tc>
          <w:tcPr>
            <w:tcW w:w="426" w:type="pct"/>
            <w:vAlign w:val="center"/>
          </w:tcPr>
          <w:p w14:paraId="06DF875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384-0</w:t>
            </w:r>
          </w:p>
          <w:p w14:paraId="6F1840D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02-26</w:t>
            </w:r>
          </w:p>
        </w:tc>
        <w:tc>
          <w:tcPr>
            <w:tcW w:w="394" w:type="pct"/>
            <w:vAlign w:val="center"/>
          </w:tcPr>
          <w:p w14:paraId="77A4AD8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61.26</w:t>
            </w:r>
          </w:p>
        </w:tc>
        <w:tc>
          <w:tcPr>
            <w:tcW w:w="420" w:type="pct"/>
            <w:vAlign w:val="center"/>
          </w:tcPr>
          <w:p w14:paraId="0051ED9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电池组件检测</w:t>
            </w:r>
          </w:p>
        </w:tc>
        <w:tc>
          <w:tcPr>
            <w:tcW w:w="308" w:type="pct"/>
            <w:vAlign w:val="center"/>
          </w:tcPr>
          <w:p w14:paraId="6711629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固态</w:t>
            </w:r>
          </w:p>
        </w:tc>
        <w:tc>
          <w:tcPr>
            <w:tcW w:w="407" w:type="pct"/>
            <w:vAlign w:val="center"/>
          </w:tcPr>
          <w:p w14:paraId="23F4C2B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含镉电池组件、破裂玻璃</w:t>
            </w:r>
          </w:p>
        </w:tc>
        <w:tc>
          <w:tcPr>
            <w:tcW w:w="387" w:type="pct"/>
            <w:vAlign w:val="center"/>
          </w:tcPr>
          <w:p w14:paraId="09F8602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镉</w:t>
            </w:r>
          </w:p>
        </w:tc>
        <w:tc>
          <w:tcPr>
            <w:tcW w:w="394" w:type="pct"/>
            <w:vAlign w:val="center"/>
          </w:tcPr>
          <w:p w14:paraId="43D63C0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6个月</w:t>
            </w:r>
          </w:p>
        </w:tc>
        <w:tc>
          <w:tcPr>
            <w:tcW w:w="354" w:type="pct"/>
            <w:vAlign w:val="center"/>
          </w:tcPr>
          <w:p w14:paraId="385ACFB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095E732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0D915B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77A2E09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4</w:t>
            </w:r>
          </w:p>
        </w:tc>
        <w:tc>
          <w:tcPr>
            <w:tcW w:w="394" w:type="pct"/>
            <w:vAlign w:val="center"/>
          </w:tcPr>
          <w:p w14:paraId="1394C85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废UV</w:t>
            </w:r>
          </w:p>
          <w:p w14:paraId="7319D5F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灯管</w:t>
            </w:r>
          </w:p>
        </w:tc>
        <w:tc>
          <w:tcPr>
            <w:tcW w:w="361" w:type="pct"/>
            <w:vAlign w:val="center"/>
          </w:tcPr>
          <w:p w14:paraId="712A335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HW29</w:t>
            </w:r>
          </w:p>
        </w:tc>
        <w:tc>
          <w:tcPr>
            <w:tcW w:w="426" w:type="pct"/>
            <w:vAlign w:val="center"/>
          </w:tcPr>
          <w:p w14:paraId="2C7CA9B0">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6E49D06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23-29</w:t>
            </w:r>
          </w:p>
        </w:tc>
        <w:tc>
          <w:tcPr>
            <w:tcW w:w="394" w:type="pct"/>
            <w:vAlign w:val="center"/>
          </w:tcPr>
          <w:p w14:paraId="717C1CB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0.01t/3a</w:t>
            </w:r>
          </w:p>
          <w:p w14:paraId="409A123C">
            <w:pPr>
              <w:pStyle w:val="195"/>
              <w:widowControl w:val="0"/>
              <w:jc w:val="center"/>
              <w:rPr>
                <w:rFonts w:ascii="Times New Roman" w:hAnsi="Times New Roman" w:cs="Times New Roman"/>
                <w:caps w:val="0"/>
                <w:smallCaps w:val="0"/>
                <w:color w:val="auto"/>
                <w:spacing w:val="0"/>
                <w:highlight w:val="none"/>
                <w:lang w:eastAsia="zh-CN"/>
              </w:rPr>
            </w:pPr>
          </w:p>
        </w:tc>
        <w:tc>
          <w:tcPr>
            <w:tcW w:w="420" w:type="pct"/>
            <w:vAlign w:val="center"/>
          </w:tcPr>
          <w:p w14:paraId="4D57071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光刻胶涂覆曝光固化</w:t>
            </w:r>
          </w:p>
        </w:tc>
        <w:tc>
          <w:tcPr>
            <w:tcW w:w="308" w:type="pct"/>
            <w:vAlign w:val="center"/>
          </w:tcPr>
          <w:p w14:paraId="7D3EC9D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固态</w:t>
            </w:r>
          </w:p>
        </w:tc>
        <w:tc>
          <w:tcPr>
            <w:tcW w:w="407" w:type="pct"/>
            <w:vAlign w:val="center"/>
          </w:tcPr>
          <w:p w14:paraId="195790A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含汞</w:t>
            </w:r>
            <w:r>
              <w:rPr>
                <w:rFonts w:ascii="Times New Roman" w:hAnsi="Times New Roman" w:cs="Times New Roman"/>
                <w:caps w:val="0"/>
                <w:smallCaps w:val="0"/>
                <w:color w:val="auto"/>
                <w:spacing w:val="0"/>
                <w:highlight w:val="none"/>
                <w:lang w:eastAsia="zh-CN"/>
              </w:rPr>
              <w:t>废UV</w:t>
            </w:r>
          </w:p>
          <w:p w14:paraId="4822B66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灯管</w:t>
            </w:r>
          </w:p>
        </w:tc>
        <w:tc>
          <w:tcPr>
            <w:tcW w:w="387" w:type="pct"/>
            <w:vAlign w:val="center"/>
          </w:tcPr>
          <w:p w14:paraId="3133531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汞</w:t>
            </w:r>
          </w:p>
        </w:tc>
        <w:tc>
          <w:tcPr>
            <w:tcW w:w="394" w:type="pct"/>
            <w:vAlign w:val="center"/>
          </w:tcPr>
          <w:p w14:paraId="443FCCB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36个月</w:t>
            </w:r>
          </w:p>
        </w:tc>
        <w:tc>
          <w:tcPr>
            <w:tcW w:w="354" w:type="pct"/>
            <w:vAlign w:val="center"/>
          </w:tcPr>
          <w:p w14:paraId="11231BA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30564237">
            <w:pPr>
              <w:pStyle w:val="195"/>
              <w:widowControl w:val="0"/>
              <w:jc w:val="center"/>
              <w:rPr>
                <w:rFonts w:ascii="Times New Roman" w:hAnsi="Times New Roman" w:cs="Times New Roman"/>
                <w:b/>
                <w:bCs/>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68BD6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2825D6A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5</w:t>
            </w:r>
          </w:p>
        </w:tc>
        <w:tc>
          <w:tcPr>
            <w:tcW w:w="394" w:type="pct"/>
            <w:vAlign w:val="center"/>
          </w:tcPr>
          <w:p w14:paraId="6E693AB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361" w:type="pct"/>
            <w:vAlign w:val="center"/>
          </w:tcPr>
          <w:p w14:paraId="5E44FDD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HW08</w:t>
            </w:r>
          </w:p>
        </w:tc>
        <w:tc>
          <w:tcPr>
            <w:tcW w:w="426" w:type="pct"/>
            <w:vAlign w:val="center"/>
          </w:tcPr>
          <w:p w14:paraId="5B45C26C">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900-2</w:t>
            </w:r>
          </w:p>
          <w:p w14:paraId="41186C22">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49-08</w:t>
            </w:r>
          </w:p>
        </w:tc>
        <w:tc>
          <w:tcPr>
            <w:tcW w:w="394" w:type="pct"/>
            <w:vAlign w:val="center"/>
          </w:tcPr>
          <w:p w14:paraId="6537DAFD">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0.1</w:t>
            </w:r>
          </w:p>
        </w:tc>
        <w:tc>
          <w:tcPr>
            <w:tcW w:w="420" w:type="pct"/>
            <w:vAlign w:val="center"/>
          </w:tcPr>
          <w:p w14:paraId="1549FF3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设备维修</w:t>
            </w:r>
          </w:p>
        </w:tc>
        <w:tc>
          <w:tcPr>
            <w:tcW w:w="308" w:type="pct"/>
            <w:vAlign w:val="center"/>
          </w:tcPr>
          <w:p w14:paraId="2437E6E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液态</w:t>
            </w:r>
          </w:p>
        </w:tc>
        <w:tc>
          <w:tcPr>
            <w:tcW w:w="407" w:type="pct"/>
            <w:vAlign w:val="center"/>
          </w:tcPr>
          <w:p w14:paraId="4BE3B98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387" w:type="pct"/>
            <w:vAlign w:val="center"/>
          </w:tcPr>
          <w:p w14:paraId="12B4524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矿物油</w:t>
            </w:r>
          </w:p>
        </w:tc>
        <w:tc>
          <w:tcPr>
            <w:tcW w:w="394" w:type="pct"/>
            <w:vAlign w:val="center"/>
          </w:tcPr>
          <w:p w14:paraId="423814C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6个月</w:t>
            </w:r>
          </w:p>
        </w:tc>
        <w:tc>
          <w:tcPr>
            <w:tcW w:w="354" w:type="pct"/>
            <w:vAlign w:val="center"/>
          </w:tcPr>
          <w:p w14:paraId="2F4C11AE">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w:t>
            </w:r>
          </w:p>
        </w:tc>
        <w:tc>
          <w:tcPr>
            <w:tcW w:w="906" w:type="pct"/>
            <w:vAlign w:val="center"/>
          </w:tcPr>
          <w:p w14:paraId="2578E5F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0023A9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2BBE5E7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6</w:t>
            </w:r>
          </w:p>
        </w:tc>
        <w:tc>
          <w:tcPr>
            <w:tcW w:w="394" w:type="pct"/>
            <w:vAlign w:val="center"/>
          </w:tcPr>
          <w:p w14:paraId="787A47A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废劳保用品</w:t>
            </w:r>
          </w:p>
        </w:tc>
        <w:tc>
          <w:tcPr>
            <w:tcW w:w="361" w:type="pct"/>
            <w:vAlign w:val="center"/>
          </w:tcPr>
          <w:p w14:paraId="184DA36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HW49</w:t>
            </w:r>
          </w:p>
        </w:tc>
        <w:tc>
          <w:tcPr>
            <w:tcW w:w="426" w:type="pct"/>
            <w:vAlign w:val="center"/>
          </w:tcPr>
          <w:p w14:paraId="5ACAE16A">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1728CAB9">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47-49</w:t>
            </w:r>
          </w:p>
        </w:tc>
        <w:tc>
          <w:tcPr>
            <w:tcW w:w="394" w:type="pct"/>
            <w:vAlign w:val="center"/>
          </w:tcPr>
          <w:p w14:paraId="474F0372">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0.1</w:t>
            </w:r>
          </w:p>
        </w:tc>
        <w:tc>
          <w:tcPr>
            <w:tcW w:w="420" w:type="pct"/>
            <w:vAlign w:val="center"/>
          </w:tcPr>
          <w:p w14:paraId="5C26D67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日常使用</w:t>
            </w:r>
          </w:p>
        </w:tc>
        <w:tc>
          <w:tcPr>
            <w:tcW w:w="308" w:type="pct"/>
            <w:vAlign w:val="center"/>
          </w:tcPr>
          <w:p w14:paraId="37F74E2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3831B77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废劳保用品</w:t>
            </w:r>
          </w:p>
        </w:tc>
        <w:tc>
          <w:tcPr>
            <w:tcW w:w="387" w:type="pct"/>
            <w:vAlign w:val="center"/>
          </w:tcPr>
          <w:p w14:paraId="6BDB698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沾染危险废物的废手套</w:t>
            </w:r>
          </w:p>
        </w:tc>
        <w:tc>
          <w:tcPr>
            <w:tcW w:w="394" w:type="pct"/>
            <w:vAlign w:val="center"/>
          </w:tcPr>
          <w:p w14:paraId="5293F45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1个月</w:t>
            </w:r>
          </w:p>
        </w:tc>
        <w:tc>
          <w:tcPr>
            <w:tcW w:w="354" w:type="pct"/>
            <w:vAlign w:val="center"/>
          </w:tcPr>
          <w:p w14:paraId="1D5EE7F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5A876A8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391656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2BF090BE">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7</w:t>
            </w:r>
          </w:p>
        </w:tc>
        <w:tc>
          <w:tcPr>
            <w:tcW w:w="394" w:type="pct"/>
            <w:vAlign w:val="center"/>
          </w:tcPr>
          <w:p w14:paraId="76284E2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361" w:type="pct"/>
            <w:vAlign w:val="center"/>
          </w:tcPr>
          <w:p w14:paraId="1E8EF3C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HW49</w:t>
            </w:r>
          </w:p>
        </w:tc>
        <w:tc>
          <w:tcPr>
            <w:tcW w:w="426" w:type="pct"/>
            <w:vAlign w:val="center"/>
          </w:tcPr>
          <w:p w14:paraId="3E698C09">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7C499B2E">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47-49</w:t>
            </w:r>
          </w:p>
        </w:tc>
        <w:tc>
          <w:tcPr>
            <w:tcW w:w="394" w:type="pct"/>
            <w:vAlign w:val="center"/>
          </w:tcPr>
          <w:p w14:paraId="48F7BD0B">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0.4</w:t>
            </w:r>
          </w:p>
        </w:tc>
        <w:tc>
          <w:tcPr>
            <w:tcW w:w="420" w:type="pct"/>
            <w:vAlign w:val="center"/>
          </w:tcPr>
          <w:p w14:paraId="02FB6C0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原料包装</w:t>
            </w:r>
          </w:p>
        </w:tc>
        <w:tc>
          <w:tcPr>
            <w:tcW w:w="308" w:type="pct"/>
            <w:vAlign w:val="center"/>
          </w:tcPr>
          <w:p w14:paraId="5ECA558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7A08B71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387" w:type="pct"/>
            <w:vAlign w:val="center"/>
          </w:tcPr>
          <w:p w14:paraId="0FD2C5F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沾染危险废物的废包装</w:t>
            </w:r>
          </w:p>
        </w:tc>
        <w:tc>
          <w:tcPr>
            <w:tcW w:w="394" w:type="pct"/>
            <w:vAlign w:val="center"/>
          </w:tcPr>
          <w:p w14:paraId="4779622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1个月</w:t>
            </w:r>
          </w:p>
        </w:tc>
        <w:tc>
          <w:tcPr>
            <w:tcW w:w="354" w:type="pct"/>
            <w:vAlign w:val="center"/>
          </w:tcPr>
          <w:p w14:paraId="6D6039A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01DA04F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1F9E07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12989D3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8</w:t>
            </w:r>
          </w:p>
        </w:tc>
        <w:tc>
          <w:tcPr>
            <w:tcW w:w="394" w:type="pct"/>
            <w:vAlign w:val="center"/>
          </w:tcPr>
          <w:p w14:paraId="3C5DBC9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361" w:type="pct"/>
            <w:vAlign w:val="center"/>
          </w:tcPr>
          <w:p w14:paraId="218C618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w:t>
            </w:r>
            <w:r>
              <w:rPr>
                <w:rFonts w:ascii="Times New Roman" w:hAnsi="Times New Roman" w:cs="Times New Roman"/>
                <w:caps w:val="0"/>
                <w:smallCaps w:val="0"/>
                <w:color w:val="auto"/>
                <w:spacing w:val="0"/>
                <w:highlight w:val="none"/>
                <w:lang w:eastAsia="zh-CN"/>
              </w:rPr>
              <w:t>31</w:t>
            </w:r>
          </w:p>
        </w:tc>
        <w:tc>
          <w:tcPr>
            <w:tcW w:w="426" w:type="pct"/>
            <w:vAlign w:val="center"/>
          </w:tcPr>
          <w:p w14:paraId="56FBAE6E">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3CD7F54F">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52-31</w:t>
            </w:r>
          </w:p>
        </w:tc>
        <w:tc>
          <w:tcPr>
            <w:tcW w:w="394" w:type="pct"/>
            <w:vAlign w:val="center"/>
          </w:tcPr>
          <w:p w14:paraId="2610284A">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0.1（3a）</w:t>
            </w:r>
          </w:p>
        </w:tc>
        <w:tc>
          <w:tcPr>
            <w:tcW w:w="420" w:type="pct"/>
            <w:vAlign w:val="center"/>
          </w:tcPr>
          <w:p w14:paraId="77B5CA7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设备维护</w:t>
            </w:r>
          </w:p>
        </w:tc>
        <w:tc>
          <w:tcPr>
            <w:tcW w:w="308" w:type="pct"/>
            <w:vAlign w:val="center"/>
          </w:tcPr>
          <w:p w14:paraId="696BD27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13A2660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387" w:type="pct"/>
            <w:vAlign w:val="center"/>
          </w:tcPr>
          <w:p w14:paraId="461B1D2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394" w:type="pct"/>
            <w:vAlign w:val="center"/>
          </w:tcPr>
          <w:p w14:paraId="234893C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12个月</w:t>
            </w:r>
          </w:p>
        </w:tc>
        <w:tc>
          <w:tcPr>
            <w:tcW w:w="354" w:type="pct"/>
            <w:vAlign w:val="center"/>
          </w:tcPr>
          <w:p w14:paraId="1266E70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T、C、I</w:t>
            </w:r>
          </w:p>
        </w:tc>
        <w:tc>
          <w:tcPr>
            <w:tcW w:w="906" w:type="pct"/>
            <w:vAlign w:val="center"/>
          </w:tcPr>
          <w:p w14:paraId="0D6A345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6EDDF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197843B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9</w:t>
            </w:r>
          </w:p>
        </w:tc>
        <w:tc>
          <w:tcPr>
            <w:tcW w:w="394" w:type="pct"/>
            <w:vAlign w:val="center"/>
          </w:tcPr>
          <w:p w14:paraId="21AD472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361" w:type="pct"/>
            <w:vAlign w:val="center"/>
          </w:tcPr>
          <w:p w14:paraId="08A8842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HW49</w:t>
            </w:r>
          </w:p>
        </w:tc>
        <w:tc>
          <w:tcPr>
            <w:tcW w:w="426" w:type="pct"/>
            <w:vAlign w:val="center"/>
          </w:tcPr>
          <w:p w14:paraId="48A3B2B9">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900-047-49</w:t>
            </w:r>
          </w:p>
        </w:tc>
        <w:tc>
          <w:tcPr>
            <w:tcW w:w="394" w:type="pct"/>
            <w:vAlign w:val="center"/>
          </w:tcPr>
          <w:p w14:paraId="4632EF22">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0.01</w:t>
            </w:r>
          </w:p>
        </w:tc>
        <w:tc>
          <w:tcPr>
            <w:tcW w:w="420" w:type="pct"/>
            <w:vAlign w:val="center"/>
          </w:tcPr>
          <w:p w14:paraId="186F331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检测</w:t>
            </w:r>
          </w:p>
        </w:tc>
        <w:tc>
          <w:tcPr>
            <w:tcW w:w="308" w:type="pct"/>
            <w:vAlign w:val="center"/>
          </w:tcPr>
          <w:p w14:paraId="3C6F2DD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液态、固态</w:t>
            </w:r>
          </w:p>
        </w:tc>
        <w:tc>
          <w:tcPr>
            <w:tcW w:w="407" w:type="pct"/>
            <w:vAlign w:val="center"/>
          </w:tcPr>
          <w:p w14:paraId="4C0A0B1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387" w:type="pct"/>
            <w:vAlign w:val="center"/>
          </w:tcPr>
          <w:p w14:paraId="190A201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产生的含无机废液</w:t>
            </w:r>
          </w:p>
        </w:tc>
        <w:tc>
          <w:tcPr>
            <w:tcW w:w="394" w:type="pct"/>
            <w:vAlign w:val="center"/>
          </w:tcPr>
          <w:p w14:paraId="348D184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12个月</w:t>
            </w:r>
          </w:p>
        </w:tc>
        <w:tc>
          <w:tcPr>
            <w:tcW w:w="354" w:type="pct"/>
            <w:vAlign w:val="center"/>
          </w:tcPr>
          <w:p w14:paraId="1506EB5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T、C、I、R</w:t>
            </w:r>
          </w:p>
        </w:tc>
        <w:tc>
          <w:tcPr>
            <w:tcW w:w="906" w:type="pct"/>
            <w:vAlign w:val="center"/>
          </w:tcPr>
          <w:p w14:paraId="59F8498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03906C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5C7633D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10</w:t>
            </w:r>
          </w:p>
        </w:tc>
        <w:tc>
          <w:tcPr>
            <w:tcW w:w="394" w:type="pct"/>
            <w:vAlign w:val="center"/>
          </w:tcPr>
          <w:p w14:paraId="60F3D27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w:t>
            </w:r>
          </w:p>
          <w:p w14:paraId="7DC5FA6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361" w:type="pct"/>
            <w:vAlign w:val="center"/>
          </w:tcPr>
          <w:p w14:paraId="3A016AE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426" w:type="pct"/>
            <w:vAlign w:val="center"/>
          </w:tcPr>
          <w:p w14:paraId="503CB1EC">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13C862B8">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394" w:type="pct"/>
            <w:vAlign w:val="center"/>
          </w:tcPr>
          <w:p w14:paraId="16963B28">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0.5</w:t>
            </w:r>
          </w:p>
        </w:tc>
        <w:tc>
          <w:tcPr>
            <w:tcW w:w="420" w:type="pct"/>
            <w:vAlign w:val="center"/>
          </w:tcPr>
          <w:p w14:paraId="3B55714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废水处理</w:t>
            </w:r>
          </w:p>
        </w:tc>
        <w:tc>
          <w:tcPr>
            <w:tcW w:w="308" w:type="pct"/>
            <w:vAlign w:val="center"/>
          </w:tcPr>
          <w:p w14:paraId="2441531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117BD7A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w:t>
            </w:r>
          </w:p>
          <w:p w14:paraId="0A284DC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膜、废反</w:t>
            </w:r>
          </w:p>
          <w:p w14:paraId="0DAB17F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387" w:type="pct"/>
            <w:vAlign w:val="center"/>
          </w:tcPr>
          <w:p w14:paraId="51E3937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废过滤膜、废反渗透膜</w:t>
            </w:r>
          </w:p>
        </w:tc>
        <w:tc>
          <w:tcPr>
            <w:tcW w:w="394" w:type="pct"/>
            <w:vAlign w:val="center"/>
          </w:tcPr>
          <w:p w14:paraId="675E19F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36个月</w:t>
            </w:r>
          </w:p>
        </w:tc>
        <w:tc>
          <w:tcPr>
            <w:tcW w:w="354" w:type="pct"/>
            <w:vAlign w:val="center"/>
          </w:tcPr>
          <w:p w14:paraId="1D60203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0AECA6E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7D9E9F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1D72169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11</w:t>
            </w:r>
          </w:p>
        </w:tc>
        <w:tc>
          <w:tcPr>
            <w:tcW w:w="394" w:type="pct"/>
            <w:vAlign w:val="center"/>
          </w:tcPr>
          <w:p w14:paraId="0B486E4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污泥、蒸发结晶盐</w:t>
            </w:r>
          </w:p>
        </w:tc>
        <w:tc>
          <w:tcPr>
            <w:tcW w:w="361" w:type="pct"/>
            <w:vAlign w:val="center"/>
          </w:tcPr>
          <w:p w14:paraId="7550004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426" w:type="pct"/>
            <w:vAlign w:val="center"/>
          </w:tcPr>
          <w:p w14:paraId="7F91DBC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58B952A8">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394" w:type="pct"/>
            <w:vAlign w:val="center"/>
          </w:tcPr>
          <w:p w14:paraId="6E4096F0">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15</w:t>
            </w:r>
          </w:p>
        </w:tc>
        <w:tc>
          <w:tcPr>
            <w:tcW w:w="420" w:type="pct"/>
            <w:vAlign w:val="center"/>
          </w:tcPr>
          <w:p w14:paraId="2C4E20D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废水处理</w:t>
            </w:r>
          </w:p>
        </w:tc>
        <w:tc>
          <w:tcPr>
            <w:tcW w:w="308" w:type="pct"/>
            <w:vAlign w:val="center"/>
          </w:tcPr>
          <w:p w14:paraId="236C1AF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61F1692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污泥、蒸发结晶盐</w:t>
            </w:r>
          </w:p>
        </w:tc>
        <w:tc>
          <w:tcPr>
            <w:tcW w:w="387" w:type="pct"/>
            <w:vAlign w:val="center"/>
          </w:tcPr>
          <w:p w14:paraId="4E37990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含镉污泥、蒸发结晶盐</w:t>
            </w:r>
          </w:p>
        </w:tc>
        <w:tc>
          <w:tcPr>
            <w:tcW w:w="394" w:type="pct"/>
            <w:vAlign w:val="center"/>
          </w:tcPr>
          <w:p w14:paraId="0428FCB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2个月</w:t>
            </w:r>
          </w:p>
        </w:tc>
        <w:tc>
          <w:tcPr>
            <w:tcW w:w="354" w:type="pct"/>
            <w:vAlign w:val="center"/>
          </w:tcPr>
          <w:p w14:paraId="25596C8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7CE3CAF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4D3FF1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4" w:type="pct"/>
            <w:vAlign w:val="center"/>
          </w:tcPr>
          <w:p w14:paraId="09C6BE7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12</w:t>
            </w:r>
          </w:p>
        </w:tc>
        <w:tc>
          <w:tcPr>
            <w:tcW w:w="394" w:type="pct"/>
            <w:vAlign w:val="center"/>
          </w:tcPr>
          <w:p w14:paraId="545AA5B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收尘灰</w:t>
            </w:r>
          </w:p>
        </w:tc>
        <w:tc>
          <w:tcPr>
            <w:tcW w:w="361" w:type="pct"/>
            <w:vAlign w:val="center"/>
          </w:tcPr>
          <w:p w14:paraId="2DCBFF2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426" w:type="pct"/>
            <w:vAlign w:val="center"/>
          </w:tcPr>
          <w:p w14:paraId="3350B7B4">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1AF7FF7F">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394" w:type="pct"/>
            <w:vAlign w:val="center"/>
          </w:tcPr>
          <w:p w14:paraId="38DA9EBC">
            <w:pPr>
              <w:widowControl w:val="0"/>
              <w:jc w:val="center"/>
              <w:rPr>
                <w:rFonts w:hint="default"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3.80</w:t>
            </w:r>
          </w:p>
        </w:tc>
        <w:tc>
          <w:tcPr>
            <w:tcW w:w="420" w:type="pct"/>
            <w:vAlign w:val="center"/>
          </w:tcPr>
          <w:p w14:paraId="03B55E32">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废气处理</w:t>
            </w:r>
          </w:p>
        </w:tc>
        <w:tc>
          <w:tcPr>
            <w:tcW w:w="308" w:type="pct"/>
            <w:vAlign w:val="center"/>
          </w:tcPr>
          <w:p w14:paraId="77E9A85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40E3C04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收尘灰</w:t>
            </w:r>
          </w:p>
        </w:tc>
        <w:tc>
          <w:tcPr>
            <w:tcW w:w="387" w:type="pct"/>
            <w:vAlign w:val="center"/>
          </w:tcPr>
          <w:p w14:paraId="11F237B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颗粒物、镉及其化合物</w:t>
            </w:r>
          </w:p>
        </w:tc>
        <w:tc>
          <w:tcPr>
            <w:tcW w:w="394" w:type="pct"/>
            <w:vAlign w:val="center"/>
          </w:tcPr>
          <w:p w14:paraId="79D0430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3个月</w:t>
            </w:r>
          </w:p>
        </w:tc>
        <w:tc>
          <w:tcPr>
            <w:tcW w:w="354" w:type="pct"/>
            <w:vAlign w:val="center"/>
          </w:tcPr>
          <w:p w14:paraId="4A84411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3633E6F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2A5F1A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10C6E89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13</w:t>
            </w:r>
          </w:p>
        </w:tc>
        <w:tc>
          <w:tcPr>
            <w:tcW w:w="394" w:type="pct"/>
            <w:vAlign w:val="center"/>
          </w:tcPr>
          <w:p w14:paraId="2FECB60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废过滤器</w:t>
            </w:r>
          </w:p>
        </w:tc>
        <w:tc>
          <w:tcPr>
            <w:tcW w:w="361" w:type="pct"/>
            <w:vAlign w:val="center"/>
          </w:tcPr>
          <w:p w14:paraId="4F9FCA8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426" w:type="pct"/>
            <w:vAlign w:val="center"/>
          </w:tcPr>
          <w:p w14:paraId="6EB2268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0E90A024">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394" w:type="pct"/>
            <w:vAlign w:val="center"/>
          </w:tcPr>
          <w:p w14:paraId="46CFF9FE">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0.5（3a）</w:t>
            </w:r>
          </w:p>
        </w:tc>
        <w:tc>
          <w:tcPr>
            <w:tcW w:w="420" w:type="pct"/>
            <w:vAlign w:val="center"/>
          </w:tcPr>
          <w:p w14:paraId="14C67FAD">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废气处理</w:t>
            </w:r>
          </w:p>
        </w:tc>
        <w:tc>
          <w:tcPr>
            <w:tcW w:w="308" w:type="pct"/>
            <w:vAlign w:val="center"/>
          </w:tcPr>
          <w:p w14:paraId="1BA0C9E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7A85E5E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废过滤器</w:t>
            </w:r>
          </w:p>
        </w:tc>
        <w:tc>
          <w:tcPr>
            <w:tcW w:w="387" w:type="pct"/>
            <w:vAlign w:val="center"/>
          </w:tcPr>
          <w:p w14:paraId="4146886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含镉过滤器</w:t>
            </w:r>
          </w:p>
        </w:tc>
        <w:tc>
          <w:tcPr>
            <w:tcW w:w="394" w:type="pct"/>
            <w:vAlign w:val="center"/>
          </w:tcPr>
          <w:p w14:paraId="3A4F6C5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36个月</w:t>
            </w:r>
          </w:p>
        </w:tc>
        <w:tc>
          <w:tcPr>
            <w:tcW w:w="354" w:type="pct"/>
            <w:vAlign w:val="center"/>
          </w:tcPr>
          <w:p w14:paraId="627B064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25F1AB4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0979B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63FE682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14</w:t>
            </w:r>
          </w:p>
        </w:tc>
        <w:tc>
          <w:tcPr>
            <w:tcW w:w="394" w:type="pct"/>
            <w:vAlign w:val="center"/>
          </w:tcPr>
          <w:p w14:paraId="275CD69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361" w:type="pct"/>
            <w:vAlign w:val="center"/>
          </w:tcPr>
          <w:p w14:paraId="413FD90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w:t>
            </w:r>
            <w:r>
              <w:rPr>
                <w:rFonts w:ascii="Times New Roman" w:hAnsi="Times New Roman" w:cs="Times New Roman"/>
                <w:caps w:val="0"/>
                <w:smallCaps w:val="0"/>
                <w:color w:val="auto"/>
                <w:spacing w:val="0"/>
                <w:highlight w:val="none"/>
                <w:lang w:eastAsia="zh-CN"/>
              </w:rPr>
              <w:t>49</w:t>
            </w:r>
          </w:p>
        </w:tc>
        <w:tc>
          <w:tcPr>
            <w:tcW w:w="426" w:type="pct"/>
            <w:vAlign w:val="center"/>
          </w:tcPr>
          <w:p w14:paraId="119521D2">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429ED447">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39-49</w:t>
            </w:r>
          </w:p>
        </w:tc>
        <w:tc>
          <w:tcPr>
            <w:tcW w:w="394" w:type="pct"/>
            <w:vAlign w:val="center"/>
          </w:tcPr>
          <w:p w14:paraId="49A90B6E">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1.5</w:t>
            </w:r>
          </w:p>
        </w:tc>
        <w:tc>
          <w:tcPr>
            <w:tcW w:w="420" w:type="pct"/>
            <w:vAlign w:val="center"/>
          </w:tcPr>
          <w:p w14:paraId="28C9D964">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废气处理</w:t>
            </w:r>
          </w:p>
        </w:tc>
        <w:tc>
          <w:tcPr>
            <w:tcW w:w="308" w:type="pct"/>
            <w:vAlign w:val="center"/>
          </w:tcPr>
          <w:p w14:paraId="1EA7CD8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7777052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387" w:type="pct"/>
            <w:vAlign w:val="center"/>
          </w:tcPr>
          <w:p w14:paraId="4A4EAF4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饱和活性炭</w:t>
            </w:r>
          </w:p>
        </w:tc>
        <w:tc>
          <w:tcPr>
            <w:tcW w:w="394" w:type="pct"/>
            <w:vAlign w:val="center"/>
          </w:tcPr>
          <w:p w14:paraId="2AB3A3F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36个月</w:t>
            </w:r>
          </w:p>
        </w:tc>
        <w:tc>
          <w:tcPr>
            <w:tcW w:w="354" w:type="pct"/>
            <w:vAlign w:val="center"/>
          </w:tcPr>
          <w:p w14:paraId="70E66A5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6" w:type="pct"/>
            <w:vAlign w:val="center"/>
          </w:tcPr>
          <w:p w14:paraId="3129F76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bl>
    <w:p w14:paraId="3AE99F7E">
      <w:pPr>
        <w:pStyle w:val="6"/>
        <w:widowControl w:val="0"/>
        <w:rPr>
          <w:rFonts w:eastAsia="宋体"/>
          <w:caps w:val="0"/>
          <w:smallCaps w:val="0"/>
          <w:color w:val="auto"/>
          <w:spacing w:val="0"/>
          <w:highlight w:val="none"/>
        </w:rPr>
      </w:pPr>
      <w:r>
        <w:rPr>
          <w:rFonts w:eastAsia="宋体"/>
          <w:caps w:val="0"/>
          <w:smallCaps w:val="0"/>
          <w:color w:val="auto"/>
          <w:spacing w:val="0"/>
          <w:highlight w:val="none"/>
        </w:rPr>
        <w:t>3.5.1.</w:t>
      </w:r>
      <w:r>
        <w:rPr>
          <w:rFonts w:hint="eastAsia" w:eastAsia="宋体"/>
          <w:caps w:val="0"/>
          <w:smallCaps w:val="0"/>
          <w:color w:val="auto"/>
          <w:spacing w:val="0"/>
          <w:highlight w:val="none"/>
        </w:rPr>
        <w:t>5</w:t>
      </w:r>
      <w:r>
        <w:rPr>
          <w:rFonts w:eastAsia="宋体"/>
          <w:caps w:val="0"/>
          <w:smallCaps w:val="0"/>
          <w:color w:val="auto"/>
          <w:spacing w:val="0"/>
          <w:highlight w:val="none"/>
        </w:rPr>
        <w:t>非正常工况</w:t>
      </w:r>
    </w:p>
    <w:p w14:paraId="0564F463">
      <w:pPr>
        <w:pStyle w:val="117"/>
        <w:spacing w:after="0" w:line="360" w:lineRule="auto"/>
        <w:rPr>
          <w:rFonts w:ascii="Times New Roman" w:hAnsi="Times New Roman" w:cs="Times New Roman"/>
          <w:caps w:val="0"/>
          <w:smallCaps w:val="0"/>
          <w:color w:val="auto"/>
          <w:spacing w:val="0"/>
          <w:sz w:val="24"/>
          <w:highlight w:val="none"/>
        </w:rPr>
      </w:pPr>
      <w:r>
        <w:rPr>
          <w:rFonts w:hint="eastAsia" w:ascii="Times New Roman" w:hAnsi="Times New Roman" w:cs="Times New Roman"/>
          <w:caps w:val="0"/>
          <w:smallCaps w:val="0"/>
          <w:color w:val="auto"/>
          <w:spacing w:val="0"/>
          <w:sz w:val="24"/>
          <w:highlight w:val="none"/>
        </w:rPr>
        <w:t>（1）废气</w:t>
      </w:r>
    </w:p>
    <w:p w14:paraId="1391AD26">
      <w:pPr>
        <w:pStyle w:val="117"/>
        <w:spacing w:after="0" w:line="360" w:lineRule="auto"/>
        <w:rPr>
          <w:rFonts w:ascii="Times New Roman" w:hAnsi="Times New Roman" w:cs="Times New Roman"/>
          <w:caps w:val="0"/>
          <w:smallCaps w:val="0"/>
          <w:color w:val="auto"/>
          <w:spacing w:val="0"/>
          <w:sz w:val="24"/>
          <w:highlight w:val="none"/>
        </w:rPr>
      </w:pPr>
      <w:r>
        <w:rPr>
          <w:rFonts w:ascii="Times New Roman" w:hAnsi="Times New Roman" w:cs="Times New Roman"/>
          <w:caps w:val="0"/>
          <w:smallCaps w:val="0"/>
          <w:color w:val="auto"/>
          <w:spacing w:val="0"/>
          <w:sz w:val="24"/>
          <w:highlight w:val="none"/>
        </w:rPr>
        <w:t>本项目非正常工况设定情景为自带H14级的高效过滤器，效率为90%，或活性炭吸附装置的滤袋破损及碱液浓度降低导致</w:t>
      </w:r>
      <w:r>
        <w:rPr>
          <w:rFonts w:ascii="Times New Roman" w:hAnsi="Times New Roman" w:cs="Times New Roman"/>
          <w:caps w:val="0"/>
          <w:smallCaps w:val="0"/>
          <w:color w:val="auto"/>
          <w:spacing w:val="0"/>
          <w:sz w:val="24"/>
          <w:highlight w:val="none"/>
        </w:rPr>
        <w:t>DA00</w:t>
      </w:r>
      <w:r>
        <w:rPr>
          <w:rFonts w:hint="eastAsia" w:ascii="Times New Roman" w:hAnsi="Times New Roman" w:cs="Times New Roman"/>
          <w:caps w:val="0"/>
          <w:smallCaps w:val="0"/>
          <w:color w:val="auto"/>
          <w:spacing w:val="0"/>
          <w:sz w:val="24"/>
          <w:highlight w:val="none"/>
          <w:lang w:val="en-US" w:eastAsia="zh-CN"/>
        </w:rPr>
        <w:t>9</w:t>
      </w:r>
      <w:r>
        <w:rPr>
          <w:rFonts w:ascii="Times New Roman" w:hAnsi="Times New Roman" w:cs="Times New Roman"/>
          <w:caps w:val="0"/>
          <w:smallCaps w:val="0"/>
          <w:color w:val="auto"/>
          <w:spacing w:val="0"/>
          <w:sz w:val="24"/>
          <w:highlight w:val="none"/>
        </w:rPr>
        <w:t>及DA00</w:t>
      </w:r>
      <w:r>
        <w:rPr>
          <w:rFonts w:hint="eastAsia" w:ascii="Times New Roman" w:hAnsi="Times New Roman" w:cs="Times New Roman"/>
          <w:caps w:val="0"/>
          <w:smallCaps w:val="0"/>
          <w:color w:val="auto"/>
          <w:spacing w:val="0"/>
          <w:sz w:val="24"/>
          <w:highlight w:val="none"/>
          <w:lang w:val="en-US" w:eastAsia="zh-CN"/>
        </w:rPr>
        <w:t>8</w:t>
      </w:r>
      <w:r>
        <w:rPr>
          <w:rFonts w:ascii="Times New Roman" w:hAnsi="Times New Roman" w:cs="Times New Roman"/>
          <w:caps w:val="0"/>
          <w:smallCaps w:val="0"/>
          <w:color w:val="auto"/>
          <w:spacing w:val="0"/>
          <w:sz w:val="24"/>
          <w:highlight w:val="none"/>
        </w:rPr>
        <w:t>处理效率降低到70%。非正常工况排放参数见下表：</w:t>
      </w:r>
    </w:p>
    <w:p w14:paraId="6196C686">
      <w:pPr>
        <w:widowControl w:val="0"/>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表3.5-</w:t>
      </w:r>
      <w:r>
        <w:rPr>
          <w:rFonts w:hint="eastAsia" w:ascii="Times New Roman" w:hAnsi="Times New Roman" w:eastAsia="宋体" w:cs="Times New Roman"/>
          <w:b/>
          <w:bCs/>
          <w:caps w:val="0"/>
          <w:smallCaps w:val="0"/>
          <w:color w:val="auto"/>
          <w:spacing w:val="0"/>
          <w:highlight w:val="none"/>
        </w:rPr>
        <w:t>10</w:t>
      </w:r>
      <w:r>
        <w:rPr>
          <w:rFonts w:ascii="Times New Roman" w:hAnsi="Times New Roman" w:eastAsia="宋体" w:cs="Times New Roman"/>
          <w:b/>
          <w:bCs/>
          <w:caps w:val="0"/>
          <w:smallCaps w:val="0"/>
          <w:color w:val="auto"/>
          <w:spacing w:val="0"/>
          <w:highlight w:val="none"/>
        </w:rPr>
        <w:t>非正常排放参数表</w:t>
      </w:r>
    </w:p>
    <w:tbl>
      <w:tblPr>
        <w:tblStyle w:val="37"/>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96"/>
        <w:gridCol w:w="969"/>
        <w:gridCol w:w="1307"/>
        <w:gridCol w:w="1323"/>
        <w:gridCol w:w="1455"/>
        <w:gridCol w:w="983"/>
        <w:gridCol w:w="981"/>
        <w:gridCol w:w="1272"/>
      </w:tblGrid>
      <w:tr w14:paraId="332309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tcBorders>
              <w:top w:val="single" w:color="auto" w:sz="8" w:space="0"/>
              <w:bottom w:val="single" w:color="auto" w:sz="8" w:space="0"/>
              <w:tl2br w:val="nil"/>
              <w:tr2bl w:val="nil"/>
            </w:tcBorders>
            <w:vAlign w:val="center"/>
          </w:tcPr>
          <w:p w14:paraId="7819729E">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非正常排放源</w:t>
            </w:r>
          </w:p>
        </w:tc>
        <w:tc>
          <w:tcPr>
            <w:tcW w:w="521" w:type="pct"/>
            <w:tcBorders>
              <w:top w:val="single" w:color="auto" w:sz="8" w:space="0"/>
              <w:bottom w:val="single" w:color="auto" w:sz="8" w:space="0"/>
              <w:tl2br w:val="nil"/>
              <w:tr2bl w:val="nil"/>
            </w:tcBorders>
            <w:vAlign w:val="center"/>
          </w:tcPr>
          <w:p w14:paraId="7CA3DC6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污染物</w:t>
            </w:r>
          </w:p>
        </w:tc>
        <w:tc>
          <w:tcPr>
            <w:tcW w:w="703" w:type="pct"/>
            <w:tcBorders>
              <w:top w:val="single" w:color="auto" w:sz="8" w:space="0"/>
              <w:bottom w:val="single" w:color="auto" w:sz="8" w:space="0"/>
              <w:tl2br w:val="nil"/>
              <w:tr2bl w:val="nil"/>
            </w:tcBorders>
            <w:vAlign w:val="center"/>
          </w:tcPr>
          <w:p w14:paraId="42143DD9">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bCs/>
                <w:caps w:val="0"/>
                <w:smallCaps w:val="0"/>
                <w:color w:val="auto"/>
                <w:spacing w:val="0"/>
                <w:sz w:val="21"/>
                <w:szCs w:val="21"/>
                <w:highlight w:val="none"/>
              </w:rPr>
              <w:t>非正常工况情景设置</w:t>
            </w:r>
          </w:p>
        </w:tc>
        <w:tc>
          <w:tcPr>
            <w:tcW w:w="712" w:type="pct"/>
            <w:tcBorders>
              <w:top w:val="single" w:color="auto" w:sz="8" w:space="0"/>
              <w:bottom w:val="single" w:color="auto" w:sz="8" w:space="0"/>
              <w:tl2br w:val="nil"/>
              <w:tr2bl w:val="nil"/>
            </w:tcBorders>
            <w:vAlign w:val="center"/>
          </w:tcPr>
          <w:p w14:paraId="3DD898C8">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非正常排放速率（kg/h）</w:t>
            </w:r>
          </w:p>
        </w:tc>
        <w:tc>
          <w:tcPr>
            <w:tcW w:w="783" w:type="pct"/>
            <w:tcBorders>
              <w:top w:val="single" w:color="auto" w:sz="8" w:space="0"/>
              <w:bottom w:val="single" w:color="auto" w:sz="8" w:space="0"/>
              <w:tl2br w:val="nil"/>
              <w:tr2bl w:val="nil"/>
            </w:tcBorders>
            <w:vAlign w:val="center"/>
          </w:tcPr>
          <w:p w14:paraId="7D48548A">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非正常排放浓度（mg/m</w:t>
            </w:r>
            <w:r>
              <w:rPr>
                <w:rFonts w:ascii="Times New Roman" w:hAnsi="Times New Roman" w:cs="Times New Roman"/>
                <w:caps w:val="0"/>
                <w:smallCaps w:val="0"/>
                <w:color w:val="auto"/>
                <w:spacing w:val="0"/>
                <w:sz w:val="21"/>
                <w:szCs w:val="21"/>
                <w:highlight w:val="none"/>
                <w:vertAlign w:val="superscript"/>
              </w:rPr>
              <w:t>3</w:t>
            </w:r>
            <w:r>
              <w:rPr>
                <w:rFonts w:ascii="Times New Roman" w:hAnsi="Times New Roman" w:cs="Times New Roman"/>
                <w:caps w:val="0"/>
                <w:smallCaps w:val="0"/>
                <w:color w:val="auto"/>
                <w:spacing w:val="0"/>
                <w:sz w:val="21"/>
                <w:szCs w:val="21"/>
                <w:highlight w:val="none"/>
              </w:rPr>
              <w:t>）</w:t>
            </w:r>
          </w:p>
        </w:tc>
        <w:tc>
          <w:tcPr>
            <w:tcW w:w="529" w:type="pct"/>
            <w:tcBorders>
              <w:top w:val="single" w:color="auto" w:sz="8" w:space="0"/>
              <w:bottom w:val="single" w:color="auto" w:sz="8" w:space="0"/>
              <w:tl2br w:val="nil"/>
              <w:tr2bl w:val="nil"/>
            </w:tcBorders>
            <w:vAlign w:val="center"/>
          </w:tcPr>
          <w:p w14:paraId="7E3DC22C">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单次持续时间/h</w:t>
            </w:r>
          </w:p>
        </w:tc>
        <w:tc>
          <w:tcPr>
            <w:tcW w:w="528" w:type="pct"/>
            <w:tcBorders>
              <w:top w:val="single" w:color="auto" w:sz="8" w:space="0"/>
              <w:bottom w:val="single" w:color="auto" w:sz="8" w:space="0"/>
              <w:tl2br w:val="nil"/>
              <w:tr2bl w:val="nil"/>
            </w:tcBorders>
            <w:vAlign w:val="center"/>
          </w:tcPr>
          <w:p w14:paraId="41F39E9B">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年发生频次/次</w:t>
            </w:r>
          </w:p>
        </w:tc>
        <w:tc>
          <w:tcPr>
            <w:tcW w:w="684" w:type="pct"/>
            <w:tcBorders>
              <w:top w:val="single" w:color="auto" w:sz="8" w:space="0"/>
              <w:bottom w:val="single" w:color="auto" w:sz="8" w:space="0"/>
              <w:tl2br w:val="nil"/>
              <w:tr2bl w:val="nil"/>
            </w:tcBorders>
            <w:vAlign w:val="center"/>
          </w:tcPr>
          <w:p w14:paraId="5853A273">
            <w:pPr>
              <w:widowControl w:val="0"/>
              <w:contextualSpacing/>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应对措施</w:t>
            </w:r>
          </w:p>
        </w:tc>
      </w:tr>
      <w:tr w14:paraId="0D0ABB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restart"/>
            <w:tcBorders>
              <w:top w:val="single" w:color="auto" w:sz="8" w:space="0"/>
              <w:tl2br w:val="nil"/>
              <w:tr2bl w:val="nil"/>
            </w:tcBorders>
            <w:vAlign w:val="center"/>
          </w:tcPr>
          <w:p w14:paraId="110D9F05">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DA001</w:t>
            </w:r>
          </w:p>
        </w:tc>
        <w:tc>
          <w:tcPr>
            <w:tcW w:w="521" w:type="pct"/>
            <w:tcBorders>
              <w:top w:val="single" w:color="auto" w:sz="8" w:space="0"/>
              <w:tl2br w:val="nil"/>
              <w:tr2bl w:val="nil"/>
            </w:tcBorders>
            <w:vAlign w:val="center"/>
          </w:tcPr>
          <w:p w14:paraId="1C36687B">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颗粒物</w:t>
            </w:r>
          </w:p>
        </w:tc>
        <w:tc>
          <w:tcPr>
            <w:tcW w:w="703" w:type="pct"/>
            <w:vMerge w:val="restart"/>
            <w:tcBorders>
              <w:top w:val="single" w:color="auto" w:sz="8" w:space="0"/>
              <w:tl2br w:val="nil"/>
              <w:tr2bl w:val="nil"/>
            </w:tcBorders>
            <w:vAlign w:val="center"/>
          </w:tcPr>
          <w:p w14:paraId="3DE336FD">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高效过滤器破损</w:t>
            </w:r>
          </w:p>
        </w:tc>
        <w:tc>
          <w:tcPr>
            <w:tcW w:w="712" w:type="pct"/>
            <w:tcBorders>
              <w:top w:val="single" w:color="auto" w:sz="8" w:space="0"/>
              <w:tl2br w:val="nil"/>
              <w:tr2bl w:val="nil"/>
            </w:tcBorders>
            <w:vAlign w:val="center"/>
          </w:tcPr>
          <w:p w14:paraId="00BA9EDE">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4.81×10</w:t>
            </w:r>
            <w:r>
              <w:rPr>
                <w:rFonts w:ascii="Times New Roman" w:hAnsi="Times New Roman" w:eastAsia="宋体" w:cs="Times New Roman"/>
                <w:caps w:val="0"/>
                <w:smallCaps w:val="0"/>
                <w:color w:val="auto"/>
                <w:spacing w:val="0"/>
                <w:sz w:val="21"/>
                <w:highlight w:val="none"/>
                <w:vertAlign w:val="superscript"/>
              </w:rPr>
              <w:t>-2</w:t>
            </w:r>
          </w:p>
        </w:tc>
        <w:tc>
          <w:tcPr>
            <w:tcW w:w="783" w:type="pct"/>
            <w:tcBorders>
              <w:top w:val="single" w:color="auto" w:sz="8" w:space="0"/>
              <w:tl2br w:val="nil"/>
              <w:tr2bl w:val="nil"/>
            </w:tcBorders>
            <w:vAlign w:val="center"/>
          </w:tcPr>
          <w:p w14:paraId="2E9E5AA6">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16.2</w:t>
            </w:r>
          </w:p>
        </w:tc>
        <w:tc>
          <w:tcPr>
            <w:tcW w:w="529" w:type="pct"/>
            <w:vMerge w:val="restart"/>
            <w:tcBorders>
              <w:top w:val="single" w:color="auto" w:sz="8" w:space="0"/>
              <w:tl2br w:val="nil"/>
              <w:tr2bl w:val="nil"/>
            </w:tcBorders>
            <w:vAlign w:val="center"/>
          </w:tcPr>
          <w:p w14:paraId="109B9542">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vMerge w:val="restart"/>
            <w:tcBorders>
              <w:top w:val="single" w:color="auto" w:sz="8" w:space="0"/>
              <w:tl2br w:val="nil"/>
              <w:tr2bl w:val="nil"/>
            </w:tcBorders>
            <w:vAlign w:val="center"/>
          </w:tcPr>
          <w:p w14:paraId="2940A55E">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restart"/>
            <w:tcBorders>
              <w:top w:val="single" w:color="auto" w:sz="8" w:space="0"/>
              <w:tl2br w:val="nil"/>
              <w:tr2bl w:val="nil"/>
            </w:tcBorders>
            <w:vAlign w:val="center"/>
          </w:tcPr>
          <w:p w14:paraId="1567B8F6">
            <w:pPr>
              <w:widowControl w:val="0"/>
              <w:contextualSpacing/>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及时检修，加强维护</w:t>
            </w:r>
          </w:p>
          <w:p w14:paraId="74162E8A">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75F91F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0CA98011">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23D73477">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镉及其化合物</w:t>
            </w:r>
          </w:p>
        </w:tc>
        <w:tc>
          <w:tcPr>
            <w:tcW w:w="703" w:type="pct"/>
            <w:vMerge w:val="continue"/>
            <w:tcBorders>
              <w:tl2br w:val="nil"/>
              <w:tr2bl w:val="nil"/>
            </w:tcBorders>
            <w:vAlign w:val="center"/>
          </w:tcPr>
          <w:p w14:paraId="6F865792">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1002626E">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2.25×10</w:t>
            </w:r>
            <w:r>
              <w:rPr>
                <w:rFonts w:ascii="Times New Roman" w:hAnsi="Times New Roman" w:eastAsia="宋体" w:cs="Times New Roman"/>
                <w:caps w:val="0"/>
                <w:smallCaps w:val="0"/>
                <w:color w:val="auto"/>
                <w:spacing w:val="0"/>
                <w:sz w:val="21"/>
                <w:highlight w:val="none"/>
                <w:vertAlign w:val="superscript"/>
              </w:rPr>
              <w:t>-2</w:t>
            </w:r>
          </w:p>
        </w:tc>
        <w:tc>
          <w:tcPr>
            <w:tcW w:w="783" w:type="pct"/>
            <w:tcBorders>
              <w:tl2br w:val="nil"/>
              <w:tr2bl w:val="nil"/>
            </w:tcBorders>
            <w:vAlign w:val="center"/>
          </w:tcPr>
          <w:p w14:paraId="7EE73E9B">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7.62</w:t>
            </w:r>
          </w:p>
        </w:tc>
        <w:tc>
          <w:tcPr>
            <w:tcW w:w="529" w:type="pct"/>
            <w:vMerge w:val="continue"/>
            <w:tcBorders>
              <w:tl2br w:val="nil"/>
              <w:tr2bl w:val="nil"/>
            </w:tcBorders>
            <w:vAlign w:val="center"/>
          </w:tcPr>
          <w:p w14:paraId="318630A8">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0CAE7B4E">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3B254460">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5FAAFF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36" w:type="pct"/>
            <w:tcBorders>
              <w:tl2br w:val="nil"/>
              <w:tr2bl w:val="nil"/>
            </w:tcBorders>
            <w:vAlign w:val="center"/>
          </w:tcPr>
          <w:p w14:paraId="67B955AD">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DA002</w:t>
            </w:r>
          </w:p>
        </w:tc>
        <w:tc>
          <w:tcPr>
            <w:tcW w:w="521" w:type="pct"/>
            <w:tcBorders>
              <w:tl2br w:val="nil"/>
              <w:tr2bl w:val="nil"/>
            </w:tcBorders>
            <w:vAlign w:val="center"/>
          </w:tcPr>
          <w:p w14:paraId="516D7427">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颗粒物</w:t>
            </w:r>
          </w:p>
        </w:tc>
        <w:tc>
          <w:tcPr>
            <w:tcW w:w="703" w:type="pct"/>
            <w:tcBorders>
              <w:tl2br w:val="nil"/>
              <w:tr2bl w:val="nil"/>
            </w:tcBorders>
            <w:vAlign w:val="center"/>
          </w:tcPr>
          <w:p w14:paraId="169BEFF4">
            <w:pPr>
              <w:pStyle w:val="227"/>
              <w:widowControl w:val="0"/>
              <w:spacing w:line="240" w:lineRule="auto"/>
              <w:contextualSpacing/>
              <w:jc w:val="center"/>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高效过滤器破损</w:t>
            </w:r>
          </w:p>
        </w:tc>
        <w:tc>
          <w:tcPr>
            <w:tcW w:w="712" w:type="pct"/>
            <w:tcBorders>
              <w:tl2br w:val="nil"/>
              <w:tr2bl w:val="nil"/>
            </w:tcBorders>
            <w:vAlign w:val="center"/>
          </w:tcPr>
          <w:p w14:paraId="46701FB9">
            <w:pPr>
              <w:widowControl w:val="0"/>
              <w:autoSpaceDE w:val="0"/>
              <w:autoSpaceDN w:val="0"/>
              <w:snapToGrid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9.99*10-</w:t>
            </w:r>
            <w:r>
              <w:rPr>
                <w:rFonts w:ascii="Times New Roman" w:hAnsi="Times New Roman" w:eastAsia="宋体" w:cs="Times New Roman"/>
                <w:caps w:val="0"/>
                <w:smallCaps w:val="0"/>
                <w:color w:val="auto"/>
                <w:spacing w:val="0"/>
                <w:sz w:val="21"/>
                <w:highlight w:val="none"/>
                <w:vertAlign w:val="superscript"/>
              </w:rPr>
              <w:t>4</w:t>
            </w:r>
          </w:p>
        </w:tc>
        <w:tc>
          <w:tcPr>
            <w:tcW w:w="783" w:type="pct"/>
            <w:tcBorders>
              <w:tl2br w:val="nil"/>
              <w:tr2bl w:val="nil"/>
            </w:tcBorders>
            <w:vAlign w:val="center"/>
          </w:tcPr>
          <w:p w14:paraId="7F7352D8">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0.333</w:t>
            </w:r>
          </w:p>
        </w:tc>
        <w:tc>
          <w:tcPr>
            <w:tcW w:w="529" w:type="pct"/>
            <w:tcBorders>
              <w:tl2br w:val="nil"/>
              <w:tr2bl w:val="nil"/>
            </w:tcBorders>
            <w:vAlign w:val="center"/>
          </w:tcPr>
          <w:p w14:paraId="54750EAD">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tcBorders>
              <w:tl2br w:val="nil"/>
              <w:tr2bl w:val="nil"/>
            </w:tcBorders>
            <w:vAlign w:val="center"/>
          </w:tcPr>
          <w:p w14:paraId="32782753">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61879608">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419203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restart"/>
            <w:tcBorders>
              <w:tl2br w:val="nil"/>
              <w:tr2bl w:val="nil"/>
            </w:tcBorders>
            <w:vAlign w:val="center"/>
          </w:tcPr>
          <w:p w14:paraId="455056B5">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DA003</w:t>
            </w:r>
          </w:p>
        </w:tc>
        <w:tc>
          <w:tcPr>
            <w:tcW w:w="521" w:type="pct"/>
            <w:tcBorders>
              <w:tl2br w:val="nil"/>
              <w:tr2bl w:val="nil"/>
            </w:tcBorders>
            <w:vAlign w:val="center"/>
          </w:tcPr>
          <w:p w14:paraId="44AEC196">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颗粒物</w:t>
            </w:r>
          </w:p>
        </w:tc>
        <w:tc>
          <w:tcPr>
            <w:tcW w:w="703" w:type="pct"/>
            <w:vMerge w:val="restart"/>
            <w:tcBorders>
              <w:tl2br w:val="nil"/>
              <w:tr2bl w:val="nil"/>
            </w:tcBorders>
            <w:vAlign w:val="center"/>
          </w:tcPr>
          <w:p w14:paraId="74C442C5">
            <w:pPr>
              <w:widowControl w:val="0"/>
              <w:contextualSpacing/>
              <w:jc w:val="center"/>
              <w:rPr>
                <w:caps w:val="0"/>
                <w:smallCaps w:val="0"/>
                <w:color w:val="auto"/>
                <w:spacing w:val="0"/>
                <w:highlight w:val="none"/>
              </w:rPr>
            </w:pPr>
            <w:r>
              <w:rPr>
                <w:rFonts w:ascii="Times New Roman" w:hAnsi="Times New Roman" w:eastAsia="宋体" w:cs="Times New Roman"/>
                <w:caps w:val="0"/>
                <w:smallCaps w:val="0"/>
                <w:color w:val="auto"/>
                <w:spacing w:val="0"/>
                <w:sz w:val="21"/>
                <w:highlight w:val="none"/>
              </w:rPr>
              <w:t>高效过滤器破损</w:t>
            </w:r>
          </w:p>
        </w:tc>
        <w:tc>
          <w:tcPr>
            <w:tcW w:w="712" w:type="pct"/>
            <w:tcBorders>
              <w:tl2br w:val="nil"/>
              <w:tr2bl w:val="nil"/>
            </w:tcBorders>
            <w:vAlign w:val="center"/>
          </w:tcPr>
          <w:p w14:paraId="70EFF585">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1.82×10</w:t>
            </w:r>
            <w:r>
              <w:rPr>
                <w:rFonts w:ascii="Times New Roman" w:hAnsi="Times New Roman" w:eastAsia="宋体" w:cs="Times New Roman"/>
                <w:caps w:val="0"/>
                <w:smallCaps w:val="0"/>
                <w:color w:val="auto"/>
                <w:spacing w:val="0"/>
                <w:sz w:val="21"/>
                <w:highlight w:val="none"/>
                <w:vertAlign w:val="superscript"/>
              </w:rPr>
              <w:t>-3</w:t>
            </w:r>
          </w:p>
        </w:tc>
        <w:tc>
          <w:tcPr>
            <w:tcW w:w="783" w:type="pct"/>
            <w:tcBorders>
              <w:tl2br w:val="nil"/>
              <w:tr2bl w:val="nil"/>
            </w:tcBorders>
            <w:vAlign w:val="center"/>
          </w:tcPr>
          <w:p w14:paraId="19CB8207">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0.161</w:t>
            </w:r>
          </w:p>
        </w:tc>
        <w:tc>
          <w:tcPr>
            <w:tcW w:w="529" w:type="pct"/>
            <w:vMerge w:val="restart"/>
            <w:tcBorders>
              <w:tl2br w:val="nil"/>
              <w:tr2bl w:val="nil"/>
            </w:tcBorders>
            <w:vAlign w:val="center"/>
          </w:tcPr>
          <w:p w14:paraId="1867EB0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vMerge w:val="restart"/>
            <w:tcBorders>
              <w:tl2br w:val="nil"/>
              <w:tr2bl w:val="nil"/>
            </w:tcBorders>
            <w:vAlign w:val="center"/>
          </w:tcPr>
          <w:p w14:paraId="0E8005A2">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59ED5029">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5B35B7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74C65926">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092A27F0">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镉及其化合物</w:t>
            </w:r>
          </w:p>
        </w:tc>
        <w:tc>
          <w:tcPr>
            <w:tcW w:w="703" w:type="pct"/>
            <w:vMerge w:val="continue"/>
            <w:tcBorders>
              <w:tl2br w:val="nil"/>
              <w:tr2bl w:val="nil"/>
            </w:tcBorders>
            <w:vAlign w:val="center"/>
          </w:tcPr>
          <w:p w14:paraId="36644C21">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4756BD72">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8.52×10</w:t>
            </w:r>
            <w:r>
              <w:rPr>
                <w:rFonts w:ascii="Times New Roman" w:hAnsi="Times New Roman" w:eastAsia="宋体" w:cs="Times New Roman"/>
                <w:caps w:val="0"/>
                <w:smallCaps w:val="0"/>
                <w:color w:val="auto"/>
                <w:spacing w:val="0"/>
                <w:sz w:val="21"/>
                <w:highlight w:val="none"/>
                <w:vertAlign w:val="superscript"/>
              </w:rPr>
              <w:t>-4</w:t>
            </w:r>
          </w:p>
        </w:tc>
        <w:tc>
          <w:tcPr>
            <w:tcW w:w="783" w:type="pct"/>
            <w:tcBorders>
              <w:tl2br w:val="nil"/>
              <w:tr2bl w:val="nil"/>
            </w:tcBorders>
            <w:vAlign w:val="center"/>
          </w:tcPr>
          <w:p w14:paraId="344351D3">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0.753</w:t>
            </w:r>
          </w:p>
        </w:tc>
        <w:tc>
          <w:tcPr>
            <w:tcW w:w="529" w:type="pct"/>
            <w:vMerge w:val="continue"/>
            <w:tcBorders>
              <w:tl2br w:val="nil"/>
              <w:tr2bl w:val="nil"/>
            </w:tcBorders>
            <w:vAlign w:val="center"/>
          </w:tcPr>
          <w:p w14:paraId="299D7E24">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783A7D97">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2A69FFBE">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6BCAAE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restart"/>
            <w:tcBorders>
              <w:tl2br w:val="nil"/>
              <w:tr2bl w:val="nil"/>
            </w:tcBorders>
            <w:vAlign w:val="center"/>
          </w:tcPr>
          <w:p w14:paraId="6910496D">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DA004</w:t>
            </w:r>
          </w:p>
        </w:tc>
        <w:tc>
          <w:tcPr>
            <w:tcW w:w="521" w:type="pct"/>
            <w:tcBorders>
              <w:tl2br w:val="nil"/>
              <w:tr2bl w:val="nil"/>
            </w:tcBorders>
            <w:vAlign w:val="center"/>
          </w:tcPr>
          <w:p w14:paraId="419A49AB">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颗粒物</w:t>
            </w:r>
          </w:p>
        </w:tc>
        <w:tc>
          <w:tcPr>
            <w:tcW w:w="703" w:type="pct"/>
            <w:vMerge w:val="restart"/>
            <w:tcBorders>
              <w:tl2br w:val="nil"/>
              <w:tr2bl w:val="nil"/>
            </w:tcBorders>
            <w:vAlign w:val="center"/>
          </w:tcPr>
          <w:p w14:paraId="44529336">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高效过滤器破损</w:t>
            </w:r>
          </w:p>
        </w:tc>
        <w:tc>
          <w:tcPr>
            <w:tcW w:w="712" w:type="pct"/>
            <w:tcBorders>
              <w:tl2br w:val="nil"/>
              <w:tr2bl w:val="nil"/>
            </w:tcBorders>
            <w:vAlign w:val="center"/>
          </w:tcPr>
          <w:p w14:paraId="24C9FD2C">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1.89×10</w:t>
            </w:r>
            <w:r>
              <w:rPr>
                <w:rFonts w:ascii="Times New Roman" w:hAnsi="Times New Roman" w:eastAsia="宋体" w:cs="Times New Roman"/>
                <w:caps w:val="0"/>
                <w:smallCaps w:val="0"/>
                <w:color w:val="auto"/>
                <w:spacing w:val="0"/>
                <w:sz w:val="21"/>
                <w:highlight w:val="none"/>
                <w:vertAlign w:val="superscript"/>
              </w:rPr>
              <w:t>-3</w:t>
            </w:r>
          </w:p>
        </w:tc>
        <w:tc>
          <w:tcPr>
            <w:tcW w:w="783" w:type="pct"/>
            <w:tcBorders>
              <w:tl2br w:val="nil"/>
              <w:tr2bl w:val="nil"/>
            </w:tcBorders>
            <w:vAlign w:val="center"/>
          </w:tcPr>
          <w:p w14:paraId="0F051C4C">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1.70</w:t>
            </w:r>
          </w:p>
        </w:tc>
        <w:tc>
          <w:tcPr>
            <w:tcW w:w="529" w:type="pct"/>
            <w:vMerge w:val="restart"/>
            <w:tcBorders>
              <w:tl2br w:val="nil"/>
              <w:tr2bl w:val="nil"/>
            </w:tcBorders>
            <w:vAlign w:val="center"/>
          </w:tcPr>
          <w:p w14:paraId="3BC45520">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vMerge w:val="restart"/>
            <w:tcBorders>
              <w:tl2br w:val="nil"/>
              <w:tr2bl w:val="nil"/>
            </w:tcBorders>
            <w:vAlign w:val="center"/>
          </w:tcPr>
          <w:p w14:paraId="5CFF7C45">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2097DEAA">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1CD7A6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bottom w:val="single" w:color="auto" w:sz="8" w:space="0"/>
              <w:tl2br w:val="nil"/>
              <w:tr2bl w:val="nil"/>
            </w:tcBorders>
            <w:vAlign w:val="center"/>
          </w:tcPr>
          <w:p w14:paraId="4A8D72E4">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bottom w:val="single" w:color="auto" w:sz="8" w:space="0"/>
              <w:tl2br w:val="nil"/>
              <w:tr2bl w:val="nil"/>
            </w:tcBorders>
            <w:vAlign w:val="center"/>
          </w:tcPr>
          <w:p w14:paraId="3378E4AA">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镉及其化合物</w:t>
            </w:r>
          </w:p>
        </w:tc>
        <w:tc>
          <w:tcPr>
            <w:tcW w:w="703" w:type="pct"/>
            <w:vMerge w:val="continue"/>
            <w:tcBorders>
              <w:bottom w:val="single" w:color="auto" w:sz="8" w:space="0"/>
              <w:tl2br w:val="nil"/>
              <w:tr2bl w:val="nil"/>
            </w:tcBorders>
            <w:vAlign w:val="center"/>
          </w:tcPr>
          <w:p w14:paraId="12D4F2D7">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p>
        </w:tc>
        <w:tc>
          <w:tcPr>
            <w:tcW w:w="712" w:type="pct"/>
            <w:tcBorders>
              <w:bottom w:val="single" w:color="auto" w:sz="8" w:space="0"/>
              <w:tl2br w:val="nil"/>
              <w:tr2bl w:val="nil"/>
            </w:tcBorders>
            <w:vAlign w:val="center"/>
          </w:tcPr>
          <w:p w14:paraId="6364C677">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8.52×10</w:t>
            </w:r>
            <w:r>
              <w:rPr>
                <w:rFonts w:ascii="Times New Roman" w:hAnsi="Times New Roman" w:eastAsia="宋体" w:cs="Times New Roman"/>
                <w:caps w:val="0"/>
                <w:smallCaps w:val="0"/>
                <w:color w:val="auto"/>
                <w:spacing w:val="0"/>
                <w:sz w:val="21"/>
                <w:highlight w:val="none"/>
                <w:vertAlign w:val="superscript"/>
              </w:rPr>
              <w:t>-4</w:t>
            </w:r>
          </w:p>
        </w:tc>
        <w:tc>
          <w:tcPr>
            <w:tcW w:w="783" w:type="pct"/>
            <w:tcBorders>
              <w:bottom w:val="single" w:color="auto" w:sz="8" w:space="0"/>
              <w:tl2br w:val="nil"/>
              <w:tr2bl w:val="nil"/>
            </w:tcBorders>
            <w:vAlign w:val="center"/>
          </w:tcPr>
          <w:p w14:paraId="39703E1B">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0.753</w:t>
            </w:r>
          </w:p>
        </w:tc>
        <w:tc>
          <w:tcPr>
            <w:tcW w:w="529" w:type="pct"/>
            <w:vMerge w:val="continue"/>
            <w:tcBorders>
              <w:bottom w:val="single" w:color="auto" w:sz="8" w:space="0"/>
              <w:tl2br w:val="nil"/>
              <w:tr2bl w:val="nil"/>
            </w:tcBorders>
            <w:vAlign w:val="center"/>
          </w:tcPr>
          <w:p w14:paraId="19EB04A2">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bottom w:val="single" w:color="auto" w:sz="8" w:space="0"/>
              <w:tl2br w:val="nil"/>
              <w:tr2bl w:val="nil"/>
            </w:tcBorders>
            <w:vAlign w:val="center"/>
          </w:tcPr>
          <w:p w14:paraId="66BCB3D5">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bottom w:val="single" w:color="auto" w:sz="8" w:space="0"/>
              <w:tl2br w:val="nil"/>
              <w:tr2bl w:val="nil"/>
            </w:tcBorders>
            <w:vAlign w:val="center"/>
          </w:tcPr>
          <w:p w14:paraId="6417CAC1">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0FECEA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tcBorders>
              <w:bottom w:val="single" w:color="auto" w:sz="8" w:space="0"/>
              <w:tl2br w:val="nil"/>
              <w:tr2bl w:val="nil"/>
            </w:tcBorders>
            <w:vAlign w:val="center"/>
          </w:tcPr>
          <w:p w14:paraId="7B2AE386">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w:t>
            </w:r>
            <w:r>
              <w:rPr>
                <w:rFonts w:hint="eastAsia" w:ascii="Times New Roman" w:hAnsi="Times New Roman" w:eastAsia="宋体"/>
                <w:caps w:val="0"/>
                <w:smallCaps w:val="0"/>
                <w:color w:val="auto"/>
                <w:spacing w:val="0"/>
                <w:sz w:val="21"/>
                <w:szCs w:val="21"/>
                <w:highlight w:val="none"/>
                <w:lang w:val="en-US" w:eastAsia="zh-CN"/>
              </w:rPr>
              <w:t>5</w:t>
            </w:r>
          </w:p>
        </w:tc>
        <w:tc>
          <w:tcPr>
            <w:tcW w:w="521" w:type="pct"/>
            <w:tcBorders>
              <w:bottom w:val="single" w:color="auto" w:sz="8" w:space="0"/>
              <w:tl2br w:val="nil"/>
              <w:tr2bl w:val="nil"/>
            </w:tcBorders>
            <w:vAlign w:val="center"/>
          </w:tcPr>
          <w:p w14:paraId="18320FA0">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颗粒物</w:t>
            </w:r>
          </w:p>
        </w:tc>
        <w:tc>
          <w:tcPr>
            <w:tcW w:w="703" w:type="pct"/>
            <w:tcBorders>
              <w:bottom w:val="single" w:color="auto" w:sz="8" w:space="0"/>
              <w:tl2br w:val="nil"/>
              <w:tr2bl w:val="nil"/>
            </w:tcBorders>
            <w:vAlign w:val="center"/>
          </w:tcPr>
          <w:p w14:paraId="7BE95051">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高效过滤器破损</w:t>
            </w:r>
          </w:p>
        </w:tc>
        <w:tc>
          <w:tcPr>
            <w:tcW w:w="712" w:type="pct"/>
            <w:tcBorders>
              <w:bottom w:val="single" w:color="auto" w:sz="8" w:space="0"/>
              <w:tl2br w:val="nil"/>
              <w:tr2bl w:val="nil"/>
            </w:tcBorders>
            <w:vAlign w:val="center"/>
          </w:tcPr>
          <w:p w14:paraId="645CC811">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9.69×10-</w:t>
            </w:r>
            <w:r>
              <w:rPr>
                <w:rFonts w:ascii="Times New Roman" w:hAnsi="Times New Roman" w:eastAsia="宋体" w:cs="Times New Roman"/>
                <w:caps w:val="0"/>
                <w:smallCaps w:val="0"/>
                <w:color w:val="auto"/>
                <w:spacing w:val="0"/>
                <w:sz w:val="21"/>
                <w:highlight w:val="none"/>
                <w:vertAlign w:val="superscript"/>
              </w:rPr>
              <w:t>4</w:t>
            </w:r>
          </w:p>
        </w:tc>
        <w:tc>
          <w:tcPr>
            <w:tcW w:w="783" w:type="pct"/>
            <w:tcBorders>
              <w:bottom w:val="single" w:color="auto" w:sz="8" w:space="0"/>
              <w:tl2br w:val="nil"/>
              <w:tr2bl w:val="nil"/>
            </w:tcBorders>
            <w:vAlign w:val="center"/>
          </w:tcPr>
          <w:p w14:paraId="2DFB7386">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0.646</w:t>
            </w:r>
          </w:p>
        </w:tc>
        <w:tc>
          <w:tcPr>
            <w:tcW w:w="529" w:type="pct"/>
            <w:tcBorders>
              <w:bottom w:val="single" w:color="auto" w:sz="8" w:space="0"/>
              <w:tl2br w:val="nil"/>
              <w:tr2bl w:val="nil"/>
            </w:tcBorders>
            <w:vAlign w:val="center"/>
          </w:tcPr>
          <w:p w14:paraId="72BE325C">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tcBorders>
              <w:bottom w:val="single" w:color="auto" w:sz="8" w:space="0"/>
              <w:tl2br w:val="nil"/>
              <w:tr2bl w:val="nil"/>
            </w:tcBorders>
            <w:vAlign w:val="center"/>
          </w:tcPr>
          <w:p w14:paraId="408E4FD0">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bottom w:val="single" w:color="auto" w:sz="8" w:space="0"/>
              <w:tl2br w:val="nil"/>
              <w:tr2bl w:val="nil"/>
            </w:tcBorders>
            <w:vAlign w:val="center"/>
          </w:tcPr>
          <w:p w14:paraId="1582F000">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0C988C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restart"/>
            <w:tcBorders>
              <w:tl2br w:val="nil"/>
              <w:tr2bl w:val="nil"/>
            </w:tcBorders>
            <w:vAlign w:val="center"/>
          </w:tcPr>
          <w:p w14:paraId="35AA25B8">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DA006</w:t>
            </w:r>
          </w:p>
        </w:tc>
        <w:tc>
          <w:tcPr>
            <w:tcW w:w="521" w:type="pct"/>
            <w:tcBorders>
              <w:tl2br w:val="nil"/>
              <w:tr2bl w:val="nil"/>
            </w:tcBorders>
            <w:vAlign w:val="center"/>
          </w:tcPr>
          <w:p w14:paraId="331782D3">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颗粒物</w:t>
            </w:r>
          </w:p>
        </w:tc>
        <w:tc>
          <w:tcPr>
            <w:tcW w:w="703" w:type="pct"/>
            <w:vMerge w:val="restart"/>
            <w:tcBorders>
              <w:tl2br w:val="nil"/>
              <w:tr2bl w:val="nil"/>
            </w:tcBorders>
            <w:vAlign w:val="center"/>
          </w:tcPr>
          <w:p w14:paraId="7F88EF5B">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高效过滤器破损</w:t>
            </w:r>
          </w:p>
        </w:tc>
        <w:tc>
          <w:tcPr>
            <w:tcW w:w="712" w:type="pct"/>
            <w:tcBorders>
              <w:tl2br w:val="nil"/>
              <w:tr2bl w:val="nil"/>
            </w:tcBorders>
            <w:vAlign w:val="center"/>
          </w:tcPr>
          <w:p w14:paraId="0AB0393B">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1.89×10</w:t>
            </w:r>
            <w:r>
              <w:rPr>
                <w:rFonts w:ascii="Times New Roman" w:hAnsi="Times New Roman" w:eastAsia="宋体" w:cs="Times New Roman"/>
                <w:caps w:val="0"/>
                <w:smallCaps w:val="0"/>
                <w:color w:val="auto"/>
                <w:spacing w:val="0"/>
                <w:sz w:val="21"/>
                <w:highlight w:val="none"/>
                <w:vertAlign w:val="superscript"/>
              </w:rPr>
              <w:t>-3</w:t>
            </w:r>
          </w:p>
        </w:tc>
        <w:tc>
          <w:tcPr>
            <w:tcW w:w="783" w:type="pct"/>
            <w:tcBorders>
              <w:tl2br w:val="nil"/>
              <w:tr2bl w:val="nil"/>
            </w:tcBorders>
            <w:vAlign w:val="center"/>
          </w:tcPr>
          <w:p w14:paraId="24C54F62">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1.37</w:t>
            </w:r>
          </w:p>
        </w:tc>
        <w:tc>
          <w:tcPr>
            <w:tcW w:w="529" w:type="pct"/>
            <w:vMerge w:val="restart"/>
            <w:tcBorders>
              <w:tl2br w:val="nil"/>
              <w:tr2bl w:val="nil"/>
            </w:tcBorders>
            <w:vAlign w:val="center"/>
          </w:tcPr>
          <w:p w14:paraId="30E90C9F">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vMerge w:val="restart"/>
            <w:tcBorders>
              <w:tl2br w:val="nil"/>
              <w:tr2bl w:val="nil"/>
            </w:tcBorders>
            <w:vAlign w:val="center"/>
          </w:tcPr>
          <w:p w14:paraId="2E31BBE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018A2A91">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499C70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04D7ECFC">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47EBDFE3">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镉及其化合物</w:t>
            </w:r>
          </w:p>
        </w:tc>
        <w:tc>
          <w:tcPr>
            <w:tcW w:w="703" w:type="pct"/>
            <w:vMerge w:val="continue"/>
            <w:tcBorders>
              <w:tl2br w:val="nil"/>
              <w:tr2bl w:val="nil"/>
            </w:tcBorders>
            <w:vAlign w:val="center"/>
          </w:tcPr>
          <w:p w14:paraId="6EDF1342">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1B1F8D61">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8.44×10</w:t>
            </w:r>
            <w:r>
              <w:rPr>
                <w:rFonts w:ascii="Times New Roman" w:hAnsi="Times New Roman" w:eastAsia="宋体" w:cs="Times New Roman"/>
                <w:caps w:val="0"/>
                <w:smallCaps w:val="0"/>
                <w:color w:val="auto"/>
                <w:spacing w:val="0"/>
                <w:sz w:val="21"/>
                <w:highlight w:val="none"/>
                <w:vertAlign w:val="superscript"/>
              </w:rPr>
              <w:t>-4</w:t>
            </w:r>
          </w:p>
        </w:tc>
        <w:tc>
          <w:tcPr>
            <w:tcW w:w="783" w:type="pct"/>
            <w:tcBorders>
              <w:tl2br w:val="nil"/>
              <w:tr2bl w:val="nil"/>
            </w:tcBorders>
            <w:vAlign w:val="center"/>
          </w:tcPr>
          <w:p w14:paraId="0AFA48D8">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0.615</w:t>
            </w:r>
          </w:p>
        </w:tc>
        <w:tc>
          <w:tcPr>
            <w:tcW w:w="529" w:type="pct"/>
            <w:vMerge w:val="continue"/>
            <w:tcBorders>
              <w:tl2br w:val="nil"/>
              <w:tr2bl w:val="nil"/>
            </w:tcBorders>
            <w:vAlign w:val="center"/>
          </w:tcPr>
          <w:p w14:paraId="24AC9524">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17F3A29E">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0A6A4D79">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5DD5ED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tcBorders>
              <w:tl2br w:val="nil"/>
              <w:tr2bl w:val="nil"/>
            </w:tcBorders>
            <w:vAlign w:val="center"/>
          </w:tcPr>
          <w:p w14:paraId="154FDF22">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DA007</w:t>
            </w:r>
          </w:p>
        </w:tc>
        <w:tc>
          <w:tcPr>
            <w:tcW w:w="521" w:type="pct"/>
            <w:tcBorders>
              <w:tl2br w:val="nil"/>
              <w:tr2bl w:val="nil"/>
            </w:tcBorders>
            <w:vAlign w:val="center"/>
          </w:tcPr>
          <w:p w14:paraId="4571EE62">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非甲烷总烃</w:t>
            </w:r>
          </w:p>
        </w:tc>
        <w:tc>
          <w:tcPr>
            <w:tcW w:w="703" w:type="pct"/>
            <w:tcBorders>
              <w:tl2br w:val="nil"/>
              <w:tr2bl w:val="nil"/>
            </w:tcBorders>
            <w:vAlign w:val="center"/>
          </w:tcPr>
          <w:p w14:paraId="1AEFE433">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活性炭装置破损</w:t>
            </w:r>
          </w:p>
        </w:tc>
        <w:tc>
          <w:tcPr>
            <w:tcW w:w="712" w:type="pct"/>
            <w:tcBorders>
              <w:tl2br w:val="nil"/>
              <w:tr2bl w:val="nil"/>
            </w:tcBorders>
            <w:vAlign w:val="center"/>
          </w:tcPr>
          <w:p w14:paraId="48CFF956">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0.011</w:t>
            </w:r>
          </w:p>
        </w:tc>
        <w:tc>
          <w:tcPr>
            <w:tcW w:w="783" w:type="pct"/>
            <w:tcBorders>
              <w:tl2br w:val="nil"/>
              <w:tr2bl w:val="nil"/>
            </w:tcBorders>
            <w:vAlign w:val="center"/>
          </w:tcPr>
          <w:p w14:paraId="5FA71B08">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2.44</w:t>
            </w:r>
          </w:p>
        </w:tc>
        <w:tc>
          <w:tcPr>
            <w:tcW w:w="529" w:type="pct"/>
            <w:tcBorders>
              <w:tl2br w:val="nil"/>
              <w:tr2bl w:val="nil"/>
            </w:tcBorders>
            <w:vAlign w:val="center"/>
          </w:tcPr>
          <w:p w14:paraId="17FD4925">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tcBorders>
              <w:tl2br w:val="nil"/>
              <w:tr2bl w:val="nil"/>
            </w:tcBorders>
            <w:vAlign w:val="center"/>
          </w:tcPr>
          <w:p w14:paraId="09B8E1CC">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21E0587A">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5ACD38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restart"/>
            <w:tcBorders>
              <w:tl2br w:val="nil"/>
              <w:tr2bl w:val="nil"/>
            </w:tcBorders>
            <w:vAlign w:val="center"/>
          </w:tcPr>
          <w:p w14:paraId="6D9EC564">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DA00</w:t>
            </w:r>
            <w:r>
              <w:rPr>
                <w:rFonts w:hint="eastAsia" w:ascii="Times New Roman" w:hAnsi="Times New Roman" w:eastAsia="宋体"/>
                <w:caps w:val="0"/>
                <w:smallCaps w:val="0"/>
                <w:color w:val="auto"/>
                <w:spacing w:val="0"/>
                <w:sz w:val="21"/>
                <w:szCs w:val="21"/>
                <w:highlight w:val="none"/>
                <w:lang w:val="en-US" w:eastAsia="zh-CN"/>
              </w:rPr>
              <w:t>8</w:t>
            </w:r>
          </w:p>
        </w:tc>
        <w:tc>
          <w:tcPr>
            <w:tcW w:w="521" w:type="pct"/>
            <w:tcBorders>
              <w:tl2br w:val="nil"/>
              <w:tr2bl w:val="nil"/>
            </w:tcBorders>
            <w:vAlign w:val="center"/>
          </w:tcPr>
          <w:p w14:paraId="4C4D3B9A">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氮氧化物</w:t>
            </w:r>
          </w:p>
        </w:tc>
        <w:tc>
          <w:tcPr>
            <w:tcW w:w="703" w:type="pct"/>
            <w:vMerge w:val="restart"/>
            <w:tcBorders>
              <w:tl2br w:val="nil"/>
              <w:tr2bl w:val="nil"/>
            </w:tcBorders>
            <w:vAlign w:val="center"/>
          </w:tcPr>
          <w:p w14:paraId="738D6589">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ascii="Times New Roman" w:hAnsi="Times New Roman" w:eastAsia="宋体"/>
                <w:caps w:val="0"/>
                <w:smallCaps w:val="0"/>
                <w:color w:val="auto"/>
                <w:spacing w:val="0"/>
                <w:sz w:val="21"/>
                <w:szCs w:val="21"/>
                <w:highlight w:val="none"/>
              </w:rPr>
              <w:t>碱液浓度降低</w:t>
            </w:r>
          </w:p>
        </w:tc>
        <w:tc>
          <w:tcPr>
            <w:tcW w:w="712" w:type="pct"/>
            <w:tcBorders>
              <w:tl2br w:val="nil"/>
              <w:tr2bl w:val="nil"/>
            </w:tcBorders>
            <w:vAlign w:val="center"/>
          </w:tcPr>
          <w:p w14:paraId="51A966EE">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ascii="Times New Roman" w:hAnsi="Times New Roman" w:eastAsia="宋体"/>
                <w:caps w:val="0"/>
                <w:smallCaps w:val="0"/>
                <w:color w:val="auto"/>
                <w:spacing w:val="0"/>
                <w:sz w:val="21"/>
                <w:szCs w:val="21"/>
                <w:highlight w:val="none"/>
              </w:rPr>
              <w:t>0.0152</w:t>
            </w:r>
          </w:p>
        </w:tc>
        <w:tc>
          <w:tcPr>
            <w:tcW w:w="783" w:type="pct"/>
            <w:tcBorders>
              <w:tl2br w:val="nil"/>
              <w:tr2bl w:val="nil"/>
            </w:tcBorders>
            <w:vAlign w:val="center"/>
          </w:tcPr>
          <w:p w14:paraId="7E490171">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ascii="Times New Roman" w:hAnsi="Times New Roman" w:eastAsia="宋体"/>
                <w:caps w:val="0"/>
                <w:smallCaps w:val="0"/>
                <w:color w:val="auto"/>
                <w:spacing w:val="0"/>
                <w:sz w:val="21"/>
                <w:szCs w:val="21"/>
                <w:highlight w:val="none"/>
              </w:rPr>
              <w:t>37.76</w:t>
            </w:r>
          </w:p>
        </w:tc>
        <w:tc>
          <w:tcPr>
            <w:tcW w:w="529" w:type="pct"/>
            <w:vMerge w:val="restart"/>
            <w:tcBorders>
              <w:tl2br w:val="nil"/>
              <w:tr2bl w:val="nil"/>
            </w:tcBorders>
            <w:vAlign w:val="center"/>
          </w:tcPr>
          <w:p w14:paraId="3198E992">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vMerge w:val="restart"/>
            <w:tcBorders>
              <w:tl2br w:val="nil"/>
              <w:tr2bl w:val="nil"/>
            </w:tcBorders>
            <w:vAlign w:val="center"/>
          </w:tcPr>
          <w:p w14:paraId="09E9A2A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7429DB39">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1F5630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783A7414">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20552E91">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氯化氢</w:t>
            </w:r>
          </w:p>
        </w:tc>
        <w:tc>
          <w:tcPr>
            <w:tcW w:w="703" w:type="pct"/>
            <w:vMerge w:val="continue"/>
            <w:tcBorders>
              <w:tl2br w:val="nil"/>
              <w:tr2bl w:val="nil"/>
            </w:tcBorders>
            <w:vAlign w:val="center"/>
          </w:tcPr>
          <w:p w14:paraId="3BE5DF5C">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5BB29359">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ascii="Times New Roman" w:hAnsi="Times New Roman" w:eastAsia="宋体"/>
                <w:caps w:val="0"/>
                <w:smallCaps w:val="0"/>
                <w:color w:val="auto"/>
                <w:spacing w:val="0"/>
                <w:sz w:val="21"/>
                <w:szCs w:val="21"/>
                <w:highlight w:val="none"/>
              </w:rPr>
              <w:t>0.00229</w:t>
            </w:r>
          </w:p>
        </w:tc>
        <w:tc>
          <w:tcPr>
            <w:tcW w:w="783" w:type="pct"/>
            <w:tcBorders>
              <w:tl2br w:val="nil"/>
              <w:tr2bl w:val="nil"/>
            </w:tcBorders>
            <w:vAlign w:val="center"/>
          </w:tcPr>
          <w:p w14:paraId="29C3E983">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ascii="Times New Roman" w:hAnsi="Times New Roman" w:eastAsia="宋体"/>
                <w:caps w:val="0"/>
                <w:smallCaps w:val="0"/>
                <w:color w:val="auto"/>
                <w:spacing w:val="0"/>
                <w:sz w:val="21"/>
                <w:szCs w:val="21"/>
                <w:highlight w:val="none"/>
              </w:rPr>
              <w:t>0.606</w:t>
            </w:r>
          </w:p>
        </w:tc>
        <w:tc>
          <w:tcPr>
            <w:tcW w:w="529" w:type="pct"/>
            <w:vMerge w:val="continue"/>
            <w:tcBorders>
              <w:tl2br w:val="nil"/>
              <w:tr2bl w:val="nil"/>
            </w:tcBorders>
            <w:vAlign w:val="center"/>
          </w:tcPr>
          <w:p w14:paraId="3A82D37A">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1742087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74C68F03">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500F6B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3004C0DE">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6E617838">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hint="eastAsia" w:ascii="Times New Roman" w:hAnsi="Times New Roman" w:eastAsia="宋体"/>
                <w:caps w:val="0"/>
                <w:smallCaps w:val="0"/>
                <w:color w:val="auto"/>
                <w:spacing w:val="0"/>
                <w:sz w:val="21"/>
                <w:szCs w:val="21"/>
                <w:highlight w:val="none"/>
              </w:rPr>
              <w:t>H</w:t>
            </w:r>
            <w:r>
              <w:rPr>
                <w:rFonts w:hint="eastAsia" w:ascii="Times New Roman" w:hAnsi="Times New Roman" w:eastAsia="宋体"/>
                <w:caps w:val="0"/>
                <w:smallCaps w:val="0"/>
                <w:color w:val="auto"/>
                <w:spacing w:val="0"/>
                <w:sz w:val="21"/>
                <w:szCs w:val="21"/>
                <w:highlight w:val="none"/>
                <w:vertAlign w:val="subscript"/>
              </w:rPr>
              <w:t>2</w:t>
            </w:r>
            <w:r>
              <w:rPr>
                <w:rFonts w:hint="eastAsia" w:ascii="Times New Roman" w:hAnsi="Times New Roman" w:eastAsia="宋体"/>
                <w:caps w:val="0"/>
                <w:smallCaps w:val="0"/>
                <w:color w:val="auto"/>
                <w:spacing w:val="0"/>
                <w:sz w:val="21"/>
                <w:szCs w:val="21"/>
                <w:highlight w:val="none"/>
              </w:rPr>
              <w:t>S</w:t>
            </w:r>
          </w:p>
        </w:tc>
        <w:tc>
          <w:tcPr>
            <w:tcW w:w="703" w:type="pct"/>
            <w:vMerge w:val="continue"/>
            <w:tcBorders>
              <w:tl2br w:val="nil"/>
              <w:tr2bl w:val="nil"/>
            </w:tcBorders>
            <w:vAlign w:val="center"/>
          </w:tcPr>
          <w:p w14:paraId="5CFBF04F">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31424678">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aps w:val="0"/>
                <w:smallCaps w:val="0"/>
                <w:color w:val="auto"/>
                <w:spacing w:val="0"/>
                <w:sz w:val="21"/>
                <w:szCs w:val="21"/>
                <w:highlight w:val="none"/>
              </w:rPr>
              <w:t>0.000000459</w:t>
            </w:r>
          </w:p>
        </w:tc>
        <w:tc>
          <w:tcPr>
            <w:tcW w:w="783" w:type="pct"/>
            <w:tcBorders>
              <w:tl2br w:val="nil"/>
              <w:tr2bl w:val="nil"/>
            </w:tcBorders>
            <w:vAlign w:val="center"/>
          </w:tcPr>
          <w:p w14:paraId="2A74D656">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aps w:val="0"/>
                <w:smallCaps w:val="0"/>
                <w:color w:val="auto"/>
                <w:spacing w:val="0"/>
                <w:sz w:val="21"/>
                <w:szCs w:val="21"/>
                <w:highlight w:val="none"/>
              </w:rPr>
              <w:t>0.000121</w:t>
            </w:r>
          </w:p>
        </w:tc>
        <w:tc>
          <w:tcPr>
            <w:tcW w:w="529" w:type="pct"/>
            <w:vMerge w:val="continue"/>
            <w:tcBorders>
              <w:tl2br w:val="nil"/>
              <w:tr2bl w:val="nil"/>
            </w:tcBorders>
            <w:vAlign w:val="center"/>
          </w:tcPr>
          <w:p w14:paraId="292B7D72">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426E4AD3">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0647D178">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0E7BFA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1DD673C6">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6C0002F8">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hint="eastAsia" w:ascii="Times New Roman" w:hAnsi="Times New Roman" w:eastAsia="宋体"/>
                <w:caps w:val="0"/>
                <w:smallCaps w:val="0"/>
                <w:color w:val="auto"/>
                <w:spacing w:val="0"/>
                <w:sz w:val="21"/>
                <w:szCs w:val="21"/>
                <w:highlight w:val="none"/>
              </w:rPr>
              <w:t>NH</w:t>
            </w:r>
            <w:r>
              <w:rPr>
                <w:rFonts w:hint="eastAsia" w:ascii="Times New Roman" w:hAnsi="Times New Roman" w:eastAsia="宋体"/>
                <w:caps w:val="0"/>
                <w:smallCaps w:val="0"/>
                <w:color w:val="auto"/>
                <w:spacing w:val="0"/>
                <w:sz w:val="21"/>
                <w:szCs w:val="21"/>
                <w:highlight w:val="none"/>
                <w:vertAlign w:val="subscript"/>
              </w:rPr>
              <w:t>3</w:t>
            </w:r>
          </w:p>
        </w:tc>
        <w:tc>
          <w:tcPr>
            <w:tcW w:w="703" w:type="pct"/>
            <w:vMerge w:val="continue"/>
            <w:tcBorders>
              <w:tl2br w:val="nil"/>
              <w:tr2bl w:val="nil"/>
            </w:tcBorders>
            <w:vAlign w:val="center"/>
          </w:tcPr>
          <w:p w14:paraId="2BB2B566">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215E0ADC">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aps w:val="0"/>
                <w:smallCaps w:val="0"/>
                <w:color w:val="auto"/>
                <w:spacing w:val="0"/>
                <w:sz w:val="21"/>
                <w:szCs w:val="21"/>
                <w:highlight w:val="none"/>
              </w:rPr>
              <w:t>0.0000118</w:t>
            </w:r>
          </w:p>
        </w:tc>
        <w:tc>
          <w:tcPr>
            <w:tcW w:w="783" w:type="pct"/>
            <w:tcBorders>
              <w:tl2br w:val="nil"/>
              <w:tr2bl w:val="nil"/>
            </w:tcBorders>
            <w:vAlign w:val="center"/>
          </w:tcPr>
          <w:p w14:paraId="1BC4B406">
            <w:pPr>
              <w:pStyle w:val="227"/>
              <w:widowControl w:val="0"/>
              <w:spacing w:line="240" w:lineRule="auto"/>
              <w:contextualSpacing/>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aps w:val="0"/>
                <w:smallCaps w:val="0"/>
                <w:color w:val="auto"/>
                <w:spacing w:val="0"/>
                <w:sz w:val="21"/>
                <w:szCs w:val="21"/>
                <w:highlight w:val="none"/>
              </w:rPr>
              <w:t>0.00314</w:t>
            </w:r>
          </w:p>
        </w:tc>
        <w:tc>
          <w:tcPr>
            <w:tcW w:w="529" w:type="pct"/>
            <w:vMerge w:val="continue"/>
            <w:tcBorders>
              <w:tl2br w:val="nil"/>
              <w:tr2bl w:val="nil"/>
            </w:tcBorders>
            <w:vAlign w:val="center"/>
          </w:tcPr>
          <w:p w14:paraId="5F63AEA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0243D472">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4DE9988F">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21E75E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restart"/>
            <w:tcBorders>
              <w:tl2br w:val="nil"/>
              <w:tr2bl w:val="nil"/>
            </w:tcBorders>
            <w:vAlign w:val="center"/>
          </w:tcPr>
          <w:p w14:paraId="2BDEC78F">
            <w:pPr>
              <w:pStyle w:val="227"/>
              <w:widowControl w:val="0"/>
              <w:spacing w:line="240" w:lineRule="auto"/>
              <w:contextualSpacing/>
              <w:rPr>
                <w:rFonts w:hint="eastAsia" w:ascii="Times New Roman" w:hAnsi="Times New Roman" w:eastAsia="宋体"/>
                <w:caps w:val="0"/>
                <w:smallCaps w:val="0"/>
                <w:color w:val="auto"/>
                <w:spacing w:val="0"/>
                <w:sz w:val="21"/>
                <w:szCs w:val="21"/>
                <w:highlight w:val="none"/>
                <w:lang w:eastAsia="zh-CN"/>
              </w:rPr>
            </w:pPr>
            <w:r>
              <w:rPr>
                <w:rFonts w:ascii="Times New Roman" w:hAnsi="Times New Roman" w:eastAsia="宋体"/>
                <w:caps w:val="0"/>
                <w:smallCaps w:val="0"/>
                <w:color w:val="auto"/>
                <w:spacing w:val="0"/>
                <w:sz w:val="21"/>
                <w:szCs w:val="21"/>
                <w:highlight w:val="none"/>
              </w:rPr>
              <w:t>DA00</w:t>
            </w:r>
            <w:r>
              <w:rPr>
                <w:rFonts w:hint="eastAsia" w:ascii="Times New Roman" w:hAnsi="Times New Roman" w:eastAsia="宋体"/>
                <w:caps w:val="0"/>
                <w:smallCaps w:val="0"/>
                <w:color w:val="auto"/>
                <w:spacing w:val="0"/>
                <w:sz w:val="21"/>
                <w:szCs w:val="21"/>
                <w:highlight w:val="none"/>
                <w:lang w:val="en-US" w:eastAsia="zh-CN"/>
              </w:rPr>
              <w:t>9</w:t>
            </w:r>
          </w:p>
        </w:tc>
        <w:tc>
          <w:tcPr>
            <w:tcW w:w="521" w:type="pct"/>
            <w:tcBorders>
              <w:tl2br w:val="nil"/>
              <w:tr2bl w:val="nil"/>
            </w:tcBorders>
            <w:vAlign w:val="center"/>
          </w:tcPr>
          <w:p w14:paraId="44885255">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非甲烷总烃</w:t>
            </w:r>
          </w:p>
        </w:tc>
        <w:tc>
          <w:tcPr>
            <w:tcW w:w="703" w:type="pct"/>
            <w:vMerge w:val="restart"/>
            <w:tcBorders>
              <w:tl2br w:val="nil"/>
              <w:tr2bl w:val="nil"/>
            </w:tcBorders>
            <w:vAlign w:val="center"/>
          </w:tcPr>
          <w:p w14:paraId="52109E33">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活性炭装置破损</w:t>
            </w:r>
          </w:p>
        </w:tc>
        <w:tc>
          <w:tcPr>
            <w:tcW w:w="712" w:type="pct"/>
            <w:tcBorders>
              <w:tl2br w:val="nil"/>
              <w:tr2bl w:val="nil"/>
            </w:tcBorders>
            <w:vAlign w:val="center"/>
          </w:tcPr>
          <w:p w14:paraId="751BC9F3">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1.48×10</w:t>
            </w:r>
            <w:r>
              <w:rPr>
                <w:rFonts w:ascii="Times New Roman" w:hAnsi="Times New Roman" w:eastAsia="宋体" w:cs="Times New Roman"/>
                <w:caps w:val="0"/>
                <w:smallCaps w:val="0"/>
                <w:color w:val="auto"/>
                <w:spacing w:val="0"/>
                <w:sz w:val="21"/>
                <w:highlight w:val="none"/>
                <w:vertAlign w:val="superscript"/>
              </w:rPr>
              <w:t>-5</w:t>
            </w:r>
          </w:p>
        </w:tc>
        <w:tc>
          <w:tcPr>
            <w:tcW w:w="783" w:type="pct"/>
            <w:tcBorders>
              <w:tl2br w:val="nil"/>
              <w:tr2bl w:val="nil"/>
            </w:tcBorders>
            <w:vAlign w:val="center"/>
          </w:tcPr>
          <w:p w14:paraId="0593A4D5">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0.00738</w:t>
            </w:r>
          </w:p>
        </w:tc>
        <w:tc>
          <w:tcPr>
            <w:tcW w:w="529" w:type="pct"/>
            <w:vMerge w:val="restart"/>
            <w:tcBorders>
              <w:tl2br w:val="nil"/>
              <w:tr2bl w:val="nil"/>
            </w:tcBorders>
            <w:vAlign w:val="center"/>
          </w:tcPr>
          <w:p w14:paraId="2A4E2C33">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528" w:type="pct"/>
            <w:vMerge w:val="restart"/>
            <w:tcBorders>
              <w:tl2br w:val="nil"/>
              <w:tr2bl w:val="nil"/>
            </w:tcBorders>
            <w:vAlign w:val="center"/>
          </w:tcPr>
          <w:p w14:paraId="5177E9C0">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1</w:t>
            </w:r>
          </w:p>
        </w:tc>
        <w:tc>
          <w:tcPr>
            <w:tcW w:w="684" w:type="pct"/>
            <w:vMerge w:val="continue"/>
            <w:tcBorders>
              <w:tl2br w:val="nil"/>
              <w:tr2bl w:val="nil"/>
            </w:tcBorders>
            <w:vAlign w:val="center"/>
          </w:tcPr>
          <w:p w14:paraId="622EFBF4">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60918E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595D94E4">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0E41CDC0">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二甲苯</w:t>
            </w:r>
          </w:p>
        </w:tc>
        <w:tc>
          <w:tcPr>
            <w:tcW w:w="703" w:type="pct"/>
            <w:vMerge w:val="continue"/>
            <w:tcBorders>
              <w:tl2br w:val="nil"/>
              <w:tr2bl w:val="nil"/>
            </w:tcBorders>
            <w:vAlign w:val="center"/>
          </w:tcPr>
          <w:p w14:paraId="45D18AEB">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2BB03EED">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2.69×10</w:t>
            </w:r>
            <w:r>
              <w:rPr>
                <w:rFonts w:ascii="Times New Roman" w:hAnsi="Times New Roman" w:eastAsia="宋体" w:cs="Times New Roman"/>
                <w:caps w:val="0"/>
                <w:smallCaps w:val="0"/>
                <w:color w:val="auto"/>
                <w:spacing w:val="0"/>
                <w:sz w:val="21"/>
                <w:highlight w:val="none"/>
                <w:vertAlign w:val="superscript"/>
              </w:rPr>
              <w:t>-5</w:t>
            </w:r>
          </w:p>
        </w:tc>
        <w:tc>
          <w:tcPr>
            <w:tcW w:w="783" w:type="pct"/>
            <w:tcBorders>
              <w:tl2br w:val="nil"/>
              <w:tr2bl w:val="nil"/>
            </w:tcBorders>
            <w:vAlign w:val="center"/>
          </w:tcPr>
          <w:p w14:paraId="7545B6EB">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0.0134</w:t>
            </w:r>
          </w:p>
        </w:tc>
        <w:tc>
          <w:tcPr>
            <w:tcW w:w="529" w:type="pct"/>
            <w:vMerge w:val="continue"/>
            <w:tcBorders>
              <w:tl2br w:val="nil"/>
              <w:tr2bl w:val="nil"/>
            </w:tcBorders>
            <w:vAlign w:val="center"/>
          </w:tcPr>
          <w:p w14:paraId="6EA3EB38">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726BFFB8">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1CDB4E4E">
            <w:pPr>
              <w:widowControl w:val="0"/>
              <w:contextualSpacing/>
              <w:jc w:val="center"/>
              <w:rPr>
                <w:rFonts w:ascii="Times New Roman" w:hAnsi="Times New Roman" w:eastAsia="宋体" w:cs="Times New Roman"/>
                <w:caps w:val="0"/>
                <w:smallCaps w:val="0"/>
                <w:color w:val="auto"/>
                <w:spacing w:val="0"/>
                <w:kern w:val="0"/>
                <w:sz w:val="21"/>
                <w:highlight w:val="none"/>
              </w:rPr>
            </w:pPr>
          </w:p>
        </w:tc>
      </w:tr>
      <w:tr w14:paraId="5D46B3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36" w:type="pct"/>
            <w:vMerge w:val="continue"/>
            <w:tcBorders>
              <w:tl2br w:val="nil"/>
              <w:tr2bl w:val="nil"/>
            </w:tcBorders>
            <w:vAlign w:val="center"/>
          </w:tcPr>
          <w:p w14:paraId="09979FB0">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p>
        </w:tc>
        <w:tc>
          <w:tcPr>
            <w:tcW w:w="521" w:type="pct"/>
            <w:tcBorders>
              <w:tl2br w:val="nil"/>
              <w:tr2bl w:val="nil"/>
            </w:tcBorders>
            <w:vAlign w:val="center"/>
          </w:tcPr>
          <w:p w14:paraId="40FAEFB6">
            <w:pPr>
              <w:pStyle w:val="227"/>
              <w:widowControl w:val="0"/>
              <w:spacing w:line="240" w:lineRule="auto"/>
              <w:contextualSpacing/>
              <w:rPr>
                <w:rFonts w:ascii="Times New Roman" w:hAnsi="Times New Roman" w:eastAsia="宋体"/>
                <w:caps w:val="0"/>
                <w:smallCaps w:val="0"/>
                <w:color w:val="auto"/>
                <w:spacing w:val="0"/>
                <w:sz w:val="21"/>
                <w:szCs w:val="21"/>
                <w:highlight w:val="none"/>
              </w:rPr>
            </w:pPr>
            <w:r>
              <w:rPr>
                <w:rFonts w:ascii="Times New Roman" w:hAnsi="Times New Roman" w:eastAsia="宋体"/>
                <w:caps w:val="0"/>
                <w:smallCaps w:val="0"/>
                <w:color w:val="auto"/>
                <w:spacing w:val="0"/>
                <w:sz w:val="21"/>
                <w:szCs w:val="21"/>
                <w:highlight w:val="none"/>
              </w:rPr>
              <w:t>氨气</w:t>
            </w:r>
          </w:p>
        </w:tc>
        <w:tc>
          <w:tcPr>
            <w:tcW w:w="703" w:type="pct"/>
            <w:vMerge w:val="continue"/>
            <w:tcBorders>
              <w:tl2br w:val="nil"/>
              <w:tr2bl w:val="nil"/>
            </w:tcBorders>
            <w:vAlign w:val="center"/>
          </w:tcPr>
          <w:p w14:paraId="4D5E54C4">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p>
        </w:tc>
        <w:tc>
          <w:tcPr>
            <w:tcW w:w="712" w:type="pct"/>
            <w:tcBorders>
              <w:tl2br w:val="nil"/>
              <w:tr2bl w:val="nil"/>
            </w:tcBorders>
            <w:vAlign w:val="center"/>
          </w:tcPr>
          <w:p w14:paraId="4A79A4F9">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2.84×10</w:t>
            </w:r>
            <w:r>
              <w:rPr>
                <w:rFonts w:ascii="Times New Roman" w:hAnsi="Times New Roman" w:eastAsia="宋体" w:cs="Times New Roman"/>
                <w:caps w:val="0"/>
                <w:smallCaps w:val="0"/>
                <w:color w:val="auto"/>
                <w:spacing w:val="0"/>
                <w:sz w:val="21"/>
                <w:highlight w:val="none"/>
                <w:vertAlign w:val="superscript"/>
              </w:rPr>
              <w:t>-6</w:t>
            </w:r>
          </w:p>
        </w:tc>
        <w:tc>
          <w:tcPr>
            <w:tcW w:w="783" w:type="pct"/>
            <w:tcBorders>
              <w:tl2br w:val="nil"/>
              <w:tr2bl w:val="nil"/>
            </w:tcBorders>
            <w:vAlign w:val="center"/>
          </w:tcPr>
          <w:p w14:paraId="26C5341E">
            <w:pPr>
              <w:widowControl w:val="0"/>
              <w:autoSpaceDE w:val="0"/>
              <w:autoSpaceDN w:val="0"/>
              <w:contextualSpacing/>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0.00142</w:t>
            </w:r>
          </w:p>
        </w:tc>
        <w:tc>
          <w:tcPr>
            <w:tcW w:w="529" w:type="pct"/>
            <w:vMerge w:val="continue"/>
            <w:tcBorders>
              <w:tl2br w:val="nil"/>
              <w:tr2bl w:val="nil"/>
            </w:tcBorders>
            <w:vAlign w:val="center"/>
          </w:tcPr>
          <w:p w14:paraId="0C24282C">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528" w:type="pct"/>
            <w:vMerge w:val="continue"/>
            <w:tcBorders>
              <w:tl2br w:val="nil"/>
              <w:tr2bl w:val="nil"/>
            </w:tcBorders>
            <w:vAlign w:val="center"/>
          </w:tcPr>
          <w:p w14:paraId="582B0761">
            <w:pPr>
              <w:pStyle w:val="117"/>
              <w:spacing w:line="240" w:lineRule="auto"/>
              <w:ind w:firstLine="0" w:firstLineChars="0"/>
              <w:contextualSpacing/>
              <w:jc w:val="center"/>
              <w:rPr>
                <w:rFonts w:ascii="Times New Roman" w:hAnsi="Times New Roman" w:cs="Times New Roman"/>
                <w:caps w:val="0"/>
                <w:smallCaps w:val="0"/>
                <w:color w:val="auto"/>
                <w:spacing w:val="0"/>
                <w:sz w:val="21"/>
                <w:szCs w:val="21"/>
                <w:highlight w:val="none"/>
              </w:rPr>
            </w:pPr>
          </w:p>
        </w:tc>
        <w:tc>
          <w:tcPr>
            <w:tcW w:w="684" w:type="pct"/>
            <w:vMerge w:val="continue"/>
            <w:tcBorders>
              <w:tl2br w:val="nil"/>
              <w:tr2bl w:val="nil"/>
            </w:tcBorders>
            <w:vAlign w:val="center"/>
          </w:tcPr>
          <w:p w14:paraId="6BCFFE01">
            <w:pPr>
              <w:widowControl w:val="0"/>
              <w:contextualSpacing/>
              <w:jc w:val="center"/>
              <w:rPr>
                <w:rFonts w:ascii="Times New Roman" w:hAnsi="Times New Roman" w:eastAsia="宋体" w:cs="Times New Roman"/>
                <w:caps w:val="0"/>
                <w:smallCaps w:val="0"/>
                <w:color w:val="auto"/>
                <w:spacing w:val="0"/>
                <w:kern w:val="0"/>
                <w:sz w:val="21"/>
                <w:highlight w:val="none"/>
              </w:rPr>
            </w:pPr>
          </w:p>
        </w:tc>
      </w:tr>
    </w:tbl>
    <w:p w14:paraId="6A15D81E">
      <w:pPr>
        <w:pStyle w:val="117"/>
        <w:spacing w:after="0" w:line="360" w:lineRule="auto"/>
        <w:rPr>
          <w:rFonts w:ascii="Times New Roman" w:hAnsi="Times New Roman" w:cs="Times New Roman"/>
          <w:caps w:val="0"/>
          <w:smallCaps w:val="0"/>
          <w:color w:val="auto"/>
          <w:spacing w:val="0"/>
          <w:highlight w:val="none"/>
        </w:rPr>
      </w:pPr>
      <w:r>
        <w:rPr>
          <w:rFonts w:hint="eastAsia" w:ascii="Times New Roman" w:hAnsi="Times New Roman" w:cs="Times New Roman"/>
          <w:caps w:val="0"/>
          <w:smallCaps w:val="0"/>
          <w:color w:val="auto"/>
          <w:spacing w:val="0"/>
          <w:highlight w:val="none"/>
        </w:rPr>
        <w:t>（2）废水</w:t>
      </w:r>
    </w:p>
    <w:p w14:paraId="4931C7E4">
      <w:pPr>
        <w:pStyle w:val="36"/>
        <w:spacing w:after="0" w:line="360" w:lineRule="auto"/>
        <w:ind w:firstLine="480" w:firstLineChars="200"/>
        <w:rPr>
          <w:rFonts w:ascii="Times New Roman" w:hAnsi="Times New Roman"/>
          <w:caps w:val="0"/>
          <w:smallCaps w:val="0"/>
          <w:color w:val="auto"/>
          <w:spacing w:val="0"/>
          <w:sz w:val="24"/>
          <w:highlight w:val="none"/>
        </w:rPr>
      </w:pPr>
      <w:r>
        <w:rPr>
          <w:rFonts w:ascii="Times New Roman" w:hAnsi="Times New Roman"/>
          <w:caps w:val="0"/>
          <w:smallCaps w:val="0"/>
          <w:color w:val="auto"/>
          <w:spacing w:val="0"/>
          <w:sz w:val="24"/>
          <w:highlight w:val="none"/>
        </w:rPr>
        <w:t>厂区内污水处理站出现设备故障或停电因素，此时，</w:t>
      </w:r>
      <w:r>
        <w:rPr>
          <w:rFonts w:hint="eastAsia" w:ascii="Times New Roman" w:hAnsi="Times New Roman"/>
          <w:caps w:val="0"/>
          <w:smallCaps w:val="0"/>
          <w:color w:val="auto"/>
          <w:spacing w:val="0"/>
          <w:sz w:val="24"/>
          <w:highlight w:val="none"/>
        </w:rPr>
        <w:t>废水</w:t>
      </w:r>
      <w:r>
        <w:rPr>
          <w:rFonts w:ascii="Times New Roman" w:hAnsi="Times New Roman"/>
          <w:caps w:val="0"/>
          <w:smallCaps w:val="0"/>
          <w:color w:val="auto"/>
          <w:spacing w:val="0"/>
          <w:sz w:val="24"/>
          <w:highlight w:val="none"/>
        </w:rPr>
        <w:t>未经处理直接排放，废水中的污染物</w:t>
      </w:r>
      <w:r>
        <w:rPr>
          <w:rFonts w:hint="eastAsia" w:ascii="Times New Roman" w:hAnsi="Times New Roman"/>
          <w:caps w:val="0"/>
          <w:smallCaps w:val="0"/>
          <w:color w:val="auto"/>
          <w:spacing w:val="0"/>
          <w:sz w:val="24"/>
          <w:highlight w:val="none"/>
        </w:rPr>
        <w:t>主要含Cd</w:t>
      </w:r>
      <w:r>
        <w:rPr>
          <w:rFonts w:hint="eastAsia" w:ascii="Times New Roman" w:hAnsi="Times New Roman"/>
          <w:caps w:val="0"/>
          <w:smallCaps w:val="0"/>
          <w:color w:val="auto"/>
          <w:spacing w:val="0"/>
          <w:sz w:val="24"/>
          <w:highlight w:val="none"/>
          <w:vertAlign w:val="superscript"/>
        </w:rPr>
        <w:t>2+</w:t>
      </w:r>
      <w:r>
        <w:rPr>
          <w:rFonts w:ascii="Times New Roman" w:hAnsi="Times New Roman"/>
          <w:caps w:val="0"/>
          <w:smallCaps w:val="0"/>
          <w:color w:val="auto"/>
          <w:spacing w:val="0"/>
          <w:sz w:val="24"/>
          <w:highlight w:val="none"/>
        </w:rPr>
        <w:t>。</w:t>
      </w:r>
    </w:p>
    <w:p w14:paraId="33200B0A">
      <w:pPr>
        <w:pStyle w:val="36"/>
        <w:spacing w:after="0" w:line="360" w:lineRule="auto"/>
        <w:ind w:firstLine="480" w:firstLineChars="200"/>
        <w:rPr>
          <w:rFonts w:ascii="Times New Roman" w:hAnsi="Times New Roman"/>
          <w:caps w:val="0"/>
          <w:smallCaps w:val="0"/>
          <w:color w:val="auto"/>
          <w:spacing w:val="0"/>
          <w:sz w:val="24"/>
          <w:highlight w:val="none"/>
        </w:rPr>
      </w:pPr>
      <w:r>
        <w:rPr>
          <w:rFonts w:ascii="Times New Roman" w:hAnsi="Times New Roman"/>
          <w:caps w:val="0"/>
          <w:smallCaps w:val="0"/>
          <w:color w:val="auto"/>
          <w:spacing w:val="0"/>
          <w:sz w:val="24"/>
          <w:highlight w:val="none"/>
        </w:rPr>
        <w:t>若出现设备故障因素引起的事故性排放，可将排放水引入事故水池中；若出现停电事故，生产也将停止，一部分废水可在调节池和处理设施内，其余部分可排入事故水池。</w:t>
      </w:r>
      <w:r>
        <w:rPr>
          <w:rFonts w:hint="eastAsia" w:ascii="Times New Roman" w:hAnsi="Times New Roman"/>
          <w:caps w:val="0"/>
          <w:smallCaps w:val="0"/>
          <w:color w:val="auto"/>
          <w:spacing w:val="0"/>
          <w:sz w:val="24"/>
          <w:highlight w:val="none"/>
        </w:rPr>
        <w:t>企业现</w:t>
      </w:r>
      <w:r>
        <w:rPr>
          <w:rFonts w:ascii="Times New Roman" w:hAnsi="Times New Roman"/>
          <w:caps w:val="0"/>
          <w:smallCaps w:val="0"/>
          <w:color w:val="auto"/>
          <w:spacing w:val="0"/>
          <w:sz w:val="24"/>
          <w:highlight w:val="none"/>
        </w:rPr>
        <w:t>建</w:t>
      </w:r>
      <w:r>
        <w:rPr>
          <w:rFonts w:hint="eastAsia" w:ascii="Times New Roman" w:hAnsi="Times New Roman"/>
          <w:caps w:val="0"/>
          <w:smallCaps w:val="0"/>
          <w:color w:val="auto"/>
          <w:spacing w:val="0"/>
          <w:sz w:val="24"/>
          <w:highlight w:val="none"/>
        </w:rPr>
        <w:t>有</w:t>
      </w:r>
      <w:r>
        <w:rPr>
          <w:rFonts w:ascii="Times New Roman" w:hAnsi="Times New Roman"/>
          <w:caps w:val="0"/>
          <w:smallCaps w:val="0"/>
          <w:color w:val="auto"/>
          <w:spacing w:val="0"/>
          <w:sz w:val="24"/>
          <w:highlight w:val="none"/>
        </w:rPr>
        <w:t>一座容积为</w:t>
      </w:r>
      <w:r>
        <w:rPr>
          <w:rFonts w:hint="eastAsia" w:ascii="Times New Roman" w:hAnsi="Times New Roman"/>
          <w:caps w:val="0"/>
          <w:smallCaps w:val="0"/>
          <w:color w:val="auto"/>
          <w:spacing w:val="0"/>
          <w:sz w:val="24"/>
          <w:highlight w:val="none"/>
        </w:rPr>
        <w:t>4</w:t>
      </w:r>
      <w:r>
        <w:rPr>
          <w:rFonts w:ascii="Times New Roman" w:hAnsi="Times New Roman"/>
          <w:caps w:val="0"/>
          <w:smallCaps w:val="0"/>
          <w:color w:val="auto"/>
          <w:spacing w:val="0"/>
          <w:sz w:val="24"/>
          <w:highlight w:val="none"/>
        </w:rPr>
        <w:t>00m</w:t>
      </w:r>
      <w:r>
        <w:rPr>
          <w:rFonts w:ascii="Times New Roman" w:hAnsi="Times New Roman"/>
          <w:caps w:val="0"/>
          <w:smallCaps w:val="0"/>
          <w:color w:val="auto"/>
          <w:spacing w:val="0"/>
          <w:sz w:val="24"/>
          <w:highlight w:val="none"/>
          <w:vertAlign w:val="superscript"/>
        </w:rPr>
        <w:t>3</w:t>
      </w:r>
      <w:r>
        <w:rPr>
          <w:rFonts w:ascii="Times New Roman" w:hAnsi="Times New Roman"/>
          <w:caps w:val="0"/>
          <w:smallCaps w:val="0"/>
          <w:color w:val="auto"/>
          <w:spacing w:val="0"/>
          <w:sz w:val="24"/>
          <w:highlight w:val="none"/>
        </w:rPr>
        <w:t>的事故贮水池，（至少容纳1天污水量），并且事故贮水池做防渗处理。</w:t>
      </w:r>
      <w:r>
        <w:rPr>
          <w:rFonts w:hint="eastAsia" w:ascii="Times New Roman" w:hAnsi="Times New Roman"/>
          <w:caps w:val="0"/>
          <w:smallCaps w:val="0"/>
          <w:color w:val="auto"/>
          <w:spacing w:val="0"/>
          <w:sz w:val="24"/>
          <w:highlight w:val="none"/>
        </w:rPr>
        <w:t>含镉</w:t>
      </w:r>
      <w:r>
        <w:rPr>
          <w:rFonts w:ascii="Times New Roman" w:hAnsi="Times New Roman"/>
          <w:caps w:val="0"/>
          <w:smallCaps w:val="0"/>
          <w:color w:val="auto"/>
          <w:spacing w:val="0"/>
          <w:sz w:val="24"/>
          <w:highlight w:val="none"/>
        </w:rPr>
        <w:t>废水</w:t>
      </w:r>
      <w:r>
        <w:rPr>
          <w:rFonts w:hint="eastAsia" w:ascii="Times New Roman" w:hAnsi="Times New Roman"/>
          <w:caps w:val="0"/>
          <w:smallCaps w:val="0"/>
          <w:color w:val="auto"/>
          <w:spacing w:val="0"/>
          <w:sz w:val="24"/>
          <w:highlight w:val="none"/>
        </w:rPr>
        <w:t>能够</w:t>
      </w:r>
      <w:r>
        <w:rPr>
          <w:rFonts w:ascii="Times New Roman" w:hAnsi="Times New Roman"/>
          <w:caps w:val="0"/>
          <w:smallCaps w:val="0"/>
          <w:color w:val="auto"/>
          <w:spacing w:val="0"/>
          <w:sz w:val="24"/>
          <w:highlight w:val="none"/>
        </w:rPr>
        <w:t>被控制在厂区内，对周围环境不会造成大的影响。</w:t>
      </w:r>
    </w:p>
    <w:p w14:paraId="4F64C0D7">
      <w:pPr>
        <w:spacing w:line="360" w:lineRule="auto"/>
        <w:ind w:firstLine="480" w:firstLineChars="200"/>
        <w:rPr>
          <w:rFonts w:ascii="Times New Roman" w:hAnsi="Times New Roman"/>
          <w:caps w:val="0"/>
          <w:smallCaps w:val="0"/>
          <w:color w:val="auto"/>
          <w:spacing w:val="0"/>
          <w:highlight w:val="none"/>
        </w:rPr>
      </w:pPr>
      <w:r>
        <w:rPr>
          <w:rFonts w:hint="eastAsia" w:ascii="Times New Roman" w:hAnsi="Times New Roman"/>
          <w:caps w:val="0"/>
          <w:smallCaps w:val="0"/>
          <w:color w:val="auto"/>
          <w:spacing w:val="0"/>
          <w:highlight w:val="none"/>
        </w:rPr>
        <w:t>（3）地下水</w:t>
      </w:r>
    </w:p>
    <w:p w14:paraId="3485E43C">
      <w:pPr>
        <w:pStyle w:val="36"/>
        <w:spacing w:after="0" w:line="360" w:lineRule="auto"/>
        <w:ind w:firstLine="480" w:firstLineChars="200"/>
        <w:rPr>
          <w:rFonts w:ascii="Times New Roman" w:hAnsi="Times New Roman"/>
          <w:caps w:val="0"/>
          <w:smallCaps w:val="0"/>
          <w:color w:val="auto"/>
          <w:spacing w:val="0"/>
          <w:highlight w:val="none"/>
        </w:rPr>
      </w:pPr>
      <w:r>
        <w:rPr>
          <w:rFonts w:ascii="Times New Roman" w:hAnsi="Times New Roman"/>
          <w:caps w:val="0"/>
          <w:smallCaps w:val="0"/>
          <w:color w:val="auto"/>
          <w:spacing w:val="0"/>
          <w:highlight w:val="none"/>
        </w:rPr>
        <w:t>非正常状况下，工艺设备或地下水环境保护措施因系统老化或腐蚀</w:t>
      </w:r>
      <w:r>
        <w:rPr>
          <w:rFonts w:hint="eastAsia" w:ascii="Times New Roman" w:hAnsi="Times New Roman"/>
          <w:caps w:val="0"/>
          <w:smallCaps w:val="0"/>
          <w:color w:val="auto"/>
          <w:spacing w:val="0"/>
          <w:highlight w:val="none"/>
        </w:rPr>
        <w:t>，</w:t>
      </w:r>
      <w:r>
        <w:rPr>
          <w:rFonts w:ascii="Times New Roman" w:hAnsi="Times New Roman" w:eastAsia="宋体" w:cs="Times New Roman"/>
          <w:caps w:val="0"/>
          <w:smallCaps w:val="0"/>
          <w:color w:val="auto"/>
          <w:spacing w:val="0"/>
          <w:szCs w:val="28"/>
          <w:highlight w:val="none"/>
        </w:rPr>
        <w:t>污水的跑、冒、滴、漏以及非正常状况下污染物的泄漏等</w:t>
      </w:r>
      <w:r>
        <w:rPr>
          <w:rFonts w:ascii="Times New Roman" w:hAnsi="Times New Roman"/>
          <w:caps w:val="0"/>
          <w:smallCaps w:val="0"/>
          <w:color w:val="auto"/>
          <w:spacing w:val="0"/>
          <w:highlight w:val="none"/>
        </w:rPr>
        <w:t>，</w:t>
      </w:r>
      <w:r>
        <w:rPr>
          <w:rFonts w:ascii="Times New Roman" w:hAnsi="Times New Roman"/>
          <w:caps w:val="0"/>
          <w:smallCaps w:val="0"/>
          <w:color w:val="auto"/>
          <w:spacing w:val="0"/>
          <w:highlight w:val="none"/>
        </w:rPr>
        <w:t>泄漏液体</w:t>
      </w:r>
      <w:r>
        <w:rPr>
          <w:rFonts w:hint="eastAsia" w:ascii="Times New Roman" w:hAnsi="Times New Roman"/>
          <w:caps w:val="0"/>
          <w:smallCaps w:val="0"/>
          <w:color w:val="auto"/>
          <w:spacing w:val="0"/>
          <w:highlight w:val="none"/>
          <w:lang w:val="en-US" w:eastAsia="zh-CN"/>
        </w:rPr>
        <w:t>为高浓度含镉废水</w:t>
      </w:r>
      <w:r>
        <w:rPr>
          <w:rFonts w:ascii="Times New Roman" w:hAnsi="Times New Roman"/>
          <w:caps w:val="0"/>
          <w:smallCaps w:val="0"/>
          <w:color w:val="auto"/>
          <w:spacing w:val="0"/>
          <w:highlight w:val="none"/>
        </w:rPr>
        <w:t>收集池污染物渗漏</w:t>
      </w:r>
      <w:r>
        <w:rPr>
          <w:rFonts w:hint="eastAsia" w:ascii="Times New Roman" w:hAnsi="Times New Roman"/>
          <w:caps w:val="0"/>
          <w:smallCaps w:val="0"/>
          <w:color w:val="auto"/>
          <w:spacing w:val="0"/>
          <w:highlight w:val="none"/>
          <w:lang w:eastAsia="zh-CN"/>
        </w:rPr>
        <w:t>，</w:t>
      </w:r>
      <w:r>
        <w:rPr>
          <w:rFonts w:hint="eastAsia" w:ascii="Times New Roman" w:hAnsi="Times New Roman"/>
          <w:caps w:val="0"/>
          <w:smallCaps w:val="0"/>
          <w:color w:val="auto"/>
          <w:spacing w:val="0"/>
          <w:highlight w:val="none"/>
          <w:lang w:val="en-US" w:eastAsia="zh-CN"/>
        </w:rPr>
        <w:t>渗漏</w:t>
      </w:r>
      <w:r>
        <w:rPr>
          <w:rFonts w:ascii="Times New Roman" w:hAnsi="Times New Roman"/>
          <w:caps w:val="0"/>
          <w:smallCaps w:val="0"/>
          <w:color w:val="auto"/>
          <w:spacing w:val="0"/>
          <w:highlight w:val="none"/>
        </w:rPr>
        <w:t>浓度</w:t>
      </w:r>
      <w:r>
        <w:rPr>
          <w:rFonts w:hint="eastAsia" w:ascii="Times New Roman" w:hAnsi="Times New Roman"/>
          <w:caps w:val="0"/>
          <w:smallCaps w:val="0"/>
          <w:color w:val="auto"/>
          <w:spacing w:val="0"/>
          <w:highlight w:val="none"/>
          <w:lang w:val="en-US" w:eastAsia="zh-CN"/>
        </w:rPr>
        <w:t>为高浓度含镉废水设计最大进水浓度</w:t>
      </w:r>
      <w:r>
        <w:rPr>
          <w:rFonts w:ascii="Times New Roman" w:hAnsi="Times New Roman"/>
          <w:caps w:val="0"/>
          <w:smallCaps w:val="0"/>
          <w:color w:val="auto"/>
          <w:spacing w:val="0"/>
          <w:highlight w:val="none"/>
        </w:rPr>
        <w:t>C</w:t>
      </w:r>
      <w:r>
        <w:rPr>
          <w:rFonts w:hint="eastAsia" w:ascii="Times New Roman" w:hAnsi="Times New Roman"/>
          <w:caps w:val="0"/>
          <w:smallCaps w:val="0"/>
          <w:color w:val="auto"/>
          <w:spacing w:val="0"/>
          <w:highlight w:val="none"/>
        </w:rPr>
        <w:t>d</w:t>
      </w:r>
      <w:r>
        <w:rPr>
          <w:rFonts w:hint="eastAsia" w:ascii="Times New Roman" w:hAnsi="Times New Roman"/>
          <w:caps w:val="0"/>
          <w:smallCaps w:val="0"/>
          <w:color w:val="auto"/>
          <w:spacing w:val="0"/>
          <w:highlight w:val="none"/>
          <w:vertAlign w:val="superscript"/>
        </w:rPr>
        <w:t>2+</w:t>
      </w:r>
      <w:r>
        <w:rPr>
          <w:rFonts w:hint="eastAsia" w:ascii="Times New Roman" w:hAnsi="Times New Roman"/>
          <w:caps w:val="0"/>
          <w:smallCaps w:val="0"/>
          <w:color w:val="auto"/>
          <w:spacing w:val="0"/>
          <w:highlight w:val="none"/>
        </w:rPr>
        <w:t>5</w:t>
      </w:r>
      <w:r>
        <w:rPr>
          <w:rFonts w:ascii="Times New Roman" w:hAnsi="Times New Roman"/>
          <w:caps w:val="0"/>
          <w:smallCaps w:val="0"/>
          <w:color w:val="auto"/>
          <w:spacing w:val="0"/>
          <w:highlight w:val="none"/>
        </w:rPr>
        <w:t>mg/L确定污染物的浓度取值</w:t>
      </w:r>
      <w:r>
        <w:rPr>
          <w:rFonts w:hint="eastAsia" w:ascii="Times New Roman" w:hAnsi="Times New Roman"/>
          <w:caps w:val="0"/>
          <w:smallCaps w:val="0"/>
          <w:color w:val="auto"/>
          <w:spacing w:val="0"/>
          <w:highlight w:val="none"/>
          <w:lang w:eastAsia="zh-CN"/>
        </w:rPr>
        <w:t>；</w:t>
      </w:r>
      <w:r>
        <w:rPr>
          <w:rFonts w:hint="eastAsia" w:ascii="Times New Roman" w:hAnsi="Times New Roman"/>
          <w:caps w:val="0"/>
          <w:smallCaps w:val="0"/>
          <w:color w:val="auto"/>
          <w:spacing w:val="0"/>
          <w:highlight w:val="none"/>
          <w:lang w:val="en-US" w:eastAsia="zh-CN"/>
        </w:rPr>
        <w:t>COD非正常工况下为显影废水收集池发生渗漏，</w:t>
      </w:r>
      <w:r>
        <w:rPr>
          <w:rFonts w:hint="eastAsia" w:ascii="Times New Roman" w:hAnsi="Times New Roman"/>
          <w:caps w:val="0"/>
          <w:smallCaps w:val="0"/>
          <w:color w:val="auto"/>
          <w:spacing w:val="0"/>
          <w:highlight w:val="none"/>
        </w:rPr>
        <w:t>根据污水处理站设计进水浓度确定</w:t>
      </w:r>
      <w:r>
        <w:rPr>
          <w:rFonts w:hint="eastAsia" w:ascii="Times New Roman" w:hAnsi="Times New Roman"/>
          <w:caps w:val="0"/>
          <w:smallCaps w:val="0"/>
          <w:color w:val="auto"/>
          <w:spacing w:val="0"/>
          <w:highlight w:val="none"/>
          <w:lang w:val="en-US" w:eastAsia="zh-CN"/>
        </w:rPr>
        <w:t>显影废水</w:t>
      </w:r>
      <w:r>
        <w:rPr>
          <w:rFonts w:hint="eastAsia" w:ascii="Times New Roman" w:hAnsi="Times New Roman"/>
          <w:caps w:val="0"/>
          <w:smallCaps w:val="0"/>
          <w:color w:val="auto"/>
          <w:spacing w:val="0"/>
          <w:highlight w:val="none"/>
        </w:rPr>
        <w:t>COD</w:t>
      </w:r>
      <w:r>
        <w:rPr>
          <w:rFonts w:hint="eastAsia" w:ascii="Times New Roman" w:hAnsi="Times New Roman"/>
          <w:caps w:val="0"/>
          <w:smallCaps w:val="0"/>
          <w:color w:val="auto"/>
          <w:spacing w:val="0"/>
          <w:highlight w:val="none"/>
          <w:lang w:val="en-US" w:eastAsia="zh-CN"/>
        </w:rPr>
        <w:t>设计进水</w:t>
      </w:r>
      <w:r>
        <w:rPr>
          <w:rFonts w:hint="eastAsia" w:ascii="Times New Roman" w:hAnsi="Times New Roman"/>
          <w:caps w:val="0"/>
          <w:smallCaps w:val="0"/>
          <w:color w:val="auto"/>
          <w:spacing w:val="0"/>
          <w:highlight w:val="none"/>
        </w:rPr>
        <w:t>浓度为</w:t>
      </w:r>
      <w:r>
        <w:rPr>
          <w:rFonts w:hint="eastAsia" w:ascii="Times New Roman" w:hAnsi="Times New Roman"/>
          <w:caps w:val="0"/>
          <w:smallCaps w:val="0"/>
          <w:color w:val="auto"/>
          <w:spacing w:val="0"/>
          <w:highlight w:val="none"/>
          <w:lang w:val="en-US" w:eastAsia="zh-CN"/>
        </w:rPr>
        <w:t>7500</w:t>
      </w:r>
      <w:r>
        <w:rPr>
          <w:rFonts w:hint="eastAsia" w:ascii="Times New Roman" w:hAnsi="Times New Roman"/>
          <w:caps w:val="0"/>
          <w:smallCaps w:val="0"/>
          <w:color w:val="auto"/>
          <w:spacing w:val="0"/>
          <w:highlight w:val="none"/>
        </w:rPr>
        <w:t>mg/L</w:t>
      </w:r>
      <w:r>
        <w:rPr>
          <w:rFonts w:ascii="Times New Roman" w:hAnsi="Times New Roman"/>
          <w:caps w:val="0"/>
          <w:smallCaps w:val="0"/>
          <w:color w:val="auto"/>
          <w:spacing w:val="0"/>
          <w:highlight w:val="none"/>
        </w:rPr>
        <w:t>。</w:t>
      </w:r>
    </w:p>
    <w:p w14:paraId="5A2A63CB">
      <w:pPr>
        <w:pStyle w:val="4"/>
        <w:widowControl w:val="0"/>
        <w:rPr>
          <w:rFonts w:eastAsia="宋体"/>
          <w:caps w:val="0"/>
          <w:smallCaps w:val="0"/>
          <w:color w:val="auto"/>
          <w:spacing w:val="0"/>
          <w:highlight w:val="none"/>
        </w:rPr>
      </w:pPr>
      <w:bookmarkStart w:id="100" w:name="_Toc19165"/>
      <w:r>
        <w:rPr>
          <w:rFonts w:eastAsia="宋体"/>
          <w:caps w:val="0"/>
          <w:smallCaps w:val="0"/>
          <w:color w:val="auto"/>
          <w:spacing w:val="0"/>
          <w:highlight w:val="none"/>
        </w:rPr>
        <w:t>3.6</w:t>
      </w:r>
      <w:r>
        <w:rPr>
          <w:rFonts w:hint="eastAsia" w:eastAsia="宋体"/>
          <w:caps w:val="0"/>
          <w:smallCaps w:val="0"/>
          <w:color w:val="auto"/>
          <w:spacing w:val="0"/>
          <w:highlight w:val="none"/>
        </w:rPr>
        <w:t>环境风险识别</w:t>
      </w:r>
      <w:bookmarkEnd w:id="100"/>
    </w:p>
    <w:p w14:paraId="6B038C53">
      <w:pPr>
        <w:pStyle w:val="5"/>
        <w:widowControl w:val="0"/>
        <w:rPr>
          <w:rFonts w:eastAsia="宋体"/>
          <w:caps w:val="0"/>
          <w:smallCaps w:val="0"/>
          <w:color w:val="auto"/>
          <w:spacing w:val="0"/>
          <w:sz w:val="30"/>
          <w:szCs w:val="30"/>
          <w:highlight w:val="none"/>
        </w:rPr>
      </w:pPr>
      <w:bookmarkStart w:id="101" w:name="_Toc15134"/>
      <w:r>
        <w:rPr>
          <w:rFonts w:hint="eastAsia" w:eastAsia="宋体"/>
          <w:caps w:val="0"/>
          <w:smallCaps w:val="0"/>
          <w:color w:val="auto"/>
          <w:spacing w:val="0"/>
          <w:sz w:val="30"/>
          <w:szCs w:val="30"/>
          <w:highlight w:val="none"/>
        </w:rPr>
        <w:t>3.6.1风险物质识别</w:t>
      </w:r>
      <w:bookmarkEnd w:id="101"/>
    </w:p>
    <w:p w14:paraId="712CC864">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本项目主要风险物质为</w:t>
      </w:r>
      <w:r>
        <w:rPr>
          <w:rFonts w:hint="eastAsia" w:ascii="Times New Roman" w:hAnsi="Times New Roman" w:eastAsia="宋体" w:cs="Times New Roman"/>
          <w:caps w:val="0"/>
          <w:smallCaps w:val="0"/>
          <w:color w:val="auto"/>
          <w:spacing w:val="0"/>
          <w:highlight w:val="none"/>
        </w:rPr>
        <w:t>生产原料氯化镉、碲化镉、硒化镉、钼、铬、硝酸、盐酸，实验过程中用到的二甲苯，设备检修过程中产生的废润滑油</w:t>
      </w:r>
      <w:r>
        <w:rPr>
          <w:rFonts w:ascii="Times New Roman" w:hAnsi="Times New Roman" w:eastAsia="宋体" w:cs="Times New Roman"/>
          <w:caps w:val="0"/>
          <w:smallCaps w:val="0"/>
          <w:color w:val="auto"/>
          <w:spacing w:val="0"/>
          <w:highlight w:val="none"/>
        </w:rPr>
        <w:t>，主要危险、有害原料及物质的理化性质见表3.5-</w:t>
      </w:r>
      <w:r>
        <w:rPr>
          <w:rFonts w:hint="eastAsia"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1。</w:t>
      </w:r>
    </w:p>
    <w:p w14:paraId="66156AF7">
      <w:pPr>
        <w:widowControl w:val="0"/>
        <w:jc w:val="center"/>
        <w:rPr>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表3.5-</w:t>
      </w:r>
      <w:r>
        <w:rPr>
          <w:rFonts w:hint="eastAsia" w:ascii="Times New Roman" w:hAnsi="Times New Roman" w:eastAsia="宋体" w:cs="Times New Roman"/>
          <w:b/>
          <w:bCs/>
          <w:caps w:val="0"/>
          <w:smallCaps w:val="0"/>
          <w:color w:val="auto"/>
          <w:spacing w:val="0"/>
          <w:highlight w:val="none"/>
        </w:rPr>
        <w:t>11危险、有害原料及物质的理化性质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21"/>
        <w:gridCol w:w="977"/>
        <w:gridCol w:w="4260"/>
        <w:gridCol w:w="3328"/>
      </w:tblGrid>
      <w:tr w14:paraId="29E07B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1C047308">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名称</w:t>
            </w:r>
          </w:p>
        </w:tc>
        <w:tc>
          <w:tcPr>
            <w:tcW w:w="526" w:type="pct"/>
            <w:tcBorders>
              <w:tl2br w:val="nil"/>
              <w:tr2bl w:val="nil"/>
            </w:tcBorders>
            <w:shd w:val="clear" w:color="auto" w:fill="auto"/>
            <w:vAlign w:val="center"/>
          </w:tcPr>
          <w:p w14:paraId="48E6A785">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分子式</w:t>
            </w:r>
          </w:p>
        </w:tc>
        <w:tc>
          <w:tcPr>
            <w:tcW w:w="2293" w:type="pct"/>
            <w:tcBorders>
              <w:tl2br w:val="nil"/>
              <w:tr2bl w:val="nil"/>
            </w:tcBorders>
            <w:shd w:val="clear" w:color="auto" w:fill="auto"/>
            <w:vAlign w:val="center"/>
          </w:tcPr>
          <w:p w14:paraId="06FCD9AC">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毒理性</w:t>
            </w:r>
          </w:p>
        </w:tc>
        <w:tc>
          <w:tcPr>
            <w:tcW w:w="1791" w:type="pct"/>
            <w:tcBorders>
              <w:tl2br w:val="nil"/>
              <w:tr2bl w:val="nil"/>
            </w:tcBorders>
            <w:shd w:val="clear" w:color="auto" w:fill="auto"/>
            <w:vAlign w:val="center"/>
          </w:tcPr>
          <w:p w14:paraId="737BD223">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危险特性</w:t>
            </w:r>
          </w:p>
        </w:tc>
      </w:tr>
      <w:tr w14:paraId="3EB0CF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029CA208">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硒</w:t>
            </w:r>
            <w:r>
              <w:rPr>
                <w:rFonts w:ascii="Times New Roman" w:hAnsi="Times New Roman" w:cs="Times New Roman"/>
                <w:caps w:val="0"/>
                <w:smallCaps w:val="0"/>
                <w:color w:val="auto"/>
                <w:spacing w:val="0"/>
                <w:sz w:val="21"/>
                <w:szCs w:val="21"/>
                <w:highlight w:val="none"/>
              </w:rPr>
              <w:t>化镉</w:t>
            </w:r>
          </w:p>
        </w:tc>
        <w:tc>
          <w:tcPr>
            <w:tcW w:w="526" w:type="pct"/>
            <w:tcBorders>
              <w:tl2br w:val="nil"/>
              <w:tr2bl w:val="nil"/>
            </w:tcBorders>
            <w:shd w:val="clear" w:color="auto" w:fill="auto"/>
            <w:vAlign w:val="center"/>
          </w:tcPr>
          <w:p w14:paraId="4A0675C1">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shd w:val="clear" w:color="auto" w:fill="FFFFFF"/>
              </w:rPr>
              <w:t>CdSe</w:t>
            </w:r>
          </w:p>
        </w:tc>
        <w:tc>
          <w:tcPr>
            <w:tcW w:w="2293" w:type="pct"/>
            <w:tcBorders>
              <w:tl2br w:val="nil"/>
              <w:tr2bl w:val="nil"/>
            </w:tcBorders>
            <w:shd w:val="clear" w:color="auto" w:fill="auto"/>
            <w:vAlign w:val="center"/>
          </w:tcPr>
          <w:p w14:paraId="5AC46E37">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分子式为CdSe，分子量191.36，是一种灰棕色或红色结晶体，熔点1350℃，密度5.81g/cm</w:t>
            </w:r>
            <w:r>
              <w:rPr>
                <w:rFonts w:ascii="Times New Roman" w:hAnsi="Times New Roman" w:eastAsia="宋体" w:cs="Times New Roman"/>
                <w:caps w:val="0"/>
                <w:smallCaps w:val="0"/>
                <w:color w:val="auto"/>
                <w:spacing w:val="0"/>
                <w:kern w:val="0"/>
                <w:sz w:val="21"/>
                <w:highlight w:val="none"/>
                <w:vertAlign w:val="superscript"/>
                <w:lang w:bidi="ar"/>
              </w:rPr>
              <w:t>3</w:t>
            </w:r>
            <w:r>
              <w:rPr>
                <w:rFonts w:ascii="Times New Roman" w:hAnsi="Times New Roman" w:eastAsia="宋体" w:cs="Times New Roman"/>
                <w:caps w:val="0"/>
                <w:smallCaps w:val="0"/>
                <w:color w:val="auto"/>
                <w:spacing w:val="0"/>
                <w:kern w:val="0"/>
                <w:sz w:val="21"/>
                <w:highlight w:val="none"/>
                <w:lang w:bidi="ar"/>
              </w:rPr>
              <w:t>，不溶于水，用于电子发射器和光谱分析、光导体、半导体、光敏元件等。</w:t>
            </w:r>
          </w:p>
        </w:tc>
        <w:tc>
          <w:tcPr>
            <w:tcW w:w="1791" w:type="pct"/>
            <w:tcBorders>
              <w:tl2br w:val="nil"/>
              <w:tr2bl w:val="nil"/>
            </w:tcBorders>
            <w:shd w:val="clear" w:color="auto" w:fill="auto"/>
            <w:vAlign w:val="center"/>
          </w:tcPr>
          <w:p w14:paraId="5BCCE32C">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受热或遇酸能产生剧毒，燃烧产物为氧化硒。</w:t>
            </w:r>
          </w:p>
        </w:tc>
      </w:tr>
      <w:tr w14:paraId="3DB68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34A96829">
            <w:pPr>
              <w:pStyle w:val="19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碲化镉</w:t>
            </w:r>
          </w:p>
        </w:tc>
        <w:tc>
          <w:tcPr>
            <w:tcW w:w="526" w:type="pct"/>
            <w:tcBorders>
              <w:tl2br w:val="nil"/>
              <w:tr2bl w:val="nil"/>
            </w:tcBorders>
            <w:shd w:val="clear" w:color="auto" w:fill="auto"/>
            <w:vAlign w:val="center"/>
          </w:tcPr>
          <w:p w14:paraId="44DDD78D">
            <w:pPr>
              <w:pStyle w:val="237"/>
              <w:spacing w:line="240" w:lineRule="auto"/>
              <w:ind w:left="22" w:right="22"/>
              <w:rPr>
                <w:rFonts w:ascii="Times New Roman" w:hAnsi="Times New Roman" w:eastAsia="宋体" w:cs="Times New Roman"/>
                <w:caps w:val="0"/>
                <w:smallCaps w:val="0"/>
                <w:color w:val="auto"/>
                <w:spacing w:val="0"/>
                <w:szCs w:val="21"/>
                <w:highlight w:val="none"/>
                <w:shd w:val="clear" w:color="auto" w:fill="FFFFFF"/>
              </w:rPr>
            </w:pPr>
            <w:r>
              <w:rPr>
                <w:rFonts w:ascii="Times New Roman" w:hAnsi="Times New Roman" w:eastAsia="宋体" w:cs="Times New Roman"/>
                <w:caps w:val="0"/>
                <w:smallCaps w:val="0"/>
                <w:color w:val="auto"/>
                <w:spacing w:val="0"/>
                <w:szCs w:val="21"/>
                <w:highlight w:val="none"/>
                <w:shd w:val="clear" w:color="auto" w:fill="FFFFFF"/>
              </w:rPr>
              <w:t>CdTe</w:t>
            </w:r>
          </w:p>
        </w:tc>
        <w:tc>
          <w:tcPr>
            <w:tcW w:w="2293" w:type="pct"/>
            <w:tcBorders>
              <w:tl2br w:val="nil"/>
              <w:tr2bl w:val="nil"/>
            </w:tcBorders>
            <w:shd w:val="clear" w:color="auto" w:fill="auto"/>
            <w:vAlign w:val="center"/>
          </w:tcPr>
          <w:p w14:paraId="291078B2">
            <w:pPr>
              <w:pStyle w:val="195"/>
              <w:widowControl w:val="0"/>
              <w:jc w:val="both"/>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分子式为CdTe，分子量为240.01。碲化镉属于周期表第II、IV族元素化合物半导体。由强离子性的共价键结合，</w:t>
            </w:r>
            <w:r>
              <w:rPr>
                <w:rFonts w:hint="eastAsia" w:ascii="Times New Roman" w:hAnsi="Times New Roman" w:cs="Times New Roman"/>
                <w:caps w:val="0"/>
                <w:smallCaps w:val="0"/>
                <w:color w:val="auto"/>
                <w:spacing w:val="0"/>
                <w:sz w:val="21"/>
                <w:szCs w:val="21"/>
                <w:highlight w:val="none"/>
                <w:lang w:eastAsia="zh-CN"/>
              </w:rPr>
              <w:t>晶体结构</w:t>
            </w:r>
            <w:r>
              <w:rPr>
                <w:rFonts w:ascii="Times New Roman" w:hAnsi="Times New Roman" w:cs="Times New Roman"/>
                <w:caps w:val="0"/>
                <w:smallCaps w:val="0"/>
                <w:color w:val="auto"/>
                <w:spacing w:val="0"/>
                <w:sz w:val="21"/>
                <w:szCs w:val="21"/>
                <w:highlight w:val="none"/>
                <w:lang w:eastAsia="zh-CN"/>
              </w:rPr>
              <w:t>为立方晶系闪锌矿型结构，晶格常数0.6477nm，为复式晶格。密度6.20g/cm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。熔点1041℃</w:t>
            </w:r>
            <w:r>
              <w:rPr>
                <w:rFonts w:hint="eastAsia" w:ascii="Times New Roman" w:hAnsi="Times New Roman" w:cs="Times New Roman"/>
                <w:caps w:val="0"/>
                <w:smallCaps w:val="0"/>
                <w:color w:val="auto"/>
                <w:spacing w:val="0"/>
                <w:sz w:val="21"/>
                <w:szCs w:val="21"/>
                <w:highlight w:val="none"/>
                <w:lang w:eastAsia="zh-CN"/>
              </w:rPr>
              <w:t>，</w:t>
            </w:r>
            <w:r>
              <w:rPr>
                <w:rFonts w:ascii="Times New Roman" w:hAnsi="Times New Roman" w:cs="Times New Roman"/>
                <w:caps w:val="0"/>
                <w:smallCaps w:val="0"/>
                <w:color w:val="auto"/>
                <w:spacing w:val="0"/>
                <w:sz w:val="21"/>
                <w:szCs w:val="21"/>
                <w:highlight w:val="none"/>
                <w:lang w:eastAsia="zh-CN"/>
              </w:rPr>
              <w:t>为棕黑色晶体。室温禁带宽度1.50eV，电子和空穴迁移率分别为6×10</w:t>
            </w:r>
            <w:r>
              <w:rPr>
                <w:rFonts w:ascii="Times New Roman" w:hAnsi="Times New Roman" w:cs="Times New Roman"/>
                <w:caps w:val="0"/>
                <w:smallCaps w:val="0"/>
                <w:color w:val="auto"/>
                <w:spacing w:val="0"/>
                <w:sz w:val="21"/>
                <w:szCs w:val="21"/>
                <w:highlight w:val="none"/>
                <w:vertAlign w:val="superscript"/>
                <w:lang w:eastAsia="zh-CN"/>
              </w:rPr>
              <w:t>-2</w:t>
            </w:r>
            <w:r>
              <w:rPr>
                <w:rFonts w:ascii="Times New Roman" w:hAnsi="Times New Roman" w:cs="Times New Roman"/>
                <w:caps w:val="0"/>
                <w:smallCaps w:val="0"/>
                <w:color w:val="auto"/>
                <w:spacing w:val="0"/>
                <w:sz w:val="21"/>
                <w:szCs w:val="21"/>
                <w:highlight w:val="none"/>
                <w:lang w:eastAsia="zh-CN"/>
              </w:rPr>
              <w:t>和6.5×10</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/(V·s)。用于制作近红外光探测器、</w:t>
            </w:r>
            <w:r>
              <w:rPr>
                <w:rFonts w:ascii="Times New Roman" w:hAnsi="Times New Roman" w:cs="Times New Roman"/>
                <w:caps w:val="0"/>
                <w:smallCaps w:val="0"/>
                <w:color w:val="auto"/>
                <w:spacing w:val="0"/>
                <w:sz w:val="21"/>
                <w:szCs w:val="21"/>
                <w:highlight w:val="none"/>
              </w:rPr>
              <w:t>γ</w:t>
            </w:r>
            <w:r>
              <w:rPr>
                <w:rFonts w:ascii="Times New Roman" w:hAnsi="Times New Roman" w:cs="Times New Roman"/>
                <w:caps w:val="0"/>
                <w:smallCaps w:val="0"/>
                <w:color w:val="auto"/>
                <w:spacing w:val="0"/>
                <w:sz w:val="21"/>
                <w:szCs w:val="21"/>
                <w:highlight w:val="none"/>
                <w:lang w:eastAsia="zh-CN"/>
              </w:rPr>
              <w:t>和X射线谱仪、电光调制器等。</w:t>
            </w:r>
            <w:r>
              <w:rPr>
                <w:rFonts w:ascii="Times New Roman" w:hAnsi="Times New Roman" w:cs="Times New Roman"/>
                <w:caps w:val="0"/>
                <w:smallCaps w:val="0"/>
                <w:color w:val="auto"/>
                <w:spacing w:val="0"/>
                <w:sz w:val="21"/>
                <w:szCs w:val="21"/>
                <w:highlight w:val="none"/>
              </w:rPr>
              <w:t>CdTe不溶于水和酸，但能与硝酸作用而分解。</w:t>
            </w:r>
          </w:p>
        </w:tc>
        <w:tc>
          <w:tcPr>
            <w:tcW w:w="1791" w:type="pct"/>
            <w:tcBorders>
              <w:tl2br w:val="nil"/>
              <w:tr2bl w:val="nil"/>
            </w:tcBorders>
            <w:shd w:val="clear" w:color="auto" w:fill="auto"/>
            <w:vAlign w:val="center"/>
          </w:tcPr>
          <w:p w14:paraId="22356A1A">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kern w:val="0"/>
                <w:sz w:val="21"/>
                <w:szCs w:val="21"/>
                <w:highlight w:val="none"/>
                <w:lang w:eastAsia="zh-CN" w:bidi="ar"/>
              </w:rPr>
              <w:t>加热时，容器可能爆炸。暴露于火中的容器可能会通过压力安全阀泄漏出内容物。受热或接触火焰可能会</w:t>
            </w:r>
            <w:r>
              <w:rPr>
                <w:rFonts w:hint="eastAsia" w:ascii="Times New Roman" w:hAnsi="Times New Roman" w:cs="Times New Roman"/>
                <w:caps w:val="0"/>
                <w:smallCaps w:val="0"/>
                <w:color w:val="auto"/>
                <w:spacing w:val="0"/>
                <w:kern w:val="0"/>
                <w:sz w:val="21"/>
                <w:szCs w:val="21"/>
                <w:highlight w:val="none"/>
                <w:lang w:eastAsia="zh-CN" w:bidi="ar"/>
              </w:rPr>
              <w:t>产</w:t>
            </w:r>
            <w:r>
              <w:rPr>
                <w:rFonts w:ascii="Times New Roman" w:hAnsi="Times New Roman" w:cs="Times New Roman"/>
                <w:caps w:val="0"/>
                <w:smallCaps w:val="0"/>
                <w:color w:val="auto"/>
                <w:spacing w:val="0"/>
                <w:kern w:val="0"/>
                <w:sz w:val="21"/>
                <w:szCs w:val="21"/>
                <w:highlight w:val="none"/>
                <w:lang w:eastAsia="zh-CN" w:bidi="ar"/>
              </w:rPr>
              <w:t>生膨胀或爆炸性分解。</w:t>
            </w:r>
          </w:p>
        </w:tc>
      </w:tr>
      <w:tr w14:paraId="7815DB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5F41F4F5">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盐酸</w:t>
            </w:r>
          </w:p>
        </w:tc>
        <w:tc>
          <w:tcPr>
            <w:tcW w:w="526" w:type="pct"/>
            <w:tcBorders>
              <w:tl2br w:val="nil"/>
              <w:tr2bl w:val="nil"/>
            </w:tcBorders>
            <w:shd w:val="clear" w:color="auto" w:fill="auto"/>
            <w:vAlign w:val="center"/>
          </w:tcPr>
          <w:p w14:paraId="595F1B04">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HCl</w:t>
            </w:r>
          </w:p>
        </w:tc>
        <w:tc>
          <w:tcPr>
            <w:tcW w:w="2293" w:type="pct"/>
            <w:tcBorders>
              <w:tl2br w:val="nil"/>
              <w:tr2bl w:val="nil"/>
            </w:tcBorders>
            <w:shd w:val="clear" w:color="auto" w:fill="auto"/>
            <w:vAlign w:val="center"/>
          </w:tcPr>
          <w:p w14:paraId="37F14F46">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接触其蒸气或烟雾，可引起急性中毒，出现眼结膜炎，鼻及口腔粘膜有烧灼感，鼻衄，齿龈出血，气管炎等。误服可引起消化道灼伤、溃疡形成。有可能引起胃穿孔、腹膜炎等。眼和皮肤接触可致灼伤。对牙齿特别是门齿可产生酸蚀症</w:t>
            </w:r>
          </w:p>
        </w:tc>
        <w:tc>
          <w:tcPr>
            <w:tcW w:w="1791" w:type="pct"/>
            <w:tcBorders>
              <w:tl2br w:val="nil"/>
              <w:tr2bl w:val="nil"/>
            </w:tcBorders>
            <w:shd w:val="clear" w:color="auto" w:fill="auto"/>
            <w:vAlign w:val="center"/>
          </w:tcPr>
          <w:p w14:paraId="69C837B3">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能与一些活性金属粉末发生反应，放出氢气。遇氰化物能产生剧毒的氰化氢气体。与碱发生中和反应，并放出大量的热。具有较强的腐蚀性</w:t>
            </w:r>
          </w:p>
        </w:tc>
      </w:tr>
      <w:tr w14:paraId="5949FD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1F915653">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氯化镉</w:t>
            </w:r>
          </w:p>
        </w:tc>
        <w:tc>
          <w:tcPr>
            <w:tcW w:w="526" w:type="pct"/>
            <w:tcBorders>
              <w:tl2br w:val="nil"/>
              <w:tr2bl w:val="nil"/>
            </w:tcBorders>
            <w:shd w:val="clear" w:color="auto" w:fill="auto"/>
            <w:vAlign w:val="center"/>
          </w:tcPr>
          <w:p w14:paraId="60D44FBF">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CdCl</w:t>
            </w:r>
            <w:r>
              <w:rPr>
                <w:rFonts w:ascii="Times New Roman" w:hAnsi="Times New Roman" w:eastAsia="宋体" w:cs="Times New Roman"/>
                <w:caps w:val="0"/>
                <w:smallCaps w:val="0"/>
                <w:color w:val="auto"/>
                <w:spacing w:val="0"/>
                <w:szCs w:val="21"/>
                <w:highlight w:val="none"/>
                <w:vertAlign w:val="subscript"/>
              </w:rPr>
              <w:t>2</w:t>
            </w:r>
          </w:p>
        </w:tc>
        <w:tc>
          <w:tcPr>
            <w:tcW w:w="2293" w:type="pct"/>
            <w:tcBorders>
              <w:tl2br w:val="nil"/>
              <w:tr2bl w:val="nil"/>
            </w:tcBorders>
            <w:shd w:val="clear" w:color="auto" w:fill="auto"/>
            <w:vAlign w:val="center"/>
          </w:tcPr>
          <w:p w14:paraId="25D27954">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分子式为CdCl</w:t>
            </w:r>
            <w:r>
              <w:rPr>
                <w:rFonts w:ascii="Times New Roman" w:hAnsi="Times New Roman" w:cs="Times New Roman"/>
                <w:caps w:val="0"/>
                <w:smallCaps w:val="0"/>
                <w:color w:val="auto"/>
                <w:spacing w:val="0"/>
                <w:sz w:val="21"/>
                <w:szCs w:val="21"/>
                <w:highlight w:val="none"/>
                <w:vertAlign w:val="subscript"/>
                <w:lang w:eastAsia="zh-CN"/>
              </w:rPr>
              <w:t>2</w:t>
            </w:r>
            <w:r>
              <w:rPr>
                <w:rFonts w:ascii="Times New Roman" w:hAnsi="Times New Roman" w:cs="Times New Roman"/>
                <w:caps w:val="0"/>
                <w:smallCaps w:val="0"/>
                <w:color w:val="auto"/>
                <w:spacing w:val="0"/>
                <w:sz w:val="21"/>
                <w:szCs w:val="21"/>
                <w:highlight w:val="none"/>
                <w:lang w:eastAsia="zh-CN"/>
              </w:rPr>
              <w:t>，分子量为183.31。氯化镉为无色单斜晶体，熔点为568℃,沸点为960℃,密度为4.05g/cm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，易溶于水，溶于甲醇、乙醇。主要用于照相术、印刷、电镀等工业，并用于制特殊镜子。受高热分解产生有毒的腐蚀性烟气，与强氧化剂、元素硫、硒和碲接触发生反应，与钾形成对</w:t>
            </w:r>
            <w:r>
              <w:rPr>
                <w:rFonts w:hint="eastAsia" w:ascii="Times New Roman" w:hAnsi="Times New Roman" w:cs="Times New Roman"/>
                <w:caps w:val="0"/>
                <w:smallCaps w:val="0"/>
                <w:color w:val="auto"/>
                <w:spacing w:val="0"/>
                <w:sz w:val="21"/>
                <w:szCs w:val="21"/>
                <w:highlight w:val="none"/>
                <w:lang w:eastAsia="zh-CN"/>
              </w:rPr>
              <w:t>撞击</w:t>
            </w:r>
            <w:r>
              <w:rPr>
                <w:rFonts w:ascii="Times New Roman" w:hAnsi="Times New Roman" w:cs="Times New Roman"/>
                <w:caps w:val="0"/>
                <w:smallCaps w:val="0"/>
                <w:color w:val="auto"/>
                <w:spacing w:val="0"/>
                <w:sz w:val="21"/>
                <w:szCs w:val="21"/>
                <w:highlight w:val="none"/>
                <w:lang w:eastAsia="zh-CN"/>
              </w:rPr>
              <w:t>敏感的爆炸物。</w:t>
            </w:r>
          </w:p>
        </w:tc>
        <w:tc>
          <w:tcPr>
            <w:tcW w:w="1791" w:type="pct"/>
            <w:tcBorders>
              <w:tl2br w:val="nil"/>
              <w:tr2bl w:val="nil"/>
            </w:tcBorders>
            <w:shd w:val="clear" w:color="auto" w:fill="auto"/>
            <w:vAlign w:val="center"/>
          </w:tcPr>
          <w:p w14:paraId="33B69865">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受高热分解产生有毒的腐蚀性烟气。灭火时消防人员必须穿全身防火防毒服，在上风向灭火。灭火剂：水、泡沫、二氧化碳、干粉、砂土。</w:t>
            </w:r>
          </w:p>
          <w:p w14:paraId="1DEEAEC6">
            <w:pPr>
              <w:pStyle w:val="195"/>
              <w:widowControl w:val="0"/>
              <w:jc w:val="both"/>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泄漏应急处理：隔离泄漏污染区，限制出入。建议应急处理人员戴防尘面具(全面罩)，穿防毒服。不要直接接触泄漏物。小量泄漏：用洁净的铲子收集于干燥、洁净、有盖的容器中。大量泄漏：收集回收或运至废物处理场所处置。</w:t>
            </w:r>
          </w:p>
        </w:tc>
      </w:tr>
      <w:tr w14:paraId="0ACEAF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569CEB99">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钼</w:t>
            </w:r>
          </w:p>
        </w:tc>
        <w:tc>
          <w:tcPr>
            <w:tcW w:w="526" w:type="pct"/>
            <w:tcBorders>
              <w:tl2br w:val="nil"/>
              <w:tr2bl w:val="nil"/>
            </w:tcBorders>
            <w:shd w:val="clear" w:color="auto" w:fill="auto"/>
            <w:vAlign w:val="center"/>
          </w:tcPr>
          <w:p w14:paraId="5BE95D4A">
            <w:pPr>
              <w:pStyle w:val="237"/>
              <w:spacing w:line="240" w:lineRule="auto"/>
              <w:ind w:left="22" w:right="22"/>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color w:val="auto"/>
                <w:spacing w:val="0"/>
                <w:szCs w:val="21"/>
                <w:highlight w:val="none"/>
              </w:rPr>
              <w:t>Mo</w:t>
            </w:r>
          </w:p>
        </w:tc>
        <w:tc>
          <w:tcPr>
            <w:tcW w:w="2293" w:type="pct"/>
            <w:tcBorders>
              <w:tl2br w:val="nil"/>
              <w:tr2bl w:val="nil"/>
            </w:tcBorders>
            <w:shd w:val="clear" w:color="auto" w:fill="auto"/>
            <w:vAlign w:val="center"/>
          </w:tcPr>
          <w:p w14:paraId="550DF22C">
            <w:pPr>
              <w:pStyle w:val="195"/>
              <w:widowControl w:val="0"/>
              <w:jc w:val="both"/>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钼为银白色金属，密度为10.23g/cm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。熔点2622℃,沸点5560℃。钼的化学性质比较稳定，常温或在不太高的温度下，钼在空气或水里是稳定的。</w:t>
            </w:r>
            <w:r>
              <w:rPr>
                <w:rFonts w:ascii="Times New Roman" w:hAnsi="Times New Roman" w:cs="Times New Roman"/>
                <w:caps w:val="0"/>
                <w:smallCaps w:val="0"/>
                <w:color w:val="auto"/>
                <w:spacing w:val="0"/>
                <w:sz w:val="21"/>
                <w:szCs w:val="21"/>
                <w:highlight w:val="none"/>
              </w:rPr>
              <w:t>钼也是动植物必不可少的微量元素。</w:t>
            </w:r>
          </w:p>
        </w:tc>
        <w:tc>
          <w:tcPr>
            <w:tcW w:w="1791" w:type="pct"/>
            <w:tcBorders>
              <w:tl2br w:val="nil"/>
              <w:tr2bl w:val="nil"/>
            </w:tcBorders>
            <w:shd w:val="clear" w:color="auto" w:fill="auto"/>
            <w:vAlign w:val="center"/>
          </w:tcPr>
          <w:p w14:paraId="5A65F1CA">
            <w:pPr>
              <w:pStyle w:val="34"/>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bidi="ar"/>
              </w:rPr>
            </w:pPr>
            <w:r>
              <w:rPr>
                <w:rFonts w:ascii="Times New Roman" w:hAnsi="Times New Roman" w:cs="Times New Roman"/>
                <w:caps w:val="0"/>
                <w:smallCaps w:val="0"/>
                <w:color w:val="auto"/>
                <w:spacing w:val="0"/>
                <w:sz w:val="21"/>
                <w:szCs w:val="21"/>
                <w:highlight w:val="none"/>
                <w:lang w:bidi="ar"/>
              </w:rPr>
              <w:t>灭火剂：用水雾、干粉、泡沫或二氧化碳灭火剂灭火。避免使用直流水灭火，直流水可能导致可燃性液体的飞溅，使火势扩散。</w:t>
            </w:r>
          </w:p>
          <w:p w14:paraId="1201456C">
            <w:pPr>
              <w:pStyle w:val="34"/>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bidi="ar"/>
              </w:rPr>
            </w:pPr>
            <w:r>
              <w:rPr>
                <w:rFonts w:ascii="Times New Roman" w:hAnsi="Times New Roman" w:cs="Times New Roman"/>
                <w:caps w:val="0"/>
                <w:smallCaps w:val="0"/>
                <w:color w:val="auto"/>
                <w:spacing w:val="0"/>
                <w:sz w:val="21"/>
                <w:szCs w:val="21"/>
                <w:highlight w:val="none"/>
                <w:lang w:bidi="ar"/>
              </w:rPr>
              <w:t>灭火处理措施：消防人员须佩戴携气式呼吸器，穿全身消防服，在上风向灭火。</w:t>
            </w:r>
          </w:p>
          <w:p w14:paraId="48D518F6">
            <w:pPr>
              <w:pStyle w:val="34"/>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bidi="ar"/>
              </w:rPr>
            </w:pPr>
            <w:r>
              <w:rPr>
                <w:rFonts w:ascii="Times New Roman" w:hAnsi="Times New Roman" w:cs="Times New Roman"/>
                <w:caps w:val="0"/>
                <w:smallCaps w:val="0"/>
                <w:color w:val="auto"/>
                <w:spacing w:val="0"/>
                <w:sz w:val="21"/>
                <w:szCs w:val="21"/>
                <w:highlight w:val="none"/>
                <w:lang w:bidi="ar"/>
              </w:rPr>
              <w:t>尽可能将容器从火场移至空旷处。</w:t>
            </w:r>
          </w:p>
          <w:p w14:paraId="1F207F7B">
            <w:pPr>
              <w:pStyle w:val="34"/>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lang w:bidi="ar"/>
              </w:rPr>
            </w:pPr>
            <w:r>
              <w:rPr>
                <w:rFonts w:ascii="Times New Roman" w:hAnsi="Times New Roman" w:cs="Times New Roman"/>
                <w:caps w:val="0"/>
                <w:smallCaps w:val="0"/>
                <w:color w:val="auto"/>
                <w:spacing w:val="0"/>
                <w:sz w:val="21"/>
                <w:szCs w:val="21"/>
                <w:highlight w:val="none"/>
                <w:lang w:bidi="ar"/>
              </w:rPr>
              <w:t>处在火场中的容器若已变色或从安全泄压装置中发出声音，必须马上撤离。</w:t>
            </w:r>
          </w:p>
          <w:p w14:paraId="05728F0F">
            <w:pPr>
              <w:pStyle w:val="34"/>
              <w:shd w:val="clear" w:color="auto" w:fill="FFFFFF"/>
              <w:spacing w:before="0" w:beforeAutospacing="0" w:after="0" w:afterAutospacing="0"/>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bidi="ar"/>
              </w:rPr>
              <w:t>隔离事故现场，禁止无关人员进入。</w:t>
            </w:r>
            <w:r>
              <w:rPr>
                <w:rFonts w:hint="eastAsia" w:ascii="Times New Roman" w:hAnsi="Times New Roman" w:cs="Times New Roman"/>
                <w:caps w:val="0"/>
                <w:smallCaps w:val="0"/>
                <w:color w:val="auto"/>
                <w:spacing w:val="0"/>
                <w:sz w:val="21"/>
                <w:szCs w:val="21"/>
                <w:highlight w:val="none"/>
                <w:lang w:bidi="ar"/>
              </w:rPr>
              <w:t>收集</w:t>
            </w:r>
            <w:r>
              <w:rPr>
                <w:rFonts w:ascii="Times New Roman" w:hAnsi="Times New Roman" w:cs="Times New Roman"/>
                <w:caps w:val="0"/>
                <w:smallCaps w:val="0"/>
                <w:color w:val="auto"/>
                <w:spacing w:val="0"/>
                <w:sz w:val="21"/>
                <w:szCs w:val="21"/>
                <w:highlight w:val="none"/>
                <w:lang w:bidi="ar"/>
              </w:rPr>
              <w:t>和处理消防水，防止污染环境。</w:t>
            </w:r>
          </w:p>
        </w:tc>
      </w:tr>
      <w:tr w14:paraId="1A1165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3EA1A61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硝酸</w:t>
            </w:r>
          </w:p>
        </w:tc>
        <w:tc>
          <w:tcPr>
            <w:tcW w:w="526" w:type="pct"/>
            <w:tcBorders>
              <w:tl2br w:val="nil"/>
              <w:tr2bl w:val="nil"/>
            </w:tcBorders>
            <w:shd w:val="clear" w:color="auto" w:fill="auto"/>
            <w:vAlign w:val="center"/>
          </w:tcPr>
          <w:p w14:paraId="7155856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HNO</w:t>
            </w:r>
            <w:r>
              <w:rPr>
                <w:rFonts w:ascii="Times New Roman" w:hAnsi="Times New Roman" w:eastAsia="宋体" w:cs="Times New Roman"/>
                <w:caps w:val="0"/>
                <w:smallCaps w:val="0"/>
                <w:color w:val="auto"/>
                <w:spacing w:val="0"/>
                <w:sz w:val="21"/>
                <w:highlight w:val="none"/>
                <w:vertAlign w:val="subscript"/>
              </w:rPr>
              <w:t>3</w:t>
            </w:r>
          </w:p>
        </w:tc>
        <w:tc>
          <w:tcPr>
            <w:tcW w:w="2293" w:type="pct"/>
            <w:tcBorders>
              <w:tl2br w:val="nil"/>
              <w:tr2bl w:val="nil"/>
            </w:tcBorders>
            <w:shd w:val="clear" w:color="auto" w:fill="auto"/>
            <w:vAlign w:val="center"/>
          </w:tcPr>
          <w:p w14:paraId="667E84F3">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酸酐是五氧化二氮（N</w:t>
            </w:r>
            <w:r>
              <w:rPr>
                <w:rFonts w:ascii="Times New Roman" w:hAnsi="Times New Roman" w:eastAsia="宋体" w:cs="Times New Roman"/>
                <w:caps w:val="0"/>
                <w:smallCaps w:val="0"/>
                <w:color w:val="auto"/>
                <w:spacing w:val="0"/>
                <w:kern w:val="0"/>
                <w:sz w:val="21"/>
                <w:highlight w:val="none"/>
                <w:vertAlign w:val="subscript"/>
                <w:lang w:bidi="ar"/>
              </w:rPr>
              <w:t>2</w:t>
            </w:r>
            <w:r>
              <w:rPr>
                <w:rFonts w:ascii="Times New Roman" w:hAnsi="Times New Roman" w:eastAsia="宋体" w:cs="Times New Roman"/>
                <w:caps w:val="0"/>
                <w:smallCaps w:val="0"/>
                <w:color w:val="auto"/>
                <w:spacing w:val="0"/>
                <w:kern w:val="0"/>
                <w:sz w:val="21"/>
                <w:highlight w:val="none"/>
                <w:lang w:bidi="ar"/>
              </w:rPr>
              <w:t>O</w:t>
            </w:r>
            <w:r>
              <w:rPr>
                <w:rFonts w:ascii="Times New Roman" w:hAnsi="Times New Roman" w:eastAsia="宋体" w:cs="Times New Roman"/>
                <w:caps w:val="0"/>
                <w:smallCaps w:val="0"/>
                <w:color w:val="auto"/>
                <w:spacing w:val="0"/>
                <w:kern w:val="0"/>
                <w:sz w:val="21"/>
                <w:highlight w:val="none"/>
                <w:vertAlign w:val="subscript"/>
                <w:lang w:bidi="ar"/>
              </w:rPr>
              <w:t>5</w:t>
            </w:r>
            <w:r>
              <w:rPr>
                <w:rFonts w:ascii="Times New Roman" w:hAnsi="Times New Roman" w:eastAsia="宋体" w:cs="Times New Roman"/>
                <w:caps w:val="0"/>
                <w:smallCaps w:val="0"/>
                <w:color w:val="auto"/>
                <w:spacing w:val="0"/>
                <w:kern w:val="0"/>
                <w:sz w:val="21"/>
                <w:highlight w:val="none"/>
                <w:lang w:bidi="ar"/>
              </w:rPr>
              <w:t>），属于一元无机强酸，是一种重要的化工原料。纯硝酸为无色透明液体，浓硝酸为淡黄色液体（溶有NO</w:t>
            </w:r>
            <w:r>
              <w:rPr>
                <w:rFonts w:ascii="Times New Roman" w:hAnsi="Times New Roman" w:eastAsia="宋体" w:cs="Times New Roman"/>
                <w:caps w:val="0"/>
                <w:smallCaps w:val="0"/>
                <w:color w:val="auto"/>
                <w:spacing w:val="0"/>
                <w:kern w:val="0"/>
                <w:sz w:val="21"/>
                <w:highlight w:val="none"/>
                <w:vertAlign w:val="subscript"/>
                <w:lang w:bidi="ar"/>
              </w:rPr>
              <w:t>2</w:t>
            </w:r>
            <w:r>
              <w:rPr>
                <w:rFonts w:ascii="Times New Roman" w:hAnsi="Times New Roman" w:eastAsia="宋体" w:cs="Times New Roman"/>
                <w:caps w:val="0"/>
                <w:smallCaps w:val="0"/>
                <w:color w:val="auto"/>
                <w:spacing w:val="0"/>
                <w:kern w:val="0"/>
                <w:sz w:val="21"/>
                <w:highlight w:val="none"/>
                <w:lang w:bidi="ar"/>
              </w:rPr>
              <w:t>），正常情况下为无色透明液体，有窒息性刺激气味，浓硝酸易挥发，能与水混溶，相对密度1.42g/cm</w:t>
            </w:r>
            <w:r>
              <w:rPr>
                <w:rFonts w:ascii="Times New Roman" w:hAnsi="Times New Roman" w:eastAsia="宋体" w:cs="Times New Roman"/>
                <w:caps w:val="0"/>
                <w:smallCaps w:val="0"/>
                <w:color w:val="auto"/>
                <w:spacing w:val="0"/>
                <w:kern w:val="0"/>
                <w:sz w:val="21"/>
                <w:highlight w:val="none"/>
                <w:vertAlign w:val="superscript"/>
                <w:lang w:bidi="ar"/>
              </w:rPr>
              <w:t>3</w:t>
            </w:r>
            <w:r>
              <w:rPr>
                <w:rFonts w:ascii="Times New Roman" w:hAnsi="Times New Roman" w:eastAsia="宋体" w:cs="Times New Roman"/>
                <w:caps w:val="0"/>
                <w:smallCaps w:val="0"/>
                <w:color w:val="auto"/>
                <w:spacing w:val="0"/>
                <w:kern w:val="0"/>
                <w:sz w:val="21"/>
                <w:highlight w:val="none"/>
                <w:lang w:bidi="ar"/>
              </w:rPr>
              <w:t>（69.2%），熔点-42℃，沸点122℃，不稳定，遇光或热会分解。</w:t>
            </w:r>
          </w:p>
        </w:tc>
        <w:tc>
          <w:tcPr>
            <w:tcW w:w="1791" w:type="pct"/>
            <w:tcBorders>
              <w:tl2br w:val="nil"/>
              <w:tr2bl w:val="nil"/>
            </w:tcBorders>
            <w:shd w:val="clear" w:color="auto" w:fill="auto"/>
            <w:vAlign w:val="center"/>
          </w:tcPr>
          <w:p w14:paraId="65A6BB68">
            <w:pPr>
              <w:widowControl w:val="0"/>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强氧化剂。能与多种物质如金属粉末、电石、硫化氢、松节油等猛烈反应，甚至发生爆炸。与还原剂、可燃物如糖、纤维素、木屑、棉花、稻草或废纱头等接触，引起燃烧并散发出剧毒的棕色烟雾。具有强腐蚀性。</w:t>
            </w:r>
          </w:p>
        </w:tc>
      </w:tr>
      <w:tr w14:paraId="66EF30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4C46ACE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铬</w:t>
            </w:r>
          </w:p>
        </w:tc>
        <w:tc>
          <w:tcPr>
            <w:tcW w:w="526" w:type="pct"/>
            <w:tcBorders>
              <w:tl2br w:val="nil"/>
              <w:tr2bl w:val="nil"/>
            </w:tcBorders>
            <w:shd w:val="clear" w:color="auto" w:fill="auto"/>
            <w:vAlign w:val="center"/>
          </w:tcPr>
          <w:p w14:paraId="4A66E98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Cr</w:t>
            </w:r>
          </w:p>
        </w:tc>
        <w:tc>
          <w:tcPr>
            <w:tcW w:w="2293" w:type="pct"/>
            <w:tcBorders>
              <w:tl2br w:val="nil"/>
              <w:tr2bl w:val="nil"/>
            </w:tcBorders>
            <w:shd w:val="clear" w:color="auto" w:fill="auto"/>
            <w:vAlign w:val="center"/>
          </w:tcPr>
          <w:p w14:paraId="1FFEAC1B">
            <w:pPr>
              <w:widowControl w:val="0"/>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铬（Cr）是一种过渡金属元素，银白色有光泽的金属，纯铬具有延展性，含杂质时硬而脆‌，抗腐蚀性强，表面易形成致密氧化膜‌，活泼性介于锌和锰之间，常温下耐腐蚀，不溶于水但可溶于稀酸‌，面三氧化二铬）膜赋予其优异耐腐蚀性‌，熔点1857℃，沸点2672℃（或2679℃，不同来源数据略有差异）‌，铬的工业应用主要基于其高硬度和耐腐蚀性，如不锈钢制造（占70%用量）和电镀防锈‌。</w:t>
            </w:r>
          </w:p>
        </w:tc>
        <w:tc>
          <w:tcPr>
            <w:tcW w:w="1791" w:type="pct"/>
            <w:tcBorders>
              <w:tl2br w:val="nil"/>
              <w:tr2bl w:val="nil"/>
            </w:tcBorders>
            <w:shd w:val="clear" w:color="auto" w:fill="auto"/>
            <w:vAlign w:val="center"/>
          </w:tcPr>
          <w:p w14:paraId="663A08A3">
            <w:pPr>
              <w:widowControl w:val="0"/>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其粉体遇高温、明火能燃烧。灭火方法：干粉、砂土。</w:t>
            </w:r>
          </w:p>
          <w:p w14:paraId="3B203266">
            <w:pP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保存:储存于立刻大量用水冲洗眼睛至少 15 分钟，撑开眼睛。如果疼痛或发红不退，请就医。</w:t>
            </w:r>
          </w:p>
          <w:p w14:paraId="2A9B6D0C">
            <w:pPr>
              <w:widowControl w:val="0"/>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分开存放。搬运时轻装轻卸，防止包装破损。</w:t>
            </w:r>
          </w:p>
        </w:tc>
      </w:tr>
      <w:tr w14:paraId="3281A8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8" w:type="pct"/>
            <w:tcBorders>
              <w:tl2br w:val="nil"/>
              <w:tr2bl w:val="nil"/>
            </w:tcBorders>
            <w:shd w:val="clear" w:color="auto" w:fill="auto"/>
            <w:vAlign w:val="center"/>
          </w:tcPr>
          <w:p w14:paraId="1645F59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二甲苯</w:t>
            </w:r>
          </w:p>
        </w:tc>
        <w:tc>
          <w:tcPr>
            <w:tcW w:w="526" w:type="pct"/>
            <w:tcBorders>
              <w:tl2br w:val="nil"/>
              <w:tr2bl w:val="nil"/>
            </w:tcBorders>
            <w:shd w:val="clear" w:color="auto" w:fill="auto"/>
            <w:vAlign w:val="center"/>
          </w:tcPr>
          <w:p w14:paraId="1482C0B0">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C</w:t>
            </w:r>
            <w:r>
              <w:rPr>
                <w:rFonts w:ascii="Times New Roman" w:hAnsi="Times New Roman" w:eastAsia="宋体" w:cs="Times New Roman"/>
                <w:caps w:val="0"/>
                <w:smallCaps w:val="0"/>
                <w:color w:val="auto"/>
                <w:spacing w:val="0"/>
                <w:kern w:val="0"/>
                <w:sz w:val="21"/>
                <w:highlight w:val="none"/>
                <w:vertAlign w:val="subscript"/>
                <w:lang w:bidi="ar"/>
              </w:rPr>
              <w:t>8</w:t>
            </w:r>
            <w:r>
              <w:rPr>
                <w:rFonts w:ascii="Times New Roman" w:hAnsi="Times New Roman" w:eastAsia="宋体" w:cs="Times New Roman"/>
                <w:caps w:val="0"/>
                <w:smallCaps w:val="0"/>
                <w:color w:val="auto"/>
                <w:spacing w:val="0"/>
                <w:kern w:val="0"/>
                <w:sz w:val="21"/>
                <w:highlight w:val="none"/>
                <w:lang w:bidi="ar"/>
              </w:rPr>
              <w:t>H</w:t>
            </w:r>
            <w:r>
              <w:rPr>
                <w:rFonts w:ascii="Times New Roman" w:hAnsi="Times New Roman" w:eastAsia="宋体" w:cs="Times New Roman"/>
                <w:caps w:val="0"/>
                <w:smallCaps w:val="0"/>
                <w:color w:val="auto"/>
                <w:spacing w:val="0"/>
                <w:kern w:val="0"/>
                <w:sz w:val="21"/>
                <w:highlight w:val="none"/>
                <w:vertAlign w:val="subscript"/>
                <w:lang w:bidi="ar"/>
              </w:rPr>
              <w:t>10</w:t>
            </w:r>
          </w:p>
        </w:tc>
        <w:tc>
          <w:tcPr>
            <w:tcW w:w="2293" w:type="pct"/>
            <w:tcBorders>
              <w:tl2br w:val="nil"/>
              <w:tr2bl w:val="nil"/>
            </w:tcBorders>
            <w:shd w:val="clear" w:color="auto" w:fill="auto"/>
            <w:vAlign w:val="center"/>
          </w:tcPr>
          <w:p w14:paraId="6E4B0CD1">
            <w:pPr>
              <w:widowControl w:val="0"/>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二甲苯是一种</w:t>
            </w:r>
            <w:r>
              <w:rPr>
                <w:caps w:val="0"/>
                <w:smallCaps w:val="0"/>
                <w:color w:val="auto"/>
                <w:spacing w:val="0"/>
                <w:highlight w:val="none"/>
              </w:rPr>
              <w:fldChar w:fldCharType="begin"/>
            </w:r>
            <w:r>
              <w:rPr>
                <w:caps w:val="0"/>
                <w:smallCaps w:val="0"/>
                <w:color w:val="auto"/>
                <w:spacing w:val="0"/>
                <w:highlight w:val="none"/>
              </w:rPr>
              <w:instrText xml:space="preserve"> HYPERLINK "https://baike.baidu.com/item/%E8%8A%B3%E9%A6%99%E7%83%83/3082477?fromModule=lemma_inlink" \t "https://baike.baidu.com/item/%E4%BA%8C%E7%94%B2%E8%8B%AF/_blank" </w:instrText>
            </w:r>
            <w:r>
              <w:rPr>
                <w:caps w:val="0"/>
                <w:smallCaps w:val="0"/>
                <w:color w:val="auto"/>
                <w:spacing w:val="0"/>
                <w:highlight w:val="none"/>
              </w:rPr>
              <w:fldChar w:fldCharType="separate"/>
            </w:r>
            <w:r>
              <w:rPr>
                <w:rFonts w:ascii="Times New Roman" w:hAnsi="Times New Roman" w:eastAsia="宋体" w:cs="Times New Roman"/>
                <w:caps w:val="0"/>
                <w:smallCaps w:val="0"/>
                <w:color w:val="auto"/>
                <w:spacing w:val="0"/>
                <w:kern w:val="0"/>
                <w:sz w:val="21"/>
                <w:highlight w:val="none"/>
                <w:lang w:bidi="ar"/>
              </w:rPr>
              <w:t>芳香烃</w:t>
            </w:r>
            <w:r>
              <w:rPr>
                <w:rFonts w:ascii="Times New Roman" w:hAnsi="Times New Roman" w:eastAsia="宋体" w:cs="Times New Roman"/>
                <w:caps w:val="0"/>
                <w:smallCaps w:val="0"/>
                <w:color w:val="auto"/>
                <w:spacing w:val="0"/>
                <w:kern w:val="0"/>
                <w:sz w:val="21"/>
                <w:highlight w:val="none"/>
                <w:lang w:bidi="ar"/>
              </w:rPr>
              <w:fldChar w:fldCharType="end"/>
            </w:r>
            <w:r>
              <w:rPr>
                <w:rFonts w:ascii="Times New Roman" w:hAnsi="Times New Roman" w:eastAsia="宋体" w:cs="Times New Roman"/>
                <w:caps w:val="0"/>
                <w:smallCaps w:val="0"/>
                <w:color w:val="auto"/>
                <w:spacing w:val="0"/>
                <w:kern w:val="0"/>
                <w:sz w:val="21"/>
                <w:highlight w:val="none"/>
                <w:lang w:bidi="ar"/>
              </w:rPr>
              <w:t>，分子量为106.17。有邻、间、对三种同分异构体，分别是邻二甲苯（又称为1, 2-二甲基苯）、间二甲苯（又称为1, 3-二甲基苯）、对二甲苯（又称为1, 4-二甲基苯），通常情况下均为无色易燃液体。其中邻二甲苯的熔点为−25.2℃，沸点为144.2℃，密度0.879g/mL；间二甲苯的熔点为−47.9℃，沸点为139.1℃，密度为0.868g/mL；对二甲苯的熔点为13.2℃，沸点为138.3℃,密度为0.868g/mL。均不溶于水，溶于乙醇、乙醚、丙酮和苯。</w:t>
            </w:r>
          </w:p>
        </w:tc>
        <w:tc>
          <w:tcPr>
            <w:tcW w:w="1791" w:type="pct"/>
            <w:tcBorders>
              <w:tl2br w:val="nil"/>
              <w:tr2bl w:val="nil"/>
            </w:tcBorders>
            <w:shd w:val="clear" w:color="auto" w:fill="auto"/>
            <w:vAlign w:val="center"/>
          </w:tcPr>
          <w:p w14:paraId="43E4E26E">
            <w:pPr>
              <w:widowControl w:val="0"/>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其蒸汽与空气形成爆炸性混合物，遇明火、高热能引起燃烧爆炸。与氧化剂能发生强烈反应。其蒸汽比空气重，能在较低处扩散到相当远的地方，遇火源引着回燃。若遇高热，容器内压增大，有开裂和爆炸的危险。流速过快，容易产生和积聚静电。</w:t>
            </w:r>
          </w:p>
        </w:tc>
      </w:tr>
    </w:tbl>
    <w:p w14:paraId="15B1EC8E">
      <w:pPr>
        <w:pStyle w:val="5"/>
        <w:widowControl w:val="0"/>
        <w:rPr>
          <w:rFonts w:eastAsia="宋体"/>
          <w:caps w:val="0"/>
          <w:smallCaps w:val="0"/>
          <w:color w:val="auto"/>
          <w:spacing w:val="0"/>
          <w:sz w:val="30"/>
          <w:szCs w:val="30"/>
          <w:highlight w:val="none"/>
        </w:rPr>
      </w:pPr>
      <w:bookmarkStart w:id="102" w:name="_Toc2476"/>
      <w:r>
        <w:rPr>
          <w:rFonts w:hint="eastAsia" w:eastAsia="宋体"/>
          <w:caps w:val="0"/>
          <w:smallCaps w:val="0"/>
          <w:color w:val="auto"/>
          <w:spacing w:val="0"/>
          <w:sz w:val="30"/>
          <w:szCs w:val="30"/>
          <w:highlight w:val="none"/>
        </w:rPr>
        <w:t>3.6.2</w:t>
      </w:r>
      <w:r>
        <w:rPr>
          <w:rFonts w:eastAsia="宋体"/>
          <w:caps w:val="0"/>
          <w:smallCaps w:val="0"/>
          <w:color w:val="auto"/>
          <w:spacing w:val="0"/>
          <w:sz w:val="30"/>
          <w:szCs w:val="30"/>
          <w:highlight w:val="none"/>
        </w:rPr>
        <w:t>风险类型分析</w:t>
      </w:r>
      <w:bookmarkEnd w:id="102"/>
    </w:p>
    <w:p w14:paraId="60DF64D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8"/>
          <w:highlight w:val="none"/>
        </w:rPr>
        <w:t>本项目生产过程涉及危险物质储存和使用，</w:t>
      </w:r>
      <w:r>
        <w:rPr>
          <w:rFonts w:ascii="Times New Roman" w:hAnsi="Times New Roman" w:eastAsia="宋体" w:cs="Times New Roman"/>
          <w:caps w:val="0"/>
          <w:smallCaps w:val="0"/>
          <w:color w:val="auto"/>
          <w:spacing w:val="0"/>
          <w:highlight w:val="none"/>
        </w:rPr>
        <w:t>由于本项目的贮存单元存在的物质都为固态不燃物，但为有毒物质，根据《企业突发环境事件风险分级方法》（HJ941-2008），本项目风险物质均为涉水风险物质，但在火灾情况下可能产生粉尘或在受热分解情况下产生次生物质可能引起大气环境风险。可能发生风险主要容器破裂</w:t>
      </w:r>
      <w:r>
        <w:rPr>
          <w:rFonts w:hint="eastAsia" w:ascii="Times New Roman" w:hAnsi="Times New Roman" w:eastAsia="宋体" w:cs="Times New Roman"/>
          <w:caps w:val="0"/>
          <w:smallCaps w:val="0"/>
          <w:color w:val="auto"/>
          <w:spacing w:val="0"/>
          <w:highlight w:val="none"/>
        </w:rPr>
        <w:t>导致</w:t>
      </w:r>
      <w:r>
        <w:rPr>
          <w:rFonts w:ascii="Times New Roman" w:hAnsi="Times New Roman" w:eastAsia="宋体" w:cs="Times New Roman"/>
          <w:caps w:val="0"/>
          <w:smallCaps w:val="0"/>
          <w:color w:val="auto"/>
          <w:spacing w:val="0"/>
          <w:highlight w:val="none"/>
        </w:rPr>
        <w:t>氯化镉溶液泄漏风险，或者是发生火灾的情况</w:t>
      </w:r>
      <w:r>
        <w:rPr>
          <w:rFonts w:hint="eastAsia" w:ascii="Times New Roman" w:hAnsi="Times New Roman" w:eastAsia="宋体" w:cs="Times New Roman"/>
          <w:caps w:val="0"/>
          <w:smallCaps w:val="0"/>
          <w:color w:val="auto"/>
          <w:spacing w:val="0"/>
          <w:highlight w:val="none"/>
        </w:rPr>
        <w:t>导致</w:t>
      </w:r>
      <w:r>
        <w:rPr>
          <w:rFonts w:ascii="Times New Roman" w:hAnsi="Times New Roman" w:eastAsia="宋体" w:cs="Times New Roman"/>
          <w:caps w:val="0"/>
          <w:smallCaps w:val="0"/>
          <w:color w:val="auto"/>
          <w:spacing w:val="0"/>
          <w:highlight w:val="none"/>
        </w:rPr>
        <w:t>有毒物质以粉尘形式或受热分解发生次生有毒的物质烟团排放的风险。</w:t>
      </w:r>
    </w:p>
    <w:p w14:paraId="0A66D77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因此，本次环境风险评价和管理的主要研究对象是：</w:t>
      </w:r>
      <w:r>
        <w:rPr>
          <w:rFonts w:ascii="Times New Roman" w:hAnsi="Times New Roman" w:eastAsia="宋体" w:cs="Times New Roman"/>
          <w:caps w:val="0"/>
          <w:smallCaps w:val="0"/>
          <w:color w:val="auto"/>
          <w:spacing w:val="0"/>
          <w:highlight w:val="none"/>
        </w:rPr>
        <w:t>火灾、有毒物质</w:t>
      </w:r>
      <w:r>
        <w:rPr>
          <w:rFonts w:hint="eastAsia" w:ascii="Times New Roman" w:hAnsi="Times New Roman" w:eastAsia="宋体" w:cs="Times New Roman"/>
          <w:caps w:val="0"/>
          <w:smallCaps w:val="0"/>
          <w:color w:val="auto"/>
          <w:spacing w:val="0"/>
          <w:highlight w:val="none"/>
        </w:rPr>
        <w:t>泄漏</w:t>
      </w:r>
      <w:r>
        <w:rPr>
          <w:rFonts w:ascii="Times New Roman" w:hAnsi="Times New Roman" w:eastAsia="宋体" w:cs="Times New Roman"/>
          <w:caps w:val="0"/>
          <w:smallCaps w:val="0"/>
          <w:color w:val="auto"/>
          <w:spacing w:val="0"/>
          <w:highlight w:val="none"/>
        </w:rPr>
        <w:t>，如有毒气体、液体的释放等，以及可以产生的环境影响</w:t>
      </w:r>
      <w:r>
        <w:rPr>
          <w:rFonts w:ascii="Times New Roman" w:hAnsi="Times New Roman" w:eastAsia="宋体" w:cs="Times New Roman"/>
          <w:caps w:val="0"/>
          <w:smallCaps w:val="0"/>
          <w:color w:val="auto"/>
          <w:spacing w:val="0"/>
          <w:szCs w:val="28"/>
          <w:highlight w:val="none"/>
        </w:rPr>
        <w:t>，如有毒气体的释放等，消防用水</w:t>
      </w:r>
      <w:r>
        <w:rPr>
          <w:rFonts w:hint="eastAsia" w:ascii="Times New Roman" w:hAnsi="Times New Roman" w:eastAsia="宋体" w:cs="Times New Roman"/>
          <w:caps w:val="0"/>
          <w:smallCaps w:val="0"/>
          <w:color w:val="auto"/>
          <w:spacing w:val="0"/>
          <w:szCs w:val="28"/>
          <w:highlight w:val="none"/>
        </w:rPr>
        <w:t>导致</w:t>
      </w:r>
      <w:r>
        <w:rPr>
          <w:rFonts w:ascii="Times New Roman" w:hAnsi="Times New Roman" w:eastAsia="宋体" w:cs="Times New Roman"/>
          <w:caps w:val="0"/>
          <w:smallCaps w:val="0"/>
          <w:color w:val="auto"/>
          <w:spacing w:val="0"/>
          <w:szCs w:val="28"/>
          <w:highlight w:val="none"/>
        </w:rPr>
        <w:t>物料</w:t>
      </w:r>
      <w:r>
        <w:rPr>
          <w:rFonts w:hint="eastAsia" w:ascii="Times New Roman" w:hAnsi="Times New Roman" w:eastAsia="宋体" w:cs="Times New Roman"/>
          <w:caps w:val="0"/>
          <w:smallCaps w:val="0"/>
          <w:color w:val="auto"/>
          <w:spacing w:val="0"/>
          <w:szCs w:val="28"/>
          <w:highlight w:val="none"/>
        </w:rPr>
        <w:t>进入</w:t>
      </w:r>
      <w:r>
        <w:rPr>
          <w:rFonts w:ascii="Times New Roman" w:hAnsi="Times New Roman" w:eastAsia="宋体" w:cs="Times New Roman"/>
          <w:caps w:val="0"/>
          <w:smallCaps w:val="0"/>
          <w:color w:val="auto"/>
          <w:spacing w:val="0"/>
          <w:szCs w:val="28"/>
          <w:highlight w:val="none"/>
        </w:rPr>
        <w:t>消防水，或溶液泄漏进入地表水体或土壤及地下水，从而引发的环境影响。本项目事故原因及事故类型见图。</w:t>
      </w:r>
    </w:p>
    <w:p w14:paraId="79C11EB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object>
          <v:shape id="_x0000_i1026" o:spt="75" type="#_x0000_t75" style="height:295.5pt;width:381.9pt;" o:ole="t" filled="f" o:preferrelative="t" stroked="f" coordsize="21600,21600">
            <v:path/>
            <v:fill on="f" focussize="0,0"/>
            <v:stroke on="f" joinstyle="miter"/>
            <v:imagedata r:id="rId57" o:title=""/>
            <o:lock v:ext="edit" aspectratio="t"/>
            <w10:wrap type="none"/>
            <w10:anchorlock/>
          </v:shape>
          <o:OLEObject Type="Embed" ProgID="Visio.Drawing.11" ShapeID="_x0000_i1026" DrawAspect="Content" ObjectID="_1468075726" r:id="rId56">
            <o:LockedField>false</o:LockedField>
          </o:OLEObject>
        </w:object>
      </w:r>
    </w:p>
    <w:p w14:paraId="702D2883">
      <w:pPr>
        <w:pStyle w:val="13"/>
        <w:widowControl w:val="0"/>
        <w:spacing w:before="53"/>
        <w:ind w:right="116"/>
        <w:jc w:val="center"/>
        <w:rPr>
          <w:rFonts w:ascii="Times New Roman" w:hAnsi="Times New Roman" w:eastAsia="宋体" w:cs="Times New Roman"/>
          <w:b/>
          <w:bCs/>
          <w:caps w:val="0"/>
          <w:smallCaps w:val="0"/>
          <w:color w:val="auto"/>
          <w:spacing w:val="0"/>
          <w:kern w:val="0"/>
          <w:highlight w:val="none"/>
        </w:rPr>
      </w:pPr>
      <w:r>
        <w:rPr>
          <w:rFonts w:ascii="Times New Roman" w:hAnsi="Times New Roman" w:eastAsia="宋体" w:cs="Times New Roman"/>
          <w:b/>
          <w:bCs/>
          <w:caps w:val="0"/>
          <w:smallCaps w:val="0"/>
          <w:color w:val="auto"/>
          <w:spacing w:val="0"/>
          <w:kern w:val="0"/>
          <w:highlight w:val="none"/>
        </w:rPr>
        <w:t>图</w:t>
      </w:r>
      <w:r>
        <w:rPr>
          <w:rFonts w:hint="eastAsia" w:ascii="Times New Roman" w:hAnsi="Times New Roman" w:eastAsia="宋体" w:cs="Times New Roman"/>
          <w:b/>
          <w:bCs/>
          <w:caps w:val="0"/>
          <w:smallCaps w:val="0"/>
          <w:color w:val="auto"/>
          <w:spacing w:val="0"/>
          <w:kern w:val="0"/>
          <w:highlight w:val="none"/>
        </w:rPr>
        <w:t>3</w:t>
      </w:r>
      <w:r>
        <w:rPr>
          <w:rFonts w:ascii="Times New Roman" w:hAnsi="Times New Roman" w:eastAsia="宋体" w:cs="Times New Roman"/>
          <w:b/>
          <w:bCs/>
          <w:caps w:val="0"/>
          <w:smallCaps w:val="0"/>
          <w:color w:val="auto"/>
          <w:spacing w:val="0"/>
          <w:kern w:val="0"/>
          <w:highlight w:val="none"/>
        </w:rPr>
        <w:t>.</w:t>
      </w:r>
      <w:r>
        <w:rPr>
          <w:rFonts w:hint="eastAsia" w:ascii="Times New Roman" w:hAnsi="Times New Roman" w:eastAsia="宋体" w:cs="Times New Roman"/>
          <w:b/>
          <w:bCs/>
          <w:caps w:val="0"/>
          <w:smallCaps w:val="0"/>
          <w:color w:val="auto"/>
          <w:spacing w:val="0"/>
          <w:kern w:val="0"/>
          <w:highlight w:val="none"/>
        </w:rPr>
        <w:t>6-1</w:t>
      </w:r>
      <w:r>
        <w:rPr>
          <w:rFonts w:ascii="Times New Roman" w:hAnsi="Times New Roman" w:eastAsia="宋体" w:cs="Times New Roman"/>
          <w:b/>
          <w:bCs/>
          <w:caps w:val="0"/>
          <w:smallCaps w:val="0"/>
          <w:color w:val="auto"/>
          <w:spacing w:val="0"/>
          <w:kern w:val="0"/>
          <w:highlight w:val="none"/>
        </w:rPr>
        <w:t>事故原因及事故类型图</w:t>
      </w:r>
    </w:p>
    <w:p w14:paraId="16E8051D">
      <w:pPr>
        <w:pStyle w:val="4"/>
        <w:widowControl w:val="0"/>
        <w:rPr>
          <w:rFonts w:eastAsia="宋体"/>
          <w:caps w:val="0"/>
          <w:smallCaps w:val="0"/>
          <w:color w:val="auto"/>
          <w:spacing w:val="0"/>
          <w:kern w:val="0"/>
          <w:highlight w:val="none"/>
        </w:rPr>
      </w:pPr>
      <w:bookmarkStart w:id="103" w:name="_Toc28097"/>
      <w:r>
        <w:rPr>
          <w:rFonts w:eastAsia="宋体"/>
          <w:caps w:val="0"/>
          <w:smallCaps w:val="0"/>
          <w:color w:val="auto"/>
          <w:spacing w:val="0"/>
          <w:highlight w:val="none"/>
        </w:rPr>
        <w:t>3.</w:t>
      </w:r>
      <w:r>
        <w:rPr>
          <w:rFonts w:hint="eastAsia" w:eastAsia="宋体"/>
          <w:caps w:val="0"/>
          <w:smallCaps w:val="0"/>
          <w:color w:val="auto"/>
          <w:spacing w:val="0"/>
          <w:highlight w:val="none"/>
        </w:rPr>
        <w:t>7土壤影响分析</w:t>
      </w:r>
      <w:bookmarkEnd w:id="103"/>
    </w:p>
    <w:p w14:paraId="1CAF270D">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从本项目危险废物中主要</w:t>
      </w:r>
      <w:r>
        <w:rPr>
          <w:rFonts w:hint="eastAsia" w:ascii="Times New Roman" w:hAnsi="Times New Roman" w:eastAsia="宋体" w:cs="Times New Roman"/>
          <w:caps w:val="0"/>
          <w:smallCaps w:val="0"/>
          <w:color w:val="auto"/>
          <w:spacing w:val="0"/>
          <w:szCs w:val="28"/>
          <w:highlight w:val="none"/>
          <w:lang w:val="zh-CN"/>
        </w:rPr>
        <w:t>有害成分</w:t>
      </w:r>
      <w:r>
        <w:rPr>
          <w:rFonts w:ascii="Times New Roman" w:hAnsi="Times New Roman" w:eastAsia="宋体" w:cs="Times New Roman"/>
          <w:caps w:val="0"/>
          <w:smallCaps w:val="0"/>
          <w:color w:val="auto"/>
          <w:spacing w:val="0"/>
          <w:szCs w:val="28"/>
          <w:highlight w:val="none"/>
          <w:lang w:val="zh-CN"/>
        </w:rPr>
        <w:t>来看，固废中重金属类物质含量较高。</w:t>
      </w:r>
    </w:p>
    <w:p w14:paraId="21879E95">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项目危险废物储存区、废水收集/处理池、事故应急池以及</w:t>
      </w:r>
      <w:r>
        <w:rPr>
          <w:rFonts w:hint="eastAsia" w:ascii="Times New Roman" w:hAnsi="Times New Roman" w:eastAsia="宋体" w:cs="Times New Roman"/>
          <w:caps w:val="0"/>
          <w:smallCaps w:val="0"/>
          <w:color w:val="auto"/>
          <w:spacing w:val="0"/>
          <w:szCs w:val="28"/>
          <w:highlight w:val="none"/>
          <w:lang w:val="zh-CN"/>
        </w:rPr>
        <w:t>污水管网</w:t>
      </w:r>
      <w:r>
        <w:rPr>
          <w:rFonts w:ascii="Times New Roman" w:hAnsi="Times New Roman" w:eastAsia="宋体" w:cs="Times New Roman"/>
          <w:caps w:val="0"/>
          <w:smallCaps w:val="0"/>
          <w:color w:val="auto"/>
          <w:spacing w:val="0"/>
          <w:szCs w:val="28"/>
          <w:highlight w:val="none"/>
          <w:lang w:val="zh-CN"/>
        </w:rPr>
        <w:t>若没有适当的防漏措施，其中的有害组分渗出后，很容易经过雨水淋溶、地表径流侵蚀而渗入土壤，破坏微生物、植被等与周围环境构成系统的平衡。同时这些水分经土壤渗入地下水，对地下水水质也造成污染。</w:t>
      </w:r>
    </w:p>
    <w:p w14:paraId="3DAD1017">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hint="eastAsia" w:ascii="Times New Roman" w:hAnsi="Times New Roman" w:eastAsia="宋体" w:cs="Times New Roman"/>
          <w:caps w:val="0"/>
          <w:smallCaps w:val="0"/>
          <w:color w:val="auto"/>
          <w:spacing w:val="0"/>
          <w:szCs w:val="28"/>
          <w:highlight w:val="none"/>
        </w:rPr>
        <w:t>大气沉降对土壤的影响。</w:t>
      </w:r>
      <w:r>
        <w:rPr>
          <w:rFonts w:ascii="Times New Roman" w:hAnsi="Times New Roman" w:eastAsia="宋体" w:cs="Times New Roman"/>
          <w:caps w:val="0"/>
          <w:smallCaps w:val="0"/>
          <w:color w:val="auto"/>
          <w:spacing w:val="0"/>
          <w:szCs w:val="28"/>
          <w:highlight w:val="none"/>
          <w:lang w:val="zh-CN"/>
        </w:rPr>
        <w:t>本项目废气全年300天，每天连续24h排放，受大气沉降影响，其会持续对影响区域内的土壤造成影响。本项目排放的工艺废气中含有Cd金属，重金属随排放废气进入环境空气中，最后沉降在周围的土壤从而进入土壤环境，有可能对土壤环境中的重金属含量产生影响。</w:t>
      </w:r>
    </w:p>
    <w:p w14:paraId="0F42FD7B">
      <w:pPr>
        <w:pStyle w:val="4"/>
        <w:widowControl w:val="0"/>
        <w:rPr>
          <w:rFonts w:eastAsia="宋体"/>
          <w:caps w:val="0"/>
          <w:smallCaps w:val="0"/>
          <w:color w:val="auto"/>
          <w:spacing w:val="0"/>
          <w:kern w:val="0"/>
          <w:highlight w:val="none"/>
        </w:rPr>
      </w:pPr>
      <w:bookmarkStart w:id="104" w:name="_Toc2351"/>
      <w:r>
        <w:rPr>
          <w:rFonts w:eastAsia="宋体"/>
          <w:caps w:val="0"/>
          <w:smallCaps w:val="0"/>
          <w:color w:val="auto"/>
          <w:spacing w:val="0"/>
          <w:highlight w:val="none"/>
        </w:rPr>
        <w:t>3.</w:t>
      </w:r>
      <w:r>
        <w:rPr>
          <w:rFonts w:hint="eastAsia" w:eastAsia="宋体"/>
          <w:caps w:val="0"/>
          <w:smallCaps w:val="0"/>
          <w:color w:val="auto"/>
          <w:spacing w:val="0"/>
          <w:highlight w:val="none"/>
          <w:lang w:val="en-US" w:eastAsia="zh-CN"/>
        </w:rPr>
        <w:t>8</w:t>
      </w:r>
      <w:r>
        <w:rPr>
          <w:rFonts w:ascii="Times New Roman" w:hAnsi="Times New Roman" w:eastAsia="宋体" w:cs="Times New Roman"/>
          <w:caps w:val="0"/>
          <w:smallCaps w:val="0"/>
          <w:color w:val="auto"/>
          <w:spacing w:val="0"/>
          <w:szCs w:val="28"/>
          <w:highlight w:val="none"/>
          <w:lang w:val="zh-CN" w:eastAsia="zh-CN"/>
        </w:rPr>
        <w:t>同类工程情况介绍</w:t>
      </w:r>
      <w:bookmarkEnd w:id="104"/>
    </w:p>
    <w:p w14:paraId="6B3B14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aps w:val="0"/>
          <w:smallCaps w:val="0"/>
          <w:color w:val="auto"/>
          <w:spacing w:val="0"/>
          <w:szCs w:val="28"/>
          <w:highlight w:val="none"/>
          <w:lang w:val="zh-CN"/>
        </w:rPr>
      </w:pPr>
      <w:r>
        <w:rPr>
          <w:rFonts w:hint="eastAsia" w:ascii="Times New Roman" w:hAnsi="Times New Roman" w:eastAsia="宋体" w:cs="Times New Roman"/>
          <w:caps w:val="0"/>
          <w:smallCaps w:val="0"/>
          <w:color w:val="auto"/>
          <w:spacing w:val="0"/>
          <w:szCs w:val="28"/>
          <w:highlight w:val="none"/>
          <w:lang w:val="en-US" w:eastAsia="zh-CN"/>
        </w:rPr>
        <w:t xml:space="preserve">碲化镉薄膜发电玻璃作为中国建材集团有限公司未来发展的“拳头产品”，目前已在四川省成都市建成投产中国首条碲化镉发电玻璃生产线，并已在河北省邯郸市、湖南株洲市、江西省瑞昌市等地开展筹备建设工作。 </w:t>
      </w:r>
    </w:p>
    <w:p w14:paraId="592633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aps w:val="0"/>
          <w:smallCaps w:val="0"/>
          <w:color w:val="auto"/>
          <w:spacing w:val="0"/>
          <w:szCs w:val="28"/>
          <w:highlight w:val="none"/>
          <w:lang w:val="en-US" w:eastAsia="zh-CN"/>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r>
        <w:rPr>
          <w:rFonts w:hint="eastAsia" w:ascii="Times New Roman" w:hAnsi="Times New Roman" w:eastAsia="宋体" w:cs="Times New Roman"/>
          <w:caps w:val="0"/>
          <w:smallCaps w:val="0"/>
          <w:color w:val="auto"/>
          <w:spacing w:val="0"/>
          <w:szCs w:val="28"/>
          <w:highlight w:val="none"/>
          <w:lang w:val="en-US" w:eastAsia="zh-CN"/>
        </w:rPr>
        <w:t>瑞昌中建材光电材料有限公司与</w:t>
      </w:r>
      <w:r>
        <w:rPr>
          <w:rFonts w:hint="default" w:ascii="Times New Roman" w:hAnsi="Times New Roman" w:cs="Times New Roman"/>
          <w:color w:val="auto"/>
          <w:spacing w:val="0"/>
          <w:kern w:val="2"/>
          <w:sz w:val="24"/>
          <w:szCs w:val="24"/>
          <w:highlight w:val="none"/>
          <w:u w:val="none" w:color="auto"/>
          <w:lang w:val="en-US" w:eastAsia="zh-CN" w:bidi="ar-SA"/>
        </w:rPr>
        <w:t>中建材（株洲）光电材料有限公司</w:t>
      </w:r>
      <w:r>
        <w:rPr>
          <w:rFonts w:hint="eastAsia" w:ascii="Times New Roman" w:hAnsi="Times New Roman" w:cs="Times New Roman"/>
          <w:color w:val="auto"/>
          <w:spacing w:val="0"/>
          <w:kern w:val="2"/>
          <w:sz w:val="24"/>
          <w:szCs w:val="24"/>
          <w:highlight w:val="none"/>
          <w:u w:val="none" w:color="auto"/>
          <w:lang w:val="en-US" w:eastAsia="zh-CN" w:bidi="ar-SA"/>
        </w:rPr>
        <w:t>分别</w:t>
      </w:r>
      <w:r>
        <w:rPr>
          <w:rFonts w:hint="eastAsia" w:ascii="Times New Roman" w:hAnsi="Times New Roman" w:eastAsia="宋体" w:cs="Times New Roman"/>
          <w:caps w:val="0"/>
          <w:smallCaps w:val="0"/>
          <w:color w:val="auto"/>
          <w:spacing w:val="0"/>
          <w:szCs w:val="28"/>
          <w:highlight w:val="none"/>
          <w:lang w:val="en-US" w:eastAsia="zh-CN"/>
        </w:rPr>
        <w:t>成立于2020年和</w:t>
      </w:r>
      <w:r>
        <w:rPr>
          <w:rFonts w:ascii="Times New Roman" w:hAnsi="Times New Roman" w:eastAsia="宋体" w:cs="Times New Roman"/>
          <w:caps w:val="0"/>
          <w:smallCaps w:val="0"/>
          <w:color w:val="auto"/>
          <w:spacing w:val="0"/>
          <w:szCs w:val="28"/>
          <w:highlight w:val="none"/>
          <w:lang w:val="en-US" w:eastAsia="zh-CN"/>
        </w:rPr>
        <w:t>20</w:t>
      </w:r>
      <w:r>
        <w:rPr>
          <w:rFonts w:hint="eastAsia" w:ascii="Times New Roman" w:hAnsi="Times New Roman" w:eastAsia="宋体" w:cs="Times New Roman"/>
          <w:caps w:val="0"/>
          <w:smallCaps w:val="0"/>
          <w:color w:val="auto"/>
          <w:spacing w:val="0"/>
          <w:szCs w:val="28"/>
          <w:highlight w:val="none"/>
          <w:lang w:val="en-US" w:eastAsia="zh-CN"/>
        </w:rPr>
        <w:t>19年，其</w:t>
      </w:r>
      <w:r>
        <w:rPr>
          <w:rFonts w:hint="default" w:ascii="Times New Roman" w:hAnsi="Times New Roman" w:eastAsia="宋体" w:cs="Times New Roman"/>
          <w:bCs/>
          <w:caps w:val="0"/>
          <w:smallCaps w:val="0"/>
          <w:color w:val="auto"/>
          <w:spacing w:val="0"/>
          <w:szCs w:val="21"/>
          <w:highlight w:val="none"/>
          <w:lang w:val="en-US" w:eastAsia="zh-CN"/>
        </w:rPr>
        <w:t>中建材（株洲）光电材料有限公司年产300兆瓦碲化镉薄膜发电玻璃生产线项目</w:t>
      </w:r>
      <w:r>
        <w:rPr>
          <w:rFonts w:hint="eastAsia" w:ascii="Times New Roman" w:hAnsi="Times New Roman" w:eastAsia="宋体" w:cs="Times New Roman"/>
          <w:bCs/>
          <w:caps w:val="0"/>
          <w:smallCaps w:val="0"/>
          <w:color w:val="auto"/>
          <w:spacing w:val="0"/>
          <w:szCs w:val="21"/>
          <w:highlight w:val="none"/>
          <w:lang w:val="en-US" w:eastAsia="zh-CN"/>
        </w:rPr>
        <w:t>与</w:t>
      </w:r>
      <w:r>
        <w:rPr>
          <w:rFonts w:hint="eastAsia" w:ascii="Times New Roman" w:hAnsi="Times New Roman" w:eastAsia="宋体" w:cs="Times New Roman"/>
          <w:bCs/>
          <w:caps w:val="0"/>
          <w:smallCaps w:val="0"/>
          <w:color w:val="auto"/>
          <w:spacing w:val="0"/>
          <w:szCs w:val="21"/>
          <w:highlight w:val="none"/>
        </w:rPr>
        <w:t>瑞昌中建材光电材料有限公司年产100兆瓦碲化镉薄膜发电玻璃生产线项目</w:t>
      </w:r>
      <w:r>
        <w:rPr>
          <w:rFonts w:hint="eastAsia" w:ascii="Times New Roman" w:hAnsi="Times New Roman" w:eastAsia="宋体" w:cs="Times New Roman"/>
          <w:bCs/>
          <w:caps w:val="0"/>
          <w:smallCaps w:val="0"/>
          <w:color w:val="auto"/>
          <w:spacing w:val="0"/>
          <w:szCs w:val="21"/>
          <w:highlight w:val="none"/>
          <w:lang w:val="en-US" w:eastAsia="zh-CN"/>
        </w:rPr>
        <w:t>均</w:t>
      </w:r>
      <w:r>
        <w:rPr>
          <w:rFonts w:hint="eastAsia" w:ascii="Times New Roman" w:hAnsi="Times New Roman" w:eastAsia="宋体" w:cs="Times New Roman"/>
          <w:caps w:val="0"/>
          <w:smallCaps w:val="0"/>
          <w:color w:val="auto"/>
          <w:spacing w:val="0"/>
          <w:szCs w:val="28"/>
          <w:highlight w:val="none"/>
          <w:lang w:val="en-US" w:eastAsia="zh-CN"/>
        </w:rPr>
        <w:t>于2021年开工建设，分别于</w:t>
      </w:r>
      <w:r>
        <w:rPr>
          <w:rFonts w:hint="default" w:ascii="Times New Roman" w:hAnsi="Times New Roman" w:eastAsia="宋体" w:cs="Times New Roman"/>
          <w:caps w:val="0"/>
          <w:smallCaps w:val="0"/>
          <w:color w:val="auto"/>
          <w:spacing w:val="0"/>
          <w:szCs w:val="28"/>
          <w:highlight w:val="none"/>
          <w:lang w:val="en-US" w:eastAsia="zh-CN"/>
        </w:rPr>
        <w:t>20</w:t>
      </w:r>
      <w:r>
        <w:rPr>
          <w:rFonts w:hint="eastAsia" w:ascii="Times New Roman" w:hAnsi="Times New Roman" w:eastAsia="宋体" w:cs="Times New Roman"/>
          <w:caps w:val="0"/>
          <w:smallCaps w:val="0"/>
          <w:color w:val="auto"/>
          <w:spacing w:val="0"/>
          <w:szCs w:val="28"/>
          <w:highlight w:val="none"/>
          <w:lang w:val="en-US" w:eastAsia="zh-CN"/>
        </w:rPr>
        <w:t>25和2024年开展生产线调试，同年编制完成项目竣工环境保护验收监测报告。该项目于本工程对比情况见下表。</w:t>
      </w:r>
    </w:p>
    <w:p w14:paraId="0888EAE8">
      <w:pPr>
        <w:widowControl w:val="0"/>
        <w:jc w:val="center"/>
        <w:rPr>
          <w:rFonts w:hint="eastAsia" w:ascii="Times New Roman" w:hAnsi="Times New Roman" w:eastAsia="宋体" w:cs="Times New Roman"/>
          <w:caps w:val="0"/>
          <w:smallCaps w:val="0"/>
          <w:color w:val="auto"/>
          <w:spacing w:val="0"/>
          <w:szCs w:val="28"/>
          <w:highlight w:val="none"/>
          <w:lang w:val="zh-CN" w:eastAsia="zh-CN"/>
        </w:rPr>
      </w:pPr>
      <w:r>
        <w:rPr>
          <w:rFonts w:ascii="Times New Roman" w:hAnsi="Times New Roman" w:eastAsia="宋体" w:cs="Times New Roman"/>
          <w:b/>
          <w:bCs/>
          <w:caps w:val="0"/>
          <w:smallCaps w:val="0"/>
          <w:color w:val="auto"/>
          <w:spacing w:val="0"/>
          <w:highlight w:val="none"/>
        </w:rPr>
        <w:t>表3.</w:t>
      </w:r>
      <w:r>
        <w:rPr>
          <w:rFonts w:hint="eastAsia" w:ascii="Times New Roman" w:hAnsi="Times New Roman" w:eastAsia="宋体" w:cs="Times New Roman"/>
          <w:b/>
          <w:bCs/>
          <w:caps w:val="0"/>
          <w:smallCaps w:val="0"/>
          <w:color w:val="auto"/>
          <w:spacing w:val="0"/>
          <w:highlight w:val="none"/>
          <w:lang w:val="en-US" w:eastAsia="zh-CN"/>
        </w:rPr>
        <w:t>8</w:t>
      </w:r>
      <w:r>
        <w:rPr>
          <w:rFonts w:ascii="Times New Roman" w:hAnsi="Times New Roman" w:eastAsia="宋体" w:cs="Times New Roman"/>
          <w:b/>
          <w:bCs/>
          <w:caps w:val="0"/>
          <w:smallCaps w:val="0"/>
          <w:color w:val="auto"/>
          <w:spacing w:val="0"/>
          <w:highlight w:val="none"/>
        </w:rPr>
        <w:t>-</w:t>
      </w:r>
      <w:r>
        <w:rPr>
          <w:rFonts w:hint="eastAsia" w:ascii="Times New Roman" w:hAnsi="Times New Roman" w:eastAsia="宋体" w:cs="Times New Roman"/>
          <w:b/>
          <w:bCs/>
          <w:caps w:val="0"/>
          <w:smallCaps w:val="0"/>
          <w:color w:val="auto"/>
          <w:spacing w:val="0"/>
          <w:highlight w:val="none"/>
        </w:rPr>
        <w:t>1</w:t>
      </w:r>
      <w:r>
        <w:rPr>
          <w:rFonts w:hint="eastAsia" w:ascii="Times New Roman" w:hAnsi="Times New Roman" w:eastAsia="宋体" w:cs="Times New Roman"/>
          <w:b/>
          <w:bCs/>
          <w:caps w:val="0"/>
          <w:smallCaps w:val="0"/>
          <w:color w:val="auto"/>
          <w:spacing w:val="0"/>
          <w:sz w:val="24"/>
          <w:szCs w:val="24"/>
          <w:highlight w:val="none"/>
        </w:rPr>
        <w:t>本工程与同类项目对比表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2"/>
        <w:gridCol w:w="415"/>
        <w:gridCol w:w="951"/>
        <w:gridCol w:w="3293"/>
        <w:gridCol w:w="3073"/>
        <w:gridCol w:w="3134"/>
        <w:gridCol w:w="2970"/>
      </w:tblGrid>
      <w:tr w14:paraId="6E1B8B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748" w:type="dxa"/>
            <w:gridSpan w:val="3"/>
            <w:tcBorders>
              <w:tl2br w:val="nil"/>
              <w:tr2bl w:val="nil"/>
            </w:tcBorders>
            <w:vAlign w:val="center"/>
          </w:tcPr>
          <w:p w14:paraId="65FBF6A3">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项目</w:t>
            </w:r>
          </w:p>
        </w:tc>
        <w:tc>
          <w:tcPr>
            <w:tcW w:w="3293" w:type="dxa"/>
            <w:tcBorders>
              <w:tl2br w:val="nil"/>
              <w:tr2bl w:val="nil"/>
            </w:tcBorders>
            <w:vAlign w:val="center"/>
          </w:tcPr>
          <w:p w14:paraId="62B43483">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本工程</w:t>
            </w:r>
          </w:p>
        </w:tc>
        <w:tc>
          <w:tcPr>
            <w:tcW w:w="3073" w:type="dxa"/>
            <w:tcBorders>
              <w:tl2br w:val="nil"/>
              <w:tr2bl w:val="nil"/>
            </w:tcBorders>
            <w:vAlign w:val="center"/>
          </w:tcPr>
          <w:p w14:paraId="37EC6E23">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rPr>
              <w:t>瑞昌中建材光电材料有限公司年产100兆瓦碲化镉薄膜发电玻璃生产线项目</w:t>
            </w:r>
          </w:p>
        </w:tc>
        <w:tc>
          <w:tcPr>
            <w:tcW w:w="3134" w:type="dxa"/>
            <w:tcBorders>
              <w:tl2br w:val="nil"/>
              <w:tr2bl w:val="nil"/>
            </w:tcBorders>
            <w:vAlign w:val="center"/>
          </w:tcPr>
          <w:p w14:paraId="6DCE5E68">
            <w:pPr>
              <w:pStyle w:val="66"/>
              <w:ind w:left="0"/>
              <w:rPr>
                <w:rFonts w:ascii="Times New Roman" w:hAnsi="Times New Roman" w:eastAsia="宋体" w:cs="Times New Roman"/>
                <w:bCs/>
                <w:caps w:val="0"/>
                <w:smallCaps w:val="0"/>
                <w:color w:val="auto"/>
                <w:spacing w:val="0"/>
                <w:szCs w:val="21"/>
                <w:highlight w:val="none"/>
              </w:rPr>
            </w:pPr>
            <w:r>
              <w:rPr>
                <w:rFonts w:hint="default" w:ascii="Times New Roman" w:hAnsi="Times New Roman" w:eastAsia="宋体" w:cs="Times New Roman"/>
                <w:bCs/>
                <w:caps w:val="0"/>
                <w:smallCaps w:val="0"/>
                <w:color w:val="auto"/>
                <w:spacing w:val="0"/>
                <w:szCs w:val="21"/>
                <w:highlight w:val="none"/>
                <w:lang w:val="en-US" w:eastAsia="zh-CN"/>
              </w:rPr>
              <w:t>中建材（株洲）光电材料有限公司年产300兆瓦碲化镉薄膜发电玻璃生产线项目</w:t>
            </w:r>
          </w:p>
        </w:tc>
        <w:tc>
          <w:tcPr>
            <w:tcW w:w="2970" w:type="dxa"/>
            <w:tcBorders>
              <w:tl2br w:val="nil"/>
              <w:tr2bl w:val="nil"/>
            </w:tcBorders>
            <w:vAlign w:val="center"/>
          </w:tcPr>
          <w:p w14:paraId="53C59F44">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说明</w:t>
            </w:r>
          </w:p>
        </w:tc>
      </w:tr>
      <w:tr w14:paraId="6FCFF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48" w:type="dxa"/>
            <w:gridSpan w:val="3"/>
            <w:tcBorders>
              <w:tl2br w:val="nil"/>
              <w:tr2bl w:val="nil"/>
            </w:tcBorders>
            <w:vAlign w:val="center"/>
          </w:tcPr>
          <w:p w14:paraId="55A9F267">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产能</w:t>
            </w:r>
          </w:p>
        </w:tc>
        <w:tc>
          <w:tcPr>
            <w:tcW w:w="3293" w:type="dxa"/>
            <w:tcBorders>
              <w:tl2br w:val="nil"/>
              <w:tr2bl w:val="nil"/>
            </w:tcBorders>
            <w:vAlign w:val="center"/>
          </w:tcPr>
          <w:p w14:paraId="7EEAF79F">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年产100MW碲化镉薄膜发电玻璃</w:t>
            </w:r>
          </w:p>
        </w:tc>
        <w:tc>
          <w:tcPr>
            <w:tcW w:w="3073" w:type="dxa"/>
            <w:tcBorders>
              <w:tl2br w:val="nil"/>
              <w:tr2bl w:val="nil"/>
            </w:tcBorders>
            <w:vAlign w:val="center"/>
          </w:tcPr>
          <w:p w14:paraId="3A9EDB97">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年产</w:t>
            </w:r>
            <w:r>
              <w:rPr>
                <w:rFonts w:hint="eastAsia" w:ascii="Times New Roman" w:hAnsi="Times New Roman" w:eastAsia="宋体" w:cs="Times New Roman"/>
                <w:bCs/>
                <w:caps w:val="0"/>
                <w:smallCaps w:val="0"/>
                <w:color w:val="auto"/>
                <w:spacing w:val="0"/>
                <w:szCs w:val="21"/>
                <w:highlight w:val="none"/>
                <w:lang w:val="en-US" w:eastAsia="zh-CN"/>
              </w:rPr>
              <w:t>10</w:t>
            </w:r>
            <w:r>
              <w:rPr>
                <w:rFonts w:ascii="Times New Roman" w:hAnsi="Times New Roman" w:eastAsia="宋体" w:cs="Times New Roman"/>
                <w:bCs/>
                <w:caps w:val="0"/>
                <w:smallCaps w:val="0"/>
                <w:color w:val="auto"/>
                <w:spacing w:val="0"/>
                <w:szCs w:val="21"/>
                <w:highlight w:val="none"/>
              </w:rPr>
              <w:t>0MW碲化镉薄膜发电玻璃</w:t>
            </w:r>
          </w:p>
        </w:tc>
        <w:tc>
          <w:tcPr>
            <w:tcW w:w="3134" w:type="dxa"/>
            <w:tcBorders>
              <w:tl2br w:val="nil"/>
              <w:tr2bl w:val="nil"/>
            </w:tcBorders>
            <w:vAlign w:val="center"/>
          </w:tcPr>
          <w:p w14:paraId="787E208C">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年产碲化镉薄膜发电玻璃150MW</w:t>
            </w:r>
          </w:p>
        </w:tc>
        <w:tc>
          <w:tcPr>
            <w:tcW w:w="2970" w:type="dxa"/>
            <w:tcBorders>
              <w:tl2br w:val="nil"/>
              <w:tr2bl w:val="nil"/>
            </w:tcBorders>
            <w:vAlign w:val="center"/>
          </w:tcPr>
          <w:p w14:paraId="5405D0A2">
            <w:pPr>
              <w:pStyle w:val="66"/>
              <w:ind w:left="0"/>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株洲中建材验收阶段仅建设一条生产线，实际年产碲化镉薄膜发电玻璃150MW</w:t>
            </w:r>
          </w:p>
        </w:tc>
      </w:tr>
      <w:tr w14:paraId="0ECDF8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48" w:type="dxa"/>
            <w:gridSpan w:val="3"/>
            <w:tcBorders>
              <w:tl2br w:val="nil"/>
              <w:tr2bl w:val="nil"/>
            </w:tcBorders>
            <w:vAlign w:val="center"/>
          </w:tcPr>
          <w:p w14:paraId="36EC80BE">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生产工艺</w:t>
            </w:r>
          </w:p>
        </w:tc>
        <w:tc>
          <w:tcPr>
            <w:tcW w:w="3293" w:type="dxa"/>
            <w:tcBorders>
              <w:tl2br w:val="nil"/>
              <w:tr2bl w:val="nil"/>
            </w:tcBorders>
            <w:vAlign w:val="center"/>
          </w:tcPr>
          <w:p w14:paraId="7276D883">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生产线由前段镀膜线和后段封装线组成，前段镀膜线包含CSS镀膜、CdCl</w:t>
            </w:r>
            <w:r>
              <w:rPr>
                <w:rFonts w:ascii="Times New Roman" w:hAnsi="Times New Roman" w:eastAsia="宋体" w:cs="Times New Roman"/>
                <w:bCs/>
                <w:caps w:val="0"/>
                <w:smallCaps w:val="0"/>
                <w:color w:val="auto"/>
                <w:spacing w:val="0"/>
                <w:szCs w:val="21"/>
                <w:highlight w:val="none"/>
                <w:vertAlign w:val="subscript"/>
              </w:rPr>
              <w:t>2</w:t>
            </w:r>
            <w:r>
              <w:rPr>
                <w:rFonts w:ascii="Times New Roman" w:hAnsi="Times New Roman" w:eastAsia="宋体" w:cs="Times New Roman"/>
                <w:bCs/>
                <w:caps w:val="0"/>
                <w:smallCaps w:val="0"/>
                <w:color w:val="auto"/>
                <w:spacing w:val="0"/>
                <w:szCs w:val="21"/>
                <w:highlight w:val="none"/>
              </w:rPr>
              <w:t>活化、激光刻线、背电极制备等工序，后段封装线包含封装、产品测试等工序</w:t>
            </w:r>
          </w:p>
        </w:tc>
        <w:tc>
          <w:tcPr>
            <w:tcW w:w="3073" w:type="dxa"/>
            <w:tcBorders>
              <w:tl2br w:val="nil"/>
              <w:tr2bl w:val="nil"/>
            </w:tcBorders>
            <w:vAlign w:val="center"/>
          </w:tcPr>
          <w:p w14:paraId="67115B27">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生产线由前段镀膜线和后段封装线组成，前段镀膜线包含CSS镀膜、CdCl</w:t>
            </w:r>
            <w:r>
              <w:rPr>
                <w:rFonts w:ascii="Times New Roman" w:hAnsi="Times New Roman" w:eastAsia="宋体" w:cs="Times New Roman"/>
                <w:bCs/>
                <w:caps w:val="0"/>
                <w:smallCaps w:val="0"/>
                <w:color w:val="auto"/>
                <w:spacing w:val="0"/>
                <w:szCs w:val="21"/>
                <w:highlight w:val="none"/>
                <w:vertAlign w:val="subscript"/>
              </w:rPr>
              <w:t>2</w:t>
            </w:r>
            <w:r>
              <w:rPr>
                <w:rFonts w:ascii="Times New Roman" w:hAnsi="Times New Roman" w:eastAsia="宋体" w:cs="Times New Roman"/>
                <w:bCs/>
                <w:caps w:val="0"/>
                <w:smallCaps w:val="0"/>
                <w:color w:val="auto"/>
                <w:spacing w:val="0"/>
                <w:szCs w:val="21"/>
                <w:highlight w:val="none"/>
              </w:rPr>
              <w:t>活化、激光刻线、背电极制备等工序，后段封装线包含封装、产品测试等工序</w:t>
            </w:r>
          </w:p>
        </w:tc>
        <w:tc>
          <w:tcPr>
            <w:tcW w:w="3134" w:type="dxa"/>
            <w:tcBorders>
              <w:tl2br w:val="nil"/>
              <w:tr2bl w:val="nil"/>
            </w:tcBorders>
            <w:vAlign w:val="center"/>
          </w:tcPr>
          <w:p w14:paraId="27A0775A">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生产线由前段镀膜线和后段封装线组成，前段镀膜线包含CSS镀膜、CdCl</w:t>
            </w:r>
            <w:r>
              <w:rPr>
                <w:rFonts w:ascii="Times New Roman" w:hAnsi="Times New Roman" w:eastAsia="宋体" w:cs="Times New Roman"/>
                <w:bCs/>
                <w:caps w:val="0"/>
                <w:smallCaps w:val="0"/>
                <w:color w:val="auto"/>
                <w:spacing w:val="0"/>
                <w:szCs w:val="21"/>
                <w:highlight w:val="none"/>
                <w:vertAlign w:val="subscript"/>
              </w:rPr>
              <w:t>2</w:t>
            </w:r>
            <w:r>
              <w:rPr>
                <w:rFonts w:ascii="Times New Roman" w:hAnsi="Times New Roman" w:eastAsia="宋体" w:cs="Times New Roman"/>
                <w:bCs/>
                <w:caps w:val="0"/>
                <w:smallCaps w:val="0"/>
                <w:color w:val="auto"/>
                <w:spacing w:val="0"/>
                <w:szCs w:val="21"/>
                <w:highlight w:val="none"/>
              </w:rPr>
              <w:t>活化、激光刻线、背电极制备等工序，后段封装线包含封装、产品测试等工序</w:t>
            </w:r>
          </w:p>
        </w:tc>
        <w:tc>
          <w:tcPr>
            <w:tcW w:w="2970" w:type="dxa"/>
            <w:tcBorders>
              <w:tl2br w:val="nil"/>
              <w:tr2bl w:val="nil"/>
            </w:tcBorders>
            <w:vAlign w:val="center"/>
          </w:tcPr>
          <w:p w14:paraId="47BC48FF">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生产工艺相同</w:t>
            </w:r>
          </w:p>
        </w:tc>
      </w:tr>
      <w:tr w14:paraId="1BCDC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48" w:type="dxa"/>
            <w:gridSpan w:val="3"/>
            <w:tcBorders>
              <w:tl2br w:val="nil"/>
              <w:tr2bl w:val="nil"/>
            </w:tcBorders>
            <w:vAlign w:val="center"/>
          </w:tcPr>
          <w:p w14:paraId="7E079C33">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主要原辅</w:t>
            </w:r>
          </w:p>
          <w:p w14:paraId="3F3F3D6C">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材料</w:t>
            </w:r>
          </w:p>
        </w:tc>
        <w:tc>
          <w:tcPr>
            <w:tcW w:w="3293" w:type="dxa"/>
            <w:tcBorders>
              <w:tl2br w:val="nil"/>
              <w:tr2bl w:val="nil"/>
            </w:tcBorders>
            <w:vAlign w:val="center"/>
          </w:tcPr>
          <w:p w14:paraId="2BD7875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原材料：TCO玻璃基板、背板玻璃；</w:t>
            </w:r>
          </w:p>
          <w:p w14:paraId="06AD1FFA">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含镉物料：碲化镉、硒化镉、氯化镉；</w:t>
            </w:r>
          </w:p>
          <w:p w14:paraId="3E610D48">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靶材：钼靶材、</w:t>
            </w:r>
            <w:r>
              <w:rPr>
                <w:rFonts w:hint="eastAsia" w:ascii="Times New Roman" w:hAnsi="Times New Roman" w:eastAsia="宋体" w:cs="Times New Roman"/>
                <w:bCs/>
                <w:caps w:val="0"/>
                <w:smallCaps w:val="0"/>
                <w:color w:val="auto"/>
                <w:spacing w:val="0"/>
                <w:szCs w:val="21"/>
                <w:highlight w:val="none"/>
              </w:rPr>
              <w:t>铬</w:t>
            </w:r>
            <w:r>
              <w:rPr>
                <w:rFonts w:ascii="Times New Roman" w:hAnsi="Times New Roman" w:eastAsia="宋体" w:cs="Times New Roman"/>
                <w:bCs/>
                <w:caps w:val="0"/>
                <w:smallCaps w:val="0"/>
                <w:color w:val="auto"/>
                <w:spacing w:val="0"/>
                <w:szCs w:val="21"/>
                <w:highlight w:val="none"/>
              </w:rPr>
              <w:t>靶材、</w:t>
            </w:r>
            <w:r>
              <w:rPr>
                <w:rFonts w:hint="eastAsia" w:ascii="Times New Roman" w:hAnsi="Times New Roman" w:eastAsia="宋体" w:cs="Times New Roman"/>
                <w:bCs/>
                <w:caps w:val="0"/>
                <w:smallCaps w:val="0"/>
                <w:color w:val="auto"/>
                <w:spacing w:val="0"/>
                <w:szCs w:val="21"/>
                <w:highlight w:val="none"/>
              </w:rPr>
              <w:t>铝</w:t>
            </w:r>
            <w:r>
              <w:rPr>
                <w:rFonts w:ascii="Times New Roman" w:hAnsi="Times New Roman" w:eastAsia="宋体" w:cs="Times New Roman"/>
                <w:bCs/>
                <w:caps w:val="0"/>
                <w:smallCaps w:val="0"/>
                <w:color w:val="auto"/>
                <w:spacing w:val="0"/>
                <w:szCs w:val="21"/>
                <w:highlight w:val="none"/>
              </w:rPr>
              <w:t>靶材、碲化锌靶材</w:t>
            </w:r>
          </w:p>
        </w:tc>
        <w:tc>
          <w:tcPr>
            <w:tcW w:w="3073" w:type="dxa"/>
            <w:tcBorders>
              <w:tl2br w:val="nil"/>
              <w:tr2bl w:val="nil"/>
            </w:tcBorders>
            <w:vAlign w:val="center"/>
          </w:tcPr>
          <w:p w14:paraId="54CD8228">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原材料：TCO玻璃基板、背板玻璃；</w:t>
            </w:r>
          </w:p>
          <w:p w14:paraId="52756865">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含镉物料：碲化镉、硫化镉、氯化镉；</w:t>
            </w:r>
          </w:p>
          <w:p w14:paraId="051DBB9C">
            <w:pPr>
              <w:pStyle w:val="66"/>
              <w:ind w:left="0"/>
              <w:rPr>
                <w:rFonts w:hint="eastAsia" w:ascii="Times New Roman" w:hAnsi="Times New Roman" w:eastAsia="宋体" w:cs="Times New Roman"/>
                <w:bCs/>
                <w:caps w:val="0"/>
                <w:smallCaps w:val="0"/>
                <w:color w:val="auto"/>
                <w:spacing w:val="0"/>
                <w:szCs w:val="21"/>
                <w:highlight w:val="none"/>
                <w:lang w:eastAsia="zh-CN"/>
              </w:rPr>
            </w:pPr>
            <w:r>
              <w:rPr>
                <w:rFonts w:ascii="Times New Roman" w:hAnsi="Times New Roman" w:eastAsia="宋体" w:cs="Times New Roman"/>
                <w:bCs/>
                <w:caps w:val="0"/>
                <w:smallCaps w:val="0"/>
                <w:color w:val="auto"/>
                <w:spacing w:val="0"/>
                <w:szCs w:val="21"/>
                <w:highlight w:val="none"/>
              </w:rPr>
              <w:t>靶材：钼靶材</w:t>
            </w:r>
            <w:r>
              <w:rPr>
                <w:rFonts w:hint="eastAsia" w:ascii="Times New Roman" w:hAnsi="Times New Roman" w:eastAsia="宋体" w:cs="Times New Roman"/>
                <w:bCs/>
                <w:caps w:val="0"/>
                <w:smallCaps w:val="0"/>
                <w:color w:val="auto"/>
                <w:spacing w:val="0"/>
                <w:szCs w:val="21"/>
                <w:highlight w:val="none"/>
                <w:lang w:eastAsia="zh-CN"/>
              </w:rPr>
              <w:t>、</w:t>
            </w:r>
            <w:r>
              <w:rPr>
                <w:rFonts w:ascii="Times New Roman" w:hAnsi="Times New Roman" w:eastAsia="宋体" w:cs="Times New Roman"/>
                <w:bCs/>
                <w:caps w:val="0"/>
                <w:smallCaps w:val="0"/>
                <w:color w:val="auto"/>
                <w:spacing w:val="0"/>
                <w:szCs w:val="21"/>
                <w:highlight w:val="none"/>
              </w:rPr>
              <w:t>碲化锌靶材</w:t>
            </w:r>
          </w:p>
        </w:tc>
        <w:tc>
          <w:tcPr>
            <w:tcW w:w="3134" w:type="dxa"/>
            <w:tcBorders>
              <w:tl2br w:val="nil"/>
              <w:tr2bl w:val="nil"/>
            </w:tcBorders>
          </w:tcPr>
          <w:p w14:paraId="7A8254D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原材料：TCO玻璃基板、背板玻璃；</w:t>
            </w:r>
          </w:p>
          <w:p w14:paraId="4E3FC497">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含镉物料：碲化镉、硫化镉、氯化镉；</w:t>
            </w:r>
          </w:p>
          <w:p w14:paraId="2C555F9E">
            <w:pPr>
              <w:pStyle w:val="66"/>
              <w:ind w:left="0"/>
              <w:rPr>
                <w:rFonts w:hint="eastAsia" w:ascii="Times New Roman" w:hAnsi="Times New Roman" w:eastAsia="宋体" w:cs="Times New Roman"/>
                <w:bCs/>
                <w:caps w:val="0"/>
                <w:smallCaps w:val="0"/>
                <w:color w:val="auto"/>
                <w:spacing w:val="0"/>
                <w:szCs w:val="21"/>
                <w:highlight w:val="none"/>
                <w:lang w:eastAsia="zh-CN"/>
              </w:rPr>
            </w:pPr>
            <w:r>
              <w:rPr>
                <w:rFonts w:ascii="Times New Roman" w:hAnsi="Times New Roman" w:eastAsia="宋体" w:cs="Times New Roman"/>
                <w:bCs/>
                <w:caps w:val="0"/>
                <w:smallCaps w:val="0"/>
                <w:color w:val="auto"/>
                <w:spacing w:val="0"/>
                <w:szCs w:val="21"/>
                <w:highlight w:val="none"/>
              </w:rPr>
              <w:t>靶材：钼靶材</w:t>
            </w:r>
            <w:r>
              <w:rPr>
                <w:rFonts w:hint="eastAsia" w:ascii="Times New Roman" w:hAnsi="Times New Roman" w:eastAsia="宋体" w:cs="Times New Roman"/>
                <w:bCs/>
                <w:caps w:val="0"/>
                <w:smallCaps w:val="0"/>
                <w:color w:val="auto"/>
                <w:spacing w:val="0"/>
                <w:szCs w:val="21"/>
                <w:highlight w:val="none"/>
                <w:lang w:eastAsia="zh-CN"/>
              </w:rPr>
              <w:t>、</w:t>
            </w:r>
            <w:r>
              <w:rPr>
                <w:rFonts w:ascii="Times New Roman" w:hAnsi="Times New Roman" w:eastAsia="宋体" w:cs="Times New Roman"/>
                <w:bCs/>
                <w:caps w:val="0"/>
                <w:smallCaps w:val="0"/>
                <w:color w:val="auto"/>
                <w:spacing w:val="0"/>
                <w:szCs w:val="21"/>
                <w:highlight w:val="none"/>
              </w:rPr>
              <w:t>碲化锌靶材</w:t>
            </w:r>
            <w:r>
              <w:rPr>
                <w:rFonts w:hint="eastAsia" w:ascii="Times New Roman" w:hAnsi="Times New Roman" w:eastAsia="宋体" w:cs="Times New Roman"/>
                <w:bCs/>
                <w:caps w:val="0"/>
                <w:smallCaps w:val="0"/>
                <w:color w:val="auto"/>
                <w:spacing w:val="0"/>
                <w:szCs w:val="21"/>
                <w:highlight w:val="none"/>
                <w:lang w:eastAsia="zh-CN"/>
              </w:rPr>
              <w:t>、</w:t>
            </w:r>
            <w:r>
              <w:rPr>
                <w:rFonts w:ascii="Times New Roman" w:hAnsi="Times New Roman" w:eastAsia="宋体" w:cs="Times New Roman"/>
                <w:bCs/>
                <w:caps w:val="0"/>
                <w:smallCaps w:val="0"/>
                <w:color w:val="auto"/>
                <w:spacing w:val="0"/>
                <w:szCs w:val="21"/>
                <w:highlight w:val="none"/>
              </w:rPr>
              <w:t>碲化锌</w:t>
            </w:r>
            <w:r>
              <w:rPr>
                <w:rFonts w:hint="eastAsia" w:ascii="Times New Roman" w:hAnsi="Times New Roman" w:eastAsia="宋体" w:cs="Times New Roman"/>
                <w:bCs/>
                <w:caps w:val="0"/>
                <w:smallCaps w:val="0"/>
                <w:color w:val="auto"/>
                <w:spacing w:val="0"/>
                <w:szCs w:val="21"/>
                <w:highlight w:val="none"/>
                <w:lang w:eastAsia="zh-CN"/>
              </w:rPr>
              <w:t>：</w:t>
            </w:r>
            <w:r>
              <w:rPr>
                <w:rFonts w:hint="eastAsia" w:ascii="Times New Roman" w:hAnsi="Times New Roman" w:eastAsia="宋体" w:cs="Times New Roman"/>
                <w:bCs/>
                <w:caps w:val="0"/>
                <w:smallCaps w:val="0"/>
                <w:color w:val="auto"/>
                <w:spacing w:val="0"/>
                <w:szCs w:val="21"/>
                <w:highlight w:val="none"/>
                <w:lang w:val="en-US" w:eastAsia="zh-CN"/>
              </w:rPr>
              <w:t>铜</w:t>
            </w:r>
            <w:r>
              <w:rPr>
                <w:rFonts w:hint="eastAsia" w:ascii="Times New Roman" w:hAnsi="Times New Roman" w:eastAsia="宋体" w:cs="Times New Roman"/>
                <w:bCs/>
                <w:caps w:val="0"/>
                <w:smallCaps w:val="0"/>
                <w:color w:val="auto"/>
                <w:spacing w:val="0"/>
                <w:szCs w:val="21"/>
                <w:highlight w:val="none"/>
                <w:lang w:eastAsia="zh-CN"/>
              </w:rPr>
              <w:t>靶材</w:t>
            </w:r>
          </w:p>
        </w:tc>
        <w:tc>
          <w:tcPr>
            <w:tcW w:w="2970" w:type="dxa"/>
            <w:tcBorders>
              <w:tl2br w:val="nil"/>
              <w:tr2bl w:val="nil"/>
            </w:tcBorders>
          </w:tcPr>
          <w:p w14:paraId="6400FC35">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主要原辅材料基本相同，</w:t>
            </w:r>
            <w:r>
              <w:rPr>
                <w:rFonts w:hint="eastAsia" w:ascii="Times New Roman" w:hAnsi="Times New Roman" w:eastAsia="宋体" w:cs="Times New Roman"/>
                <w:bCs/>
                <w:caps w:val="0"/>
                <w:smallCaps w:val="0"/>
                <w:color w:val="auto"/>
                <w:spacing w:val="0"/>
                <w:szCs w:val="21"/>
                <w:highlight w:val="none"/>
                <w:lang w:val="en-US" w:eastAsia="zh-CN"/>
              </w:rPr>
              <w:t>本项目</w:t>
            </w:r>
            <w:r>
              <w:rPr>
                <w:rFonts w:hint="eastAsia" w:ascii="Times New Roman" w:hAnsi="Times New Roman" w:eastAsia="宋体" w:cs="Times New Roman"/>
                <w:bCs/>
                <w:caps w:val="0"/>
                <w:smallCaps w:val="0"/>
                <w:color w:val="auto"/>
                <w:spacing w:val="0"/>
                <w:szCs w:val="21"/>
                <w:highlight w:val="none"/>
              </w:rPr>
              <w:t>增加铬</w:t>
            </w:r>
            <w:r>
              <w:rPr>
                <w:rFonts w:ascii="Times New Roman" w:hAnsi="Times New Roman" w:eastAsia="宋体" w:cs="Times New Roman"/>
                <w:bCs/>
                <w:caps w:val="0"/>
                <w:smallCaps w:val="0"/>
                <w:color w:val="auto"/>
                <w:spacing w:val="0"/>
                <w:szCs w:val="21"/>
                <w:highlight w:val="none"/>
              </w:rPr>
              <w:t>靶材、</w:t>
            </w:r>
            <w:r>
              <w:rPr>
                <w:rFonts w:hint="eastAsia" w:ascii="Times New Roman" w:hAnsi="Times New Roman" w:eastAsia="宋体" w:cs="Times New Roman"/>
                <w:bCs/>
                <w:caps w:val="0"/>
                <w:smallCaps w:val="0"/>
                <w:color w:val="auto"/>
                <w:spacing w:val="0"/>
                <w:szCs w:val="21"/>
                <w:highlight w:val="none"/>
              </w:rPr>
              <w:t>铝</w:t>
            </w:r>
            <w:r>
              <w:rPr>
                <w:rFonts w:ascii="Times New Roman" w:hAnsi="Times New Roman" w:eastAsia="宋体" w:cs="Times New Roman"/>
                <w:bCs/>
                <w:caps w:val="0"/>
                <w:smallCaps w:val="0"/>
                <w:color w:val="auto"/>
                <w:spacing w:val="0"/>
                <w:szCs w:val="21"/>
                <w:highlight w:val="none"/>
              </w:rPr>
              <w:t>靶材</w:t>
            </w:r>
          </w:p>
        </w:tc>
      </w:tr>
      <w:tr w14:paraId="1AF3D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vMerge w:val="restart"/>
            <w:tcBorders>
              <w:tl2br w:val="nil"/>
              <w:tr2bl w:val="nil"/>
            </w:tcBorders>
            <w:vAlign w:val="center"/>
          </w:tcPr>
          <w:p w14:paraId="2FB6908D">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环保设施</w:t>
            </w:r>
          </w:p>
        </w:tc>
        <w:tc>
          <w:tcPr>
            <w:tcW w:w="415" w:type="dxa"/>
            <w:vMerge w:val="restart"/>
            <w:tcBorders>
              <w:tl2br w:val="nil"/>
              <w:tr2bl w:val="nil"/>
            </w:tcBorders>
            <w:vAlign w:val="center"/>
          </w:tcPr>
          <w:p w14:paraId="0253A8E7">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废气</w:t>
            </w:r>
          </w:p>
        </w:tc>
        <w:tc>
          <w:tcPr>
            <w:tcW w:w="951" w:type="dxa"/>
            <w:tcBorders>
              <w:tl2br w:val="nil"/>
              <w:tr2bl w:val="nil"/>
            </w:tcBorders>
            <w:vAlign w:val="center"/>
          </w:tcPr>
          <w:p w14:paraId="5D10BDBD">
            <w:pPr>
              <w:pStyle w:val="66"/>
              <w:ind w:left="0"/>
              <w:jc w:val="center"/>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Cs w:val="21"/>
                <w:highlight w:val="none"/>
              </w:rPr>
              <w:t>CSS镀膜废气</w:t>
            </w:r>
          </w:p>
        </w:tc>
        <w:tc>
          <w:tcPr>
            <w:tcW w:w="3293" w:type="dxa"/>
            <w:tcBorders>
              <w:tl2br w:val="nil"/>
              <w:tr2bl w:val="nil"/>
            </w:tcBorders>
            <w:vAlign w:val="center"/>
          </w:tcPr>
          <w:p w14:paraId="529A21DF">
            <w:pPr>
              <w:widowControl w:val="0"/>
              <w:spacing w:line="320" w:lineRule="exact"/>
              <w:jc w:val="center"/>
              <w:rPr>
                <w:rFonts w:ascii="Times New Roman" w:hAnsi="Times New Roman" w:eastAsia="宋体" w:cs="Times New Roman"/>
                <w:bCs/>
                <w:caps w:val="0"/>
                <w:smallCaps w:val="0"/>
                <w:color w:val="auto"/>
                <w:spacing w:val="0"/>
                <w:szCs w:val="21"/>
                <w:highlight w:val="none"/>
              </w:rPr>
            </w:pPr>
            <w:r>
              <w:rPr>
                <w:rFonts w:hint="default" w:ascii="Times New Roman" w:hAnsi="Times New Roman" w:eastAsia="宋体" w:cs="Times New Roman"/>
                <w:caps w:val="0"/>
                <w:smallCaps w:val="0"/>
                <w:color w:val="auto"/>
                <w:spacing w:val="0"/>
                <w:kern w:val="0"/>
                <w:sz w:val="21"/>
                <w:szCs w:val="21"/>
                <w:highlight w:val="none"/>
                <w:lang w:val="en-US" w:eastAsia="zh-CN" w:bidi="ar"/>
              </w:rPr>
              <w:t>1</w:t>
            </w:r>
            <w:r>
              <w:rPr>
                <w:rFonts w:hint="eastAsia" w:ascii="Times New Roman" w:hAnsi="Times New Roman" w:eastAsia="宋体" w:cs="Times New Roman"/>
                <w:caps w:val="0"/>
                <w:smallCaps w:val="0"/>
                <w:color w:val="auto"/>
                <w:spacing w:val="0"/>
                <w:kern w:val="0"/>
                <w:sz w:val="21"/>
                <w:szCs w:val="21"/>
                <w:highlight w:val="none"/>
                <w:lang w:val="en-US" w:eastAsia="zh-CN" w:bidi="ar"/>
              </w:rPr>
              <w:t>套</w:t>
            </w:r>
            <w:r>
              <w:rPr>
                <w:rFonts w:hint="default" w:ascii="Times New Roman" w:hAnsi="Times New Roman" w:eastAsia="宋体" w:cs="Times New Roman"/>
                <w:caps w:val="0"/>
                <w:smallCaps w:val="0"/>
                <w:color w:val="auto"/>
                <w:spacing w:val="0"/>
                <w:kern w:val="0"/>
                <w:sz w:val="21"/>
                <w:szCs w:val="21"/>
                <w:highlight w:val="none"/>
                <w:lang w:val="en-US" w:eastAsia="zh-CN" w:bidi="ar"/>
              </w:rPr>
              <w:t>E12</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3073" w:type="dxa"/>
            <w:tcBorders>
              <w:tl2br w:val="nil"/>
              <w:tr2bl w:val="nil"/>
            </w:tcBorders>
            <w:shd w:val="clear" w:color="auto" w:fill="auto"/>
            <w:vAlign w:val="center"/>
          </w:tcPr>
          <w:p w14:paraId="7BE0654B">
            <w:pPr>
              <w:widowControl w:val="0"/>
              <w:spacing w:line="320" w:lineRule="exact"/>
              <w:jc w:val="center"/>
              <w:rPr>
                <w:rFonts w:ascii="Times New Roman" w:hAnsi="Times New Roman" w:eastAsia="宋体" w:cs="Times New Roman"/>
                <w:bCs/>
                <w:caps w:val="0"/>
                <w:smallCaps w:val="0"/>
                <w:color w:val="auto"/>
                <w:spacing w:val="0"/>
                <w:kern w:val="2"/>
                <w:sz w:val="24"/>
                <w:szCs w:val="21"/>
                <w:highlight w:val="none"/>
                <w:lang w:val="en-US" w:eastAsia="zh-CN" w:bidi="ar-SA"/>
              </w:rPr>
            </w:pPr>
            <w:r>
              <w:rPr>
                <w:rFonts w:hint="default" w:ascii="Times New Roman" w:hAnsi="Times New Roman" w:eastAsia="宋体" w:cs="Times New Roman"/>
                <w:caps w:val="0"/>
                <w:smallCaps w:val="0"/>
                <w:color w:val="auto"/>
                <w:spacing w:val="0"/>
                <w:kern w:val="0"/>
                <w:sz w:val="21"/>
                <w:szCs w:val="21"/>
                <w:highlight w:val="none"/>
                <w:lang w:val="en-US" w:eastAsia="zh-CN" w:bidi="ar"/>
              </w:rPr>
              <w:t>1</w:t>
            </w:r>
            <w:r>
              <w:rPr>
                <w:rFonts w:hint="eastAsia" w:ascii="Times New Roman" w:hAnsi="Times New Roman" w:eastAsia="宋体" w:cs="Times New Roman"/>
                <w:caps w:val="0"/>
                <w:smallCaps w:val="0"/>
                <w:color w:val="auto"/>
                <w:spacing w:val="0"/>
                <w:kern w:val="0"/>
                <w:sz w:val="21"/>
                <w:szCs w:val="21"/>
                <w:highlight w:val="none"/>
                <w:lang w:val="en-US" w:eastAsia="zh-CN" w:bidi="ar"/>
              </w:rPr>
              <w:t>套</w:t>
            </w:r>
            <w:r>
              <w:rPr>
                <w:rFonts w:hint="default" w:ascii="Times New Roman" w:hAnsi="Times New Roman" w:eastAsia="宋体" w:cs="Times New Roman"/>
                <w:caps w:val="0"/>
                <w:smallCaps w:val="0"/>
                <w:color w:val="auto"/>
                <w:spacing w:val="0"/>
                <w:kern w:val="0"/>
                <w:sz w:val="21"/>
                <w:szCs w:val="21"/>
                <w:highlight w:val="none"/>
                <w:lang w:val="en-US" w:eastAsia="zh-CN" w:bidi="ar"/>
              </w:rPr>
              <w:t>E12</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3134" w:type="dxa"/>
            <w:tcBorders>
              <w:tl2br w:val="nil"/>
              <w:tr2bl w:val="nil"/>
            </w:tcBorders>
            <w:vAlign w:val="center"/>
          </w:tcPr>
          <w:p w14:paraId="642B847D">
            <w:pPr>
              <w:pStyle w:val="66"/>
              <w:ind w:left="0"/>
              <w:jc w:val="center"/>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1套F9级过滤器+E12级高效过滤器+H14级高效过滤器</w:t>
            </w:r>
          </w:p>
        </w:tc>
        <w:tc>
          <w:tcPr>
            <w:tcW w:w="2970" w:type="dxa"/>
            <w:tcBorders>
              <w:tl2br w:val="nil"/>
              <w:tr2bl w:val="nil"/>
            </w:tcBorders>
          </w:tcPr>
          <w:p w14:paraId="7F722561">
            <w:pPr>
              <w:pStyle w:val="66"/>
              <w:ind w:left="0"/>
              <w:rPr>
                <w:rFonts w:hint="eastAsia"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本项目CSS镀膜废气处理措施与</w:t>
            </w:r>
            <w:r>
              <w:rPr>
                <w:rFonts w:hint="eastAsia" w:ascii="Times New Roman" w:hAnsi="Times New Roman" w:eastAsia="宋体" w:cs="Times New Roman"/>
                <w:bCs/>
                <w:caps w:val="0"/>
                <w:smallCaps w:val="0"/>
                <w:color w:val="auto"/>
                <w:spacing w:val="0"/>
                <w:szCs w:val="21"/>
                <w:highlight w:val="none"/>
              </w:rPr>
              <w:t>瑞昌中建材</w:t>
            </w:r>
            <w:r>
              <w:rPr>
                <w:rFonts w:hint="eastAsia" w:ascii="Times New Roman" w:hAnsi="Times New Roman" w:eastAsia="宋体" w:cs="Times New Roman"/>
                <w:bCs/>
                <w:caps w:val="0"/>
                <w:smallCaps w:val="0"/>
                <w:color w:val="auto"/>
                <w:spacing w:val="0"/>
                <w:szCs w:val="21"/>
                <w:highlight w:val="none"/>
                <w:lang w:val="en-US" w:eastAsia="zh-CN"/>
              </w:rPr>
              <w:t>一致；株洲中建材较本项目增加一套F9级过滤器</w:t>
            </w:r>
          </w:p>
        </w:tc>
      </w:tr>
      <w:tr w14:paraId="642BF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vMerge w:val="continue"/>
            <w:tcBorders>
              <w:tl2br w:val="nil"/>
              <w:tr2bl w:val="nil"/>
            </w:tcBorders>
            <w:vAlign w:val="center"/>
          </w:tcPr>
          <w:p w14:paraId="5E3AE83D">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7143A4C7">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7E957031">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 w:val="21"/>
                <w:highlight w:val="none"/>
              </w:rPr>
              <w:t>活化层活化废气</w:t>
            </w:r>
          </w:p>
        </w:tc>
        <w:tc>
          <w:tcPr>
            <w:tcW w:w="3293" w:type="dxa"/>
            <w:tcBorders>
              <w:tl2br w:val="nil"/>
              <w:tr2bl w:val="nil"/>
            </w:tcBorders>
            <w:vAlign w:val="center"/>
          </w:tcPr>
          <w:p w14:paraId="07BB19D2">
            <w:pPr>
              <w:widowControl w:val="0"/>
              <w:spacing w:line="320" w:lineRule="exact"/>
              <w:jc w:val="center"/>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1套F7级过滤器+E10级高效离子过滤器+H14级高效过滤器</w:t>
            </w:r>
          </w:p>
        </w:tc>
        <w:tc>
          <w:tcPr>
            <w:tcW w:w="3073" w:type="dxa"/>
            <w:tcBorders>
              <w:tl2br w:val="nil"/>
              <w:tr2bl w:val="nil"/>
            </w:tcBorders>
            <w:shd w:val="clear" w:color="auto" w:fill="auto"/>
            <w:vAlign w:val="center"/>
          </w:tcPr>
          <w:p w14:paraId="0E7C6D48">
            <w:pPr>
              <w:widowControl w:val="0"/>
              <w:spacing w:line="320" w:lineRule="exact"/>
              <w:jc w:val="center"/>
              <w:rPr>
                <w:rFonts w:ascii="Times New Roman" w:hAnsi="Times New Roman" w:eastAsia="宋体" w:cs="Times New Roman"/>
                <w:bCs/>
                <w:caps w:val="0"/>
                <w:smallCaps w:val="0"/>
                <w:color w:val="auto"/>
                <w:spacing w:val="0"/>
                <w:kern w:val="2"/>
                <w:sz w:val="24"/>
                <w:szCs w:val="21"/>
                <w:highlight w:val="none"/>
                <w:lang w:val="en-US" w:eastAsia="zh-CN" w:bidi="ar-SA"/>
              </w:rPr>
            </w:pPr>
            <w:r>
              <w:rPr>
                <w:rFonts w:hint="default" w:ascii="Times New Roman" w:hAnsi="Times New Roman" w:eastAsia="宋体" w:cs="Times New Roman"/>
                <w:caps w:val="0"/>
                <w:smallCaps w:val="0"/>
                <w:color w:val="auto"/>
                <w:spacing w:val="0"/>
                <w:kern w:val="0"/>
                <w:sz w:val="21"/>
                <w:szCs w:val="21"/>
                <w:highlight w:val="none"/>
                <w:lang w:val="en-US" w:eastAsia="zh-CN" w:bidi="ar"/>
              </w:rPr>
              <w:t>1</w:t>
            </w:r>
            <w:r>
              <w:rPr>
                <w:rFonts w:hint="eastAsia" w:ascii="Times New Roman" w:hAnsi="Times New Roman" w:eastAsia="宋体" w:cs="Times New Roman"/>
                <w:caps w:val="0"/>
                <w:smallCaps w:val="0"/>
                <w:color w:val="auto"/>
                <w:spacing w:val="0"/>
                <w:kern w:val="0"/>
                <w:sz w:val="21"/>
                <w:szCs w:val="21"/>
                <w:highlight w:val="none"/>
                <w:lang w:val="en-US" w:eastAsia="zh-CN" w:bidi="ar"/>
              </w:rPr>
              <w:t>套</w:t>
            </w:r>
            <w:r>
              <w:rPr>
                <w:rFonts w:hint="default" w:ascii="Times New Roman" w:hAnsi="Times New Roman" w:eastAsia="宋体" w:cs="Times New Roman"/>
                <w:caps w:val="0"/>
                <w:smallCaps w:val="0"/>
                <w:color w:val="auto"/>
                <w:spacing w:val="0"/>
                <w:kern w:val="0"/>
                <w:sz w:val="21"/>
                <w:szCs w:val="21"/>
                <w:highlight w:val="none"/>
                <w:lang w:val="en-US" w:eastAsia="zh-CN" w:bidi="ar"/>
              </w:rPr>
              <w:t>E12</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3134" w:type="dxa"/>
            <w:tcBorders>
              <w:tl2br w:val="nil"/>
              <w:tr2bl w:val="nil"/>
            </w:tcBorders>
            <w:vAlign w:val="center"/>
          </w:tcPr>
          <w:p w14:paraId="1738AC47">
            <w:pPr>
              <w:pStyle w:val="66"/>
              <w:ind w:left="0"/>
              <w:jc w:val="center"/>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caps w:val="0"/>
                <w:smallCaps w:val="0"/>
                <w:color w:val="auto"/>
                <w:spacing w:val="0"/>
                <w:sz w:val="21"/>
                <w:highlight w:val="none"/>
                <w:lang w:val="en-US" w:eastAsia="zh-CN"/>
              </w:rPr>
              <w:t>1套F7级过滤器+E10级高效离子过滤器+H13级高效过滤器</w:t>
            </w:r>
          </w:p>
        </w:tc>
        <w:tc>
          <w:tcPr>
            <w:tcW w:w="2970" w:type="dxa"/>
            <w:tcBorders>
              <w:tl2br w:val="nil"/>
              <w:tr2bl w:val="nil"/>
            </w:tcBorders>
          </w:tcPr>
          <w:p w14:paraId="523C24F1">
            <w:pPr>
              <w:pStyle w:val="66"/>
              <w:ind w:left="0"/>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本项目</w:t>
            </w:r>
            <w:r>
              <w:rPr>
                <w:rFonts w:ascii="Times New Roman" w:hAnsi="Times New Roman" w:eastAsia="宋体" w:cs="Times New Roman"/>
                <w:bCs/>
                <w:caps w:val="0"/>
                <w:smallCaps w:val="0"/>
                <w:color w:val="auto"/>
                <w:spacing w:val="0"/>
                <w:sz w:val="21"/>
                <w:highlight w:val="none"/>
              </w:rPr>
              <w:t>活化层活化废气</w:t>
            </w:r>
            <w:r>
              <w:rPr>
                <w:rFonts w:hint="eastAsia" w:ascii="Times New Roman" w:hAnsi="Times New Roman" w:eastAsia="宋体" w:cs="Times New Roman"/>
                <w:bCs/>
                <w:caps w:val="0"/>
                <w:smallCaps w:val="0"/>
                <w:color w:val="auto"/>
                <w:spacing w:val="0"/>
                <w:sz w:val="21"/>
                <w:highlight w:val="none"/>
                <w:lang w:val="en-US" w:eastAsia="zh-CN"/>
              </w:rPr>
              <w:t>处理措施在株洲中建材的废气处理措施的基础上进行了优化，将H13</w:t>
            </w:r>
            <w:r>
              <w:rPr>
                <w:rFonts w:hint="eastAsia" w:ascii="Times New Roman" w:hAnsi="Times New Roman" w:eastAsia="宋体" w:cs="Times New Roman"/>
                <w:caps w:val="0"/>
                <w:smallCaps w:val="0"/>
                <w:color w:val="auto"/>
                <w:spacing w:val="0"/>
                <w:sz w:val="21"/>
                <w:highlight w:val="none"/>
                <w:lang w:val="en-US" w:eastAsia="zh-CN"/>
              </w:rPr>
              <w:t>级高效过滤器升级为H14级高效过滤器</w:t>
            </w:r>
          </w:p>
        </w:tc>
      </w:tr>
      <w:tr w14:paraId="4603B7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vMerge w:val="continue"/>
            <w:tcBorders>
              <w:tl2br w:val="nil"/>
              <w:tr2bl w:val="nil"/>
            </w:tcBorders>
            <w:vAlign w:val="center"/>
          </w:tcPr>
          <w:p w14:paraId="035461E5">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5933F65B">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39C505BB">
            <w:pPr>
              <w:widowControl w:val="0"/>
              <w:spacing w:line="320" w:lineRule="exact"/>
              <w:jc w:val="center"/>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 w:val="21"/>
                <w:highlight w:val="none"/>
              </w:rPr>
              <w:t>膜层溅射废气</w:t>
            </w:r>
          </w:p>
        </w:tc>
        <w:tc>
          <w:tcPr>
            <w:tcW w:w="3293" w:type="dxa"/>
            <w:tcBorders>
              <w:tl2br w:val="nil"/>
              <w:tr2bl w:val="nil"/>
            </w:tcBorders>
            <w:vAlign w:val="center"/>
          </w:tcPr>
          <w:p w14:paraId="35B8E508">
            <w:pPr>
              <w:widowControl w:val="0"/>
              <w:spacing w:line="320" w:lineRule="exact"/>
              <w:jc w:val="center"/>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1套</w:t>
            </w:r>
            <w:r>
              <w:rPr>
                <w:rFonts w:ascii="Times New Roman" w:hAnsi="Times New Roman" w:eastAsia="宋体" w:cs="Times New Roman"/>
                <w:caps w:val="0"/>
                <w:smallCaps w:val="0"/>
                <w:color w:val="auto"/>
                <w:spacing w:val="0"/>
                <w:sz w:val="21"/>
                <w:szCs w:val="21"/>
                <w:highlight w:val="none"/>
              </w:rPr>
              <w:t>H14级高效</w:t>
            </w:r>
            <w:r>
              <w:rPr>
                <w:rFonts w:hint="eastAsia" w:ascii="Times New Roman" w:hAnsi="Times New Roman" w:eastAsia="宋体" w:cs="Times New Roman"/>
                <w:caps w:val="0"/>
                <w:smallCaps w:val="0"/>
                <w:color w:val="auto"/>
                <w:spacing w:val="0"/>
                <w:sz w:val="21"/>
                <w:szCs w:val="21"/>
                <w:highlight w:val="none"/>
                <w:lang w:val="en-US" w:eastAsia="zh-CN"/>
              </w:rPr>
              <w:t>离子</w:t>
            </w:r>
            <w:r>
              <w:rPr>
                <w:rFonts w:ascii="Times New Roman" w:hAnsi="Times New Roman" w:eastAsia="宋体" w:cs="Times New Roman"/>
                <w:caps w:val="0"/>
                <w:smallCaps w:val="0"/>
                <w:color w:val="auto"/>
                <w:spacing w:val="0"/>
                <w:sz w:val="21"/>
                <w:szCs w:val="21"/>
                <w:highlight w:val="none"/>
              </w:rPr>
              <w:t>过滤器</w:t>
            </w:r>
          </w:p>
        </w:tc>
        <w:tc>
          <w:tcPr>
            <w:tcW w:w="3073" w:type="dxa"/>
            <w:tcBorders>
              <w:tl2br w:val="nil"/>
              <w:tr2bl w:val="nil"/>
            </w:tcBorders>
            <w:vAlign w:val="center"/>
          </w:tcPr>
          <w:p w14:paraId="613194F1">
            <w:pPr>
              <w:pStyle w:val="66"/>
              <w:ind w:left="0"/>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自带过滤器处理</w:t>
            </w:r>
          </w:p>
        </w:tc>
        <w:tc>
          <w:tcPr>
            <w:tcW w:w="3134" w:type="dxa"/>
            <w:tcBorders>
              <w:tl2br w:val="nil"/>
              <w:tr2bl w:val="nil"/>
            </w:tcBorders>
            <w:vAlign w:val="center"/>
          </w:tcPr>
          <w:p w14:paraId="6A10885D">
            <w:pPr>
              <w:pStyle w:val="66"/>
              <w:ind w:left="0"/>
              <w:jc w:val="center"/>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1套F9级</w:t>
            </w:r>
            <w:r>
              <w:rPr>
                <w:rFonts w:ascii="Times New Roman" w:hAnsi="Times New Roman" w:eastAsia="宋体" w:cs="Times New Roman"/>
                <w:bCs/>
                <w:caps w:val="0"/>
                <w:smallCaps w:val="0"/>
                <w:color w:val="auto"/>
                <w:spacing w:val="0"/>
                <w:szCs w:val="21"/>
                <w:highlight w:val="none"/>
              </w:rPr>
              <w:t>过滤器</w:t>
            </w:r>
            <w:r>
              <w:rPr>
                <w:rFonts w:hint="eastAsia" w:ascii="Times New Roman" w:hAnsi="Times New Roman" w:eastAsia="宋体" w:cs="Times New Roman"/>
                <w:bCs/>
                <w:caps w:val="0"/>
                <w:smallCaps w:val="0"/>
                <w:color w:val="auto"/>
                <w:spacing w:val="0"/>
                <w:szCs w:val="21"/>
                <w:highlight w:val="none"/>
                <w:lang w:val="en-US" w:eastAsia="zh-CN"/>
              </w:rPr>
              <w:t>+</w:t>
            </w:r>
            <w:r>
              <w:rPr>
                <w:rFonts w:hint="eastAsia" w:ascii="Times New Roman" w:hAnsi="Times New Roman" w:eastAsia="宋体" w:cs="Times New Roman"/>
                <w:caps w:val="0"/>
                <w:smallCaps w:val="0"/>
                <w:color w:val="auto"/>
                <w:spacing w:val="0"/>
                <w:kern w:val="0"/>
                <w:sz w:val="21"/>
                <w:szCs w:val="21"/>
                <w:highlight w:val="none"/>
                <w:lang w:val="en-US" w:eastAsia="zh-CN" w:bidi="ar"/>
              </w:rPr>
              <w:t>H14级高效离子过滤器</w:t>
            </w:r>
          </w:p>
        </w:tc>
        <w:tc>
          <w:tcPr>
            <w:tcW w:w="2970" w:type="dxa"/>
            <w:tcBorders>
              <w:tl2br w:val="nil"/>
              <w:tr2bl w:val="nil"/>
            </w:tcBorders>
          </w:tcPr>
          <w:p w14:paraId="308EAECA">
            <w:pPr>
              <w:pStyle w:val="66"/>
              <w:ind w:left="0"/>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株洲中建材由于设备原因验收期间未进行检测；本项目</w:t>
            </w:r>
            <w:r>
              <w:rPr>
                <w:rFonts w:ascii="Times New Roman" w:hAnsi="Times New Roman" w:eastAsia="宋体" w:cs="Times New Roman"/>
                <w:caps w:val="0"/>
                <w:smallCaps w:val="0"/>
                <w:color w:val="auto"/>
                <w:spacing w:val="0"/>
                <w:sz w:val="21"/>
                <w:szCs w:val="21"/>
                <w:highlight w:val="none"/>
              </w:rPr>
              <w:t>H14级高效</w:t>
            </w:r>
            <w:r>
              <w:rPr>
                <w:rFonts w:hint="eastAsia" w:ascii="Times New Roman" w:hAnsi="Times New Roman" w:eastAsia="宋体" w:cs="Times New Roman"/>
                <w:caps w:val="0"/>
                <w:smallCaps w:val="0"/>
                <w:color w:val="auto"/>
                <w:spacing w:val="0"/>
                <w:sz w:val="21"/>
                <w:szCs w:val="21"/>
                <w:highlight w:val="none"/>
                <w:lang w:val="en-US" w:eastAsia="zh-CN"/>
              </w:rPr>
              <w:t>离子</w:t>
            </w:r>
            <w:r>
              <w:rPr>
                <w:rFonts w:ascii="Times New Roman" w:hAnsi="Times New Roman" w:eastAsia="宋体" w:cs="Times New Roman"/>
                <w:caps w:val="0"/>
                <w:smallCaps w:val="0"/>
                <w:color w:val="auto"/>
                <w:spacing w:val="0"/>
                <w:sz w:val="21"/>
                <w:szCs w:val="21"/>
                <w:highlight w:val="none"/>
              </w:rPr>
              <w:t>过滤器</w:t>
            </w:r>
            <w:r>
              <w:rPr>
                <w:rFonts w:hint="eastAsia" w:ascii="Times New Roman" w:hAnsi="Times New Roman" w:eastAsia="宋体" w:cs="Times New Roman"/>
                <w:caps w:val="0"/>
                <w:smallCaps w:val="0"/>
                <w:color w:val="auto"/>
                <w:spacing w:val="0"/>
                <w:sz w:val="21"/>
                <w:szCs w:val="21"/>
                <w:highlight w:val="none"/>
                <w:lang w:val="en-US" w:eastAsia="zh-CN"/>
              </w:rPr>
              <w:t>处理效率优于瑞昌中建材的</w:t>
            </w:r>
            <w:r>
              <w:rPr>
                <w:rFonts w:hint="eastAsia" w:ascii="Times New Roman" w:hAnsi="Times New Roman" w:eastAsia="宋体" w:cs="Times New Roman"/>
                <w:bCs/>
                <w:caps w:val="0"/>
                <w:smallCaps w:val="0"/>
                <w:color w:val="auto"/>
                <w:spacing w:val="0"/>
                <w:szCs w:val="21"/>
                <w:highlight w:val="none"/>
                <w:lang w:val="en-US" w:eastAsia="zh-CN"/>
              </w:rPr>
              <w:t>自带过滤器</w:t>
            </w:r>
          </w:p>
        </w:tc>
      </w:tr>
      <w:tr w14:paraId="2ED81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vMerge w:val="continue"/>
            <w:tcBorders>
              <w:tl2br w:val="nil"/>
              <w:tr2bl w:val="nil"/>
            </w:tcBorders>
          </w:tcPr>
          <w:p w14:paraId="0B729CE3">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665FC712">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280047E6">
            <w:pPr>
              <w:widowControl w:val="0"/>
              <w:spacing w:line="320" w:lineRule="exact"/>
              <w:jc w:val="center"/>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 w:val="21"/>
                <w:highlight w:val="none"/>
              </w:rPr>
              <w:t>P1</w:t>
            </w:r>
            <w:r>
              <w:rPr>
                <w:rFonts w:hint="eastAsia" w:ascii="Times New Roman" w:hAnsi="Times New Roman" w:eastAsia="宋体" w:cs="Times New Roman"/>
                <w:bCs/>
                <w:caps w:val="0"/>
                <w:smallCaps w:val="0"/>
                <w:color w:val="auto"/>
                <w:spacing w:val="0"/>
                <w:sz w:val="21"/>
                <w:highlight w:val="none"/>
                <w:lang w:eastAsia="zh-CN"/>
              </w:rPr>
              <w:t>、</w:t>
            </w:r>
            <w:r>
              <w:rPr>
                <w:rFonts w:hint="eastAsia" w:ascii="Times New Roman" w:hAnsi="Times New Roman" w:eastAsia="宋体" w:cs="Times New Roman"/>
                <w:bCs/>
                <w:caps w:val="0"/>
                <w:smallCaps w:val="0"/>
                <w:color w:val="auto"/>
                <w:spacing w:val="0"/>
                <w:sz w:val="21"/>
                <w:highlight w:val="none"/>
                <w:lang w:val="en-US" w:eastAsia="zh-CN"/>
              </w:rPr>
              <w:t>P2、P3</w:t>
            </w:r>
            <w:r>
              <w:rPr>
                <w:rFonts w:ascii="Times New Roman" w:hAnsi="Times New Roman" w:eastAsia="宋体" w:cs="Times New Roman"/>
                <w:bCs/>
                <w:caps w:val="0"/>
                <w:smallCaps w:val="0"/>
                <w:color w:val="auto"/>
                <w:spacing w:val="0"/>
                <w:sz w:val="21"/>
                <w:highlight w:val="none"/>
              </w:rPr>
              <w:t>刻线废气</w:t>
            </w:r>
          </w:p>
        </w:tc>
        <w:tc>
          <w:tcPr>
            <w:tcW w:w="3293" w:type="dxa"/>
            <w:tcBorders>
              <w:tl2br w:val="nil"/>
              <w:tr2bl w:val="nil"/>
            </w:tcBorders>
            <w:vAlign w:val="center"/>
          </w:tcPr>
          <w:p w14:paraId="7A04B320">
            <w:pPr>
              <w:widowControl w:val="0"/>
              <w:spacing w:line="320" w:lineRule="exact"/>
              <w:jc w:val="center"/>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3套</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p>
        </w:tc>
        <w:tc>
          <w:tcPr>
            <w:tcW w:w="3073" w:type="dxa"/>
            <w:tcBorders>
              <w:tl2br w:val="nil"/>
              <w:tr2bl w:val="nil"/>
            </w:tcBorders>
            <w:vAlign w:val="center"/>
          </w:tcPr>
          <w:p w14:paraId="5A4943F9">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3套F8级</w:t>
            </w:r>
            <w:r>
              <w:rPr>
                <w:rFonts w:ascii="Times New Roman" w:hAnsi="Times New Roman" w:eastAsia="宋体" w:cs="Times New Roman"/>
                <w:bCs/>
                <w:caps w:val="0"/>
                <w:smallCaps w:val="0"/>
                <w:color w:val="auto"/>
                <w:spacing w:val="0"/>
                <w:szCs w:val="21"/>
                <w:highlight w:val="none"/>
              </w:rPr>
              <w:t>过滤器+H14级高效离子过滤器</w:t>
            </w:r>
          </w:p>
        </w:tc>
        <w:tc>
          <w:tcPr>
            <w:tcW w:w="3134" w:type="dxa"/>
            <w:tcBorders>
              <w:tl2br w:val="nil"/>
              <w:tr2bl w:val="nil"/>
            </w:tcBorders>
            <w:vAlign w:val="center"/>
          </w:tcPr>
          <w:p w14:paraId="13DECD60">
            <w:pPr>
              <w:pStyle w:val="66"/>
              <w:ind w:left="0"/>
              <w:jc w:val="center"/>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3套</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p>
        </w:tc>
        <w:tc>
          <w:tcPr>
            <w:tcW w:w="2970" w:type="dxa"/>
            <w:tcBorders>
              <w:tl2br w:val="nil"/>
              <w:tr2bl w:val="nil"/>
            </w:tcBorders>
            <w:vAlign w:val="center"/>
          </w:tcPr>
          <w:p w14:paraId="7000AB06">
            <w:pPr>
              <w:pStyle w:val="66"/>
              <w:ind w:left="0"/>
              <w:jc w:val="center"/>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本项目与株洲中建材一致</w:t>
            </w:r>
          </w:p>
        </w:tc>
      </w:tr>
      <w:tr w14:paraId="76A1E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vMerge w:val="continue"/>
            <w:tcBorders>
              <w:tl2br w:val="nil"/>
              <w:tr2bl w:val="nil"/>
            </w:tcBorders>
          </w:tcPr>
          <w:p w14:paraId="6C2DFB3E">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64E11E36">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4535C749">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bCs/>
                <w:caps w:val="0"/>
                <w:smallCaps w:val="0"/>
                <w:color w:val="auto"/>
                <w:spacing w:val="0"/>
                <w:sz w:val="21"/>
                <w:highlight w:val="none"/>
              </w:rPr>
              <w:t>背电极磁控溅射废气</w:t>
            </w:r>
          </w:p>
        </w:tc>
        <w:tc>
          <w:tcPr>
            <w:tcW w:w="3293" w:type="dxa"/>
            <w:tcBorders>
              <w:tl2br w:val="nil"/>
              <w:tr2bl w:val="nil"/>
            </w:tcBorders>
            <w:vAlign w:val="center"/>
          </w:tcPr>
          <w:p w14:paraId="6708E1CE">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caps w:val="0"/>
                <w:smallCaps w:val="0"/>
                <w:color w:val="auto"/>
                <w:spacing w:val="0"/>
                <w:kern w:val="0"/>
                <w:sz w:val="21"/>
                <w:szCs w:val="21"/>
                <w:highlight w:val="none"/>
              </w:rPr>
              <w:t>1套H14级高效过滤器除尘器</w:t>
            </w:r>
          </w:p>
        </w:tc>
        <w:tc>
          <w:tcPr>
            <w:tcW w:w="3073" w:type="dxa"/>
            <w:tcBorders>
              <w:tl2br w:val="nil"/>
              <w:tr2bl w:val="nil"/>
            </w:tcBorders>
            <w:vAlign w:val="center"/>
          </w:tcPr>
          <w:p w14:paraId="685BBBBF">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自带过滤器处理</w:t>
            </w:r>
          </w:p>
        </w:tc>
        <w:tc>
          <w:tcPr>
            <w:tcW w:w="3134" w:type="dxa"/>
            <w:tcBorders>
              <w:tl2br w:val="nil"/>
              <w:tr2bl w:val="nil"/>
            </w:tcBorders>
            <w:vAlign w:val="center"/>
          </w:tcPr>
          <w:p w14:paraId="7E5CC9A5">
            <w:pPr>
              <w:pStyle w:val="66"/>
              <w:ind w:left="0"/>
              <w:jc w:val="center"/>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1套F8级</w:t>
            </w:r>
            <w:r>
              <w:rPr>
                <w:rFonts w:ascii="Times New Roman" w:hAnsi="Times New Roman" w:eastAsia="宋体" w:cs="Times New Roman"/>
                <w:bCs/>
                <w:caps w:val="0"/>
                <w:smallCaps w:val="0"/>
                <w:color w:val="auto"/>
                <w:spacing w:val="0"/>
                <w:szCs w:val="21"/>
                <w:highlight w:val="none"/>
              </w:rPr>
              <w:t>过滤器</w:t>
            </w:r>
            <w:r>
              <w:rPr>
                <w:rFonts w:hint="eastAsia" w:ascii="Times New Roman" w:hAnsi="Times New Roman" w:eastAsia="宋体" w:cs="Times New Roman"/>
                <w:bCs/>
                <w:caps w:val="0"/>
                <w:smallCaps w:val="0"/>
                <w:color w:val="auto"/>
                <w:spacing w:val="0"/>
                <w:szCs w:val="21"/>
                <w:highlight w:val="none"/>
                <w:lang w:val="en-US" w:eastAsia="zh-CN"/>
              </w:rPr>
              <w:t>+</w:t>
            </w:r>
            <w:r>
              <w:rPr>
                <w:rFonts w:hint="eastAsia" w:ascii="Times New Roman" w:hAnsi="Times New Roman" w:eastAsia="宋体" w:cs="Times New Roman"/>
                <w:caps w:val="0"/>
                <w:smallCaps w:val="0"/>
                <w:color w:val="auto"/>
                <w:spacing w:val="0"/>
                <w:kern w:val="0"/>
                <w:sz w:val="21"/>
                <w:szCs w:val="21"/>
                <w:highlight w:val="none"/>
                <w:lang w:val="en-US" w:eastAsia="zh-CN" w:bidi="ar"/>
              </w:rPr>
              <w:t>H14级高效离子过滤器</w:t>
            </w:r>
          </w:p>
        </w:tc>
        <w:tc>
          <w:tcPr>
            <w:tcW w:w="2970" w:type="dxa"/>
            <w:tcBorders>
              <w:tl2br w:val="nil"/>
              <w:tr2bl w:val="nil"/>
            </w:tcBorders>
          </w:tcPr>
          <w:p w14:paraId="64C6733E">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株洲中建材由于设备原因验收期间未进行检测；本项目</w:t>
            </w:r>
            <w:r>
              <w:rPr>
                <w:rFonts w:ascii="Times New Roman" w:hAnsi="Times New Roman" w:eastAsia="宋体" w:cs="Times New Roman"/>
                <w:caps w:val="0"/>
                <w:smallCaps w:val="0"/>
                <w:color w:val="auto"/>
                <w:spacing w:val="0"/>
                <w:sz w:val="21"/>
                <w:szCs w:val="21"/>
                <w:highlight w:val="none"/>
              </w:rPr>
              <w:t>H14级高效</w:t>
            </w:r>
            <w:r>
              <w:rPr>
                <w:rFonts w:hint="eastAsia" w:ascii="Times New Roman" w:hAnsi="Times New Roman" w:eastAsia="宋体" w:cs="Times New Roman"/>
                <w:caps w:val="0"/>
                <w:smallCaps w:val="0"/>
                <w:color w:val="auto"/>
                <w:spacing w:val="0"/>
                <w:sz w:val="21"/>
                <w:szCs w:val="21"/>
                <w:highlight w:val="none"/>
                <w:lang w:val="en-US" w:eastAsia="zh-CN"/>
              </w:rPr>
              <w:t>离子</w:t>
            </w:r>
            <w:r>
              <w:rPr>
                <w:rFonts w:ascii="Times New Roman" w:hAnsi="Times New Roman" w:eastAsia="宋体" w:cs="Times New Roman"/>
                <w:caps w:val="0"/>
                <w:smallCaps w:val="0"/>
                <w:color w:val="auto"/>
                <w:spacing w:val="0"/>
                <w:sz w:val="21"/>
                <w:szCs w:val="21"/>
                <w:highlight w:val="none"/>
              </w:rPr>
              <w:t>过滤器</w:t>
            </w:r>
            <w:r>
              <w:rPr>
                <w:rFonts w:hint="eastAsia" w:ascii="Times New Roman" w:hAnsi="Times New Roman" w:eastAsia="宋体" w:cs="Times New Roman"/>
                <w:caps w:val="0"/>
                <w:smallCaps w:val="0"/>
                <w:color w:val="auto"/>
                <w:spacing w:val="0"/>
                <w:sz w:val="21"/>
                <w:szCs w:val="21"/>
                <w:highlight w:val="none"/>
                <w:lang w:val="en-US" w:eastAsia="zh-CN"/>
              </w:rPr>
              <w:t>处理效率优于瑞昌中建材的</w:t>
            </w:r>
            <w:r>
              <w:rPr>
                <w:rFonts w:hint="eastAsia" w:ascii="Times New Roman" w:hAnsi="Times New Roman" w:eastAsia="宋体" w:cs="Times New Roman"/>
                <w:bCs/>
                <w:caps w:val="0"/>
                <w:smallCaps w:val="0"/>
                <w:color w:val="auto"/>
                <w:spacing w:val="0"/>
                <w:szCs w:val="21"/>
                <w:highlight w:val="none"/>
                <w:lang w:val="en-US" w:eastAsia="zh-CN"/>
              </w:rPr>
              <w:t>自带过滤器</w:t>
            </w:r>
          </w:p>
        </w:tc>
      </w:tr>
      <w:tr w14:paraId="69F1CA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tcBorders>
              <w:tl2br w:val="nil"/>
              <w:tr2bl w:val="nil"/>
            </w:tcBorders>
          </w:tcPr>
          <w:p w14:paraId="4F295B07">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4148ADD7">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33277B97">
            <w:pPr>
              <w:pStyle w:val="66"/>
              <w:ind w:left="0"/>
              <w:rPr>
                <w:rFonts w:hint="eastAsia"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P4</w:t>
            </w:r>
            <w:r>
              <w:rPr>
                <w:rFonts w:ascii="Times New Roman" w:hAnsi="Times New Roman" w:eastAsia="宋体" w:cs="Times New Roman"/>
                <w:bCs/>
                <w:caps w:val="0"/>
                <w:smallCaps w:val="0"/>
                <w:color w:val="auto"/>
                <w:spacing w:val="0"/>
                <w:sz w:val="21"/>
                <w:highlight w:val="none"/>
              </w:rPr>
              <w:t>边缘处理</w:t>
            </w:r>
            <w:r>
              <w:rPr>
                <w:rFonts w:hint="eastAsia" w:ascii="Times New Roman" w:hAnsi="Times New Roman" w:eastAsia="宋体" w:cs="Times New Roman"/>
                <w:bCs/>
                <w:caps w:val="0"/>
                <w:smallCaps w:val="0"/>
                <w:color w:val="auto"/>
                <w:spacing w:val="0"/>
                <w:sz w:val="21"/>
                <w:highlight w:val="none"/>
                <w:lang w:val="en-US" w:eastAsia="zh-CN"/>
              </w:rPr>
              <w:t>废气</w:t>
            </w:r>
          </w:p>
        </w:tc>
        <w:tc>
          <w:tcPr>
            <w:tcW w:w="3293" w:type="dxa"/>
            <w:tcBorders>
              <w:tl2br w:val="nil"/>
              <w:tr2bl w:val="nil"/>
            </w:tcBorders>
            <w:vAlign w:val="center"/>
          </w:tcPr>
          <w:p w14:paraId="5982F6CC">
            <w:pPr>
              <w:ind w:left="0"/>
              <w:jc w:val="center"/>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caps w:val="0"/>
                <w:smallCaps w:val="0"/>
                <w:color w:val="auto"/>
                <w:spacing w:val="0"/>
                <w:kern w:val="0"/>
                <w:sz w:val="21"/>
                <w:szCs w:val="21"/>
                <w:highlight w:val="none"/>
              </w:rPr>
              <w:t>1套</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3073" w:type="dxa"/>
            <w:tcBorders>
              <w:tl2br w:val="nil"/>
              <w:tr2bl w:val="nil"/>
            </w:tcBorders>
            <w:vAlign w:val="center"/>
          </w:tcPr>
          <w:p w14:paraId="7B27D0E7">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1套F8级</w:t>
            </w:r>
            <w:r>
              <w:rPr>
                <w:rFonts w:ascii="Times New Roman" w:hAnsi="Times New Roman" w:eastAsia="宋体" w:cs="Times New Roman"/>
                <w:bCs/>
                <w:caps w:val="0"/>
                <w:smallCaps w:val="0"/>
                <w:color w:val="auto"/>
                <w:spacing w:val="0"/>
                <w:szCs w:val="21"/>
                <w:highlight w:val="none"/>
              </w:rPr>
              <w:t>过滤器+H14级高效离子过滤器</w:t>
            </w:r>
          </w:p>
        </w:tc>
        <w:tc>
          <w:tcPr>
            <w:tcW w:w="3134" w:type="dxa"/>
            <w:tcBorders>
              <w:tl2br w:val="nil"/>
              <w:tr2bl w:val="nil"/>
            </w:tcBorders>
          </w:tcPr>
          <w:p w14:paraId="6B287D76">
            <w:pPr>
              <w:pStyle w:val="66"/>
              <w:ind w:left="0"/>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caps w:val="0"/>
                <w:smallCaps w:val="0"/>
                <w:color w:val="auto"/>
                <w:spacing w:val="0"/>
                <w:kern w:val="0"/>
                <w:sz w:val="21"/>
                <w:szCs w:val="21"/>
                <w:highlight w:val="none"/>
              </w:rPr>
              <w:t>1套</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2970" w:type="dxa"/>
            <w:tcBorders>
              <w:tl2br w:val="nil"/>
              <w:tr2bl w:val="nil"/>
            </w:tcBorders>
          </w:tcPr>
          <w:p w14:paraId="6FF5A24F">
            <w:pPr>
              <w:pStyle w:val="66"/>
              <w:ind w:left="0"/>
              <w:rPr>
                <w:rFonts w:ascii="Times New Roman" w:hAnsi="Times New Roman" w:eastAsia="宋体" w:cs="Times New Roman"/>
                <w:bCs/>
                <w:caps w:val="0"/>
                <w:smallCaps w:val="0"/>
                <w:color w:val="auto"/>
                <w:spacing w:val="0"/>
                <w:szCs w:val="21"/>
                <w:highlight w:val="none"/>
              </w:rPr>
            </w:pPr>
            <w:r>
              <w:rPr>
                <w:rFonts w:hint="eastAsia" w:ascii="Times New Roman" w:hAnsi="Times New Roman" w:eastAsia="宋体" w:cs="Times New Roman"/>
                <w:bCs/>
                <w:caps w:val="0"/>
                <w:smallCaps w:val="0"/>
                <w:color w:val="auto"/>
                <w:spacing w:val="0"/>
                <w:szCs w:val="21"/>
                <w:highlight w:val="none"/>
                <w:lang w:val="en-US" w:eastAsia="zh-CN"/>
              </w:rPr>
              <w:t>本项目与株洲中建材一致</w:t>
            </w:r>
          </w:p>
        </w:tc>
      </w:tr>
      <w:tr w14:paraId="66E580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tcBorders>
              <w:tl2br w:val="nil"/>
              <w:tr2bl w:val="nil"/>
            </w:tcBorders>
          </w:tcPr>
          <w:p w14:paraId="4F13270E">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16E65D01">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3873AD7E">
            <w:pPr>
              <w:pStyle w:val="105"/>
              <w:widowControl w:val="0"/>
              <w:jc w:val="center"/>
              <w:rPr>
                <w:rFonts w:hint="eastAsia" w:ascii="Times New Roman" w:hAnsi="Times New Roman" w:eastAsia="宋体" w:cs="Times New Roman"/>
                <w:bCs/>
                <w:caps w:val="0"/>
                <w:smallCaps w:val="0"/>
                <w:color w:val="auto"/>
                <w:spacing w:val="0"/>
                <w:sz w:val="21"/>
                <w:highlight w:val="none"/>
                <w:lang w:val="en-US" w:eastAsia="zh-CN"/>
              </w:rPr>
            </w:pPr>
            <w:r>
              <w:rPr>
                <w:rFonts w:ascii="Times New Roman" w:hAnsi="Times New Roman" w:cs="Times New Roman"/>
                <w:caps w:val="0"/>
                <w:smallCaps w:val="0"/>
                <w:color w:val="auto"/>
                <w:spacing w:val="0"/>
                <w:sz w:val="21"/>
                <w:szCs w:val="21"/>
                <w:highlight w:val="none"/>
                <w:lang w:eastAsia="en-US"/>
              </w:rPr>
              <w:t>P5激光工序</w:t>
            </w:r>
          </w:p>
        </w:tc>
        <w:tc>
          <w:tcPr>
            <w:tcW w:w="3293" w:type="dxa"/>
            <w:tcBorders>
              <w:tl2br w:val="nil"/>
              <w:tr2bl w:val="nil"/>
            </w:tcBorders>
            <w:vAlign w:val="center"/>
          </w:tcPr>
          <w:p w14:paraId="76558A69">
            <w:pPr>
              <w:ind w:left="0"/>
              <w:jc w:val="center"/>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caps w:val="0"/>
                <w:smallCaps w:val="0"/>
                <w:color w:val="auto"/>
                <w:spacing w:val="0"/>
                <w:kern w:val="0"/>
                <w:sz w:val="21"/>
                <w:szCs w:val="21"/>
                <w:highlight w:val="none"/>
              </w:rPr>
              <w:t>1套</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3073" w:type="dxa"/>
            <w:tcBorders>
              <w:tl2br w:val="nil"/>
              <w:tr2bl w:val="nil"/>
            </w:tcBorders>
            <w:vAlign w:val="center"/>
          </w:tcPr>
          <w:p w14:paraId="403BDD9E">
            <w:pPr>
              <w:pStyle w:val="66"/>
              <w:ind w:left="0"/>
              <w:rPr>
                <w:rFonts w:hint="eastAsia"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w:t>
            </w:r>
          </w:p>
        </w:tc>
        <w:tc>
          <w:tcPr>
            <w:tcW w:w="3134" w:type="dxa"/>
            <w:tcBorders>
              <w:tl2br w:val="nil"/>
              <w:tr2bl w:val="nil"/>
            </w:tcBorders>
            <w:vAlign w:val="center"/>
          </w:tcPr>
          <w:p w14:paraId="5E4F94A4">
            <w:pPr>
              <w:pStyle w:val="66"/>
              <w:ind w:left="0"/>
              <w:jc w:val="center"/>
              <w:rPr>
                <w:rFonts w:hint="eastAsia"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w:t>
            </w:r>
          </w:p>
        </w:tc>
        <w:tc>
          <w:tcPr>
            <w:tcW w:w="2970" w:type="dxa"/>
            <w:vMerge w:val="restart"/>
            <w:tcBorders>
              <w:tl2br w:val="nil"/>
              <w:tr2bl w:val="nil"/>
            </w:tcBorders>
          </w:tcPr>
          <w:p w14:paraId="00F4BC8E">
            <w:pPr>
              <w:pStyle w:val="66"/>
              <w:ind w:left="0"/>
              <w:rPr>
                <w:rFonts w:hint="default"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本项目产品较其他项目新增异型组件和透光组件，因此工艺新增P5和P6激光工序，处理措施与株洲中建材</w:t>
            </w:r>
            <w:r>
              <w:rPr>
                <w:rFonts w:hint="eastAsia" w:ascii="Times New Roman" w:hAnsi="Times New Roman" w:eastAsia="宋体" w:cs="Times New Roman"/>
                <w:bCs/>
                <w:caps w:val="0"/>
                <w:smallCaps w:val="0"/>
                <w:color w:val="auto"/>
                <w:spacing w:val="0"/>
                <w:sz w:val="21"/>
                <w:highlight w:val="none"/>
                <w:lang w:val="en-US" w:eastAsia="zh-CN"/>
              </w:rPr>
              <w:t>P4</w:t>
            </w:r>
            <w:r>
              <w:rPr>
                <w:rFonts w:ascii="Times New Roman" w:hAnsi="Times New Roman" w:eastAsia="宋体" w:cs="Times New Roman"/>
                <w:bCs/>
                <w:caps w:val="0"/>
                <w:smallCaps w:val="0"/>
                <w:color w:val="auto"/>
                <w:spacing w:val="0"/>
                <w:sz w:val="21"/>
                <w:highlight w:val="none"/>
              </w:rPr>
              <w:t>边缘处理</w:t>
            </w:r>
            <w:r>
              <w:rPr>
                <w:rFonts w:hint="eastAsia" w:ascii="Times New Roman" w:hAnsi="Times New Roman" w:eastAsia="宋体" w:cs="Times New Roman"/>
                <w:bCs/>
                <w:caps w:val="0"/>
                <w:smallCaps w:val="0"/>
                <w:color w:val="auto"/>
                <w:spacing w:val="0"/>
                <w:sz w:val="21"/>
                <w:highlight w:val="none"/>
                <w:lang w:val="en-US" w:eastAsia="zh-CN"/>
              </w:rPr>
              <w:t>措施</w:t>
            </w:r>
            <w:r>
              <w:rPr>
                <w:rFonts w:hint="eastAsia" w:ascii="Times New Roman" w:hAnsi="Times New Roman" w:eastAsia="宋体" w:cs="Times New Roman"/>
                <w:bCs/>
                <w:caps w:val="0"/>
                <w:smallCaps w:val="0"/>
                <w:color w:val="auto"/>
                <w:spacing w:val="0"/>
                <w:szCs w:val="21"/>
                <w:highlight w:val="none"/>
                <w:lang w:val="en-US" w:eastAsia="zh-CN"/>
              </w:rPr>
              <w:t>一致</w:t>
            </w:r>
          </w:p>
        </w:tc>
      </w:tr>
      <w:tr w14:paraId="56D9CF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 w:type="dxa"/>
            <w:tcBorders>
              <w:tl2br w:val="nil"/>
              <w:tr2bl w:val="nil"/>
            </w:tcBorders>
          </w:tcPr>
          <w:p w14:paraId="7AADC4D4">
            <w:pPr>
              <w:pStyle w:val="66"/>
              <w:ind w:left="0"/>
              <w:rPr>
                <w:rFonts w:ascii="Times New Roman" w:hAnsi="Times New Roman" w:eastAsia="宋体" w:cs="Times New Roman"/>
                <w:bCs/>
                <w:caps w:val="0"/>
                <w:smallCaps w:val="0"/>
                <w:color w:val="auto"/>
                <w:spacing w:val="0"/>
                <w:szCs w:val="21"/>
                <w:highlight w:val="none"/>
              </w:rPr>
            </w:pPr>
          </w:p>
        </w:tc>
        <w:tc>
          <w:tcPr>
            <w:tcW w:w="415" w:type="dxa"/>
            <w:vMerge w:val="continue"/>
            <w:tcBorders>
              <w:tl2br w:val="nil"/>
              <w:tr2bl w:val="nil"/>
            </w:tcBorders>
            <w:vAlign w:val="center"/>
          </w:tcPr>
          <w:p w14:paraId="0FFB7588">
            <w:pPr>
              <w:pStyle w:val="66"/>
              <w:ind w:left="0"/>
              <w:rPr>
                <w:rFonts w:ascii="Times New Roman" w:hAnsi="Times New Roman" w:eastAsia="宋体" w:cs="Times New Roman"/>
                <w:bCs/>
                <w:caps w:val="0"/>
                <w:smallCaps w:val="0"/>
                <w:color w:val="auto"/>
                <w:spacing w:val="0"/>
                <w:szCs w:val="21"/>
                <w:highlight w:val="none"/>
              </w:rPr>
            </w:pPr>
          </w:p>
        </w:tc>
        <w:tc>
          <w:tcPr>
            <w:tcW w:w="951" w:type="dxa"/>
            <w:tcBorders>
              <w:tl2br w:val="nil"/>
              <w:tr2bl w:val="nil"/>
            </w:tcBorders>
            <w:vAlign w:val="center"/>
          </w:tcPr>
          <w:p w14:paraId="59788A52">
            <w:pPr>
              <w:pStyle w:val="105"/>
              <w:widowControl w:val="0"/>
              <w:jc w:val="center"/>
              <w:rPr>
                <w:rFonts w:hint="eastAsia" w:ascii="Times New Roman" w:hAnsi="Times New Roman" w:eastAsia="宋体" w:cs="Times New Roman"/>
                <w:bCs/>
                <w:caps w:val="0"/>
                <w:smallCaps w:val="0"/>
                <w:color w:val="auto"/>
                <w:spacing w:val="0"/>
                <w:sz w:val="21"/>
                <w:highlight w:val="none"/>
                <w:lang w:val="en-US" w:eastAsia="zh-CN"/>
              </w:rPr>
            </w:pPr>
            <w:r>
              <w:rPr>
                <w:rFonts w:ascii="Times New Roman" w:hAnsi="Times New Roman" w:cs="Times New Roman"/>
                <w:caps w:val="0"/>
                <w:smallCaps w:val="0"/>
                <w:color w:val="auto"/>
                <w:spacing w:val="0"/>
                <w:sz w:val="21"/>
                <w:szCs w:val="21"/>
                <w:highlight w:val="none"/>
                <w:lang w:eastAsia="en-US"/>
              </w:rPr>
              <w:t>P6激光工序</w:t>
            </w:r>
          </w:p>
        </w:tc>
        <w:tc>
          <w:tcPr>
            <w:tcW w:w="3293" w:type="dxa"/>
            <w:tcBorders>
              <w:tl2br w:val="nil"/>
              <w:tr2bl w:val="nil"/>
            </w:tcBorders>
            <w:vAlign w:val="center"/>
          </w:tcPr>
          <w:p w14:paraId="7B1817A2">
            <w:pPr>
              <w:pStyle w:val="66"/>
              <w:ind w:left="0"/>
              <w:jc w:val="center"/>
              <w:rPr>
                <w:rFonts w:ascii="Times New Roman" w:hAnsi="Times New Roman" w:eastAsia="宋体" w:cs="Times New Roman"/>
                <w:bCs/>
                <w:caps w:val="0"/>
                <w:smallCaps w:val="0"/>
                <w:color w:val="auto"/>
                <w:spacing w:val="0"/>
                <w:szCs w:val="21"/>
                <w:highlight w:val="none"/>
              </w:rPr>
            </w:pPr>
            <w:r>
              <w:rPr>
                <w:rFonts w:ascii="Times New Roman" w:hAnsi="Times New Roman" w:eastAsia="宋体" w:cs="Times New Roman"/>
                <w:caps w:val="0"/>
                <w:smallCaps w:val="0"/>
                <w:color w:val="auto"/>
                <w:spacing w:val="0"/>
                <w:kern w:val="0"/>
                <w:sz w:val="21"/>
                <w:szCs w:val="21"/>
                <w:highlight w:val="none"/>
              </w:rPr>
              <w:t>1套</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3073" w:type="dxa"/>
            <w:tcBorders>
              <w:tl2br w:val="nil"/>
              <w:tr2bl w:val="nil"/>
            </w:tcBorders>
            <w:vAlign w:val="center"/>
          </w:tcPr>
          <w:p w14:paraId="4674F418">
            <w:pPr>
              <w:pStyle w:val="66"/>
              <w:ind w:left="0"/>
              <w:rPr>
                <w:rFonts w:hint="eastAsia"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w:t>
            </w:r>
          </w:p>
        </w:tc>
        <w:tc>
          <w:tcPr>
            <w:tcW w:w="3134" w:type="dxa"/>
            <w:tcBorders>
              <w:tl2br w:val="nil"/>
              <w:tr2bl w:val="nil"/>
            </w:tcBorders>
            <w:vAlign w:val="center"/>
          </w:tcPr>
          <w:p w14:paraId="6DB74FAB">
            <w:pPr>
              <w:pStyle w:val="66"/>
              <w:ind w:left="0"/>
              <w:jc w:val="center"/>
              <w:rPr>
                <w:rFonts w:hint="eastAsia" w:ascii="Times New Roman" w:hAnsi="Times New Roman" w:eastAsia="宋体" w:cs="Times New Roman"/>
                <w:bCs/>
                <w:caps w:val="0"/>
                <w:smallCaps w:val="0"/>
                <w:color w:val="auto"/>
                <w:spacing w:val="0"/>
                <w:szCs w:val="21"/>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w:t>
            </w:r>
          </w:p>
        </w:tc>
        <w:tc>
          <w:tcPr>
            <w:tcW w:w="2970" w:type="dxa"/>
            <w:vMerge w:val="continue"/>
            <w:tcBorders>
              <w:tl2br w:val="nil"/>
              <w:tr2bl w:val="nil"/>
            </w:tcBorders>
          </w:tcPr>
          <w:p w14:paraId="2EC09B3B">
            <w:pPr>
              <w:pStyle w:val="66"/>
              <w:ind w:left="0"/>
              <w:rPr>
                <w:rFonts w:ascii="Times New Roman" w:hAnsi="Times New Roman" w:eastAsia="宋体" w:cs="Times New Roman"/>
                <w:bCs/>
                <w:caps w:val="0"/>
                <w:smallCaps w:val="0"/>
                <w:color w:val="auto"/>
                <w:spacing w:val="0"/>
                <w:szCs w:val="21"/>
                <w:highlight w:val="none"/>
              </w:rPr>
            </w:pPr>
          </w:p>
        </w:tc>
      </w:tr>
    </w:tbl>
    <w:p w14:paraId="6CA565E9">
      <w:pPr>
        <w:pStyle w:val="10"/>
        <w:spacing w:line="520" w:lineRule="exact"/>
        <w:ind w:firstLine="562"/>
        <w:rPr>
          <w:bCs/>
          <w:caps w:val="0"/>
          <w:smallCaps w:val="0"/>
          <w:color w:val="auto"/>
          <w:spacing w:val="0"/>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04EB85EA">
      <w:pPr>
        <w:pStyle w:val="10"/>
        <w:spacing w:line="360" w:lineRule="auto"/>
        <w:ind w:firstLine="562"/>
        <w:rPr>
          <w:rFonts w:hint="eastAsia" w:ascii="Times New Roman" w:hAnsi="Times New Roman" w:eastAsia="宋体" w:cs="Times New Roman"/>
          <w:bCs/>
          <w:caps w:val="0"/>
          <w:smallCaps w:val="0"/>
          <w:color w:val="auto"/>
          <w:spacing w:val="0"/>
          <w:highlight w:val="none"/>
        </w:rPr>
      </w:pPr>
      <w:r>
        <w:rPr>
          <w:bCs/>
          <w:caps w:val="0"/>
          <w:smallCaps w:val="0"/>
          <w:color w:val="auto"/>
          <w:spacing w:val="0"/>
          <w:highlight w:val="none"/>
        </w:rPr>
        <w:t>本工程与</w:t>
      </w:r>
      <w:r>
        <w:rPr>
          <w:rFonts w:hint="eastAsia"/>
          <w:bCs/>
          <w:caps w:val="0"/>
          <w:smallCaps w:val="0"/>
          <w:color w:val="auto"/>
          <w:spacing w:val="0"/>
          <w:highlight w:val="none"/>
          <w:lang w:val="en-US" w:eastAsia="zh-CN"/>
        </w:rPr>
        <w:t>瑞昌</w:t>
      </w:r>
      <w:r>
        <w:rPr>
          <w:rFonts w:hint="eastAsia"/>
          <w:bCs/>
          <w:caps w:val="0"/>
          <w:smallCaps w:val="0"/>
          <w:color w:val="auto"/>
          <w:spacing w:val="0"/>
          <w:highlight w:val="none"/>
        </w:rPr>
        <w:t>中建材</w:t>
      </w:r>
      <w:r>
        <w:rPr>
          <w:rFonts w:hint="eastAsia"/>
          <w:bCs/>
          <w:caps w:val="0"/>
          <w:smallCaps w:val="0"/>
          <w:color w:val="auto"/>
          <w:spacing w:val="0"/>
          <w:highlight w:val="none"/>
          <w:lang w:val="en-US" w:eastAsia="zh-CN"/>
        </w:rPr>
        <w:t>和株洲中建材</w:t>
      </w:r>
      <w:r>
        <w:rPr>
          <w:rFonts w:hint="eastAsia"/>
          <w:bCs/>
          <w:caps w:val="0"/>
          <w:smallCaps w:val="0"/>
          <w:color w:val="auto"/>
          <w:spacing w:val="0"/>
          <w:highlight w:val="none"/>
        </w:rPr>
        <w:t>产品均为碲化镉薄膜发电玻璃，采用的工艺和原辅材料相同，所用的环保措施基本一致，因此具有可类比性。</w:t>
      </w:r>
      <w:r>
        <w:rPr>
          <w:rFonts w:ascii="Times New Roman" w:hAnsi="Times New Roman" w:eastAsia="宋体" w:cs="Times New Roman"/>
          <w:bCs/>
          <w:caps w:val="0"/>
          <w:smallCaps w:val="0"/>
          <w:color w:val="auto"/>
          <w:spacing w:val="0"/>
          <w:highlight w:val="none"/>
        </w:rPr>
        <w:t>根据</w:t>
      </w:r>
      <w:r>
        <w:rPr>
          <w:rFonts w:hint="eastAsia" w:ascii="Times New Roman" w:hAnsi="Times New Roman" w:eastAsia="宋体" w:cs="Times New Roman"/>
          <w:bCs/>
          <w:caps w:val="0"/>
          <w:smallCaps w:val="0"/>
          <w:color w:val="auto"/>
          <w:spacing w:val="0"/>
          <w:szCs w:val="21"/>
          <w:highlight w:val="none"/>
        </w:rPr>
        <w:t>瑞昌中建材光电材料有限公司</w:t>
      </w:r>
      <w:r>
        <w:rPr>
          <w:rFonts w:hint="eastAsia" w:ascii="Times New Roman" w:hAnsi="Times New Roman" w:eastAsia="宋体" w:cs="Times New Roman"/>
          <w:bCs/>
          <w:caps w:val="0"/>
          <w:smallCaps w:val="0"/>
          <w:color w:val="auto"/>
          <w:spacing w:val="0"/>
          <w:highlight w:val="none"/>
        </w:rPr>
        <w:t>于2</w:t>
      </w:r>
      <w:r>
        <w:rPr>
          <w:rFonts w:ascii="Times New Roman" w:hAnsi="Times New Roman" w:eastAsia="宋体" w:cs="Times New Roman"/>
          <w:bCs/>
          <w:caps w:val="0"/>
          <w:smallCaps w:val="0"/>
          <w:color w:val="auto"/>
          <w:spacing w:val="0"/>
          <w:highlight w:val="none"/>
        </w:rPr>
        <w:t>0</w:t>
      </w:r>
      <w:r>
        <w:rPr>
          <w:rFonts w:hint="eastAsia" w:ascii="Times New Roman" w:hAnsi="Times New Roman" w:eastAsia="宋体" w:cs="Times New Roman"/>
          <w:bCs/>
          <w:caps w:val="0"/>
          <w:smallCaps w:val="0"/>
          <w:color w:val="auto"/>
          <w:spacing w:val="0"/>
          <w:highlight w:val="none"/>
          <w:lang w:val="en-US" w:eastAsia="zh-CN"/>
        </w:rPr>
        <w:t>24</w:t>
      </w:r>
      <w:r>
        <w:rPr>
          <w:rFonts w:ascii="Times New Roman" w:hAnsi="Times New Roman" w:eastAsia="宋体" w:cs="Times New Roman"/>
          <w:bCs/>
          <w:caps w:val="0"/>
          <w:smallCaps w:val="0"/>
          <w:color w:val="auto"/>
          <w:spacing w:val="0"/>
          <w:highlight w:val="none"/>
        </w:rPr>
        <w:t>年</w:t>
      </w:r>
      <w:r>
        <w:rPr>
          <w:rFonts w:hint="eastAsia" w:ascii="Times New Roman" w:hAnsi="Times New Roman" w:eastAsia="宋体" w:cs="Times New Roman"/>
          <w:bCs/>
          <w:caps w:val="0"/>
          <w:smallCaps w:val="0"/>
          <w:color w:val="auto"/>
          <w:spacing w:val="0"/>
          <w:highlight w:val="none"/>
          <w:lang w:val="en-US" w:eastAsia="zh-CN"/>
        </w:rPr>
        <w:t>3</w:t>
      </w:r>
      <w:r>
        <w:rPr>
          <w:rFonts w:hint="eastAsia" w:ascii="Times New Roman" w:hAnsi="Times New Roman" w:eastAsia="宋体" w:cs="Times New Roman"/>
          <w:bCs/>
          <w:caps w:val="0"/>
          <w:smallCaps w:val="0"/>
          <w:color w:val="auto"/>
          <w:spacing w:val="0"/>
          <w:highlight w:val="none"/>
        </w:rPr>
        <w:t>月</w:t>
      </w:r>
      <w:r>
        <w:rPr>
          <w:rFonts w:hint="eastAsia" w:ascii="Times New Roman" w:hAnsi="Times New Roman" w:eastAsia="宋体" w:cs="Times New Roman"/>
          <w:bCs/>
          <w:caps w:val="0"/>
          <w:smallCaps w:val="0"/>
          <w:color w:val="auto"/>
          <w:spacing w:val="0"/>
          <w:highlight w:val="none"/>
          <w:lang w:val="en-US" w:eastAsia="zh-CN"/>
        </w:rPr>
        <w:t>18</w:t>
      </w:r>
      <w:r>
        <w:rPr>
          <w:rFonts w:ascii="Times New Roman" w:hAnsi="Times New Roman" w:eastAsia="宋体" w:cs="Times New Roman"/>
          <w:bCs/>
          <w:caps w:val="0"/>
          <w:smallCaps w:val="0"/>
          <w:color w:val="auto"/>
          <w:spacing w:val="0"/>
          <w:highlight w:val="none"/>
        </w:rPr>
        <w:t>日</w:t>
      </w:r>
      <w:r>
        <w:rPr>
          <w:rFonts w:hint="eastAsia" w:ascii="Times New Roman" w:hAnsi="Times New Roman" w:eastAsia="宋体" w:cs="Times New Roman"/>
          <w:bCs/>
          <w:caps w:val="0"/>
          <w:smallCaps w:val="0"/>
          <w:color w:val="auto"/>
          <w:spacing w:val="0"/>
          <w:highlight w:val="none"/>
        </w:rPr>
        <w:t>~</w:t>
      </w:r>
      <w:r>
        <w:rPr>
          <w:rFonts w:hint="eastAsia" w:ascii="Times New Roman" w:hAnsi="Times New Roman" w:eastAsia="宋体" w:cs="Times New Roman"/>
          <w:bCs/>
          <w:caps w:val="0"/>
          <w:smallCaps w:val="0"/>
          <w:color w:val="auto"/>
          <w:spacing w:val="0"/>
          <w:highlight w:val="none"/>
          <w:lang w:val="en-US" w:eastAsia="zh-CN"/>
        </w:rPr>
        <w:t>23</w:t>
      </w:r>
      <w:r>
        <w:rPr>
          <w:rFonts w:ascii="Times New Roman" w:hAnsi="Times New Roman" w:eastAsia="宋体" w:cs="Times New Roman"/>
          <w:bCs/>
          <w:caps w:val="0"/>
          <w:smallCaps w:val="0"/>
          <w:color w:val="auto"/>
          <w:spacing w:val="0"/>
          <w:highlight w:val="none"/>
        </w:rPr>
        <w:t>日验收检测数据</w:t>
      </w:r>
      <w:r>
        <w:rPr>
          <w:rFonts w:hint="eastAsia" w:ascii="Times New Roman" w:hAnsi="Times New Roman" w:eastAsia="宋体" w:cs="Times New Roman"/>
          <w:bCs/>
          <w:caps w:val="0"/>
          <w:smallCaps w:val="0"/>
          <w:color w:val="auto"/>
          <w:spacing w:val="0"/>
          <w:highlight w:val="none"/>
        </w:rPr>
        <w:t>，</w:t>
      </w:r>
      <w:r>
        <w:rPr>
          <w:rFonts w:hint="eastAsia" w:ascii="宋体" w:hAnsi="宋体" w:eastAsia="宋体" w:cs="宋体"/>
          <w:color w:val="auto"/>
          <w:kern w:val="0"/>
          <w:sz w:val="24"/>
          <w:szCs w:val="24"/>
          <w:highlight w:val="none"/>
          <w:lang w:val="en-US" w:eastAsia="zh-CN" w:bidi="ar"/>
        </w:rPr>
        <w:t>验收期间生产工况达到</w:t>
      </w:r>
      <w:r>
        <w:rPr>
          <w:rFonts w:hint="default" w:ascii="Times New Roman" w:hAnsi="Times New Roman" w:eastAsia="宋体" w:cs="Times New Roman"/>
          <w:color w:val="auto"/>
          <w:kern w:val="0"/>
          <w:sz w:val="24"/>
          <w:szCs w:val="24"/>
          <w:highlight w:val="none"/>
          <w:lang w:val="en-US" w:eastAsia="zh-CN" w:bidi="ar"/>
        </w:rPr>
        <w:t>75.6%~97.5%</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bCs/>
          <w:caps w:val="0"/>
          <w:smallCaps w:val="0"/>
          <w:color w:val="auto"/>
          <w:spacing w:val="0"/>
          <w:szCs w:val="21"/>
          <w:highlight w:val="none"/>
          <w:lang w:val="en-US" w:eastAsia="zh-CN"/>
        </w:rPr>
        <w:t>中建材（株洲）光电材料有限公司</w:t>
      </w:r>
      <w:r>
        <w:rPr>
          <w:rFonts w:hint="eastAsia" w:ascii="Times New Roman" w:hAnsi="Times New Roman" w:eastAsia="宋体" w:cs="Times New Roman"/>
          <w:bCs/>
          <w:caps w:val="0"/>
          <w:smallCaps w:val="0"/>
          <w:color w:val="auto"/>
          <w:spacing w:val="0"/>
          <w:highlight w:val="none"/>
        </w:rPr>
        <w:t>于2</w:t>
      </w:r>
      <w:r>
        <w:rPr>
          <w:rFonts w:ascii="Times New Roman" w:hAnsi="Times New Roman" w:eastAsia="宋体" w:cs="Times New Roman"/>
          <w:bCs/>
          <w:caps w:val="0"/>
          <w:smallCaps w:val="0"/>
          <w:color w:val="auto"/>
          <w:spacing w:val="0"/>
          <w:highlight w:val="none"/>
        </w:rPr>
        <w:t>0</w:t>
      </w:r>
      <w:r>
        <w:rPr>
          <w:rFonts w:hint="eastAsia" w:ascii="Times New Roman" w:hAnsi="Times New Roman" w:eastAsia="宋体" w:cs="Times New Roman"/>
          <w:bCs/>
          <w:caps w:val="0"/>
          <w:smallCaps w:val="0"/>
          <w:color w:val="auto"/>
          <w:spacing w:val="0"/>
          <w:highlight w:val="none"/>
          <w:lang w:val="en-US" w:eastAsia="zh-CN"/>
        </w:rPr>
        <w:t>2</w:t>
      </w:r>
      <w:r>
        <w:rPr>
          <w:rFonts w:hint="eastAsia" w:cs="Times New Roman"/>
          <w:bCs/>
          <w:caps w:val="0"/>
          <w:smallCaps w:val="0"/>
          <w:color w:val="auto"/>
          <w:spacing w:val="0"/>
          <w:highlight w:val="none"/>
          <w:lang w:val="en-US" w:eastAsia="zh-CN"/>
        </w:rPr>
        <w:t>5</w:t>
      </w:r>
      <w:r>
        <w:rPr>
          <w:rFonts w:ascii="Times New Roman" w:hAnsi="Times New Roman" w:eastAsia="宋体" w:cs="Times New Roman"/>
          <w:bCs/>
          <w:caps w:val="0"/>
          <w:smallCaps w:val="0"/>
          <w:color w:val="auto"/>
          <w:spacing w:val="0"/>
          <w:highlight w:val="none"/>
        </w:rPr>
        <w:t>年</w:t>
      </w:r>
      <w:r>
        <w:rPr>
          <w:rFonts w:hint="eastAsia" w:cs="Times New Roman"/>
          <w:bCs/>
          <w:caps w:val="0"/>
          <w:smallCaps w:val="0"/>
          <w:color w:val="auto"/>
          <w:spacing w:val="0"/>
          <w:highlight w:val="none"/>
          <w:lang w:val="en-US" w:eastAsia="zh-CN"/>
        </w:rPr>
        <w:t>4</w:t>
      </w:r>
      <w:r>
        <w:rPr>
          <w:rFonts w:hint="eastAsia" w:ascii="Times New Roman" w:hAnsi="Times New Roman" w:eastAsia="宋体" w:cs="Times New Roman"/>
          <w:bCs/>
          <w:caps w:val="0"/>
          <w:smallCaps w:val="0"/>
          <w:color w:val="auto"/>
          <w:spacing w:val="0"/>
          <w:highlight w:val="none"/>
        </w:rPr>
        <w:t>月</w:t>
      </w:r>
      <w:r>
        <w:rPr>
          <w:rFonts w:hint="eastAsia" w:cs="Times New Roman"/>
          <w:bCs/>
          <w:caps w:val="0"/>
          <w:smallCaps w:val="0"/>
          <w:color w:val="auto"/>
          <w:spacing w:val="0"/>
          <w:highlight w:val="none"/>
          <w:lang w:val="en-US" w:eastAsia="zh-CN"/>
        </w:rPr>
        <w:t>9</w:t>
      </w:r>
      <w:r>
        <w:rPr>
          <w:rFonts w:ascii="Times New Roman" w:hAnsi="Times New Roman" w:eastAsia="宋体" w:cs="Times New Roman"/>
          <w:bCs/>
          <w:caps w:val="0"/>
          <w:smallCaps w:val="0"/>
          <w:color w:val="auto"/>
          <w:spacing w:val="0"/>
          <w:highlight w:val="none"/>
        </w:rPr>
        <w:t>日</w:t>
      </w:r>
      <w:r>
        <w:rPr>
          <w:rFonts w:hint="eastAsia" w:ascii="Times New Roman" w:hAnsi="Times New Roman" w:eastAsia="宋体" w:cs="Times New Roman"/>
          <w:bCs/>
          <w:caps w:val="0"/>
          <w:smallCaps w:val="0"/>
          <w:color w:val="auto"/>
          <w:spacing w:val="0"/>
          <w:highlight w:val="none"/>
        </w:rPr>
        <w:t>~</w:t>
      </w:r>
      <w:r>
        <w:rPr>
          <w:rFonts w:hint="eastAsia" w:cs="Times New Roman"/>
          <w:bCs/>
          <w:caps w:val="0"/>
          <w:smallCaps w:val="0"/>
          <w:color w:val="auto"/>
          <w:spacing w:val="0"/>
          <w:highlight w:val="none"/>
          <w:lang w:val="en-US" w:eastAsia="zh-CN"/>
        </w:rPr>
        <w:t>12</w:t>
      </w:r>
      <w:r>
        <w:rPr>
          <w:rFonts w:ascii="Times New Roman" w:hAnsi="Times New Roman" w:eastAsia="宋体" w:cs="Times New Roman"/>
          <w:bCs/>
          <w:caps w:val="0"/>
          <w:smallCaps w:val="0"/>
          <w:color w:val="auto"/>
          <w:spacing w:val="0"/>
          <w:highlight w:val="none"/>
        </w:rPr>
        <w:t>日验收检测数据</w:t>
      </w:r>
      <w:r>
        <w:rPr>
          <w:rFonts w:hint="eastAsia" w:ascii="Times New Roman" w:hAnsi="Times New Roman" w:eastAsia="宋体" w:cs="Times New Roman"/>
          <w:bCs/>
          <w:caps w:val="0"/>
          <w:smallCaps w:val="0"/>
          <w:color w:val="auto"/>
          <w:spacing w:val="0"/>
          <w:highlight w:val="none"/>
        </w:rPr>
        <w:t>，验收期间生产工况为</w:t>
      </w:r>
      <w:r>
        <w:rPr>
          <w:rFonts w:hint="eastAsia" w:ascii="Times New Roman" w:hAnsi="Times New Roman" w:cs="Times New Roman"/>
          <w:b w:val="0"/>
          <w:bCs w:val="0"/>
          <w:color w:val="auto"/>
          <w:sz w:val="21"/>
          <w:szCs w:val="21"/>
          <w:highlight w:val="none"/>
          <w:u w:val="none" w:color="auto"/>
          <w:vertAlign w:val="baseline"/>
          <w:lang w:val="en-US" w:eastAsia="zh-CN"/>
        </w:rPr>
        <w:t>92.4</w:t>
      </w:r>
      <w:r>
        <w:rPr>
          <w:rFonts w:hint="default" w:ascii="Times New Roman" w:hAnsi="Times New Roman" w:cs="Times New Roman"/>
          <w:b w:val="0"/>
          <w:bCs w:val="0"/>
          <w:color w:val="auto"/>
          <w:sz w:val="21"/>
          <w:szCs w:val="21"/>
          <w:highlight w:val="none"/>
          <w:u w:val="none" w:color="auto"/>
          <w:vertAlign w:val="baseline"/>
          <w:lang w:val="en-US" w:eastAsia="zh-CN"/>
        </w:rPr>
        <w:t>%</w:t>
      </w:r>
      <w:r>
        <w:rPr>
          <w:rFonts w:hint="eastAsia" w:ascii="Times New Roman" w:hAnsi="Times New Roman" w:eastAsia="宋体" w:cs="Times New Roman"/>
          <w:bCs/>
          <w:caps w:val="0"/>
          <w:smallCaps w:val="0"/>
          <w:color w:val="auto"/>
          <w:spacing w:val="0"/>
          <w:highlight w:val="none"/>
        </w:rPr>
        <w:t>~</w:t>
      </w:r>
      <w:r>
        <w:rPr>
          <w:rFonts w:hint="eastAsia" w:cs="Times New Roman"/>
          <w:bCs/>
          <w:caps w:val="0"/>
          <w:smallCaps w:val="0"/>
          <w:color w:val="auto"/>
          <w:spacing w:val="0"/>
          <w:highlight w:val="none"/>
          <w:lang w:val="en-US" w:eastAsia="zh-CN"/>
        </w:rPr>
        <w:t>96.8</w:t>
      </w:r>
      <w:r>
        <w:rPr>
          <w:rFonts w:hint="eastAsia" w:ascii="Times New Roman" w:hAnsi="Times New Roman" w:eastAsia="宋体" w:cs="Times New Roman"/>
          <w:bCs/>
          <w:caps w:val="0"/>
          <w:smallCaps w:val="0"/>
          <w:color w:val="auto"/>
          <w:spacing w:val="0"/>
          <w:highlight w:val="none"/>
        </w:rPr>
        <w:t>%。验收检测结果见下表。</w:t>
      </w:r>
    </w:p>
    <w:p w14:paraId="6CA8CEF9">
      <w:pPr>
        <w:pStyle w:val="66"/>
        <w:ind w:left="480"/>
        <w:rPr>
          <w:rFonts w:ascii="Times New Roman" w:hAnsi="Times New Roman" w:eastAsia="宋体" w:cs="Times New Roman"/>
          <w:b/>
          <w:bCs/>
          <w:caps w:val="0"/>
          <w:smallCaps w:val="0"/>
          <w:color w:val="auto"/>
          <w:spacing w:val="0"/>
          <w:sz w:val="24"/>
          <w:szCs w:val="24"/>
          <w:highlight w:val="none"/>
        </w:rPr>
      </w:pPr>
      <w:r>
        <w:rPr>
          <w:rFonts w:hint="eastAsia" w:ascii="Times New Roman" w:hAnsi="Times New Roman" w:eastAsia="宋体" w:cs="Times New Roman"/>
          <w:b/>
          <w:bCs/>
          <w:caps w:val="0"/>
          <w:smallCaps w:val="0"/>
          <w:color w:val="auto"/>
          <w:spacing w:val="0"/>
          <w:sz w:val="24"/>
          <w:szCs w:val="24"/>
          <w:highlight w:val="none"/>
          <w:lang w:val="en-US" w:eastAsia="zh-CN"/>
        </w:rPr>
        <w:t>表3.8-2瑞昌</w:t>
      </w:r>
      <w:r>
        <w:rPr>
          <w:rFonts w:hint="eastAsia" w:ascii="Times New Roman" w:hAnsi="Times New Roman" w:eastAsia="宋体" w:cs="Times New Roman"/>
          <w:b/>
          <w:bCs/>
          <w:caps w:val="0"/>
          <w:smallCaps w:val="0"/>
          <w:color w:val="auto"/>
          <w:spacing w:val="0"/>
          <w:sz w:val="24"/>
          <w:szCs w:val="24"/>
          <w:highlight w:val="none"/>
          <w:lang w:eastAsia="zh-CN"/>
        </w:rPr>
        <w:t>碲化镉验收结果一览表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495"/>
        <w:gridCol w:w="1875"/>
        <w:gridCol w:w="2623"/>
        <w:gridCol w:w="2631"/>
      </w:tblGrid>
      <w:tr w14:paraId="78099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restart"/>
            <w:tcBorders>
              <w:tl2br w:val="nil"/>
              <w:tr2bl w:val="nil"/>
            </w:tcBorders>
            <w:noWrap w:val="0"/>
            <w:vAlign w:val="center"/>
          </w:tcPr>
          <w:p w14:paraId="0A7D8B39">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类别</w:t>
            </w:r>
          </w:p>
        </w:tc>
        <w:tc>
          <w:tcPr>
            <w:tcW w:w="1440" w:type="dxa"/>
            <w:vMerge w:val="restart"/>
            <w:tcBorders>
              <w:tl2br w:val="nil"/>
              <w:tr2bl w:val="nil"/>
            </w:tcBorders>
            <w:noWrap w:val="0"/>
            <w:vAlign w:val="center"/>
          </w:tcPr>
          <w:p w14:paraId="78B42866">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污染源</w:t>
            </w:r>
          </w:p>
        </w:tc>
        <w:tc>
          <w:tcPr>
            <w:tcW w:w="1807" w:type="dxa"/>
            <w:vMerge w:val="restart"/>
            <w:tcBorders>
              <w:tl2br w:val="nil"/>
              <w:tr2bl w:val="nil"/>
            </w:tcBorders>
            <w:noWrap w:val="0"/>
            <w:vAlign w:val="center"/>
          </w:tcPr>
          <w:p w14:paraId="36F1B917">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监测项目</w:t>
            </w:r>
          </w:p>
        </w:tc>
        <w:tc>
          <w:tcPr>
            <w:tcW w:w="5062" w:type="dxa"/>
            <w:gridSpan w:val="2"/>
            <w:tcBorders>
              <w:tl2br w:val="nil"/>
              <w:tr2bl w:val="nil"/>
            </w:tcBorders>
            <w:noWrap w:val="0"/>
            <w:vAlign w:val="center"/>
          </w:tcPr>
          <w:p w14:paraId="0A142F96">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验收监测结果</w:t>
            </w:r>
          </w:p>
        </w:tc>
      </w:tr>
      <w:tr w14:paraId="7A89C3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5DA90BF8">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440" w:type="dxa"/>
            <w:vMerge w:val="continue"/>
            <w:tcBorders>
              <w:tl2br w:val="nil"/>
              <w:tr2bl w:val="nil"/>
            </w:tcBorders>
            <w:noWrap w:val="0"/>
            <w:vAlign w:val="center"/>
          </w:tcPr>
          <w:p w14:paraId="178AEDA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807" w:type="dxa"/>
            <w:vMerge w:val="continue"/>
            <w:tcBorders>
              <w:tl2br w:val="nil"/>
              <w:tr2bl w:val="nil"/>
            </w:tcBorders>
            <w:noWrap w:val="0"/>
            <w:vAlign w:val="center"/>
          </w:tcPr>
          <w:p w14:paraId="15AE2BA6">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527" w:type="dxa"/>
            <w:tcBorders>
              <w:tl2br w:val="nil"/>
              <w:tr2bl w:val="nil"/>
            </w:tcBorders>
            <w:noWrap w:val="0"/>
            <w:vAlign w:val="center"/>
          </w:tcPr>
          <w:p w14:paraId="5490DC01">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排放浓度</w:t>
            </w:r>
            <w:r>
              <w:rPr>
                <w:rFonts w:hint="default" w:ascii="Times New Roman" w:hAnsi="Times New Roman" w:eastAsia="宋体" w:cs="Times New Roman"/>
                <w:b w:val="0"/>
                <w:bCs/>
                <w:smallCaps w:val="0"/>
                <w:color w:val="auto"/>
                <w:sz w:val="21"/>
                <w:szCs w:val="21"/>
                <w:highlight w:val="none"/>
                <w:u w:val="none"/>
                <w:lang w:eastAsia="zh-CN"/>
              </w:rPr>
              <w:t>（mg/m</w:t>
            </w:r>
            <w:r>
              <w:rPr>
                <w:rFonts w:hint="default" w:ascii="Times New Roman" w:hAnsi="Times New Roman" w:eastAsia="宋体" w:cs="Times New Roman"/>
                <w:b w:val="0"/>
                <w:bCs/>
                <w:smallCaps w:val="0"/>
                <w:color w:val="auto"/>
                <w:sz w:val="21"/>
                <w:szCs w:val="21"/>
                <w:highlight w:val="none"/>
                <w:u w:val="none"/>
                <w:vertAlign w:val="superscript"/>
                <w:lang w:eastAsia="zh-CN"/>
              </w:rPr>
              <w:t>3</w:t>
            </w:r>
            <w:r>
              <w:rPr>
                <w:rFonts w:hint="default" w:ascii="Times New Roman" w:hAnsi="Times New Roman" w:eastAsia="宋体" w:cs="Times New Roman"/>
                <w:b w:val="0"/>
                <w:bCs/>
                <w:smallCaps w:val="0"/>
                <w:color w:val="auto"/>
                <w:sz w:val="21"/>
                <w:szCs w:val="21"/>
                <w:highlight w:val="none"/>
                <w:u w:val="none"/>
                <w:lang w:eastAsia="zh-CN"/>
              </w:rPr>
              <w:t>）</w:t>
            </w:r>
          </w:p>
        </w:tc>
        <w:tc>
          <w:tcPr>
            <w:tcW w:w="2535" w:type="dxa"/>
            <w:tcBorders>
              <w:tl2br w:val="nil"/>
              <w:tr2bl w:val="nil"/>
            </w:tcBorders>
            <w:noWrap w:val="0"/>
            <w:vAlign w:val="center"/>
          </w:tcPr>
          <w:p w14:paraId="0D90C4A2">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排放速率</w:t>
            </w:r>
            <w:r>
              <w:rPr>
                <w:rFonts w:hint="default" w:ascii="Times New Roman" w:hAnsi="Times New Roman" w:eastAsia="宋体" w:cs="Times New Roman"/>
                <w:b w:val="0"/>
                <w:bCs/>
                <w:smallCaps w:val="0"/>
                <w:color w:val="auto"/>
                <w:sz w:val="21"/>
                <w:szCs w:val="21"/>
                <w:highlight w:val="none"/>
                <w:u w:val="none"/>
                <w:lang w:eastAsia="zh-CN"/>
              </w:rPr>
              <w:t>（kg/h）</w:t>
            </w:r>
          </w:p>
        </w:tc>
      </w:tr>
      <w:tr w14:paraId="5F65DF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restart"/>
            <w:tcBorders>
              <w:tl2br w:val="nil"/>
              <w:tr2bl w:val="nil"/>
            </w:tcBorders>
            <w:noWrap w:val="0"/>
            <w:vAlign w:val="center"/>
          </w:tcPr>
          <w:p w14:paraId="6AF6F6AA">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废气</w:t>
            </w:r>
          </w:p>
        </w:tc>
        <w:tc>
          <w:tcPr>
            <w:tcW w:w="1440" w:type="dxa"/>
            <w:vMerge w:val="restart"/>
            <w:tcBorders>
              <w:tl2br w:val="nil"/>
              <w:tr2bl w:val="nil"/>
            </w:tcBorders>
            <w:noWrap w:val="0"/>
            <w:vAlign w:val="center"/>
          </w:tcPr>
          <w:p w14:paraId="60B37CDE">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CSS镀膜废气</w:t>
            </w:r>
          </w:p>
        </w:tc>
        <w:tc>
          <w:tcPr>
            <w:tcW w:w="1807" w:type="dxa"/>
            <w:tcBorders>
              <w:tl2br w:val="nil"/>
              <w:tr2bl w:val="nil"/>
            </w:tcBorders>
            <w:noWrap w:val="0"/>
            <w:vAlign w:val="center"/>
          </w:tcPr>
          <w:p w14:paraId="692BAB88">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2527" w:type="dxa"/>
            <w:tcBorders>
              <w:tl2br w:val="nil"/>
              <w:tr2bl w:val="nil"/>
            </w:tcBorders>
            <w:noWrap w:val="0"/>
            <w:vAlign w:val="center"/>
          </w:tcPr>
          <w:p w14:paraId="44E4311F">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3.2-4.6</w:t>
            </w:r>
          </w:p>
        </w:tc>
        <w:tc>
          <w:tcPr>
            <w:tcW w:w="2535" w:type="dxa"/>
            <w:tcBorders>
              <w:tl2br w:val="nil"/>
              <w:tr2bl w:val="nil"/>
            </w:tcBorders>
            <w:noWrap w:val="0"/>
            <w:vAlign w:val="center"/>
          </w:tcPr>
          <w:p w14:paraId="6479DC45">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eastAsia" w:ascii="Times New Roman" w:hAnsi="Times New Roman" w:eastAsia="宋体" w:cs="Times New Roman"/>
                <w:b w:val="0"/>
                <w:bCs/>
                <w:smallCaps w:val="0"/>
                <w:color w:val="auto"/>
                <w:kern w:val="0"/>
                <w:sz w:val="21"/>
                <w:szCs w:val="21"/>
                <w:highlight w:val="none"/>
                <w:u w:val="none"/>
                <w:lang w:val="en-US" w:eastAsia="zh-CN"/>
              </w:rPr>
              <w:t>4.74</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7.38</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p>
        </w:tc>
      </w:tr>
      <w:tr w14:paraId="2A4A82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424ED174">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440" w:type="dxa"/>
            <w:vMerge w:val="continue"/>
            <w:tcBorders>
              <w:tl2br w:val="nil"/>
              <w:tr2bl w:val="nil"/>
            </w:tcBorders>
            <w:noWrap w:val="0"/>
            <w:vAlign w:val="center"/>
          </w:tcPr>
          <w:p w14:paraId="08E2B7E1">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807" w:type="dxa"/>
            <w:tcBorders>
              <w:tl2br w:val="nil"/>
              <w:tr2bl w:val="nil"/>
            </w:tcBorders>
            <w:noWrap w:val="0"/>
            <w:vAlign w:val="center"/>
          </w:tcPr>
          <w:p w14:paraId="7CB64268">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镉及其化合物</w:t>
            </w:r>
          </w:p>
        </w:tc>
        <w:tc>
          <w:tcPr>
            <w:tcW w:w="2527" w:type="dxa"/>
            <w:tcBorders>
              <w:tl2br w:val="nil"/>
              <w:tr2bl w:val="nil"/>
            </w:tcBorders>
            <w:noWrap w:val="0"/>
            <w:vAlign w:val="center"/>
          </w:tcPr>
          <w:p w14:paraId="72BE98E9">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default" w:ascii="Times New Roman" w:hAnsi="Times New Roman" w:eastAsia="宋体" w:cs="Times New Roman"/>
                <w:b w:val="0"/>
                <w:bCs/>
                <w:smallCaps w:val="0"/>
                <w:color w:val="auto"/>
                <w:kern w:val="0"/>
                <w:sz w:val="21"/>
                <w:szCs w:val="21"/>
                <w:highlight w:val="none"/>
                <w:u w:val="none"/>
              </w:rPr>
              <w:t>未检出</w:t>
            </w:r>
            <w:r>
              <w:rPr>
                <w:rFonts w:hint="eastAsia" w:ascii="Times New Roman" w:hAnsi="Times New Roman" w:eastAsia="宋体" w:cs="Times New Roman"/>
                <w:b w:val="0"/>
                <w:bCs/>
                <w:smallCaps w:val="0"/>
                <w:color w:val="auto"/>
                <w:kern w:val="0"/>
                <w:sz w:val="21"/>
                <w:szCs w:val="21"/>
                <w:highlight w:val="none"/>
                <w:u w:val="none"/>
                <w:lang w:eastAsia="zh-CN"/>
              </w:rPr>
              <w:t>（</w:t>
            </w:r>
            <w:r>
              <w:rPr>
                <w:rFonts w:hint="eastAsia" w:ascii="Times New Roman" w:hAnsi="Times New Roman" w:eastAsia="宋体" w:cs="Times New Roman"/>
                <w:b w:val="0"/>
                <w:bCs/>
                <w:smallCaps w:val="0"/>
                <w:color w:val="auto"/>
                <w:kern w:val="0"/>
                <w:sz w:val="21"/>
                <w:szCs w:val="21"/>
                <w:highlight w:val="none"/>
                <w:u w:val="none"/>
                <w:lang w:val="en-US" w:eastAsia="zh-CN"/>
              </w:rPr>
              <w:t>3.0</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6</w:t>
            </w:r>
            <w:r>
              <w:rPr>
                <w:rFonts w:hint="eastAsia" w:ascii="Times New Roman" w:hAnsi="Times New Roman" w:eastAsia="宋体" w:cs="Times New Roman"/>
                <w:b w:val="0"/>
                <w:bCs/>
                <w:smallCaps w:val="0"/>
                <w:color w:val="auto"/>
                <w:kern w:val="0"/>
                <w:sz w:val="21"/>
                <w:szCs w:val="21"/>
                <w:highlight w:val="none"/>
                <w:u w:val="none"/>
                <w:lang w:eastAsia="zh-CN"/>
              </w:rPr>
              <w:t>）</w:t>
            </w:r>
          </w:p>
        </w:tc>
        <w:tc>
          <w:tcPr>
            <w:tcW w:w="2535" w:type="dxa"/>
            <w:tcBorders>
              <w:tl2br w:val="nil"/>
              <w:tr2bl w:val="nil"/>
            </w:tcBorders>
            <w:noWrap w:val="0"/>
            <w:vAlign w:val="center"/>
          </w:tcPr>
          <w:p w14:paraId="2A370688">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default" w:ascii="Times New Roman" w:hAnsi="Times New Roman" w:eastAsia="宋体" w:cs="Times New Roman"/>
                <w:b w:val="0"/>
                <w:bCs/>
                <w:smallCaps w:val="0"/>
                <w:color w:val="auto"/>
                <w:kern w:val="0"/>
                <w:sz w:val="21"/>
                <w:szCs w:val="21"/>
                <w:highlight w:val="none"/>
                <w:u w:val="none"/>
              </w:rPr>
              <w:t>未检出</w:t>
            </w:r>
          </w:p>
        </w:tc>
      </w:tr>
      <w:tr w14:paraId="0E039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272F777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440" w:type="dxa"/>
            <w:vMerge w:val="restart"/>
            <w:tcBorders>
              <w:tl2br w:val="nil"/>
              <w:tr2bl w:val="nil"/>
            </w:tcBorders>
            <w:noWrap w:val="0"/>
            <w:vAlign w:val="center"/>
          </w:tcPr>
          <w:p w14:paraId="2A5ADCBA">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活化层退火废气、</w:t>
            </w:r>
            <w:r>
              <w:rPr>
                <w:rFonts w:hint="eastAsia" w:ascii="Times New Roman" w:hAnsi="Times New Roman" w:eastAsia="宋体" w:cs="Times New Roman"/>
                <w:b w:val="0"/>
                <w:bCs/>
                <w:smallCaps w:val="0"/>
                <w:color w:val="auto"/>
                <w:sz w:val="21"/>
                <w:szCs w:val="21"/>
                <w:highlight w:val="none"/>
                <w:u w:val="none"/>
                <w:lang w:val="en-US" w:eastAsia="zh-CN"/>
              </w:rPr>
              <w:t>P1、P2</w:t>
            </w:r>
            <w:r>
              <w:rPr>
                <w:rFonts w:hint="default" w:ascii="Times New Roman" w:hAnsi="Times New Roman" w:eastAsia="宋体" w:cs="Times New Roman"/>
                <w:b w:val="0"/>
                <w:bCs/>
                <w:smallCaps w:val="0"/>
                <w:color w:val="auto"/>
                <w:sz w:val="21"/>
                <w:szCs w:val="21"/>
                <w:highlight w:val="none"/>
                <w:u w:val="none"/>
              </w:rPr>
              <w:t>激光</w:t>
            </w:r>
            <w:r>
              <w:rPr>
                <w:rFonts w:hint="eastAsia" w:ascii="Times New Roman" w:hAnsi="Times New Roman" w:eastAsia="宋体" w:cs="Times New Roman"/>
                <w:b w:val="0"/>
                <w:bCs/>
                <w:smallCaps w:val="0"/>
                <w:color w:val="auto"/>
                <w:sz w:val="21"/>
                <w:szCs w:val="21"/>
                <w:highlight w:val="none"/>
                <w:u w:val="none"/>
                <w:lang w:val="en-US" w:eastAsia="zh-CN"/>
              </w:rPr>
              <w:t>刻线</w:t>
            </w:r>
            <w:r>
              <w:rPr>
                <w:rFonts w:hint="default" w:ascii="Times New Roman" w:hAnsi="Times New Roman" w:eastAsia="宋体" w:cs="Times New Roman"/>
                <w:b w:val="0"/>
                <w:bCs/>
                <w:smallCaps w:val="0"/>
                <w:color w:val="auto"/>
                <w:sz w:val="21"/>
                <w:szCs w:val="21"/>
                <w:highlight w:val="none"/>
                <w:u w:val="none"/>
              </w:rPr>
              <w:t>废气</w:t>
            </w:r>
          </w:p>
        </w:tc>
        <w:tc>
          <w:tcPr>
            <w:tcW w:w="1807" w:type="dxa"/>
            <w:tcBorders>
              <w:tl2br w:val="nil"/>
              <w:tr2bl w:val="nil"/>
            </w:tcBorders>
            <w:noWrap w:val="0"/>
            <w:vAlign w:val="center"/>
          </w:tcPr>
          <w:p w14:paraId="49F85C26">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2527" w:type="dxa"/>
            <w:tcBorders>
              <w:tl2br w:val="nil"/>
              <w:tr2bl w:val="nil"/>
            </w:tcBorders>
            <w:noWrap w:val="0"/>
            <w:vAlign w:val="center"/>
          </w:tcPr>
          <w:p w14:paraId="3ADB6748">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3.0-4.8</w:t>
            </w:r>
          </w:p>
        </w:tc>
        <w:tc>
          <w:tcPr>
            <w:tcW w:w="2535" w:type="dxa"/>
            <w:tcBorders>
              <w:tl2br w:val="nil"/>
              <w:tr2bl w:val="nil"/>
            </w:tcBorders>
            <w:noWrap w:val="0"/>
            <w:vAlign w:val="center"/>
          </w:tcPr>
          <w:p w14:paraId="770EBA50">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5.35</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8.78</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p>
        </w:tc>
      </w:tr>
      <w:tr w14:paraId="19D25B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3B8061EA">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440" w:type="dxa"/>
            <w:vMerge w:val="continue"/>
            <w:tcBorders>
              <w:tl2br w:val="nil"/>
              <w:tr2bl w:val="nil"/>
            </w:tcBorders>
            <w:noWrap w:val="0"/>
            <w:vAlign w:val="center"/>
          </w:tcPr>
          <w:p w14:paraId="0F8E3A58">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1807" w:type="dxa"/>
            <w:tcBorders>
              <w:tl2br w:val="nil"/>
              <w:tr2bl w:val="nil"/>
            </w:tcBorders>
            <w:noWrap w:val="0"/>
            <w:vAlign w:val="center"/>
          </w:tcPr>
          <w:p w14:paraId="5C1037AF">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镉及其化合物</w:t>
            </w:r>
          </w:p>
        </w:tc>
        <w:tc>
          <w:tcPr>
            <w:tcW w:w="2527" w:type="dxa"/>
            <w:tcBorders>
              <w:tl2br w:val="nil"/>
              <w:tr2bl w:val="nil"/>
            </w:tcBorders>
            <w:noWrap w:val="0"/>
            <w:vAlign w:val="center"/>
          </w:tcPr>
          <w:p w14:paraId="2504FBE8">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Times New Roman"/>
                <w:b w:val="0"/>
                <w:bCs/>
                <w:smallCaps w:val="0"/>
                <w:color w:val="auto"/>
                <w:sz w:val="21"/>
                <w:szCs w:val="21"/>
                <w:highlight w:val="none"/>
                <w:u w:val="none"/>
                <w:lang w:val="en-US" w:eastAsia="zh-CN"/>
              </w:rPr>
            </w:pPr>
            <w:r>
              <w:rPr>
                <w:rFonts w:hint="default" w:ascii="Times New Roman" w:hAnsi="Times New Roman" w:eastAsia="宋体" w:cs="Times New Roman"/>
                <w:b w:val="0"/>
                <w:bCs/>
                <w:smallCaps w:val="0"/>
                <w:snapToGrid/>
                <w:color w:val="auto"/>
                <w:kern w:val="0"/>
                <w:sz w:val="21"/>
                <w:szCs w:val="21"/>
                <w:highlight w:val="none"/>
                <w:u w:val="none"/>
                <w:lang w:val="en-US" w:eastAsia="zh-CN"/>
              </w:rPr>
              <w:t>未检出</w:t>
            </w:r>
            <w:r>
              <w:rPr>
                <w:rFonts w:hint="default" w:ascii="Times New Roman" w:hAnsi="Times New Roman" w:eastAsia="宋体" w:cs="Times New Roman"/>
                <w:b w:val="0"/>
                <w:bCs/>
                <w:smallCaps w:val="0"/>
                <w:color w:val="auto"/>
                <w:kern w:val="0"/>
                <w:sz w:val="21"/>
                <w:szCs w:val="21"/>
                <w:highlight w:val="none"/>
                <w:u w:val="none"/>
                <w:lang w:eastAsia="zh-CN"/>
              </w:rPr>
              <w:t>~</w:t>
            </w:r>
            <w:r>
              <w:rPr>
                <w:rFonts w:hint="eastAsia" w:ascii="Times New Roman" w:hAnsi="Times New Roman" w:eastAsia="宋体" w:cs="Times New Roman"/>
                <w:b w:val="0"/>
                <w:bCs/>
                <w:smallCaps w:val="0"/>
                <w:color w:val="auto"/>
                <w:kern w:val="0"/>
                <w:sz w:val="21"/>
                <w:szCs w:val="21"/>
                <w:highlight w:val="none"/>
                <w:u w:val="none"/>
                <w:lang w:val="en-US" w:eastAsia="zh-CN"/>
              </w:rPr>
              <w:t>3.2</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4</w:t>
            </w:r>
          </w:p>
        </w:tc>
        <w:tc>
          <w:tcPr>
            <w:tcW w:w="2535" w:type="dxa"/>
            <w:tcBorders>
              <w:tl2br w:val="nil"/>
              <w:tr2bl w:val="nil"/>
            </w:tcBorders>
            <w:noWrap w:val="0"/>
            <w:vAlign w:val="center"/>
          </w:tcPr>
          <w:p w14:paraId="5C3D9023">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val="en-US" w:eastAsia="zh-CN"/>
              </w:rPr>
            </w:pPr>
            <w:r>
              <w:rPr>
                <w:rFonts w:hint="default" w:ascii="Times New Roman" w:hAnsi="Times New Roman" w:eastAsia="宋体" w:cs="Times New Roman"/>
                <w:b w:val="0"/>
                <w:bCs/>
                <w:smallCaps w:val="0"/>
                <w:snapToGrid/>
                <w:color w:val="auto"/>
                <w:kern w:val="0"/>
                <w:sz w:val="21"/>
                <w:szCs w:val="21"/>
                <w:highlight w:val="none"/>
                <w:u w:val="none"/>
                <w:lang w:val="en-US" w:eastAsia="zh-CN"/>
              </w:rPr>
              <w:t>未检出~</w:t>
            </w:r>
            <w:r>
              <w:rPr>
                <w:rFonts w:hint="eastAsia" w:ascii="Times New Roman" w:hAnsi="Times New Roman" w:eastAsia="宋体" w:cs="Times New Roman"/>
                <w:b w:val="0"/>
                <w:bCs/>
                <w:smallCaps w:val="0"/>
                <w:snapToGrid/>
                <w:color w:val="auto"/>
                <w:kern w:val="0"/>
                <w:sz w:val="21"/>
                <w:szCs w:val="21"/>
                <w:highlight w:val="none"/>
                <w:u w:val="none"/>
                <w:lang w:val="en-US" w:eastAsia="zh-CN"/>
              </w:rPr>
              <w:t>5.43</w:t>
            </w:r>
            <w:r>
              <w:rPr>
                <w:rFonts w:hint="default" w:ascii="Times New Roman" w:hAnsi="Times New Roman" w:eastAsia="宋体" w:cs="Times New Roman"/>
                <w:b w:val="0"/>
                <w:bCs/>
                <w:smallCaps w:val="0"/>
                <w:snapToGrid/>
                <w:color w:val="auto"/>
                <w:kern w:val="0"/>
                <w:sz w:val="21"/>
                <w:szCs w:val="21"/>
                <w:highlight w:val="none"/>
                <w:u w:val="none"/>
                <w:lang w:val="en-US" w:eastAsia="zh-CN"/>
              </w:rPr>
              <w:t>×10</w:t>
            </w:r>
            <w:r>
              <w:rPr>
                <w:rFonts w:hint="default" w:ascii="Times New Roman" w:hAnsi="Times New Roman" w:eastAsia="宋体" w:cs="Times New Roman"/>
                <w:b w:val="0"/>
                <w:bCs/>
                <w:smallCaps w:val="0"/>
                <w:snapToGrid/>
                <w:color w:val="auto"/>
                <w:kern w:val="0"/>
                <w:sz w:val="21"/>
                <w:szCs w:val="21"/>
                <w:highlight w:val="none"/>
                <w:u w:val="none"/>
                <w:vertAlign w:val="superscript"/>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vertAlign w:val="superscript"/>
                <w:lang w:val="en-US" w:eastAsia="zh-CN"/>
              </w:rPr>
              <w:t>7</w:t>
            </w:r>
          </w:p>
        </w:tc>
      </w:tr>
      <w:tr w14:paraId="2A1B21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14E53DB0">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p>
        </w:tc>
        <w:tc>
          <w:tcPr>
            <w:tcW w:w="1440" w:type="dxa"/>
            <w:vMerge w:val="restart"/>
            <w:tcBorders>
              <w:tl2br w:val="nil"/>
              <w:tr2bl w:val="nil"/>
            </w:tcBorders>
            <w:noWrap w:val="0"/>
            <w:vAlign w:val="center"/>
          </w:tcPr>
          <w:p w14:paraId="7166A4E3">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eastAsia" w:ascii="Times New Roman" w:hAnsi="Times New Roman" w:eastAsia="宋体" w:cs="Times New Roman"/>
                <w:b w:val="0"/>
                <w:bCs/>
                <w:smallCaps w:val="0"/>
                <w:color w:val="auto"/>
                <w:sz w:val="21"/>
                <w:szCs w:val="21"/>
                <w:highlight w:val="none"/>
                <w:u w:val="none"/>
                <w:lang w:val="en-US" w:eastAsia="zh-CN"/>
              </w:rPr>
              <w:t>P3</w:t>
            </w:r>
            <w:r>
              <w:rPr>
                <w:rFonts w:hint="default" w:ascii="Times New Roman" w:hAnsi="Times New Roman" w:eastAsia="宋体" w:cs="Times New Roman"/>
                <w:b w:val="0"/>
                <w:bCs/>
                <w:smallCaps w:val="0"/>
                <w:color w:val="auto"/>
                <w:sz w:val="21"/>
                <w:szCs w:val="21"/>
                <w:highlight w:val="none"/>
                <w:u w:val="none"/>
              </w:rPr>
              <w:t>激光</w:t>
            </w:r>
            <w:r>
              <w:rPr>
                <w:rFonts w:hint="eastAsia" w:ascii="Times New Roman" w:hAnsi="Times New Roman" w:eastAsia="宋体" w:cs="Times New Roman"/>
                <w:b w:val="0"/>
                <w:bCs/>
                <w:smallCaps w:val="0"/>
                <w:color w:val="auto"/>
                <w:sz w:val="21"/>
                <w:szCs w:val="21"/>
                <w:highlight w:val="none"/>
                <w:u w:val="none"/>
                <w:lang w:val="en-US" w:eastAsia="zh-CN"/>
              </w:rPr>
              <w:t>刻线与P4边缘处理</w:t>
            </w:r>
            <w:r>
              <w:rPr>
                <w:rFonts w:hint="default" w:ascii="Times New Roman" w:hAnsi="Times New Roman" w:eastAsia="宋体" w:cs="Times New Roman"/>
                <w:b w:val="0"/>
                <w:bCs/>
                <w:smallCaps w:val="0"/>
                <w:color w:val="auto"/>
                <w:sz w:val="21"/>
                <w:szCs w:val="21"/>
                <w:highlight w:val="none"/>
                <w:u w:val="none"/>
              </w:rPr>
              <w:t>废气</w:t>
            </w:r>
          </w:p>
        </w:tc>
        <w:tc>
          <w:tcPr>
            <w:tcW w:w="1807" w:type="dxa"/>
            <w:tcBorders>
              <w:tl2br w:val="nil"/>
              <w:tr2bl w:val="nil"/>
            </w:tcBorders>
            <w:noWrap w:val="0"/>
            <w:vAlign w:val="center"/>
          </w:tcPr>
          <w:p w14:paraId="4AA09B5A">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2527" w:type="dxa"/>
            <w:tcBorders>
              <w:tl2br w:val="nil"/>
              <w:tr2bl w:val="nil"/>
            </w:tcBorders>
            <w:noWrap w:val="0"/>
            <w:vAlign w:val="center"/>
          </w:tcPr>
          <w:p w14:paraId="71A8A1F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2.9-5.0</w:t>
            </w:r>
          </w:p>
        </w:tc>
        <w:tc>
          <w:tcPr>
            <w:tcW w:w="2535" w:type="dxa"/>
            <w:tcBorders>
              <w:tl2br w:val="nil"/>
              <w:tr2bl w:val="nil"/>
            </w:tcBorders>
            <w:noWrap w:val="0"/>
            <w:vAlign w:val="center"/>
          </w:tcPr>
          <w:p w14:paraId="170F14F3">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Times New Roman"/>
                <w:b w:val="0"/>
                <w:bCs/>
                <w:smallCaps w:val="0"/>
                <w:color w:val="auto"/>
                <w:kern w:val="0"/>
                <w:sz w:val="21"/>
                <w:szCs w:val="21"/>
                <w:highlight w:val="none"/>
                <w:u w:val="none"/>
                <w:lang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1.19</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2</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2.15</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2</w:t>
            </w:r>
          </w:p>
        </w:tc>
      </w:tr>
      <w:tr w14:paraId="25DC4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219FD150">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p>
        </w:tc>
        <w:tc>
          <w:tcPr>
            <w:tcW w:w="1440" w:type="dxa"/>
            <w:vMerge w:val="continue"/>
            <w:tcBorders>
              <w:tl2br w:val="nil"/>
              <w:tr2bl w:val="nil"/>
            </w:tcBorders>
            <w:noWrap w:val="0"/>
            <w:vAlign w:val="center"/>
          </w:tcPr>
          <w:p w14:paraId="7B0ACE1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p>
        </w:tc>
        <w:tc>
          <w:tcPr>
            <w:tcW w:w="1807" w:type="dxa"/>
            <w:tcBorders>
              <w:tl2br w:val="nil"/>
              <w:tr2bl w:val="nil"/>
            </w:tcBorders>
            <w:noWrap w:val="0"/>
            <w:vAlign w:val="center"/>
          </w:tcPr>
          <w:p w14:paraId="682B5138">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镉及其化合物</w:t>
            </w:r>
          </w:p>
        </w:tc>
        <w:tc>
          <w:tcPr>
            <w:tcW w:w="2527" w:type="dxa"/>
            <w:tcBorders>
              <w:tl2br w:val="nil"/>
              <w:tr2bl w:val="nil"/>
            </w:tcBorders>
            <w:noWrap w:val="0"/>
            <w:vAlign w:val="center"/>
          </w:tcPr>
          <w:p w14:paraId="38970B9F">
            <w:pPr>
              <w:pStyle w:val="66"/>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default" w:ascii="Times New Roman" w:hAnsi="Times New Roman" w:eastAsia="宋体" w:cs="Times New Roman"/>
                <w:b w:val="0"/>
                <w:bCs/>
                <w:smallCaps w:val="0"/>
                <w:snapToGrid/>
                <w:color w:val="auto"/>
                <w:kern w:val="0"/>
                <w:sz w:val="21"/>
                <w:szCs w:val="21"/>
                <w:highlight w:val="none"/>
                <w:u w:val="none"/>
                <w:lang w:val="en-US" w:eastAsia="zh-CN"/>
              </w:rPr>
              <w:t>未检出</w:t>
            </w:r>
            <w:r>
              <w:rPr>
                <w:rFonts w:hint="default" w:ascii="Times New Roman" w:hAnsi="Times New Roman" w:eastAsia="宋体" w:cs="Times New Roman"/>
                <w:b w:val="0"/>
                <w:bCs/>
                <w:smallCaps w:val="0"/>
                <w:color w:val="auto"/>
                <w:kern w:val="0"/>
                <w:sz w:val="21"/>
                <w:szCs w:val="21"/>
                <w:highlight w:val="none"/>
                <w:u w:val="none"/>
                <w:lang w:eastAsia="zh-CN"/>
              </w:rPr>
              <w:t>~</w:t>
            </w:r>
            <w:r>
              <w:rPr>
                <w:rFonts w:hint="eastAsia" w:ascii="Times New Roman" w:hAnsi="Times New Roman" w:eastAsia="宋体" w:cs="Times New Roman"/>
                <w:b w:val="0"/>
                <w:bCs/>
                <w:smallCaps w:val="0"/>
                <w:color w:val="auto"/>
                <w:kern w:val="0"/>
                <w:sz w:val="21"/>
                <w:szCs w:val="21"/>
                <w:highlight w:val="none"/>
                <w:u w:val="none"/>
                <w:lang w:val="en-US" w:eastAsia="zh-CN"/>
              </w:rPr>
              <w:t>1.42</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3</w:t>
            </w:r>
          </w:p>
        </w:tc>
        <w:tc>
          <w:tcPr>
            <w:tcW w:w="2535" w:type="dxa"/>
            <w:tcBorders>
              <w:tl2br w:val="nil"/>
              <w:tr2bl w:val="nil"/>
            </w:tcBorders>
            <w:noWrap w:val="0"/>
            <w:vAlign w:val="center"/>
          </w:tcPr>
          <w:p w14:paraId="3C86E655">
            <w:pPr>
              <w:pStyle w:val="66"/>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default" w:ascii="Times New Roman" w:hAnsi="Times New Roman" w:eastAsia="宋体" w:cs="Times New Roman"/>
                <w:b w:val="0"/>
                <w:bCs/>
                <w:smallCaps w:val="0"/>
                <w:snapToGrid/>
                <w:color w:val="auto"/>
                <w:kern w:val="0"/>
                <w:sz w:val="21"/>
                <w:szCs w:val="21"/>
                <w:highlight w:val="none"/>
                <w:u w:val="none"/>
                <w:lang w:val="en-US" w:eastAsia="zh-CN"/>
              </w:rPr>
              <w:t>未检出~</w:t>
            </w:r>
            <w:r>
              <w:rPr>
                <w:rFonts w:hint="eastAsia" w:ascii="Times New Roman" w:hAnsi="Times New Roman" w:eastAsia="宋体" w:cs="Times New Roman"/>
                <w:b w:val="0"/>
                <w:bCs/>
                <w:smallCaps w:val="0"/>
                <w:snapToGrid/>
                <w:color w:val="auto"/>
                <w:kern w:val="0"/>
                <w:sz w:val="21"/>
                <w:szCs w:val="21"/>
                <w:highlight w:val="none"/>
                <w:u w:val="none"/>
                <w:lang w:val="en-US" w:eastAsia="zh-CN"/>
              </w:rPr>
              <w:t>5.96</w:t>
            </w:r>
            <w:r>
              <w:rPr>
                <w:rFonts w:hint="default" w:ascii="Times New Roman" w:hAnsi="Times New Roman" w:eastAsia="宋体" w:cs="Times New Roman"/>
                <w:b w:val="0"/>
                <w:bCs/>
                <w:smallCaps w:val="0"/>
                <w:snapToGrid/>
                <w:color w:val="auto"/>
                <w:kern w:val="0"/>
                <w:sz w:val="21"/>
                <w:szCs w:val="21"/>
                <w:highlight w:val="none"/>
                <w:u w:val="none"/>
                <w:lang w:val="en-US" w:eastAsia="zh-CN"/>
              </w:rPr>
              <w:t>×10</w:t>
            </w:r>
            <w:r>
              <w:rPr>
                <w:rFonts w:hint="eastAsia" w:ascii="Times New Roman" w:hAnsi="Times New Roman" w:eastAsia="宋体" w:cs="Times New Roman"/>
                <w:b w:val="0"/>
                <w:bCs/>
                <w:smallCaps w:val="0"/>
                <w:snapToGrid/>
                <w:color w:val="auto"/>
                <w:kern w:val="0"/>
                <w:sz w:val="21"/>
                <w:szCs w:val="21"/>
                <w:highlight w:val="none"/>
                <w:u w:val="none"/>
                <w:vertAlign w:val="superscript"/>
                <w:lang w:val="en-US" w:eastAsia="zh-CN"/>
              </w:rPr>
              <w:t>-6</w:t>
            </w:r>
          </w:p>
        </w:tc>
      </w:tr>
      <w:tr w14:paraId="02BF80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0D3B3062">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p>
        </w:tc>
        <w:tc>
          <w:tcPr>
            <w:tcW w:w="1440" w:type="dxa"/>
            <w:tcBorders>
              <w:tl2br w:val="nil"/>
              <w:tr2bl w:val="nil"/>
            </w:tcBorders>
            <w:noWrap w:val="0"/>
            <w:vAlign w:val="center"/>
          </w:tcPr>
          <w:p w14:paraId="1AB1FF6B">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b w:val="0"/>
                <w:bCs/>
                <w:smallCaps w:val="0"/>
                <w:snapToGrid w:val="0"/>
                <w:color w:val="auto"/>
                <w:sz w:val="21"/>
                <w:szCs w:val="21"/>
                <w:highlight w:val="none"/>
                <w:u w:val="none"/>
                <w:lang w:val="en-US" w:eastAsia="zh-CN"/>
              </w:rPr>
            </w:pPr>
            <w:r>
              <w:rPr>
                <w:rFonts w:hint="eastAsia" w:ascii="Times New Roman" w:hAnsi="Times New Roman" w:eastAsia="宋体" w:cs="Times New Roman"/>
                <w:b w:val="0"/>
                <w:bCs/>
                <w:smallCaps w:val="0"/>
                <w:snapToGrid w:val="0"/>
                <w:color w:val="auto"/>
                <w:sz w:val="21"/>
                <w:szCs w:val="21"/>
                <w:highlight w:val="none"/>
                <w:u w:val="none"/>
                <w:lang w:val="en-US" w:eastAsia="zh-CN"/>
              </w:rPr>
              <w:t>膜层溅射废气</w:t>
            </w:r>
          </w:p>
        </w:tc>
        <w:tc>
          <w:tcPr>
            <w:tcW w:w="1807" w:type="dxa"/>
            <w:tcBorders>
              <w:tl2br w:val="nil"/>
              <w:tr2bl w:val="nil"/>
            </w:tcBorders>
            <w:noWrap w:val="0"/>
            <w:vAlign w:val="center"/>
          </w:tcPr>
          <w:p w14:paraId="45E7D739">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2527" w:type="dxa"/>
            <w:tcBorders>
              <w:tl2br w:val="nil"/>
              <w:tr2bl w:val="nil"/>
            </w:tcBorders>
            <w:noWrap w:val="0"/>
            <w:vAlign w:val="center"/>
          </w:tcPr>
          <w:p w14:paraId="567539BE">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2.2-3.5</w:t>
            </w:r>
          </w:p>
        </w:tc>
        <w:tc>
          <w:tcPr>
            <w:tcW w:w="2535" w:type="dxa"/>
            <w:tcBorders>
              <w:tl2br w:val="nil"/>
              <w:tr2bl w:val="nil"/>
            </w:tcBorders>
            <w:noWrap w:val="0"/>
            <w:vAlign w:val="center"/>
          </w:tcPr>
          <w:p w14:paraId="04281150">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eastAsia" w:ascii="Times New Roman" w:hAnsi="Times New Roman" w:eastAsia="宋体" w:cs="Times New Roman"/>
                <w:b w:val="0"/>
                <w:bCs/>
                <w:smallCaps w:val="0"/>
                <w:color w:val="auto"/>
                <w:kern w:val="0"/>
                <w:sz w:val="21"/>
                <w:szCs w:val="21"/>
                <w:highlight w:val="none"/>
                <w:u w:val="none"/>
                <w:lang w:val="en-US" w:eastAsia="zh-CN"/>
              </w:rPr>
              <w:t>5.06</w:t>
            </w:r>
            <w:r>
              <w:rPr>
                <w:rFonts w:hint="default" w:ascii="Times New Roman" w:hAnsi="Times New Roman" w:eastAsia="宋体" w:cs="Times New Roman"/>
                <w:b w:val="0"/>
                <w:bCs/>
                <w:smallCaps w:val="0"/>
                <w:color w:val="auto"/>
                <w:kern w:val="0"/>
                <w:sz w:val="21"/>
                <w:szCs w:val="21"/>
                <w:highlight w:val="none"/>
                <w:u w:val="none"/>
              </w:rPr>
              <w:t>×10</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-5</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4.35</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4</w:t>
            </w:r>
          </w:p>
        </w:tc>
      </w:tr>
      <w:tr w14:paraId="1FBF8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dxa"/>
            <w:vMerge w:val="continue"/>
            <w:tcBorders>
              <w:tl2br w:val="nil"/>
              <w:tr2bl w:val="nil"/>
            </w:tcBorders>
            <w:noWrap w:val="0"/>
            <w:vAlign w:val="center"/>
          </w:tcPr>
          <w:p w14:paraId="052D6FED">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p>
        </w:tc>
        <w:tc>
          <w:tcPr>
            <w:tcW w:w="1440" w:type="dxa"/>
            <w:tcBorders>
              <w:tl2br w:val="nil"/>
              <w:tr2bl w:val="nil"/>
            </w:tcBorders>
            <w:noWrap w:val="0"/>
            <w:vAlign w:val="center"/>
          </w:tcPr>
          <w:p w14:paraId="5F6E97F7">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lang w:val="en-US" w:eastAsia="zh-CN"/>
              </w:rPr>
            </w:pPr>
            <w:r>
              <w:rPr>
                <w:rFonts w:hint="eastAsia" w:ascii="Times New Roman" w:hAnsi="Times New Roman" w:eastAsia="宋体" w:cs="Times New Roman"/>
                <w:b w:val="0"/>
                <w:bCs/>
                <w:smallCaps w:val="0"/>
                <w:snapToGrid w:val="0"/>
                <w:color w:val="auto"/>
                <w:sz w:val="21"/>
                <w:szCs w:val="21"/>
                <w:highlight w:val="none"/>
                <w:u w:val="none"/>
                <w:lang w:val="en-US" w:eastAsia="zh-CN"/>
              </w:rPr>
              <w:t>背电极磁控溅射废气</w:t>
            </w:r>
          </w:p>
        </w:tc>
        <w:tc>
          <w:tcPr>
            <w:tcW w:w="1807" w:type="dxa"/>
            <w:tcBorders>
              <w:tl2br w:val="nil"/>
              <w:tr2bl w:val="nil"/>
            </w:tcBorders>
            <w:noWrap w:val="0"/>
            <w:vAlign w:val="center"/>
          </w:tcPr>
          <w:p w14:paraId="43EB788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2527" w:type="dxa"/>
            <w:tcBorders>
              <w:tl2br w:val="nil"/>
              <w:tr2bl w:val="nil"/>
            </w:tcBorders>
            <w:noWrap w:val="0"/>
            <w:vAlign w:val="center"/>
          </w:tcPr>
          <w:p w14:paraId="596B843A">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2.3-3.3</w:t>
            </w:r>
          </w:p>
        </w:tc>
        <w:tc>
          <w:tcPr>
            <w:tcW w:w="2535" w:type="dxa"/>
            <w:tcBorders>
              <w:tl2br w:val="nil"/>
              <w:tr2bl w:val="nil"/>
            </w:tcBorders>
            <w:noWrap w:val="0"/>
            <w:vAlign w:val="center"/>
          </w:tcPr>
          <w:p w14:paraId="4B4776B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eastAsia" w:ascii="Times New Roman" w:hAnsi="Times New Roman" w:eastAsia="宋体" w:cs="Times New Roman"/>
                <w:b w:val="0"/>
                <w:bCs/>
                <w:smallCaps w:val="0"/>
                <w:color w:val="auto"/>
                <w:kern w:val="0"/>
                <w:sz w:val="21"/>
                <w:szCs w:val="21"/>
                <w:highlight w:val="none"/>
                <w:u w:val="none"/>
                <w:lang w:val="en-US" w:eastAsia="zh-CN"/>
              </w:rPr>
              <w:t>4.43</w:t>
            </w:r>
            <w:r>
              <w:rPr>
                <w:rFonts w:hint="default" w:ascii="Times New Roman" w:hAnsi="Times New Roman" w:eastAsia="宋体" w:cs="Times New Roman"/>
                <w:b w:val="0"/>
                <w:bCs/>
                <w:smallCaps w:val="0"/>
                <w:color w:val="auto"/>
                <w:kern w:val="0"/>
                <w:sz w:val="21"/>
                <w:szCs w:val="21"/>
                <w:highlight w:val="none"/>
                <w:u w:val="none"/>
              </w:rPr>
              <w:t>×10</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-4</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9.69</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4</w:t>
            </w:r>
          </w:p>
        </w:tc>
      </w:tr>
    </w:tbl>
    <w:p w14:paraId="546A9432">
      <w:pPr>
        <w:pStyle w:val="66"/>
        <w:ind w:left="480"/>
        <w:rPr>
          <w:rFonts w:ascii="Times New Roman" w:hAnsi="Times New Roman" w:eastAsia="宋体" w:cs="Times New Roman"/>
          <w:b/>
          <w:bCs/>
          <w:caps w:val="0"/>
          <w:smallCaps w:val="0"/>
          <w:color w:val="auto"/>
          <w:spacing w:val="0"/>
          <w:sz w:val="24"/>
          <w:szCs w:val="24"/>
          <w:highlight w:val="none"/>
        </w:rPr>
      </w:pPr>
      <w:r>
        <w:rPr>
          <w:rFonts w:hint="eastAsia" w:ascii="Times New Roman" w:hAnsi="Times New Roman" w:eastAsia="宋体" w:cs="Times New Roman"/>
          <w:b/>
          <w:bCs/>
          <w:caps w:val="0"/>
          <w:smallCaps w:val="0"/>
          <w:color w:val="auto"/>
          <w:spacing w:val="0"/>
          <w:sz w:val="24"/>
          <w:szCs w:val="24"/>
          <w:highlight w:val="none"/>
          <w:lang w:val="en-US" w:eastAsia="zh-CN"/>
        </w:rPr>
        <w:t>表3.8-3株洲</w:t>
      </w:r>
      <w:r>
        <w:rPr>
          <w:rFonts w:hint="eastAsia" w:ascii="Times New Roman" w:hAnsi="Times New Roman" w:eastAsia="宋体" w:cs="Times New Roman"/>
          <w:b/>
          <w:bCs/>
          <w:caps w:val="0"/>
          <w:smallCaps w:val="0"/>
          <w:color w:val="auto"/>
          <w:spacing w:val="0"/>
          <w:sz w:val="24"/>
          <w:szCs w:val="24"/>
          <w:highlight w:val="none"/>
          <w:lang w:eastAsia="zh-CN"/>
        </w:rPr>
        <w:t>碲化镉验收结果一览表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371"/>
        <w:gridCol w:w="1506"/>
        <w:gridCol w:w="2859"/>
        <w:gridCol w:w="2865"/>
      </w:tblGrid>
      <w:tr w14:paraId="2C9FC8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restart"/>
            <w:tcBorders>
              <w:tl2br w:val="nil"/>
              <w:tr2bl w:val="nil"/>
            </w:tcBorders>
            <w:noWrap w:val="0"/>
            <w:vAlign w:val="center"/>
          </w:tcPr>
          <w:p w14:paraId="267D12EA">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类别</w:t>
            </w:r>
          </w:p>
        </w:tc>
        <w:tc>
          <w:tcPr>
            <w:tcW w:w="2281" w:type="dxa"/>
            <w:vMerge w:val="restart"/>
            <w:tcBorders>
              <w:tl2br w:val="nil"/>
              <w:tr2bl w:val="nil"/>
            </w:tcBorders>
            <w:noWrap w:val="0"/>
            <w:vAlign w:val="center"/>
          </w:tcPr>
          <w:p w14:paraId="6243E751">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污染源</w:t>
            </w:r>
          </w:p>
        </w:tc>
        <w:tc>
          <w:tcPr>
            <w:tcW w:w="2863" w:type="dxa"/>
            <w:vMerge w:val="restart"/>
            <w:tcBorders>
              <w:tl2br w:val="nil"/>
              <w:tr2bl w:val="nil"/>
            </w:tcBorders>
            <w:noWrap w:val="0"/>
            <w:vAlign w:val="center"/>
          </w:tcPr>
          <w:p w14:paraId="0E5BE0AE">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监测项目</w:t>
            </w:r>
          </w:p>
        </w:tc>
        <w:tc>
          <w:tcPr>
            <w:tcW w:w="8019" w:type="dxa"/>
            <w:gridSpan w:val="2"/>
            <w:tcBorders>
              <w:tl2br w:val="nil"/>
              <w:tr2bl w:val="nil"/>
            </w:tcBorders>
            <w:noWrap w:val="0"/>
            <w:vAlign w:val="center"/>
          </w:tcPr>
          <w:p w14:paraId="748D54F7">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验收监测结果</w:t>
            </w:r>
          </w:p>
        </w:tc>
      </w:tr>
      <w:tr w14:paraId="4E01CE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continue"/>
            <w:tcBorders>
              <w:tl2br w:val="nil"/>
              <w:tr2bl w:val="nil"/>
            </w:tcBorders>
            <w:noWrap w:val="0"/>
            <w:vAlign w:val="center"/>
          </w:tcPr>
          <w:p w14:paraId="4AE040B2">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281" w:type="dxa"/>
            <w:vMerge w:val="continue"/>
            <w:tcBorders>
              <w:tl2br w:val="nil"/>
              <w:tr2bl w:val="nil"/>
            </w:tcBorders>
            <w:noWrap w:val="0"/>
            <w:vAlign w:val="center"/>
          </w:tcPr>
          <w:p w14:paraId="01919574">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863" w:type="dxa"/>
            <w:vMerge w:val="continue"/>
            <w:tcBorders>
              <w:tl2br w:val="nil"/>
              <w:tr2bl w:val="nil"/>
            </w:tcBorders>
            <w:noWrap w:val="0"/>
            <w:vAlign w:val="center"/>
          </w:tcPr>
          <w:p w14:paraId="2126AF34">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4003" w:type="dxa"/>
            <w:tcBorders>
              <w:tl2br w:val="nil"/>
              <w:tr2bl w:val="nil"/>
            </w:tcBorders>
            <w:noWrap w:val="0"/>
            <w:vAlign w:val="center"/>
          </w:tcPr>
          <w:p w14:paraId="17CE3D4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排放浓度</w:t>
            </w:r>
            <w:r>
              <w:rPr>
                <w:rFonts w:hint="default" w:ascii="Times New Roman" w:hAnsi="Times New Roman" w:eastAsia="宋体" w:cs="Times New Roman"/>
                <w:b w:val="0"/>
                <w:bCs/>
                <w:smallCaps w:val="0"/>
                <w:color w:val="auto"/>
                <w:sz w:val="21"/>
                <w:szCs w:val="21"/>
                <w:highlight w:val="none"/>
                <w:u w:val="none"/>
                <w:lang w:eastAsia="zh-CN"/>
              </w:rPr>
              <w:t>（mg/m</w:t>
            </w:r>
            <w:r>
              <w:rPr>
                <w:rFonts w:hint="default" w:ascii="Times New Roman" w:hAnsi="Times New Roman" w:eastAsia="宋体" w:cs="Times New Roman"/>
                <w:b w:val="0"/>
                <w:bCs/>
                <w:smallCaps w:val="0"/>
                <w:color w:val="auto"/>
                <w:sz w:val="21"/>
                <w:szCs w:val="21"/>
                <w:highlight w:val="none"/>
                <w:u w:val="none"/>
                <w:vertAlign w:val="superscript"/>
                <w:lang w:eastAsia="zh-CN"/>
              </w:rPr>
              <w:t>3</w:t>
            </w:r>
            <w:r>
              <w:rPr>
                <w:rFonts w:hint="default" w:ascii="Times New Roman" w:hAnsi="Times New Roman" w:eastAsia="宋体" w:cs="Times New Roman"/>
                <w:b w:val="0"/>
                <w:bCs/>
                <w:smallCaps w:val="0"/>
                <w:color w:val="auto"/>
                <w:sz w:val="21"/>
                <w:szCs w:val="21"/>
                <w:highlight w:val="none"/>
                <w:u w:val="none"/>
                <w:lang w:eastAsia="zh-CN"/>
              </w:rPr>
              <w:t>）</w:t>
            </w:r>
          </w:p>
        </w:tc>
        <w:tc>
          <w:tcPr>
            <w:tcW w:w="4016" w:type="dxa"/>
            <w:tcBorders>
              <w:tl2br w:val="nil"/>
              <w:tr2bl w:val="nil"/>
            </w:tcBorders>
            <w:noWrap w:val="0"/>
            <w:vAlign w:val="center"/>
          </w:tcPr>
          <w:p w14:paraId="026FBA2E">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排放速率</w:t>
            </w:r>
            <w:r>
              <w:rPr>
                <w:rFonts w:hint="default" w:ascii="Times New Roman" w:hAnsi="Times New Roman" w:eastAsia="宋体" w:cs="Times New Roman"/>
                <w:b w:val="0"/>
                <w:bCs/>
                <w:smallCaps w:val="0"/>
                <w:color w:val="auto"/>
                <w:sz w:val="21"/>
                <w:szCs w:val="21"/>
                <w:highlight w:val="none"/>
                <w:u w:val="none"/>
                <w:lang w:eastAsia="zh-CN"/>
              </w:rPr>
              <w:t>（kg/h）</w:t>
            </w:r>
          </w:p>
        </w:tc>
      </w:tr>
      <w:tr w14:paraId="320A1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restart"/>
            <w:tcBorders>
              <w:tl2br w:val="nil"/>
              <w:tr2bl w:val="nil"/>
            </w:tcBorders>
            <w:noWrap w:val="0"/>
            <w:vAlign w:val="center"/>
          </w:tcPr>
          <w:p w14:paraId="6D287F6C">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废气</w:t>
            </w:r>
          </w:p>
        </w:tc>
        <w:tc>
          <w:tcPr>
            <w:tcW w:w="2281" w:type="dxa"/>
            <w:vMerge w:val="restart"/>
            <w:tcBorders>
              <w:tl2br w:val="nil"/>
              <w:tr2bl w:val="nil"/>
            </w:tcBorders>
            <w:noWrap w:val="0"/>
            <w:vAlign w:val="center"/>
          </w:tcPr>
          <w:p w14:paraId="313A42C1">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val="en-US" w:eastAsia="zh-CN"/>
              </w:rPr>
            </w:pPr>
            <w:r>
              <w:rPr>
                <w:rFonts w:hint="default" w:ascii="Times New Roman" w:hAnsi="Times New Roman" w:eastAsia="宋体" w:cs="Times New Roman"/>
                <w:b w:val="0"/>
                <w:bCs/>
                <w:smallCaps w:val="0"/>
                <w:color w:val="auto"/>
                <w:sz w:val="21"/>
                <w:szCs w:val="21"/>
                <w:highlight w:val="none"/>
                <w:u w:val="none"/>
              </w:rPr>
              <w:t>CSS镀膜废气</w:t>
            </w:r>
            <w:r>
              <w:rPr>
                <w:rFonts w:hint="eastAsia" w:ascii="Times New Roman" w:hAnsi="Times New Roman" w:eastAsia="宋体" w:cs="Times New Roman"/>
                <w:b w:val="0"/>
                <w:bCs/>
                <w:smallCaps w:val="0"/>
                <w:color w:val="auto"/>
                <w:sz w:val="21"/>
                <w:szCs w:val="21"/>
                <w:highlight w:val="none"/>
                <w:u w:val="none"/>
                <w:lang w:eastAsia="zh-CN"/>
              </w:rPr>
              <w:t>、</w:t>
            </w:r>
            <w:r>
              <w:rPr>
                <w:rFonts w:hint="eastAsia" w:ascii="Times New Roman" w:hAnsi="Times New Roman" w:eastAsia="宋体" w:cs="Times New Roman"/>
                <w:b w:val="0"/>
                <w:bCs/>
                <w:smallCaps w:val="0"/>
                <w:color w:val="auto"/>
                <w:sz w:val="21"/>
                <w:szCs w:val="21"/>
                <w:highlight w:val="none"/>
                <w:u w:val="none"/>
                <w:lang w:val="en-US" w:eastAsia="zh-CN"/>
              </w:rPr>
              <w:t>P3</w:t>
            </w:r>
            <w:r>
              <w:rPr>
                <w:rFonts w:hint="default" w:ascii="Times New Roman" w:hAnsi="Times New Roman" w:eastAsia="宋体" w:cs="Times New Roman"/>
                <w:b w:val="0"/>
                <w:bCs/>
                <w:smallCaps w:val="0"/>
                <w:color w:val="auto"/>
                <w:sz w:val="21"/>
                <w:szCs w:val="21"/>
                <w:highlight w:val="none"/>
                <w:u w:val="none"/>
              </w:rPr>
              <w:t>激光</w:t>
            </w:r>
            <w:r>
              <w:rPr>
                <w:rFonts w:hint="eastAsia" w:ascii="Times New Roman" w:hAnsi="Times New Roman" w:eastAsia="宋体" w:cs="Times New Roman"/>
                <w:b w:val="0"/>
                <w:bCs/>
                <w:smallCaps w:val="0"/>
                <w:color w:val="auto"/>
                <w:sz w:val="21"/>
                <w:szCs w:val="21"/>
                <w:highlight w:val="none"/>
                <w:u w:val="none"/>
                <w:lang w:val="en-US" w:eastAsia="zh-CN"/>
              </w:rPr>
              <w:t>刻线与P4边缘处理</w:t>
            </w:r>
            <w:r>
              <w:rPr>
                <w:rFonts w:hint="default" w:ascii="Times New Roman" w:hAnsi="Times New Roman" w:eastAsia="宋体" w:cs="Times New Roman"/>
                <w:b w:val="0"/>
                <w:bCs/>
                <w:smallCaps w:val="0"/>
                <w:color w:val="auto"/>
                <w:sz w:val="21"/>
                <w:szCs w:val="21"/>
                <w:highlight w:val="none"/>
                <w:u w:val="none"/>
              </w:rPr>
              <w:t>废气</w:t>
            </w:r>
          </w:p>
        </w:tc>
        <w:tc>
          <w:tcPr>
            <w:tcW w:w="2863" w:type="dxa"/>
            <w:tcBorders>
              <w:tl2br w:val="nil"/>
              <w:tr2bl w:val="nil"/>
            </w:tcBorders>
            <w:noWrap w:val="0"/>
            <w:vAlign w:val="center"/>
          </w:tcPr>
          <w:p w14:paraId="458FF7D3">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4003" w:type="dxa"/>
            <w:tcBorders>
              <w:tl2br w:val="nil"/>
              <w:tr2bl w:val="nil"/>
            </w:tcBorders>
            <w:noWrap w:val="0"/>
            <w:vAlign w:val="center"/>
          </w:tcPr>
          <w:p w14:paraId="623C9CDA">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1.2-2.4</w:t>
            </w:r>
          </w:p>
        </w:tc>
        <w:tc>
          <w:tcPr>
            <w:tcW w:w="4016" w:type="dxa"/>
            <w:tcBorders>
              <w:tl2br w:val="nil"/>
              <w:tr2bl w:val="nil"/>
            </w:tcBorders>
            <w:noWrap w:val="0"/>
            <w:vAlign w:val="center"/>
          </w:tcPr>
          <w:p w14:paraId="21289AFB">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lang w:val="en-US"/>
              </w:rPr>
            </w:pPr>
            <w:r>
              <w:rPr>
                <w:rFonts w:hint="eastAsia" w:ascii="Times New Roman" w:hAnsi="Times New Roman" w:eastAsia="宋体" w:cs="Times New Roman"/>
                <w:b w:val="0"/>
                <w:bCs/>
                <w:smallCaps w:val="0"/>
                <w:color w:val="auto"/>
                <w:kern w:val="0"/>
                <w:sz w:val="21"/>
                <w:szCs w:val="21"/>
                <w:highlight w:val="none"/>
                <w:u w:val="none"/>
                <w:lang w:val="en-US" w:eastAsia="zh-CN"/>
              </w:rPr>
              <w:t>5.54</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0.0112</w:t>
            </w:r>
          </w:p>
        </w:tc>
      </w:tr>
      <w:tr w14:paraId="51A98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continue"/>
            <w:tcBorders>
              <w:tl2br w:val="nil"/>
              <w:tr2bl w:val="nil"/>
            </w:tcBorders>
            <w:noWrap w:val="0"/>
            <w:vAlign w:val="center"/>
          </w:tcPr>
          <w:p w14:paraId="0BA0EBA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281" w:type="dxa"/>
            <w:vMerge w:val="continue"/>
            <w:tcBorders>
              <w:tl2br w:val="nil"/>
              <w:tr2bl w:val="nil"/>
            </w:tcBorders>
            <w:noWrap w:val="0"/>
            <w:vAlign w:val="center"/>
          </w:tcPr>
          <w:p w14:paraId="781EED79">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863" w:type="dxa"/>
            <w:tcBorders>
              <w:tl2br w:val="nil"/>
              <w:tr2bl w:val="nil"/>
            </w:tcBorders>
            <w:noWrap w:val="0"/>
            <w:vAlign w:val="center"/>
          </w:tcPr>
          <w:p w14:paraId="7C76F2E7">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镉及其化合物</w:t>
            </w:r>
          </w:p>
        </w:tc>
        <w:tc>
          <w:tcPr>
            <w:tcW w:w="4003" w:type="dxa"/>
            <w:tcBorders>
              <w:tl2br w:val="nil"/>
              <w:tr2bl w:val="nil"/>
            </w:tcBorders>
            <w:noWrap w:val="0"/>
            <w:vAlign w:val="center"/>
          </w:tcPr>
          <w:p w14:paraId="42EC8F58">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eastAsia" w:ascii="Times New Roman" w:hAnsi="Times New Roman" w:eastAsia="宋体" w:cs="Times New Roman"/>
                <w:b w:val="0"/>
                <w:bCs/>
                <w:smallCaps w:val="0"/>
                <w:color w:val="auto"/>
                <w:kern w:val="0"/>
                <w:sz w:val="21"/>
                <w:szCs w:val="21"/>
                <w:highlight w:val="none"/>
                <w:u w:val="none"/>
                <w:lang w:val="en-US" w:eastAsia="zh-CN"/>
              </w:rPr>
              <w:t>1.85</w:t>
            </w:r>
            <w:r>
              <w:rPr>
                <w:rFonts w:hint="default" w:ascii="Times New Roman" w:hAnsi="Times New Roman" w:eastAsia="宋体" w:cs="Times New Roman"/>
                <w:b w:val="0"/>
                <w:bCs/>
                <w:smallCaps w:val="0"/>
                <w:color w:val="auto"/>
                <w:kern w:val="0"/>
                <w:sz w:val="21"/>
                <w:szCs w:val="21"/>
                <w:highlight w:val="none"/>
                <w:u w:val="none"/>
              </w:rPr>
              <w:t>×10</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-5</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2.28</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4</w:t>
            </w:r>
          </w:p>
        </w:tc>
        <w:tc>
          <w:tcPr>
            <w:tcW w:w="4016" w:type="dxa"/>
            <w:tcBorders>
              <w:tl2br w:val="nil"/>
              <w:tr2bl w:val="nil"/>
            </w:tcBorders>
            <w:noWrap w:val="0"/>
            <w:vAlign w:val="center"/>
          </w:tcPr>
          <w:p w14:paraId="7FA70E2F">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color w:val="auto"/>
                <w:kern w:val="0"/>
                <w:sz w:val="21"/>
                <w:szCs w:val="21"/>
                <w:highlight w:val="none"/>
                <w:u w:val="none"/>
              </w:rPr>
            </w:pPr>
            <w:r>
              <w:rPr>
                <w:rFonts w:hint="eastAsia" w:ascii="Times New Roman" w:hAnsi="Times New Roman" w:eastAsia="宋体" w:cs="Times New Roman"/>
                <w:b w:val="0"/>
                <w:bCs/>
                <w:smallCaps w:val="0"/>
                <w:color w:val="auto"/>
                <w:kern w:val="0"/>
                <w:sz w:val="21"/>
                <w:szCs w:val="21"/>
                <w:highlight w:val="none"/>
                <w:u w:val="none"/>
                <w:lang w:val="en-US" w:eastAsia="zh-CN"/>
              </w:rPr>
              <w:t>8.62</w:t>
            </w:r>
            <w:r>
              <w:rPr>
                <w:rFonts w:hint="default" w:ascii="Times New Roman" w:hAnsi="Times New Roman" w:eastAsia="宋体" w:cs="Times New Roman"/>
                <w:b w:val="0"/>
                <w:bCs/>
                <w:smallCaps w:val="0"/>
                <w:color w:val="auto"/>
                <w:kern w:val="0"/>
                <w:sz w:val="21"/>
                <w:szCs w:val="21"/>
                <w:highlight w:val="none"/>
                <w:u w:val="none"/>
              </w:rPr>
              <w:t>×10</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-8</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1.02</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7</w:t>
            </w:r>
          </w:p>
        </w:tc>
      </w:tr>
      <w:tr w14:paraId="2B9AC2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continue"/>
            <w:tcBorders>
              <w:tl2br w:val="nil"/>
              <w:tr2bl w:val="nil"/>
            </w:tcBorders>
            <w:noWrap w:val="0"/>
            <w:vAlign w:val="center"/>
          </w:tcPr>
          <w:p w14:paraId="06B8DDA7">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281" w:type="dxa"/>
            <w:vMerge w:val="restart"/>
            <w:tcBorders>
              <w:tl2br w:val="nil"/>
              <w:tr2bl w:val="nil"/>
            </w:tcBorders>
            <w:noWrap w:val="0"/>
            <w:vAlign w:val="center"/>
          </w:tcPr>
          <w:p w14:paraId="2325A221">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default" w:ascii="Times New Roman" w:hAnsi="Times New Roman" w:eastAsia="宋体" w:cs="Times New Roman"/>
                <w:b w:val="0"/>
                <w:bCs/>
                <w:smallCaps w:val="0"/>
                <w:color w:val="auto"/>
                <w:sz w:val="21"/>
                <w:szCs w:val="21"/>
                <w:highlight w:val="none"/>
                <w:u w:val="none"/>
              </w:rPr>
              <w:t>活化层退火废气</w:t>
            </w:r>
          </w:p>
        </w:tc>
        <w:tc>
          <w:tcPr>
            <w:tcW w:w="2863" w:type="dxa"/>
            <w:tcBorders>
              <w:tl2br w:val="nil"/>
              <w:tr2bl w:val="nil"/>
            </w:tcBorders>
            <w:noWrap w:val="0"/>
            <w:vAlign w:val="center"/>
          </w:tcPr>
          <w:p w14:paraId="6AEA0CAE">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4003" w:type="dxa"/>
            <w:tcBorders>
              <w:tl2br w:val="nil"/>
              <w:tr2bl w:val="nil"/>
            </w:tcBorders>
            <w:noWrap w:val="0"/>
            <w:vAlign w:val="center"/>
          </w:tcPr>
          <w:p w14:paraId="6DF4DABE">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1.1-2.3</w:t>
            </w:r>
          </w:p>
        </w:tc>
        <w:tc>
          <w:tcPr>
            <w:tcW w:w="4016" w:type="dxa"/>
            <w:tcBorders>
              <w:tl2br w:val="nil"/>
              <w:tr2bl w:val="nil"/>
            </w:tcBorders>
            <w:noWrap w:val="0"/>
            <w:vAlign w:val="center"/>
          </w:tcPr>
          <w:p w14:paraId="225AAED0">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9.16</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0.0192</w:t>
            </w:r>
          </w:p>
        </w:tc>
      </w:tr>
      <w:tr w14:paraId="2E15A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continue"/>
            <w:tcBorders>
              <w:tl2br w:val="nil"/>
              <w:tr2bl w:val="nil"/>
            </w:tcBorders>
            <w:noWrap w:val="0"/>
            <w:vAlign w:val="center"/>
          </w:tcPr>
          <w:p w14:paraId="08518595">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281" w:type="dxa"/>
            <w:vMerge w:val="continue"/>
            <w:tcBorders>
              <w:tl2br w:val="nil"/>
              <w:tr2bl w:val="nil"/>
            </w:tcBorders>
            <w:noWrap w:val="0"/>
            <w:vAlign w:val="center"/>
          </w:tcPr>
          <w:p w14:paraId="0E6972C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863" w:type="dxa"/>
            <w:tcBorders>
              <w:tl2br w:val="nil"/>
              <w:tr2bl w:val="nil"/>
            </w:tcBorders>
            <w:noWrap w:val="0"/>
            <w:vAlign w:val="center"/>
          </w:tcPr>
          <w:p w14:paraId="010287B7">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镉及其化合物</w:t>
            </w:r>
          </w:p>
        </w:tc>
        <w:tc>
          <w:tcPr>
            <w:tcW w:w="4003" w:type="dxa"/>
            <w:tcBorders>
              <w:tl2br w:val="nil"/>
              <w:tr2bl w:val="nil"/>
            </w:tcBorders>
            <w:noWrap w:val="0"/>
            <w:vAlign w:val="center"/>
          </w:tcPr>
          <w:p w14:paraId="7ACAA44B">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Times New Roman"/>
                <w:b w:val="0"/>
                <w:bCs/>
                <w:smallCaps w:val="0"/>
                <w:color w:val="auto"/>
                <w:sz w:val="21"/>
                <w:szCs w:val="21"/>
                <w:highlight w:val="none"/>
                <w:u w:val="none"/>
                <w:lang w:val="en-US" w:eastAsia="zh-CN"/>
              </w:rPr>
            </w:pPr>
            <w:r>
              <w:rPr>
                <w:rFonts w:hint="eastAsia" w:ascii="Times New Roman" w:hAnsi="Times New Roman" w:eastAsia="宋体" w:cs="Times New Roman"/>
                <w:b w:val="0"/>
                <w:bCs/>
                <w:smallCaps w:val="0"/>
                <w:snapToGrid/>
                <w:color w:val="auto"/>
                <w:kern w:val="0"/>
                <w:sz w:val="21"/>
                <w:szCs w:val="21"/>
                <w:highlight w:val="none"/>
                <w:u w:val="none"/>
                <w:lang w:val="en-US" w:eastAsia="zh-CN"/>
              </w:rPr>
              <w:t>1.94</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5</w:t>
            </w:r>
            <w:r>
              <w:rPr>
                <w:rFonts w:hint="default" w:ascii="Times New Roman" w:hAnsi="Times New Roman" w:eastAsia="宋体" w:cs="Times New Roman"/>
                <w:b w:val="0"/>
                <w:bCs/>
                <w:smallCaps w:val="0"/>
                <w:color w:val="auto"/>
                <w:kern w:val="0"/>
                <w:sz w:val="21"/>
                <w:szCs w:val="21"/>
                <w:highlight w:val="none"/>
                <w:u w:val="none"/>
                <w:lang w:eastAsia="zh-CN"/>
              </w:rPr>
              <w:t>~</w:t>
            </w:r>
            <w:r>
              <w:rPr>
                <w:rFonts w:hint="eastAsia" w:ascii="Times New Roman" w:hAnsi="Times New Roman" w:eastAsia="宋体" w:cs="Times New Roman"/>
                <w:b w:val="0"/>
                <w:bCs/>
                <w:smallCaps w:val="0"/>
                <w:color w:val="auto"/>
                <w:kern w:val="0"/>
                <w:sz w:val="21"/>
                <w:szCs w:val="21"/>
                <w:highlight w:val="none"/>
                <w:u w:val="none"/>
                <w:lang w:val="en-US" w:eastAsia="zh-CN"/>
              </w:rPr>
              <w:t>2.21</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5</w:t>
            </w:r>
          </w:p>
        </w:tc>
        <w:tc>
          <w:tcPr>
            <w:tcW w:w="4016" w:type="dxa"/>
            <w:tcBorders>
              <w:tl2br w:val="nil"/>
              <w:tr2bl w:val="nil"/>
            </w:tcBorders>
            <w:noWrap w:val="0"/>
            <w:vAlign w:val="center"/>
          </w:tcPr>
          <w:p w14:paraId="6BDDE622">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lang w:val="en-US" w:eastAsia="zh-CN"/>
              </w:rPr>
            </w:pPr>
            <w:r>
              <w:rPr>
                <w:rFonts w:hint="eastAsia" w:ascii="Times New Roman" w:hAnsi="Times New Roman" w:eastAsia="宋体" w:cs="Times New Roman"/>
                <w:b w:val="0"/>
                <w:bCs/>
                <w:smallCaps w:val="0"/>
                <w:snapToGrid/>
                <w:color w:val="auto"/>
                <w:kern w:val="0"/>
                <w:sz w:val="21"/>
                <w:szCs w:val="21"/>
                <w:highlight w:val="none"/>
                <w:u w:val="none"/>
                <w:lang w:val="en-US" w:eastAsia="zh-CN"/>
              </w:rPr>
              <w:t>1.58</w:t>
            </w:r>
            <w:r>
              <w:rPr>
                <w:rFonts w:hint="default" w:ascii="Times New Roman" w:hAnsi="Times New Roman" w:eastAsia="宋体" w:cs="Times New Roman"/>
                <w:b w:val="0"/>
                <w:bCs/>
                <w:smallCaps w:val="0"/>
                <w:snapToGrid/>
                <w:color w:val="auto"/>
                <w:kern w:val="0"/>
                <w:sz w:val="21"/>
                <w:szCs w:val="21"/>
                <w:highlight w:val="none"/>
                <w:u w:val="none"/>
                <w:lang w:val="en-US" w:eastAsia="zh-CN"/>
              </w:rPr>
              <w:t>×10</w:t>
            </w:r>
            <w:r>
              <w:rPr>
                <w:rFonts w:hint="default" w:ascii="Times New Roman" w:hAnsi="Times New Roman" w:eastAsia="宋体" w:cs="Times New Roman"/>
                <w:b w:val="0"/>
                <w:bCs/>
                <w:smallCaps w:val="0"/>
                <w:snapToGrid/>
                <w:color w:val="auto"/>
                <w:kern w:val="0"/>
                <w:sz w:val="21"/>
                <w:szCs w:val="21"/>
                <w:highlight w:val="none"/>
                <w:u w:val="none"/>
                <w:vertAlign w:val="superscript"/>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vertAlign w:val="superscript"/>
                <w:lang w:val="en-US" w:eastAsia="zh-CN"/>
              </w:rPr>
              <w:t>7</w:t>
            </w:r>
            <w:r>
              <w:rPr>
                <w:rFonts w:hint="default" w:ascii="Times New Roman" w:hAnsi="Times New Roman" w:eastAsia="宋体" w:cs="Times New Roman"/>
                <w:b w:val="0"/>
                <w:bCs/>
                <w:smallCaps w:val="0"/>
                <w:snapToGrid/>
                <w:color w:val="auto"/>
                <w:kern w:val="0"/>
                <w:sz w:val="21"/>
                <w:szCs w:val="21"/>
                <w:highlight w:val="none"/>
                <w:u w:val="none"/>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lang w:val="en-US" w:eastAsia="zh-CN"/>
              </w:rPr>
              <w:t>1.81</w:t>
            </w:r>
            <w:r>
              <w:rPr>
                <w:rFonts w:hint="default" w:ascii="Times New Roman" w:hAnsi="Times New Roman" w:eastAsia="宋体" w:cs="Times New Roman"/>
                <w:b w:val="0"/>
                <w:bCs/>
                <w:smallCaps w:val="0"/>
                <w:snapToGrid/>
                <w:color w:val="auto"/>
                <w:kern w:val="0"/>
                <w:sz w:val="21"/>
                <w:szCs w:val="21"/>
                <w:highlight w:val="none"/>
                <w:u w:val="none"/>
                <w:lang w:val="en-US" w:eastAsia="zh-CN"/>
              </w:rPr>
              <w:t>×10</w:t>
            </w:r>
            <w:r>
              <w:rPr>
                <w:rFonts w:hint="default" w:ascii="Times New Roman" w:hAnsi="Times New Roman" w:eastAsia="宋体" w:cs="Times New Roman"/>
                <w:b w:val="0"/>
                <w:bCs/>
                <w:smallCaps w:val="0"/>
                <w:snapToGrid/>
                <w:color w:val="auto"/>
                <w:kern w:val="0"/>
                <w:sz w:val="21"/>
                <w:szCs w:val="21"/>
                <w:highlight w:val="none"/>
                <w:u w:val="none"/>
                <w:vertAlign w:val="superscript"/>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vertAlign w:val="superscript"/>
                <w:lang w:val="en-US" w:eastAsia="zh-CN"/>
              </w:rPr>
              <w:t>7</w:t>
            </w:r>
          </w:p>
        </w:tc>
      </w:tr>
      <w:tr w14:paraId="6F625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continue"/>
            <w:tcBorders>
              <w:tl2br w:val="nil"/>
              <w:tr2bl w:val="nil"/>
            </w:tcBorders>
            <w:noWrap w:val="0"/>
            <w:vAlign w:val="center"/>
          </w:tcPr>
          <w:p w14:paraId="7FF615F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281" w:type="dxa"/>
            <w:vMerge w:val="restart"/>
            <w:tcBorders>
              <w:tl2br w:val="nil"/>
              <w:tr2bl w:val="nil"/>
            </w:tcBorders>
            <w:noWrap w:val="0"/>
            <w:vAlign w:val="center"/>
          </w:tcPr>
          <w:p w14:paraId="7E1E4EE0">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r>
              <w:rPr>
                <w:rFonts w:hint="eastAsia" w:ascii="Times New Roman" w:hAnsi="Times New Roman" w:eastAsia="宋体" w:cs="Times New Roman"/>
                <w:b w:val="0"/>
                <w:bCs/>
                <w:smallCaps w:val="0"/>
                <w:color w:val="auto"/>
                <w:sz w:val="21"/>
                <w:szCs w:val="21"/>
                <w:highlight w:val="none"/>
                <w:u w:val="none"/>
                <w:lang w:val="en-US" w:eastAsia="zh-CN"/>
              </w:rPr>
              <w:t>P1、P2</w:t>
            </w:r>
            <w:r>
              <w:rPr>
                <w:rFonts w:hint="default" w:ascii="Times New Roman" w:hAnsi="Times New Roman" w:eastAsia="宋体" w:cs="Times New Roman"/>
                <w:b w:val="0"/>
                <w:bCs/>
                <w:smallCaps w:val="0"/>
                <w:color w:val="auto"/>
                <w:sz w:val="21"/>
                <w:szCs w:val="21"/>
                <w:highlight w:val="none"/>
                <w:u w:val="none"/>
              </w:rPr>
              <w:t>激光</w:t>
            </w:r>
            <w:r>
              <w:rPr>
                <w:rFonts w:hint="eastAsia" w:ascii="Times New Roman" w:hAnsi="Times New Roman" w:eastAsia="宋体" w:cs="Times New Roman"/>
                <w:b w:val="0"/>
                <w:bCs/>
                <w:smallCaps w:val="0"/>
                <w:color w:val="auto"/>
                <w:sz w:val="21"/>
                <w:szCs w:val="21"/>
                <w:highlight w:val="none"/>
                <w:u w:val="none"/>
                <w:lang w:val="en-US" w:eastAsia="zh-CN"/>
              </w:rPr>
              <w:t>刻线</w:t>
            </w:r>
            <w:r>
              <w:rPr>
                <w:rFonts w:hint="default" w:ascii="Times New Roman" w:hAnsi="Times New Roman" w:eastAsia="宋体" w:cs="Times New Roman"/>
                <w:b w:val="0"/>
                <w:bCs/>
                <w:smallCaps w:val="0"/>
                <w:color w:val="auto"/>
                <w:sz w:val="21"/>
                <w:szCs w:val="21"/>
                <w:highlight w:val="none"/>
                <w:u w:val="none"/>
              </w:rPr>
              <w:t>废气</w:t>
            </w:r>
          </w:p>
        </w:tc>
        <w:tc>
          <w:tcPr>
            <w:tcW w:w="2863" w:type="dxa"/>
            <w:tcBorders>
              <w:tl2br w:val="nil"/>
              <w:tr2bl w:val="nil"/>
            </w:tcBorders>
            <w:noWrap w:val="0"/>
            <w:vAlign w:val="center"/>
          </w:tcPr>
          <w:p w14:paraId="1C14AC65">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颗粒物</w:t>
            </w:r>
          </w:p>
        </w:tc>
        <w:tc>
          <w:tcPr>
            <w:tcW w:w="4003" w:type="dxa"/>
            <w:tcBorders>
              <w:tl2br w:val="nil"/>
              <w:tr2bl w:val="nil"/>
            </w:tcBorders>
            <w:noWrap w:val="0"/>
            <w:vAlign w:val="center"/>
          </w:tcPr>
          <w:p w14:paraId="634FCBDD">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snapToGrid/>
                <w:color w:val="auto"/>
                <w:kern w:val="0"/>
                <w:sz w:val="21"/>
                <w:szCs w:val="21"/>
                <w:highlight w:val="none"/>
                <w:u w:val="none"/>
                <w:lang w:val="en-US" w:eastAsia="zh-CN"/>
              </w:rPr>
            </w:pPr>
            <w:r>
              <w:rPr>
                <w:rFonts w:hint="eastAsia" w:ascii="Times New Roman" w:hAnsi="Times New Roman" w:eastAsia="宋体" w:cs="Times New Roman"/>
                <w:b w:val="0"/>
                <w:bCs/>
                <w:smallCaps w:val="0"/>
                <w:snapToGrid/>
                <w:color w:val="auto"/>
                <w:kern w:val="0"/>
                <w:sz w:val="21"/>
                <w:szCs w:val="21"/>
                <w:highlight w:val="none"/>
                <w:u w:val="none"/>
                <w:lang w:val="en-US" w:eastAsia="zh-CN"/>
              </w:rPr>
              <w:t>1.1-2.5</w:t>
            </w:r>
          </w:p>
        </w:tc>
        <w:tc>
          <w:tcPr>
            <w:tcW w:w="4016" w:type="dxa"/>
            <w:tcBorders>
              <w:tl2br w:val="nil"/>
              <w:tr2bl w:val="nil"/>
            </w:tcBorders>
            <w:noWrap w:val="0"/>
            <w:vAlign w:val="center"/>
          </w:tcPr>
          <w:p w14:paraId="78F7FA03">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Times New Roman"/>
                <w:b w:val="0"/>
                <w:bCs/>
                <w:smallCaps w:val="0"/>
                <w:snapToGrid/>
                <w:color w:val="auto"/>
                <w:kern w:val="0"/>
                <w:sz w:val="21"/>
                <w:szCs w:val="21"/>
                <w:highlight w:val="none"/>
                <w:u w:val="none"/>
                <w:lang w:val="en-US" w:eastAsia="zh-CN"/>
              </w:rPr>
            </w:pPr>
            <w:r>
              <w:rPr>
                <w:rFonts w:hint="eastAsia" w:ascii="Times New Roman" w:hAnsi="Times New Roman" w:eastAsia="宋体" w:cs="Times New Roman"/>
                <w:b w:val="0"/>
                <w:bCs/>
                <w:smallCaps w:val="0"/>
                <w:color w:val="auto"/>
                <w:kern w:val="0"/>
                <w:sz w:val="21"/>
                <w:szCs w:val="21"/>
                <w:highlight w:val="none"/>
                <w:u w:val="none"/>
                <w:lang w:val="en-US" w:eastAsia="zh-CN"/>
              </w:rPr>
              <w:t>1.70</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r>
              <w:rPr>
                <w:rFonts w:hint="default" w:ascii="Times New Roman" w:hAnsi="Times New Roman" w:eastAsia="宋体" w:cs="Times New Roman"/>
                <w:b w:val="0"/>
                <w:bCs/>
                <w:smallCaps w:val="0"/>
                <w:color w:val="auto"/>
                <w:kern w:val="0"/>
                <w:sz w:val="21"/>
                <w:szCs w:val="21"/>
                <w:highlight w:val="none"/>
                <w:u w:val="none"/>
              </w:rPr>
              <w:t>~</w:t>
            </w:r>
            <w:r>
              <w:rPr>
                <w:rFonts w:hint="eastAsia" w:ascii="Times New Roman" w:hAnsi="Times New Roman" w:eastAsia="宋体" w:cs="Times New Roman"/>
                <w:b w:val="0"/>
                <w:bCs/>
                <w:smallCaps w:val="0"/>
                <w:color w:val="auto"/>
                <w:kern w:val="0"/>
                <w:sz w:val="21"/>
                <w:szCs w:val="21"/>
                <w:highlight w:val="none"/>
                <w:u w:val="none"/>
                <w:lang w:val="en-US" w:eastAsia="zh-CN"/>
              </w:rPr>
              <w:t>3.71</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-3</w:t>
            </w:r>
          </w:p>
        </w:tc>
      </w:tr>
      <w:tr w14:paraId="5F94F8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dxa"/>
            <w:vMerge w:val="continue"/>
            <w:tcBorders>
              <w:tl2br w:val="nil"/>
              <w:tr2bl w:val="nil"/>
            </w:tcBorders>
            <w:noWrap w:val="0"/>
            <w:vAlign w:val="center"/>
          </w:tcPr>
          <w:p w14:paraId="110C7769">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281" w:type="dxa"/>
            <w:vMerge w:val="continue"/>
            <w:tcBorders>
              <w:tl2br w:val="nil"/>
              <w:tr2bl w:val="nil"/>
            </w:tcBorders>
            <w:noWrap w:val="0"/>
            <w:vAlign w:val="center"/>
          </w:tcPr>
          <w:p w14:paraId="34156163">
            <w:pPr>
              <w:pStyle w:val="66"/>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smallCaps w:val="0"/>
                <w:color w:val="auto"/>
                <w:sz w:val="21"/>
                <w:szCs w:val="21"/>
                <w:highlight w:val="none"/>
                <w:u w:val="none"/>
              </w:rPr>
            </w:pPr>
          </w:p>
        </w:tc>
        <w:tc>
          <w:tcPr>
            <w:tcW w:w="2863" w:type="dxa"/>
            <w:tcBorders>
              <w:tl2br w:val="nil"/>
              <w:tr2bl w:val="nil"/>
            </w:tcBorders>
            <w:noWrap w:val="0"/>
            <w:vAlign w:val="center"/>
          </w:tcPr>
          <w:p w14:paraId="43EB625C">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smallCaps w:val="0"/>
                <w:snapToGrid w:val="0"/>
                <w:color w:val="auto"/>
                <w:sz w:val="21"/>
                <w:szCs w:val="21"/>
                <w:highlight w:val="none"/>
                <w:u w:val="none"/>
              </w:rPr>
            </w:pPr>
            <w:r>
              <w:rPr>
                <w:rFonts w:hint="default" w:ascii="Times New Roman" w:hAnsi="Times New Roman" w:eastAsia="宋体" w:cs="Times New Roman"/>
                <w:b w:val="0"/>
                <w:bCs/>
                <w:smallCaps w:val="0"/>
                <w:snapToGrid w:val="0"/>
                <w:color w:val="auto"/>
                <w:sz w:val="21"/>
                <w:szCs w:val="21"/>
                <w:highlight w:val="none"/>
                <w:u w:val="none"/>
              </w:rPr>
              <w:t>镉及其化合物</w:t>
            </w:r>
          </w:p>
        </w:tc>
        <w:tc>
          <w:tcPr>
            <w:tcW w:w="4003" w:type="dxa"/>
            <w:tcBorders>
              <w:tl2br w:val="nil"/>
              <w:tr2bl w:val="nil"/>
            </w:tcBorders>
            <w:noWrap w:val="0"/>
            <w:vAlign w:val="center"/>
          </w:tcPr>
          <w:p w14:paraId="090DAF13">
            <w:pPr>
              <w:pStyle w:val="66"/>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smallCaps w:val="0"/>
                <w:snapToGrid/>
                <w:color w:val="auto"/>
                <w:kern w:val="0"/>
                <w:sz w:val="21"/>
                <w:szCs w:val="21"/>
                <w:highlight w:val="none"/>
                <w:u w:val="none"/>
                <w:lang w:val="en-US" w:eastAsia="zh-CN"/>
              </w:rPr>
            </w:pPr>
            <w:r>
              <w:rPr>
                <w:rFonts w:hint="eastAsia" w:ascii="Times New Roman" w:hAnsi="Times New Roman" w:eastAsia="宋体" w:cs="Times New Roman"/>
                <w:b w:val="0"/>
                <w:bCs/>
                <w:smallCaps w:val="0"/>
                <w:snapToGrid/>
                <w:color w:val="auto"/>
                <w:kern w:val="0"/>
                <w:sz w:val="21"/>
                <w:szCs w:val="21"/>
                <w:highlight w:val="none"/>
                <w:u w:val="none"/>
                <w:lang w:val="en-US" w:eastAsia="zh-CN"/>
              </w:rPr>
              <w:t>2.44</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5</w:t>
            </w:r>
            <w:r>
              <w:rPr>
                <w:rFonts w:hint="default" w:ascii="Times New Roman" w:hAnsi="Times New Roman" w:eastAsia="宋体" w:cs="Times New Roman"/>
                <w:b w:val="0"/>
                <w:bCs/>
                <w:smallCaps w:val="0"/>
                <w:color w:val="auto"/>
                <w:kern w:val="0"/>
                <w:sz w:val="21"/>
                <w:szCs w:val="21"/>
                <w:highlight w:val="none"/>
                <w:u w:val="none"/>
                <w:lang w:eastAsia="zh-CN"/>
              </w:rPr>
              <w:t>~</w:t>
            </w:r>
            <w:r>
              <w:rPr>
                <w:rFonts w:hint="eastAsia" w:ascii="Times New Roman" w:hAnsi="Times New Roman" w:eastAsia="宋体" w:cs="Times New Roman"/>
                <w:b w:val="0"/>
                <w:bCs/>
                <w:smallCaps w:val="0"/>
                <w:color w:val="auto"/>
                <w:kern w:val="0"/>
                <w:sz w:val="21"/>
                <w:szCs w:val="21"/>
                <w:highlight w:val="none"/>
                <w:u w:val="none"/>
                <w:lang w:val="en-US" w:eastAsia="zh-CN"/>
              </w:rPr>
              <w:t>2.75</w:t>
            </w:r>
            <w:r>
              <w:rPr>
                <w:rFonts w:hint="default" w:ascii="Times New Roman" w:hAnsi="Times New Roman" w:eastAsia="宋体" w:cs="Times New Roman"/>
                <w:b w:val="0"/>
                <w:bCs/>
                <w:smallCaps w:val="0"/>
                <w:color w:val="auto"/>
                <w:kern w:val="0"/>
                <w:sz w:val="21"/>
                <w:szCs w:val="21"/>
                <w:highlight w:val="none"/>
                <w:u w:val="none"/>
              </w:rPr>
              <w:t>×10</w:t>
            </w:r>
            <w:r>
              <w:rPr>
                <w:rFonts w:hint="default" w:ascii="Times New Roman" w:hAnsi="Times New Roman" w:eastAsia="宋体" w:cs="Times New Roman"/>
                <w:b w:val="0"/>
                <w:bCs/>
                <w:smallCaps w:val="0"/>
                <w:color w:val="auto"/>
                <w:kern w:val="0"/>
                <w:sz w:val="21"/>
                <w:szCs w:val="21"/>
                <w:highlight w:val="none"/>
                <w:u w:val="none"/>
                <w:vertAlign w:val="superscript"/>
              </w:rPr>
              <w:t>-</w:t>
            </w:r>
            <w:r>
              <w:rPr>
                <w:rFonts w:hint="eastAsia" w:ascii="Times New Roman" w:hAnsi="Times New Roman" w:eastAsia="宋体" w:cs="Times New Roman"/>
                <w:b w:val="0"/>
                <w:bCs/>
                <w:smallCaps w:val="0"/>
                <w:color w:val="auto"/>
                <w:kern w:val="0"/>
                <w:sz w:val="21"/>
                <w:szCs w:val="21"/>
                <w:highlight w:val="none"/>
                <w:u w:val="none"/>
                <w:vertAlign w:val="superscript"/>
                <w:lang w:val="en-US" w:eastAsia="zh-CN"/>
              </w:rPr>
              <w:t>5</w:t>
            </w:r>
          </w:p>
        </w:tc>
        <w:tc>
          <w:tcPr>
            <w:tcW w:w="4016" w:type="dxa"/>
            <w:tcBorders>
              <w:tl2br w:val="nil"/>
              <w:tr2bl w:val="nil"/>
            </w:tcBorders>
            <w:noWrap w:val="0"/>
            <w:vAlign w:val="center"/>
          </w:tcPr>
          <w:p w14:paraId="0D3EA337">
            <w:pPr>
              <w:pStyle w:val="66"/>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smallCaps w:val="0"/>
                <w:snapToGrid/>
                <w:color w:val="auto"/>
                <w:kern w:val="0"/>
                <w:sz w:val="21"/>
                <w:szCs w:val="21"/>
                <w:highlight w:val="none"/>
                <w:u w:val="none"/>
                <w:lang w:val="en-US" w:eastAsia="zh-CN"/>
              </w:rPr>
            </w:pPr>
            <w:r>
              <w:rPr>
                <w:rFonts w:hint="eastAsia" w:ascii="Times New Roman" w:hAnsi="Times New Roman" w:eastAsia="宋体" w:cs="Times New Roman"/>
                <w:b w:val="0"/>
                <w:bCs/>
                <w:smallCaps w:val="0"/>
                <w:snapToGrid/>
                <w:color w:val="auto"/>
                <w:kern w:val="0"/>
                <w:sz w:val="21"/>
                <w:szCs w:val="21"/>
                <w:highlight w:val="none"/>
                <w:u w:val="none"/>
                <w:lang w:val="en-US" w:eastAsia="zh-CN"/>
              </w:rPr>
              <w:t>3.70</w:t>
            </w:r>
            <w:r>
              <w:rPr>
                <w:rFonts w:hint="default" w:ascii="Times New Roman" w:hAnsi="Times New Roman" w:eastAsia="宋体" w:cs="Times New Roman"/>
                <w:b w:val="0"/>
                <w:bCs/>
                <w:smallCaps w:val="0"/>
                <w:snapToGrid/>
                <w:color w:val="auto"/>
                <w:kern w:val="0"/>
                <w:sz w:val="21"/>
                <w:szCs w:val="21"/>
                <w:highlight w:val="none"/>
                <w:u w:val="none"/>
                <w:lang w:val="en-US" w:eastAsia="zh-CN"/>
              </w:rPr>
              <w:t>×10</w:t>
            </w:r>
            <w:r>
              <w:rPr>
                <w:rFonts w:hint="default" w:ascii="Times New Roman" w:hAnsi="Times New Roman" w:eastAsia="宋体" w:cs="Times New Roman"/>
                <w:b w:val="0"/>
                <w:bCs/>
                <w:smallCaps w:val="0"/>
                <w:snapToGrid/>
                <w:color w:val="auto"/>
                <w:kern w:val="0"/>
                <w:sz w:val="21"/>
                <w:szCs w:val="21"/>
                <w:highlight w:val="none"/>
                <w:u w:val="none"/>
                <w:vertAlign w:val="superscript"/>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vertAlign w:val="superscript"/>
                <w:lang w:val="en-US" w:eastAsia="zh-CN"/>
              </w:rPr>
              <w:t>8</w:t>
            </w:r>
            <w:r>
              <w:rPr>
                <w:rFonts w:hint="default" w:ascii="Times New Roman" w:hAnsi="Times New Roman" w:eastAsia="宋体" w:cs="Times New Roman"/>
                <w:b w:val="0"/>
                <w:bCs/>
                <w:smallCaps w:val="0"/>
                <w:snapToGrid/>
                <w:color w:val="auto"/>
                <w:kern w:val="0"/>
                <w:sz w:val="21"/>
                <w:szCs w:val="21"/>
                <w:highlight w:val="none"/>
                <w:u w:val="none"/>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lang w:val="en-US" w:eastAsia="zh-CN"/>
              </w:rPr>
              <w:t>4.05</w:t>
            </w:r>
            <w:r>
              <w:rPr>
                <w:rFonts w:hint="default" w:ascii="Times New Roman" w:hAnsi="Times New Roman" w:eastAsia="宋体" w:cs="Times New Roman"/>
                <w:b w:val="0"/>
                <w:bCs/>
                <w:smallCaps w:val="0"/>
                <w:snapToGrid/>
                <w:color w:val="auto"/>
                <w:kern w:val="0"/>
                <w:sz w:val="21"/>
                <w:szCs w:val="21"/>
                <w:highlight w:val="none"/>
                <w:u w:val="none"/>
                <w:lang w:val="en-US" w:eastAsia="zh-CN"/>
              </w:rPr>
              <w:t>×10</w:t>
            </w:r>
            <w:r>
              <w:rPr>
                <w:rFonts w:hint="default" w:ascii="Times New Roman" w:hAnsi="Times New Roman" w:eastAsia="宋体" w:cs="Times New Roman"/>
                <w:b w:val="0"/>
                <w:bCs/>
                <w:smallCaps w:val="0"/>
                <w:snapToGrid/>
                <w:color w:val="auto"/>
                <w:kern w:val="0"/>
                <w:sz w:val="21"/>
                <w:szCs w:val="21"/>
                <w:highlight w:val="none"/>
                <w:u w:val="none"/>
                <w:vertAlign w:val="superscript"/>
                <w:lang w:val="en-US" w:eastAsia="zh-CN"/>
              </w:rPr>
              <w:t>-</w:t>
            </w:r>
            <w:r>
              <w:rPr>
                <w:rFonts w:hint="eastAsia" w:ascii="Times New Roman" w:hAnsi="Times New Roman" w:eastAsia="宋体" w:cs="Times New Roman"/>
                <w:b w:val="0"/>
                <w:bCs/>
                <w:smallCaps w:val="0"/>
                <w:snapToGrid/>
                <w:color w:val="auto"/>
                <w:kern w:val="0"/>
                <w:sz w:val="21"/>
                <w:szCs w:val="21"/>
                <w:highlight w:val="none"/>
                <w:u w:val="none"/>
                <w:vertAlign w:val="superscript"/>
                <w:lang w:val="en-US" w:eastAsia="zh-CN"/>
              </w:rPr>
              <w:t>8</w:t>
            </w:r>
          </w:p>
        </w:tc>
      </w:tr>
    </w:tbl>
    <w:p w14:paraId="1FF39BBB">
      <w:pPr>
        <w:pStyle w:val="65"/>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eastAsia="宋体"/>
          <w:caps w:val="0"/>
          <w:smallCaps w:val="0"/>
          <w:color w:val="auto"/>
          <w:spacing w:val="0"/>
          <w:kern w:val="0"/>
          <w:szCs w:val="24"/>
          <w:highlight w:val="none"/>
          <w:lang w:val="en-US" w:eastAsia="zh-CN" w:bidi="ar"/>
        </w:rPr>
      </w:pPr>
      <w:r>
        <w:rPr>
          <w:rFonts w:hint="eastAsia" w:eastAsia="宋体"/>
          <w:caps w:val="0"/>
          <w:smallCaps w:val="0"/>
          <w:color w:val="auto"/>
          <w:spacing w:val="0"/>
          <w:kern w:val="0"/>
          <w:szCs w:val="24"/>
          <w:highlight w:val="none"/>
          <w:lang w:val="en-US" w:eastAsia="zh-CN" w:bidi="ar"/>
        </w:rPr>
        <w:t>综上，</w:t>
      </w:r>
      <w:r>
        <w:rPr>
          <w:rFonts w:ascii="Segoe UI" w:hAnsi="Segoe UI" w:eastAsia="Segoe UI" w:cs="Segoe UI"/>
          <w:i w:val="0"/>
          <w:iCs w:val="0"/>
          <w:caps w:val="0"/>
          <w:color w:val="auto"/>
          <w:spacing w:val="0"/>
          <w:sz w:val="24"/>
          <w:szCs w:val="24"/>
          <w:highlight w:val="none"/>
          <w:shd w:val="clear" w:fill="FFFFFF"/>
        </w:rPr>
        <w:t>本工程</w:t>
      </w:r>
      <w:r>
        <w:rPr>
          <w:rFonts w:hint="eastAsia" w:eastAsia="宋体"/>
          <w:caps w:val="0"/>
          <w:smallCaps w:val="0"/>
          <w:color w:val="auto"/>
          <w:spacing w:val="0"/>
          <w:kern w:val="0"/>
          <w:szCs w:val="24"/>
          <w:highlight w:val="none"/>
          <w:lang w:val="en-US" w:eastAsia="zh-CN" w:bidi="ar"/>
        </w:rPr>
        <w:t>响</w:t>
      </w:r>
      <w:r>
        <w:rPr>
          <w:rFonts w:hint="eastAsia" w:ascii="Times New Roman" w:hAnsi="Times New Roman" w:eastAsia="宋体" w:cs="Times New Roman"/>
          <w:caps w:val="0"/>
          <w:smallCaps w:val="0"/>
          <w:color w:val="auto"/>
          <w:spacing w:val="0"/>
          <w:kern w:val="0"/>
          <w:szCs w:val="24"/>
          <w:highlight w:val="none"/>
          <w:lang w:val="en-US" w:eastAsia="zh-CN" w:bidi="ar"/>
        </w:rPr>
        <w:t>应关于重金属污染防控的相关政策要求。</w:t>
      </w:r>
      <w:r>
        <w:rPr>
          <w:rFonts w:hint="default" w:ascii="Times New Roman" w:hAnsi="Times New Roman" w:eastAsia="宋体" w:cs="Times New Roman"/>
          <w:caps w:val="0"/>
          <w:smallCaps w:val="0"/>
          <w:color w:val="auto"/>
          <w:spacing w:val="0"/>
          <w:kern w:val="0"/>
          <w:szCs w:val="24"/>
          <w:highlight w:val="none"/>
          <w:lang w:val="en-US" w:eastAsia="zh-CN" w:bidi="ar"/>
        </w:rPr>
        <w:t>通过对已投产的</w:t>
      </w:r>
      <w:r>
        <w:rPr>
          <w:rFonts w:hint="eastAsia" w:ascii="Times New Roman" w:hAnsi="Times New Roman" w:eastAsia="宋体" w:cs="Times New Roman"/>
          <w:caps w:val="0"/>
          <w:smallCaps w:val="0"/>
          <w:color w:val="auto"/>
          <w:spacing w:val="0"/>
          <w:kern w:val="0"/>
          <w:szCs w:val="24"/>
          <w:highlight w:val="none"/>
          <w:lang w:val="en-US" w:eastAsia="zh-CN" w:bidi="ar"/>
        </w:rPr>
        <w:t>瑞昌中建材光电材料有限公司年产100兆瓦碲化镉薄膜发电玻璃生产线项目和</w:t>
      </w:r>
      <w:r>
        <w:rPr>
          <w:rFonts w:hint="default" w:ascii="Times New Roman" w:hAnsi="Times New Roman" w:eastAsia="宋体" w:cs="Times New Roman"/>
          <w:caps w:val="0"/>
          <w:smallCaps w:val="0"/>
          <w:color w:val="auto"/>
          <w:spacing w:val="0"/>
          <w:kern w:val="0"/>
          <w:szCs w:val="24"/>
          <w:highlight w:val="none"/>
          <w:lang w:val="en-US" w:eastAsia="zh-CN" w:bidi="ar"/>
        </w:rPr>
        <w:t>中建材（株洲）光电材料有限公司年产300兆瓦碲化镉薄膜发电玻璃生产线项目的实际运行情况进行总结分析，</w:t>
      </w:r>
      <w:r>
        <w:rPr>
          <w:rFonts w:hint="eastAsia" w:ascii="Times New Roman" w:hAnsi="Times New Roman" w:eastAsia="宋体" w:cs="Times New Roman"/>
          <w:caps w:val="0"/>
          <w:smallCaps w:val="0"/>
          <w:color w:val="auto"/>
          <w:spacing w:val="0"/>
          <w:kern w:val="0"/>
          <w:szCs w:val="24"/>
          <w:highlight w:val="none"/>
          <w:lang w:val="en-US" w:eastAsia="zh-CN" w:bidi="ar"/>
        </w:rPr>
        <w:t>对本项目环保措施进行优化</w:t>
      </w:r>
      <w:r>
        <w:rPr>
          <w:rFonts w:hint="default" w:ascii="Times New Roman" w:hAnsi="Times New Roman" w:eastAsia="宋体" w:cs="Times New Roman"/>
          <w:caps w:val="0"/>
          <w:smallCaps w:val="0"/>
          <w:color w:val="auto"/>
          <w:spacing w:val="0"/>
          <w:kern w:val="0"/>
          <w:szCs w:val="24"/>
          <w:highlight w:val="none"/>
          <w:lang w:val="en-US" w:eastAsia="zh-CN" w:bidi="ar"/>
        </w:rPr>
        <w:t>与提升，以实现更高效、更可靠的污染防治。</w:t>
      </w:r>
    </w:p>
    <w:p w14:paraId="2A82B23F">
      <w:pPr>
        <w:pStyle w:val="65"/>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eastAsia="宋体" w:cs="Times New Roman"/>
          <w:bCs/>
          <w:caps w:val="0"/>
          <w:smallCaps w:val="0"/>
          <w:color w:val="auto"/>
          <w:spacing w:val="0"/>
          <w:sz w:val="24"/>
          <w:szCs w:val="24"/>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本项目CSS镀膜废气处理措施与</w:t>
      </w:r>
      <w:r>
        <w:rPr>
          <w:rFonts w:hint="eastAsia" w:ascii="Times New Roman" w:hAnsi="Times New Roman" w:eastAsia="宋体" w:cs="Times New Roman"/>
          <w:bCs/>
          <w:caps w:val="0"/>
          <w:smallCaps w:val="0"/>
          <w:color w:val="auto"/>
          <w:spacing w:val="0"/>
          <w:szCs w:val="21"/>
          <w:highlight w:val="none"/>
        </w:rPr>
        <w:t>瑞昌中建材</w:t>
      </w:r>
      <w:r>
        <w:rPr>
          <w:rFonts w:hint="eastAsia" w:ascii="Times New Roman" w:hAnsi="Times New Roman" w:eastAsia="宋体" w:cs="Times New Roman"/>
          <w:bCs/>
          <w:caps w:val="0"/>
          <w:smallCaps w:val="0"/>
          <w:color w:val="auto"/>
          <w:spacing w:val="0"/>
          <w:szCs w:val="21"/>
          <w:highlight w:val="none"/>
          <w:lang w:val="en-US" w:eastAsia="zh-CN"/>
        </w:rPr>
        <w:t>一致</w:t>
      </w:r>
      <w:r>
        <w:rPr>
          <w:rFonts w:hint="eastAsia" w:eastAsia="宋体" w:cs="Times New Roman"/>
          <w:bCs/>
          <w:caps w:val="0"/>
          <w:smallCaps w:val="0"/>
          <w:color w:val="auto"/>
          <w:spacing w:val="0"/>
          <w:szCs w:val="21"/>
          <w:highlight w:val="none"/>
          <w:lang w:val="en-US" w:eastAsia="zh-CN"/>
        </w:rPr>
        <w:t>，</w:t>
      </w:r>
      <w:r>
        <w:rPr>
          <w:rFonts w:hint="eastAsia" w:ascii="Times New Roman" w:hAnsi="Times New Roman" w:eastAsia="宋体" w:cs="Times New Roman"/>
          <w:bCs/>
          <w:caps w:val="0"/>
          <w:smallCaps w:val="0"/>
          <w:color w:val="auto"/>
          <w:spacing w:val="0"/>
          <w:szCs w:val="21"/>
          <w:highlight w:val="none"/>
          <w:lang w:val="en-US" w:eastAsia="zh-CN"/>
        </w:rPr>
        <w:t>株洲中建材较本项目增加一套F9级过滤器</w:t>
      </w:r>
      <w:r>
        <w:rPr>
          <w:rFonts w:hint="eastAsia" w:eastAsia="宋体" w:cs="Times New Roman"/>
          <w:bCs/>
          <w:caps w:val="0"/>
          <w:smallCaps w:val="0"/>
          <w:color w:val="auto"/>
          <w:spacing w:val="0"/>
          <w:szCs w:val="21"/>
          <w:highlight w:val="none"/>
          <w:lang w:val="en-US" w:eastAsia="zh-CN"/>
        </w:rPr>
        <w:t>；本项目活化层活化废气处理措施在株洲中建材的废气处理措施的基础上进行了优化，将H13级高效过滤器升级为H14级高效过滤器；膜层溅射废气与背电极磁控溅射废气</w:t>
      </w:r>
      <w:r>
        <w:rPr>
          <w:rFonts w:hint="eastAsia" w:ascii="Times New Roman" w:hAnsi="Times New Roman" w:eastAsia="宋体" w:cs="Times New Roman"/>
          <w:bCs/>
          <w:caps w:val="0"/>
          <w:smallCaps w:val="0"/>
          <w:color w:val="auto"/>
          <w:spacing w:val="0"/>
          <w:szCs w:val="21"/>
          <w:highlight w:val="none"/>
          <w:lang w:val="en-US" w:eastAsia="zh-CN"/>
        </w:rPr>
        <w:t>株洲中建材由于设备原因验收期间未进行检测</w:t>
      </w:r>
      <w:r>
        <w:rPr>
          <w:rFonts w:hint="eastAsia" w:eastAsia="宋体" w:cs="Times New Roman"/>
          <w:bCs/>
          <w:caps w:val="0"/>
          <w:smallCaps w:val="0"/>
          <w:color w:val="auto"/>
          <w:spacing w:val="0"/>
          <w:szCs w:val="21"/>
          <w:highlight w:val="none"/>
          <w:lang w:val="en-US" w:eastAsia="zh-CN"/>
        </w:rPr>
        <w:t>，本项目H14级高效离子过滤器处理效率优于瑞昌中建材的</w:t>
      </w:r>
      <w:r>
        <w:rPr>
          <w:rFonts w:hint="eastAsia" w:ascii="Times New Roman" w:hAnsi="Times New Roman" w:eastAsia="宋体" w:cs="Times New Roman"/>
          <w:bCs/>
          <w:caps w:val="0"/>
          <w:smallCaps w:val="0"/>
          <w:color w:val="auto"/>
          <w:spacing w:val="0"/>
          <w:szCs w:val="21"/>
          <w:highlight w:val="none"/>
          <w:lang w:val="en-US" w:eastAsia="zh-CN"/>
        </w:rPr>
        <w:t>自带过滤器</w:t>
      </w:r>
      <w:r>
        <w:rPr>
          <w:rFonts w:hint="eastAsia" w:eastAsia="宋体" w:cs="Times New Roman"/>
          <w:bCs/>
          <w:caps w:val="0"/>
          <w:smallCaps w:val="0"/>
          <w:color w:val="auto"/>
          <w:spacing w:val="0"/>
          <w:szCs w:val="21"/>
          <w:highlight w:val="none"/>
          <w:lang w:val="en-US" w:eastAsia="zh-CN"/>
        </w:rPr>
        <w:t>；P1-P4激光刻线废气</w:t>
      </w:r>
      <w:r>
        <w:rPr>
          <w:rFonts w:hint="eastAsia" w:ascii="Times New Roman" w:hAnsi="Times New Roman" w:eastAsia="宋体" w:cs="Times New Roman"/>
          <w:bCs/>
          <w:caps w:val="0"/>
          <w:smallCaps w:val="0"/>
          <w:color w:val="auto"/>
          <w:spacing w:val="0"/>
          <w:szCs w:val="21"/>
          <w:highlight w:val="none"/>
          <w:lang w:val="en-US" w:eastAsia="zh-CN"/>
        </w:rPr>
        <w:t>本项目与株洲中建材一致</w:t>
      </w:r>
      <w:r>
        <w:rPr>
          <w:rFonts w:hint="eastAsia" w:eastAsia="宋体" w:cs="Times New Roman"/>
          <w:bCs/>
          <w:caps w:val="0"/>
          <w:smallCaps w:val="0"/>
          <w:color w:val="auto"/>
          <w:spacing w:val="0"/>
          <w:szCs w:val="21"/>
          <w:highlight w:val="none"/>
          <w:lang w:val="en-US" w:eastAsia="zh-CN"/>
        </w:rPr>
        <w:t>；本项目较株洲中建</w:t>
      </w:r>
      <w:r>
        <w:rPr>
          <w:rFonts w:hint="eastAsia" w:eastAsia="宋体" w:cs="Times New Roman"/>
          <w:bCs/>
          <w:caps w:val="0"/>
          <w:smallCaps w:val="0"/>
          <w:color w:val="auto"/>
          <w:spacing w:val="0"/>
          <w:sz w:val="24"/>
          <w:szCs w:val="24"/>
          <w:highlight w:val="none"/>
          <w:lang w:val="en-US" w:eastAsia="zh-CN"/>
        </w:rPr>
        <w:t>材和瑞昌中建材新增P5和P6激光工序，工艺上与P4边缘处理一致。</w:t>
      </w:r>
    </w:p>
    <w:p w14:paraId="744D9435">
      <w:pPr>
        <w:pStyle w:val="65"/>
        <w:keepNext w:val="0"/>
        <w:keepLines w:val="0"/>
        <w:pageBreakBefore w:val="0"/>
        <w:widowControl w:val="0"/>
        <w:kinsoku/>
        <w:wordWrap/>
        <w:overflowPunct/>
        <w:topLinePunct w:val="0"/>
        <w:autoSpaceDE/>
        <w:autoSpaceDN/>
        <w:bidi w:val="0"/>
        <w:adjustRightInd/>
        <w:snapToGrid/>
        <w:ind w:firstLine="480"/>
        <w:jc w:val="both"/>
        <w:textAlignment w:val="auto"/>
        <w:rPr>
          <w:color w:val="auto"/>
          <w:sz w:val="24"/>
          <w:szCs w:val="24"/>
          <w:highlight w:val="none"/>
        </w:rPr>
      </w:pPr>
      <w:r>
        <w:rPr>
          <w:rFonts w:hint="eastAsia" w:eastAsia="宋体"/>
          <w:caps w:val="0"/>
          <w:smallCaps w:val="0"/>
          <w:color w:val="auto"/>
          <w:spacing w:val="0"/>
          <w:kern w:val="0"/>
          <w:sz w:val="24"/>
          <w:szCs w:val="24"/>
          <w:highlight w:val="none"/>
          <w:lang w:val="en-US" w:eastAsia="zh-CN" w:bidi="ar"/>
        </w:rPr>
        <w:t>综合考虑产能、沉淀效率、原料用量、环保设施处理效率及运行稳定性等方面因素，本工程涉废气污染源颗粒物取值如下：CSS镀膜废气为4.6mg/m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lang w:val="en-US" w:eastAsia="zh-CN" w:bidi="ar"/>
        </w:rPr>
        <w:t>、活化层退火废气为0.0102mg/m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lang w:val="en-US" w:eastAsia="zh-CN" w:bidi="ar"/>
        </w:rPr>
        <w:t>、P1-P3激光刻线废气均取1.25mg/m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、P</w:t>
      </w:r>
      <w:r>
        <w:rPr>
          <w:rFonts w:hint="eastAsia" w:eastAsia="宋体"/>
          <w:caps w:val="0"/>
          <w:smallCaps w:val="0"/>
          <w:color w:val="auto"/>
          <w:spacing w:val="0"/>
          <w:kern w:val="0"/>
          <w:sz w:val="24"/>
          <w:szCs w:val="24"/>
          <w:highlight w:val="none"/>
          <w:lang w:val="en-US" w:eastAsia="zh-CN" w:bidi="ar"/>
        </w:rPr>
        <w:t>4-P5激光刻线废气均取0.75mg/m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、P6</w:t>
      </w:r>
      <w:r>
        <w:rPr>
          <w:rFonts w:hint="eastAsia" w:eastAsia="宋体"/>
          <w:caps w:val="0"/>
          <w:smallCaps w:val="0"/>
          <w:color w:val="auto"/>
          <w:spacing w:val="0"/>
          <w:kern w:val="0"/>
          <w:sz w:val="24"/>
          <w:szCs w:val="24"/>
          <w:highlight w:val="none"/>
          <w:lang w:val="en-US" w:eastAsia="zh-CN" w:bidi="ar"/>
        </w:rPr>
        <w:t>颗粒物排放浓度为0.4mg/m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w:t>
      </w:r>
      <w:r>
        <w:rPr>
          <w:rFonts w:hint="eastAsia" w:ascii="Times New Roman" w:hAnsi="Times New Roman" w:eastAsia="宋体" w:cs="Times New Roman"/>
          <w:b w:val="0"/>
          <w:bCs/>
          <w:smallCaps w:val="0"/>
          <w:snapToGrid w:val="0"/>
          <w:color w:val="auto"/>
          <w:sz w:val="24"/>
          <w:szCs w:val="24"/>
          <w:highlight w:val="none"/>
          <w:u w:val="none"/>
          <w:lang w:val="en-US" w:eastAsia="zh-CN"/>
        </w:rPr>
        <w:t>膜层溅射</w:t>
      </w:r>
      <w:r>
        <w:rPr>
          <w:rFonts w:hint="eastAsia" w:eastAsia="宋体" w:cs="Times New Roman"/>
          <w:b w:val="0"/>
          <w:bCs/>
          <w:smallCaps w:val="0"/>
          <w:snapToGrid w:val="0"/>
          <w:color w:val="auto"/>
          <w:sz w:val="24"/>
          <w:szCs w:val="24"/>
          <w:highlight w:val="none"/>
          <w:u w:val="none"/>
          <w:lang w:val="en-US" w:eastAsia="zh-CN"/>
        </w:rPr>
        <w:t>及</w:t>
      </w:r>
      <w:r>
        <w:rPr>
          <w:rFonts w:hint="eastAsia" w:ascii="Times New Roman" w:hAnsi="Times New Roman" w:eastAsia="宋体" w:cs="Times New Roman"/>
          <w:b w:val="0"/>
          <w:bCs/>
          <w:smallCaps w:val="0"/>
          <w:snapToGrid w:val="0"/>
          <w:color w:val="auto"/>
          <w:sz w:val="24"/>
          <w:szCs w:val="24"/>
          <w:highlight w:val="none"/>
          <w:u w:val="none"/>
          <w:lang w:val="en-US" w:eastAsia="zh-CN"/>
        </w:rPr>
        <w:t>背电极磁控溅射废气</w:t>
      </w:r>
      <w:r>
        <w:rPr>
          <w:rFonts w:hint="eastAsia" w:eastAsia="宋体" w:cs="Times New Roman"/>
          <w:b w:val="0"/>
          <w:bCs/>
          <w:smallCaps w:val="0"/>
          <w:snapToGrid w:val="0"/>
          <w:color w:val="auto"/>
          <w:sz w:val="24"/>
          <w:szCs w:val="24"/>
          <w:highlight w:val="none"/>
          <w:u w:val="none"/>
          <w:lang w:val="en-US" w:eastAsia="zh-CN"/>
        </w:rPr>
        <w:t>颗粒物排放浓度分别取0.3</w:t>
      </w:r>
      <w:r>
        <w:rPr>
          <w:rFonts w:hint="eastAsia" w:eastAsia="宋体"/>
          <w:caps w:val="0"/>
          <w:smallCaps w:val="0"/>
          <w:color w:val="auto"/>
          <w:spacing w:val="0"/>
          <w:kern w:val="0"/>
          <w:sz w:val="24"/>
          <w:szCs w:val="24"/>
          <w:highlight w:val="none"/>
          <w:lang w:val="en-US" w:eastAsia="zh-CN" w:bidi="ar"/>
        </w:rPr>
        <w:t>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和0.6</w:t>
      </w:r>
      <w:r>
        <w:rPr>
          <w:rFonts w:hint="eastAsia" w:eastAsia="宋体"/>
          <w:caps w:val="0"/>
          <w:smallCaps w:val="0"/>
          <w:color w:val="auto"/>
          <w:spacing w:val="0"/>
          <w:kern w:val="0"/>
          <w:sz w:val="24"/>
          <w:szCs w:val="24"/>
          <w:highlight w:val="none"/>
          <w:lang w:val="en-US" w:eastAsia="zh-CN" w:bidi="ar"/>
        </w:rPr>
        <w:t>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lang w:val="en-US" w:eastAsia="zh-CN" w:bidi="ar"/>
        </w:rPr>
        <w:t>；镉及其化合物排放浓度取值如下：CSS镀膜废气为0.005mg/m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lang w:val="en-US" w:eastAsia="zh-CN" w:bidi="ar"/>
        </w:rPr>
        <w:t>、活化层退火废气为</w:t>
      </w:r>
      <w:r>
        <w:rPr>
          <w:rFonts w:hint="eastAsia" w:ascii="Times New Roman" w:hAnsi="Times New Roman" w:eastAsia="宋体" w:cs="Times New Roman"/>
          <w:b w:val="0"/>
          <w:bCs/>
          <w:smallCaps w:val="0"/>
          <w:color w:val="auto"/>
          <w:kern w:val="0"/>
          <w:sz w:val="24"/>
          <w:szCs w:val="24"/>
          <w:highlight w:val="none"/>
          <w:u w:val="none"/>
          <w:lang w:val="en-US" w:eastAsia="zh-CN"/>
        </w:rPr>
        <w:t>2.21</w:t>
      </w:r>
      <w:r>
        <w:rPr>
          <w:rFonts w:hint="default" w:ascii="Times New Roman" w:hAnsi="Times New Roman" w:eastAsia="宋体" w:cs="Times New Roman"/>
          <w:b w:val="0"/>
          <w:bCs/>
          <w:smallCaps w:val="0"/>
          <w:color w:val="auto"/>
          <w:kern w:val="0"/>
          <w:sz w:val="24"/>
          <w:szCs w:val="24"/>
          <w:highlight w:val="none"/>
          <w:u w:val="none"/>
        </w:rPr>
        <w:t>×10</w:t>
      </w:r>
      <w:r>
        <w:rPr>
          <w:rFonts w:hint="default" w:ascii="Times New Roman" w:hAnsi="Times New Roman" w:eastAsia="宋体" w:cs="Times New Roman"/>
          <w:b w:val="0"/>
          <w:bCs/>
          <w:smallCaps w:val="0"/>
          <w:color w:val="auto"/>
          <w:kern w:val="0"/>
          <w:sz w:val="24"/>
          <w:szCs w:val="24"/>
          <w:highlight w:val="none"/>
          <w:u w:val="none"/>
          <w:vertAlign w:val="superscript"/>
        </w:rPr>
        <w:t>-</w:t>
      </w:r>
      <w:r>
        <w:rPr>
          <w:rFonts w:hint="eastAsia" w:ascii="Times New Roman" w:hAnsi="Times New Roman" w:eastAsia="宋体" w:cs="Times New Roman"/>
          <w:b w:val="0"/>
          <w:bCs/>
          <w:smallCaps w:val="0"/>
          <w:color w:val="auto"/>
          <w:kern w:val="0"/>
          <w:sz w:val="24"/>
          <w:szCs w:val="24"/>
          <w:highlight w:val="none"/>
          <w:u w:val="none"/>
          <w:vertAlign w:val="superscript"/>
          <w:lang w:val="en-US" w:eastAsia="zh-CN"/>
        </w:rPr>
        <w:t>5</w:t>
      </w:r>
      <w:r>
        <w:rPr>
          <w:rFonts w:hint="eastAsia" w:eastAsia="宋体"/>
          <w:caps w:val="0"/>
          <w:smallCaps w:val="0"/>
          <w:color w:val="auto"/>
          <w:spacing w:val="0"/>
          <w:kern w:val="0"/>
          <w:sz w:val="24"/>
          <w:szCs w:val="24"/>
          <w:highlight w:val="none"/>
          <w:lang w:val="en-US" w:eastAsia="zh-CN" w:bidi="ar"/>
        </w:rPr>
        <w:t>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lang w:val="en-US" w:eastAsia="zh-CN" w:bidi="ar"/>
        </w:rPr>
        <w:t>、P1-P4激光刻线废气均取0.0005mg/m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、P</w:t>
      </w:r>
      <w:r>
        <w:rPr>
          <w:rFonts w:hint="eastAsia" w:eastAsia="宋体"/>
          <w:caps w:val="0"/>
          <w:smallCaps w:val="0"/>
          <w:color w:val="auto"/>
          <w:spacing w:val="0"/>
          <w:kern w:val="0"/>
          <w:sz w:val="24"/>
          <w:szCs w:val="24"/>
          <w:highlight w:val="none"/>
          <w:lang w:val="en-US" w:eastAsia="zh-CN" w:bidi="ar"/>
        </w:rPr>
        <w:t>5激光工序废气均取0.0003mg/m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、P6</w:t>
      </w:r>
      <w:r>
        <w:rPr>
          <w:rFonts w:hint="eastAsia" w:eastAsia="宋体"/>
          <w:caps w:val="0"/>
          <w:smallCaps w:val="0"/>
          <w:color w:val="auto"/>
          <w:spacing w:val="0"/>
          <w:kern w:val="0"/>
          <w:sz w:val="24"/>
          <w:szCs w:val="24"/>
          <w:highlight w:val="none"/>
          <w:lang w:val="en-US" w:eastAsia="zh-CN" w:bidi="ar"/>
        </w:rPr>
        <w:t>激光工序废气取0.0002mg/m</w:t>
      </w:r>
      <w:r>
        <w:rPr>
          <w:rFonts w:hint="eastAsia" w:eastAsia="宋体"/>
          <w:caps w:val="0"/>
          <w:smallCaps w:val="0"/>
          <w:color w:val="auto"/>
          <w:spacing w:val="0"/>
          <w:kern w:val="0"/>
          <w:sz w:val="24"/>
          <w:szCs w:val="24"/>
          <w:highlight w:val="none"/>
          <w:vertAlign w:val="superscript"/>
          <w:lang w:val="en-US" w:eastAsia="zh-CN" w:bidi="ar"/>
        </w:rPr>
        <w:t>3</w:t>
      </w:r>
      <w:r>
        <w:rPr>
          <w:rFonts w:hint="eastAsia" w:eastAsia="宋体"/>
          <w:caps w:val="0"/>
          <w:smallCaps w:val="0"/>
          <w:color w:val="auto"/>
          <w:spacing w:val="0"/>
          <w:kern w:val="0"/>
          <w:sz w:val="24"/>
          <w:szCs w:val="24"/>
          <w:highlight w:val="none"/>
          <w:vertAlign w:val="baseline"/>
          <w:lang w:val="en-US" w:eastAsia="zh-CN" w:bidi="ar"/>
        </w:rPr>
        <w:t>。</w:t>
      </w:r>
    </w:p>
    <w:p w14:paraId="59695A67">
      <w:pPr>
        <w:pStyle w:val="4"/>
        <w:widowControl w:val="0"/>
        <w:rPr>
          <w:rFonts w:eastAsia="宋体"/>
          <w:caps w:val="0"/>
          <w:smallCaps w:val="0"/>
          <w:color w:val="auto"/>
          <w:spacing w:val="0"/>
          <w:highlight w:val="none"/>
        </w:rPr>
      </w:pPr>
      <w:bookmarkStart w:id="105" w:name="_Toc31503"/>
      <w:r>
        <w:rPr>
          <w:rStyle w:val="55"/>
          <w:rFonts w:eastAsia="宋体"/>
          <w:b/>
          <w:bCs/>
          <w:caps w:val="0"/>
          <w:smallCaps w:val="0"/>
          <w:color w:val="auto"/>
          <w:spacing w:val="0"/>
          <w:highlight w:val="none"/>
        </w:rPr>
        <w:t>3.</w:t>
      </w:r>
      <w:r>
        <w:rPr>
          <w:rStyle w:val="55"/>
          <w:rFonts w:hint="eastAsia" w:eastAsia="宋体"/>
          <w:b/>
          <w:bCs/>
          <w:caps w:val="0"/>
          <w:smallCaps w:val="0"/>
          <w:color w:val="auto"/>
          <w:spacing w:val="0"/>
          <w:highlight w:val="none"/>
          <w:lang w:val="en-US" w:eastAsia="zh-CN"/>
        </w:rPr>
        <w:t>9</w:t>
      </w:r>
      <w:r>
        <w:rPr>
          <w:rFonts w:eastAsia="宋体"/>
          <w:caps w:val="0"/>
          <w:smallCaps w:val="0"/>
          <w:color w:val="auto"/>
          <w:spacing w:val="0"/>
          <w:highlight w:val="none"/>
        </w:rPr>
        <w:t>清洁生产分析</w:t>
      </w:r>
      <w:bookmarkEnd w:id="105"/>
    </w:p>
    <w:p w14:paraId="75E44EBB">
      <w:pPr>
        <w:pStyle w:val="32"/>
        <w:spacing w:line="360" w:lineRule="auto"/>
        <w:ind w:left="0" w:firstLine="480" w:firstLineChars="200"/>
        <w:rPr>
          <w:rFonts w:ascii="Times New Roman" w:hAnsi="Times New Roman" w:eastAsia="宋体" w:cs="Times New Roman"/>
          <w:caps w:val="0"/>
          <w:smallCaps w:val="0"/>
          <w:color w:val="auto"/>
          <w:spacing w:val="0"/>
          <w:sz w:val="24"/>
          <w:szCs w:val="28"/>
          <w:highlight w:val="none"/>
        </w:rPr>
      </w:pPr>
      <w:bookmarkStart w:id="106" w:name="_Toc333588156"/>
      <w:bookmarkStart w:id="107" w:name="_Toc318356202"/>
      <w:r>
        <w:rPr>
          <w:rFonts w:ascii="Times New Roman" w:hAnsi="Times New Roman" w:eastAsia="宋体" w:cs="Times New Roman"/>
          <w:caps w:val="0"/>
          <w:smallCaps w:val="0"/>
          <w:color w:val="auto"/>
          <w:spacing w:val="0"/>
          <w:sz w:val="24"/>
          <w:szCs w:val="28"/>
          <w:highlight w:val="none"/>
        </w:rPr>
        <w:t>清洁生产是指将整体预防的环境战略持续应用于生产过程、产品和服务中，以</w:t>
      </w:r>
      <w:r>
        <w:rPr>
          <w:rFonts w:hint="eastAsia" w:ascii="Times New Roman" w:hAnsi="Times New Roman" w:eastAsia="宋体" w:cs="Times New Roman"/>
          <w:caps w:val="0"/>
          <w:smallCaps w:val="0"/>
          <w:color w:val="auto"/>
          <w:spacing w:val="0"/>
          <w:sz w:val="24"/>
          <w:szCs w:val="28"/>
          <w:highlight w:val="none"/>
        </w:rPr>
        <w:t>提高</w:t>
      </w:r>
      <w:r>
        <w:rPr>
          <w:rFonts w:ascii="Times New Roman" w:hAnsi="Times New Roman" w:eastAsia="宋体" w:cs="Times New Roman"/>
          <w:caps w:val="0"/>
          <w:smallCaps w:val="0"/>
          <w:color w:val="auto"/>
          <w:spacing w:val="0"/>
          <w:sz w:val="24"/>
          <w:szCs w:val="28"/>
          <w:highlight w:val="none"/>
        </w:rPr>
        <w:t>生态效率和减少人类及环境的风险。对生产过程来说，清洁生产要求节约原材料和能源，在全部排放物和废物离开生产过程之前</w:t>
      </w:r>
      <w:r>
        <w:rPr>
          <w:rFonts w:hint="eastAsia" w:ascii="Times New Roman" w:hAnsi="Times New Roman" w:eastAsia="宋体" w:cs="Times New Roman"/>
          <w:caps w:val="0"/>
          <w:smallCaps w:val="0"/>
          <w:color w:val="auto"/>
          <w:spacing w:val="0"/>
          <w:sz w:val="24"/>
          <w:szCs w:val="28"/>
          <w:highlight w:val="none"/>
        </w:rPr>
        <w:t>减少</w:t>
      </w:r>
      <w:r>
        <w:rPr>
          <w:rFonts w:ascii="Times New Roman" w:hAnsi="Times New Roman" w:eastAsia="宋体" w:cs="Times New Roman"/>
          <w:caps w:val="0"/>
          <w:smallCaps w:val="0"/>
          <w:color w:val="auto"/>
          <w:spacing w:val="0"/>
          <w:sz w:val="24"/>
          <w:szCs w:val="28"/>
          <w:highlight w:val="none"/>
        </w:rPr>
        <w:t>它们的数量</w:t>
      </w:r>
      <w:r>
        <w:rPr>
          <w:rFonts w:hint="eastAsia" w:ascii="Times New Roman" w:hAnsi="Times New Roman" w:eastAsia="宋体" w:cs="Times New Roman"/>
          <w:caps w:val="0"/>
          <w:smallCaps w:val="0"/>
          <w:color w:val="auto"/>
          <w:spacing w:val="0"/>
          <w:sz w:val="24"/>
          <w:szCs w:val="28"/>
          <w:highlight w:val="none"/>
        </w:rPr>
        <w:t>；</w:t>
      </w:r>
      <w:r>
        <w:rPr>
          <w:rFonts w:ascii="Times New Roman" w:hAnsi="Times New Roman" w:eastAsia="宋体" w:cs="Times New Roman"/>
          <w:caps w:val="0"/>
          <w:smallCaps w:val="0"/>
          <w:color w:val="auto"/>
          <w:spacing w:val="0"/>
          <w:sz w:val="24"/>
          <w:szCs w:val="28"/>
          <w:highlight w:val="none"/>
        </w:rPr>
        <w:t>对产品来说，清洁生产旨在减少产品从原材料的提炼到产品的最终处置的整个生命周期过程中对人类和环境的不利影响。对服务，要求将环境因素纳入设计和所提供的服务中去。由此可以看出，清洁生产是以综合预防污染为目的环境战略，以节能、降耗、减污、增效为宗旨，是实现可持续发展的重要手段。</w:t>
      </w:r>
    </w:p>
    <w:p w14:paraId="14AE9077">
      <w:pPr>
        <w:pStyle w:val="32"/>
        <w:spacing w:line="360" w:lineRule="auto"/>
        <w:ind w:left="0" w:firstLine="480" w:firstLineChars="200"/>
        <w:rPr>
          <w:rFonts w:ascii="Times New Roman" w:hAnsi="Times New Roman" w:eastAsia="宋体" w:cs="Times New Roman"/>
          <w:caps w:val="0"/>
          <w:smallCaps w:val="0"/>
          <w:color w:val="auto"/>
          <w:spacing w:val="0"/>
          <w:sz w:val="24"/>
          <w:szCs w:val="28"/>
          <w:highlight w:val="none"/>
        </w:rPr>
      </w:pPr>
      <w:r>
        <w:rPr>
          <w:rFonts w:ascii="Times New Roman" w:hAnsi="Times New Roman" w:eastAsia="宋体" w:cs="Times New Roman"/>
          <w:caps w:val="0"/>
          <w:smallCaps w:val="0"/>
          <w:color w:val="auto"/>
          <w:spacing w:val="0"/>
          <w:sz w:val="24"/>
          <w:szCs w:val="28"/>
          <w:highlight w:val="none"/>
        </w:rPr>
        <w:t>根据国家环境保护总局颁发的</w:t>
      </w:r>
      <w:r>
        <w:rPr>
          <w:rFonts w:hint="eastAsia" w:ascii="Times New Roman" w:hAnsi="Times New Roman" w:eastAsia="宋体" w:cs="Times New Roman"/>
          <w:caps w:val="0"/>
          <w:smallCaps w:val="0"/>
          <w:color w:val="auto"/>
          <w:spacing w:val="0"/>
          <w:sz w:val="24"/>
          <w:szCs w:val="28"/>
          <w:highlight w:val="none"/>
        </w:rPr>
        <w:t>《</w:t>
      </w:r>
      <w:r>
        <w:rPr>
          <w:rFonts w:ascii="Times New Roman" w:hAnsi="Times New Roman" w:eastAsia="宋体" w:cs="Times New Roman"/>
          <w:caps w:val="0"/>
          <w:smallCaps w:val="0"/>
          <w:color w:val="auto"/>
          <w:spacing w:val="0"/>
          <w:sz w:val="24"/>
          <w:szCs w:val="28"/>
          <w:highlight w:val="none"/>
        </w:rPr>
        <w:t>清洁生产审计指南</w:t>
      </w:r>
      <w:r>
        <w:rPr>
          <w:rFonts w:hint="eastAsia" w:ascii="Times New Roman" w:hAnsi="Times New Roman" w:eastAsia="宋体" w:cs="Times New Roman"/>
          <w:caps w:val="0"/>
          <w:smallCaps w:val="0"/>
          <w:color w:val="auto"/>
          <w:spacing w:val="0"/>
          <w:sz w:val="24"/>
          <w:szCs w:val="28"/>
          <w:highlight w:val="none"/>
        </w:rPr>
        <w:t>》</w:t>
      </w:r>
      <w:r>
        <w:rPr>
          <w:rFonts w:ascii="Times New Roman" w:hAnsi="Times New Roman" w:eastAsia="宋体" w:cs="Times New Roman"/>
          <w:caps w:val="0"/>
          <w:smallCaps w:val="0"/>
          <w:color w:val="auto"/>
          <w:spacing w:val="0"/>
          <w:sz w:val="24"/>
          <w:szCs w:val="28"/>
          <w:highlight w:val="none"/>
        </w:rPr>
        <w:t>要求，对扩建项目的清洁生产分析，将从该项目的生产工艺与设备、资源能源利用、产品、污染物产生、废物回收利用、环境管理等方面分析本项目的清洁生产水平。</w:t>
      </w:r>
    </w:p>
    <w:p w14:paraId="2BB4CA64">
      <w:pPr>
        <w:pStyle w:val="2"/>
        <w:spacing w:line="360" w:lineRule="auto"/>
        <w:ind w:firstLine="480" w:firstLineChars="20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（1）原辅材料及产品分析：本项目产品不属于《环境保护综合名录（2017年版）》中“高污染、高环境风险”产品，同时废靶材厂家回收通过可回收再生利用，可有效减少固废产生。</w:t>
      </w:r>
    </w:p>
    <w:p w14:paraId="0B05A914">
      <w:pPr>
        <w:pStyle w:val="2"/>
        <w:spacing w:line="360" w:lineRule="auto"/>
        <w:ind w:firstLine="480" w:firstLineChars="20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本项目产品为碲化镉发电玻璃等产品，被广泛应用于太阳能发电行业中。项目产品属于成熟产品，在销售、使用以及报废后对环境的影响是轻微的，并且产品出厂不需要过分包装，项目原辅材料利用率高，符合清洁生产要求。</w:t>
      </w:r>
    </w:p>
    <w:p w14:paraId="75AE4A7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本项目资源能源利用处于清洁生产先进水平，采取了多项节能措施</w:t>
      </w:r>
      <w:r>
        <w:rPr>
          <w:rFonts w:hint="eastAsia" w:eastAsia="宋体"/>
          <w:caps w:val="0"/>
          <w:smallCaps w:val="0"/>
          <w:color w:val="auto"/>
          <w:spacing w:val="0"/>
          <w:highlight w:val="none"/>
        </w:rPr>
        <w:t>：</w:t>
      </w:r>
      <w:r>
        <w:rPr>
          <w:rFonts w:eastAsia="宋体"/>
          <w:caps w:val="0"/>
          <w:smallCaps w:val="0"/>
          <w:color w:val="auto"/>
          <w:spacing w:val="0"/>
          <w:highlight w:val="none"/>
        </w:rPr>
        <w:t>优先选用高效电机，并在关键工序等采用变频调速技术，节约电能</w:t>
      </w:r>
      <w:r>
        <w:rPr>
          <w:rFonts w:hint="eastAsia" w:eastAsia="宋体"/>
          <w:caps w:val="0"/>
          <w:smallCaps w:val="0"/>
          <w:color w:val="auto"/>
          <w:spacing w:val="0"/>
          <w:highlight w:val="none"/>
        </w:rPr>
        <w:t>；</w:t>
      </w:r>
      <w:r>
        <w:rPr>
          <w:rFonts w:eastAsia="宋体"/>
          <w:caps w:val="0"/>
          <w:smallCaps w:val="0"/>
          <w:color w:val="auto"/>
          <w:spacing w:val="0"/>
          <w:highlight w:val="none"/>
        </w:rPr>
        <w:t>照明选用带有无功补偿的高效节能灯具，并合理配置照明开关，在保证工作需要的前提下尽可能节省电力</w:t>
      </w:r>
      <w:r>
        <w:rPr>
          <w:rFonts w:hint="eastAsia" w:eastAsia="宋体"/>
          <w:caps w:val="0"/>
          <w:smallCaps w:val="0"/>
          <w:color w:val="auto"/>
          <w:spacing w:val="0"/>
          <w:highlight w:val="none"/>
        </w:rPr>
        <w:t>；</w:t>
      </w:r>
      <w:r>
        <w:rPr>
          <w:rFonts w:eastAsia="宋体"/>
          <w:caps w:val="0"/>
          <w:smallCaps w:val="0"/>
          <w:color w:val="auto"/>
          <w:spacing w:val="0"/>
          <w:highlight w:val="none"/>
        </w:rPr>
        <w:t>在生产中贯彻节约用电意识，做到人走灯关，节约用电。生产车间内各排污节点经管道集中收集后再送至废气处理装置处理，可减少有机溶剂的排放，节约资源。同时配备高效设备，降低系统单耗</w:t>
      </w:r>
      <w:r>
        <w:rPr>
          <w:rFonts w:hint="eastAsia" w:eastAsia="宋体"/>
          <w:caps w:val="0"/>
          <w:smallCaps w:val="0"/>
          <w:color w:val="auto"/>
          <w:spacing w:val="0"/>
          <w:highlight w:val="none"/>
        </w:rPr>
        <w:t>；</w:t>
      </w:r>
      <w:r>
        <w:rPr>
          <w:rFonts w:eastAsia="宋体"/>
          <w:caps w:val="0"/>
          <w:smallCaps w:val="0"/>
          <w:color w:val="auto"/>
          <w:spacing w:val="0"/>
          <w:highlight w:val="none"/>
        </w:rPr>
        <w:t>设置凉水塔，减少新水用量等。</w:t>
      </w:r>
    </w:p>
    <w:p w14:paraId="737E01E1">
      <w:pPr>
        <w:pStyle w:val="2"/>
        <w:spacing w:line="360" w:lineRule="auto"/>
        <w:ind w:firstLine="480" w:firstLineChars="20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从原辅材料使用</w:t>
      </w:r>
      <w:r>
        <w:rPr>
          <w:rFonts w:hint="eastAsia" w:ascii="Times New Roman" w:hAnsi="Times New Roman" w:cs="Times New Roman"/>
          <w:caps w:val="0"/>
          <w:smallCaps w:val="0"/>
          <w:color w:val="auto"/>
          <w:spacing w:val="0"/>
          <w:highlight w:val="none"/>
        </w:rPr>
        <w:t>、</w:t>
      </w:r>
      <w:r>
        <w:rPr>
          <w:rFonts w:ascii="Times New Roman" w:hAnsi="Times New Roman" w:cs="Times New Roman"/>
          <w:caps w:val="0"/>
          <w:smallCaps w:val="0"/>
          <w:color w:val="auto"/>
          <w:spacing w:val="0"/>
          <w:highlight w:val="none"/>
        </w:rPr>
        <w:t>资源能源利用及产品上可实现清洁生产。</w:t>
      </w:r>
    </w:p>
    <w:p w14:paraId="468E5634">
      <w:pPr>
        <w:pStyle w:val="65"/>
        <w:widowControl w:val="0"/>
        <w:numPr>
          <w:ilvl w:val="0"/>
          <w:numId w:val="13"/>
        </w:numPr>
        <w:ind w:firstLine="480"/>
        <w:rPr>
          <w:rFonts w:eastAsia="宋体"/>
          <w:caps w:val="0"/>
          <w:smallCaps w:val="0"/>
          <w:color w:val="auto"/>
          <w:spacing w:val="0"/>
          <w:highlight w:val="none"/>
        </w:rPr>
      </w:pPr>
      <w:r>
        <w:rPr>
          <w:rFonts w:eastAsia="宋体"/>
          <w:caps w:val="0"/>
          <w:smallCaps w:val="0"/>
          <w:color w:val="auto"/>
          <w:spacing w:val="0"/>
          <w:highlight w:val="none"/>
        </w:rPr>
        <w:t>生产工艺、装备及能耗水平分析：本项目设备选型按照节能的原则，设计上采用节能、高效、先进的设备，对国家明令禁止的耗能设备不予选用。同时本项目属于《产业结构调整指导目录（2024年本）》中“鼓励类”项目，耗能和产品指标符合中华人民共和国工业和信息化部印发的《光伏制造行业规范条件（2024年本）》中的相关要求。</w:t>
      </w:r>
    </w:p>
    <w:p w14:paraId="40935BFC">
      <w:pPr>
        <w:pStyle w:val="65"/>
        <w:widowControl w:val="0"/>
        <w:ind w:firstLine="480"/>
        <w:rPr>
          <w:rFonts w:eastAsia="宋体"/>
          <w:caps w:val="0"/>
          <w:smallCaps w:val="0"/>
          <w:color w:val="auto"/>
          <w:spacing w:val="0"/>
          <w:highlight w:val="none"/>
        </w:rPr>
      </w:pPr>
      <w:r>
        <w:rPr>
          <w:rFonts w:hint="eastAsia" w:eastAsia="宋体"/>
          <w:caps w:val="0"/>
          <w:smallCaps w:val="0"/>
          <w:color w:val="auto"/>
          <w:spacing w:val="0"/>
          <w:highlight w:val="none"/>
        </w:rPr>
        <w:t>（3）</w:t>
      </w:r>
      <w:r>
        <w:rPr>
          <w:rFonts w:eastAsia="宋体"/>
          <w:caps w:val="0"/>
          <w:smallCaps w:val="0"/>
          <w:color w:val="auto"/>
          <w:spacing w:val="0"/>
          <w:highlight w:val="none"/>
        </w:rPr>
        <w:t>设备先进性</w:t>
      </w:r>
    </w:p>
    <w:p w14:paraId="2CEA627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本项目自控系统遵循</w:t>
      </w:r>
      <w:r>
        <w:rPr>
          <w:rFonts w:hint="eastAsia" w:eastAsia="宋体"/>
          <w:caps w:val="0"/>
          <w:smallCaps w:val="0"/>
          <w:color w:val="auto"/>
          <w:spacing w:val="0"/>
          <w:highlight w:val="none"/>
        </w:rPr>
        <w:t>“</w:t>
      </w:r>
      <w:r>
        <w:rPr>
          <w:rFonts w:eastAsia="宋体"/>
          <w:caps w:val="0"/>
          <w:smallCaps w:val="0"/>
          <w:color w:val="auto"/>
          <w:spacing w:val="0"/>
          <w:highlight w:val="none"/>
        </w:rPr>
        <w:t>经济合理、技术先进、运行可靠、操作方便</w:t>
      </w:r>
      <w:r>
        <w:rPr>
          <w:rFonts w:hint="eastAsia" w:eastAsia="宋体"/>
          <w:caps w:val="0"/>
          <w:smallCaps w:val="0"/>
          <w:color w:val="auto"/>
          <w:spacing w:val="0"/>
          <w:highlight w:val="none"/>
        </w:rPr>
        <w:t>”</w:t>
      </w:r>
      <w:r>
        <w:rPr>
          <w:rFonts w:eastAsia="宋体"/>
          <w:caps w:val="0"/>
          <w:smallCaps w:val="0"/>
          <w:color w:val="auto"/>
          <w:spacing w:val="0"/>
          <w:highlight w:val="none"/>
        </w:rPr>
        <w:t>的原则，根据工艺装置的充装规模，流程特点及工艺操作要求，对充装过程中的温度、压力、流量等各种主要参数，按技术工艺要求进行集中控制。</w:t>
      </w:r>
    </w:p>
    <w:p w14:paraId="1C82F4DA">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生产过程采用PLC自动控制系统，主要工艺参数集中在控制室进行显示、记录和自动调节。同时本项目将能源消耗的计量数据通过远程计量仪表的信息引入控制系统，这样不仅保证生产装置安全可靠地运行，又可将能源消耗情况及时与生产挂钩，从而有效地对生产过程进行控制和管理。全厂装置采取集散型控制系统，由DCS系统进行监视、操作、报警、连锁和控制，同时对关键的电器设备进行远距离控制，为了保证</w:t>
      </w:r>
      <w:r>
        <w:rPr>
          <w:rFonts w:hint="eastAsia" w:eastAsia="宋体"/>
          <w:caps w:val="0"/>
          <w:smallCaps w:val="0"/>
          <w:color w:val="auto"/>
          <w:spacing w:val="0"/>
          <w:highlight w:val="none"/>
        </w:rPr>
        <w:t>装置</w:t>
      </w:r>
      <w:r>
        <w:rPr>
          <w:rFonts w:eastAsia="宋体"/>
          <w:caps w:val="0"/>
          <w:smallCaps w:val="0"/>
          <w:color w:val="auto"/>
          <w:spacing w:val="0"/>
          <w:highlight w:val="none"/>
        </w:rPr>
        <w:t>安全生产，所有现场仪表均选择符合安装地点危险区域等级划分的防爆仪表，并在危险区域内设置可燃气体报警传感器，此信号送至DCS系统进行集中监视和报警。</w:t>
      </w:r>
    </w:p>
    <w:p w14:paraId="215DEBE8">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综上所述，本项目生产过程符合清洁生产的要求。</w:t>
      </w:r>
    </w:p>
    <w:p w14:paraId="08E21015">
      <w:pPr>
        <w:pStyle w:val="65"/>
        <w:widowControl w:val="0"/>
        <w:ind w:firstLine="480"/>
        <w:rPr>
          <w:rFonts w:eastAsia="宋体"/>
          <w:caps w:val="0"/>
          <w:smallCaps w:val="0"/>
          <w:color w:val="auto"/>
          <w:spacing w:val="0"/>
          <w:highlight w:val="none"/>
        </w:rPr>
      </w:pPr>
      <w:r>
        <w:rPr>
          <w:rFonts w:hint="eastAsia" w:eastAsia="宋体"/>
          <w:caps w:val="0"/>
          <w:smallCaps w:val="0"/>
          <w:color w:val="auto"/>
          <w:spacing w:val="0"/>
          <w:highlight w:val="none"/>
        </w:rPr>
        <w:t>（4）</w:t>
      </w:r>
      <w:r>
        <w:rPr>
          <w:rFonts w:eastAsia="宋体"/>
          <w:caps w:val="0"/>
          <w:smallCaps w:val="0"/>
          <w:color w:val="auto"/>
          <w:spacing w:val="0"/>
          <w:highlight w:val="none"/>
        </w:rPr>
        <w:t>产品清洁性分析</w:t>
      </w:r>
    </w:p>
    <w:p w14:paraId="28C50D3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本项目产品为碲化镉发电玻璃等产品，被广泛应用于太阳能发电行业中。项目产品属于成熟产品，在销售、使用以及报废后对环境的影响是轻微的，并且产品出厂不需要过分包装，符合清洁生产要求。</w:t>
      </w:r>
    </w:p>
    <w:p w14:paraId="15ADA49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w:t>
      </w:r>
      <w:r>
        <w:rPr>
          <w:rFonts w:hint="eastAsia" w:eastAsia="宋体"/>
          <w:caps w:val="0"/>
          <w:smallCaps w:val="0"/>
          <w:color w:val="auto"/>
          <w:spacing w:val="0"/>
          <w:highlight w:val="none"/>
        </w:rPr>
        <w:t>5</w:t>
      </w:r>
      <w:r>
        <w:rPr>
          <w:rFonts w:eastAsia="宋体"/>
          <w:caps w:val="0"/>
          <w:smallCaps w:val="0"/>
          <w:color w:val="auto"/>
          <w:spacing w:val="0"/>
          <w:highlight w:val="none"/>
        </w:rPr>
        <w:t>）污染物产生指标分析本项目采用国际</w:t>
      </w:r>
      <w:r>
        <w:rPr>
          <w:rFonts w:hint="eastAsia" w:eastAsia="宋体"/>
          <w:caps w:val="0"/>
          <w:smallCaps w:val="0"/>
          <w:color w:val="auto"/>
          <w:spacing w:val="0"/>
          <w:highlight w:val="none"/>
        </w:rPr>
        <w:t>先进</w:t>
      </w:r>
      <w:r>
        <w:rPr>
          <w:rFonts w:eastAsia="宋体"/>
          <w:caps w:val="0"/>
          <w:smallCaps w:val="0"/>
          <w:color w:val="auto"/>
          <w:spacing w:val="0"/>
          <w:highlight w:val="none"/>
        </w:rPr>
        <w:t>工艺，将污染物产生量降低，同时提高原辅材料的利用效率，符合清洁生产要求。</w:t>
      </w:r>
    </w:p>
    <w:p w14:paraId="59894C6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w:t>
      </w:r>
      <w:r>
        <w:rPr>
          <w:rFonts w:hint="eastAsia" w:eastAsia="宋体"/>
          <w:caps w:val="0"/>
          <w:smallCaps w:val="0"/>
          <w:color w:val="auto"/>
          <w:spacing w:val="0"/>
          <w:highlight w:val="none"/>
        </w:rPr>
        <w:t>6</w:t>
      </w:r>
      <w:r>
        <w:rPr>
          <w:rFonts w:eastAsia="宋体"/>
          <w:caps w:val="0"/>
          <w:smallCaps w:val="0"/>
          <w:color w:val="auto"/>
          <w:spacing w:val="0"/>
          <w:highlight w:val="none"/>
        </w:rPr>
        <w:t>）废物回收利用指标分析本项目固体废物除沾染镉及其化合物的能回收利用的全部回收利用，废物回收利用指标较好。</w:t>
      </w:r>
    </w:p>
    <w:p w14:paraId="425393CC">
      <w:pPr>
        <w:pStyle w:val="2"/>
        <w:spacing w:line="360" w:lineRule="auto"/>
        <w:ind w:firstLine="480" w:firstLineChars="20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w:t>
      </w:r>
      <w:r>
        <w:rPr>
          <w:rFonts w:hint="eastAsia" w:ascii="Times New Roman" w:hAnsi="Times New Roman" w:cs="Times New Roman"/>
          <w:caps w:val="0"/>
          <w:smallCaps w:val="0"/>
          <w:color w:val="auto"/>
          <w:spacing w:val="0"/>
          <w:highlight w:val="none"/>
        </w:rPr>
        <w:t>7</w:t>
      </w:r>
      <w:r>
        <w:rPr>
          <w:rFonts w:ascii="Times New Roman" w:hAnsi="Times New Roman" w:cs="Times New Roman"/>
          <w:caps w:val="0"/>
          <w:smallCaps w:val="0"/>
          <w:color w:val="auto"/>
          <w:spacing w:val="0"/>
          <w:highlight w:val="none"/>
        </w:rPr>
        <w:t>）综合以上分析，本项目建设内容符合国家产业政策要求。本项目采用较先进的工艺技术和设备，并采取了多项节能降耗措施以及完备的</w:t>
      </w:r>
      <w:r>
        <w:rPr>
          <w:rFonts w:hint="eastAsia" w:ascii="Times New Roman" w:hAnsi="Times New Roman" w:cs="Times New Roman"/>
          <w:caps w:val="0"/>
          <w:smallCaps w:val="0"/>
          <w:color w:val="auto"/>
          <w:spacing w:val="0"/>
          <w:highlight w:val="none"/>
        </w:rPr>
        <w:t>环境治理</w:t>
      </w:r>
      <w:r>
        <w:rPr>
          <w:rFonts w:ascii="Times New Roman" w:hAnsi="Times New Roman" w:cs="Times New Roman"/>
          <w:caps w:val="0"/>
          <w:smallCaps w:val="0"/>
          <w:color w:val="auto"/>
          <w:spacing w:val="0"/>
          <w:highlight w:val="none"/>
        </w:rPr>
        <w:t>措施，项目各类污染源均可达标排放。因此，本项目清洁生产水平达到了国内先进水平。</w:t>
      </w:r>
    </w:p>
    <w:bookmarkEnd w:id="106"/>
    <w:bookmarkEnd w:id="107"/>
    <w:p w14:paraId="71777F6F">
      <w:pPr>
        <w:widowControl w:val="0"/>
        <w:spacing w:line="360" w:lineRule="auto"/>
        <w:rPr>
          <w:rFonts w:ascii="Times New Roman" w:hAnsi="Times New Roman" w:eastAsia="宋体" w:cs="Times New Roman"/>
          <w:caps w:val="0"/>
          <w:smallCaps w:val="0"/>
          <w:color w:val="auto"/>
          <w:spacing w:val="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7D555D4B">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108" w:name="_Toc477951963"/>
      <w:bookmarkStart w:id="109" w:name="_Toc18278"/>
      <w:r>
        <w:rPr>
          <w:rFonts w:ascii="Times New Roman" w:hAnsi="Times New Roman" w:eastAsia="宋体" w:cs="Times New Roman"/>
          <w:caps w:val="0"/>
          <w:smallCaps w:val="0"/>
          <w:color w:val="auto"/>
          <w:spacing w:val="0"/>
          <w:highlight w:val="none"/>
        </w:rPr>
        <w:t>4环境现状调查与评价</w:t>
      </w:r>
      <w:bookmarkEnd w:id="108"/>
      <w:bookmarkEnd w:id="109"/>
    </w:p>
    <w:p w14:paraId="70EF71B6">
      <w:pPr>
        <w:pStyle w:val="4"/>
        <w:widowControl w:val="0"/>
        <w:rPr>
          <w:rFonts w:eastAsia="宋体"/>
          <w:caps w:val="0"/>
          <w:smallCaps w:val="0"/>
          <w:color w:val="auto"/>
          <w:spacing w:val="0"/>
          <w:highlight w:val="none"/>
        </w:rPr>
      </w:pPr>
      <w:bookmarkStart w:id="110" w:name="_Toc477951964"/>
      <w:bookmarkStart w:id="111" w:name="_Toc28975"/>
      <w:r>
        <w:rPr>
          <w:rFonts w:eastAsia="宋体"/>
          <w:caps w:val="0"/>
          <w:smallCaps w:val="0"/>
          <w:color w:val="auto"/>
          <w:spacing w:val="0"/>
          <w:highlight w:val="none"/>
        </w:rPr>
        <w:t>4.1自然环境</w:t>
      </w:r>
      <w:bookmarkEnd w:id="110"/>
      <w:bookmarkEnd w:id="111"/>
    </w:p>
    <w:p w14:paraId="7FF154B8">
      <w:pPr>
        <w:pStyle w:val="5"/>
        <w:widowControl w:val="0"/>
        <w:rPr>
          <w:rFonts w:eastAsia="宋体"/>
          <w:caps w:val="0"/>
          <w:smallCaps w:val="0"/>
          <w:color w:val="auto"/>
          <w:spacing w:val="0"/>
          <w:sz w:val="30"/>
          <w:szCs w:val="30"/>
          <w:highlight w:val="none"/>
        </w:rPr>
      </w:pPr>
      <w:bookmarkStart w:id="112" w:name="_Toc10581"/>
      <w:r>
        <w:rPr>
          <w:rFonts w:eastAsia="宋体"/>
          <w:caps w:val="0"/>
          <w:smallCaps w:val="0"/>
          <w:color w:val="auto"/>
          <w:spacing w:val="0"/>
          <w:highlight w:val="none"/>
        </w:rPr>
        <w:t>4.1.1地理位置</w:t>
      </w:r>
      <w:bookmarkEnd w:id="112"/>
    </w:p>
    <w:p w14:paraId="7E60CDF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113" w:name="_Toc477951966"/>
      <w:r>
        <w:rPr>
          <w:rFonts w:ascii="Times New Roman" w:hAnsi="Times New Roman" w:eastAsia="宋体" w:cs="Times New Roman"/>
          <w:caps w:val="0"/>
          <w:smallCaps w:val="0"/>
          <w:color w:val="auto"/>
          <w:spacing w:val="0"/>
          <w:highlight w:val="none"/>
        </w:rPr>
        <w:t>佳木斯市位于黑龙江省东北部，小兴安岭和完达山脉形成的三江平原出口峡谷之端，松花江中下游南岸，北</w:t>
      </w:r>
      <w:r>
        <w:rPr>
          <w:rFonts w:hint="eastAsia" w:ascii="Times New Roman" w:hAnsi="Times New Roman" w:eastAsia="宋体" w:cs="Times New Roman"/>
          <w:caps w:val="0"/>
          <w:smallCaps w:val="0"/>
          <w:color w:val="auto"/>
          <w:spacing w:val="0"/>
          <w:highlight w:val="none"/>
          <w:lang w:eastAsia="zh-CN"/>
        </w:rPr>
        <w:t>邻</w:t>
      </w:r>
      <w:r>
        <w:rPr>
          <w:rFonts w:ascii="Times New Roman" w:hAnsi="Times New Roman" w:eastAsia="宋体" w:cs="Times New Roman"/>
          <w:caps w:val="0"/>
          <w:smallCaps w:val="0"/>
          <w:color w:val="auto"/>
          <w:spacing w:val="0"/>
          <w:highlight w:val="none"/>
        </w:rPr>
        <w:t>鹤岗市，南临双鸭山市，西</w:t>
      </w:r>
      <w:r>
        <w:rPr>
          <w:rFonts w:hint="eastAsia" w:ascii="Times New Roman" w:hAnsi="Times New Roman" w:eastAsia="宋体" w:cs="Times New Roman"/>
          <w:caps w:val="0"/>
          <w:smallCaps w:val="0"/>
          <w:color w:val="auto"/>
          <w:spacing w:val="0"/>
          <w:highlight w:val="none"/>
          <w:lang w:eastAsia="zh-CN"/>
        </w:rPr>
        <w:t>邻</w:t>
      </w:r>
      <w:r>
        <w:rPr>
          <w:rFonts w:ascii="Times New Roman" w:hAnsi="Times New Roman" w:eastAsia="宋体" w:cs="Times New Roman"/>
          <w:caps w:val="0"/>
          <w:smallCaps w:val="0"/>
          <w:color w:val="auto"/>
          <w:spacing w:val="0"/>
          <w:highlight w:val="none"/>
        </w:rPr>
        <w:t>哈尔滨市（依兰县），东临俄罗斯（哈巴罗夫斯克），是黑龙江省东北政治、经济、文化和交通中心城市。地理位置在东经129°55′~135°04′、北纬46°56′~48°30′之间。市区东西长约20.6km，南北宽约8.61km，城市建成区域占地面积97.43k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。佳木斯市地理位置见图4.1-1。</w:t>
      </w:r>
    </w:p>
    <w:p w14:paraId="58E9C18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本项目拟选址于佳木斯市高新区中华路和乌苏里江街交叉口西北角，</w:t>
      </w:r>
      <w:r>
        <w:rPr>
          <w:rFonts w:ascii="Times New Roman" w:hAnsi="Times New Roman" w:eastAsia="宋体" w:cs="Times New Roman"/>
          <w:caps w:val="0"/>
          <w:smallCaps w:val="0"/>
          <w:color w:val="auto"/>
          <w:spacing w:val="0"/>
          <w:szCs w:val="22"/>
          <w:highlight w:val="none"/>
        </w:rPr>
        <w:t>轻工产业园（含新材料）</w:t>
      </w:r>
      <w:r>
        <w:rPr>
          <w:rFonts w:ascii="Times New Roman" w:hAnsi="Times New Roman" w:eastAsia="宋体" w:cs="Times New Roman"/>
          <w:caps w:val="0"/>
          <w:smallCaps w:val="0"/>
          <w:color w:val="auto"/>
          <w:spacing w:val="0"/>
          <w:highlight w:val="none"/>
        </w:rPr>
        <w:t>内</w:t>
      </w:r>
      <w:r>
        <w:rPr>
          <w:rFonts w:ascii="Times New Roman" w:hAnsi="Times New Roman" w:eastAsia="宋体" w:cs="Times New Roman"/>
          <w:bCs/>
          <w:caps w:val="0"/>
          <w:smallCaps w:val="0"/>
          <w:color w:val="auto"/>
          <w:spacing w:val="0"/>
          <w:highlight w:val="none"/>
        </w:rPr>
        <w:t>，建设区域中心地理坐标为</w:t>
      </w:r>
      <w:r>
        <w:rPr>
          <w:rFonts w:ascii="Times New Roman" w:hAnsi="Times New Roman" w:eastAsia="宋体" w:cs="Times New Roman"/>
          <w:caps w:val="0"/>
          <w:smallCaps w:val="0"/>
          <w:color w:val="auto"/>
          <w:spacing w:val="0"/>
          <w:highlight w:val="none"/>
        </w:rPr>
        <w:t>东经130°27'39"，北纬46°48'54"。</w:t>
      </w:r>
    </w:p>
    <w:p w14:paraId="28371200">
      <w:pPr>
        <w:widowControl w:val="0"/>
        <w:spacing w:line="360" w:lineRule="auto"/>
        <w:jc w:val="both"/>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5756275" cy="4816475"/>
            <wp:effectExtent l="0" t="0" r="15875" b="3175"/>
            <wp:docPr id="11" name="图片 11" descr="173102895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31028955675"/>
                    <pic:cNvPicPr>
                      <a:picLocks noChangeAspect="1"/>
                    </pic:cNvPicPr>
                  </pic:nvPicPr>
                  <pic:blipFill>
                    <a:blip r:embed="rId58"/>
                    <a:stretch>
                      <a:fillRect/>
                    </a:stretch>
                  </pic:blipFill>
                  <pic:spPr>
                    <a:xfrm>
                      <a:off x="0" y="0"/>
                      <a:ext cx="5756275" cy="4816475"/>
                    </a:xfrm>
                    <a:prstGeom prst="rect">
                      <a:avLst/>
                    </a:prstGeom>
                  </pic:spPr>
                </pic:pic>
              </a:graphicData>
            </a:graphic>
          </wp:inline>
        </w:drawing>
      </w:r>
    </w:p>
    <w:p w14:paraId="1F2E706D">
      <w:pPr>
        <w:widowControl w:val="0"/>
        <w:adjustRightInd w:val="0"/>
        <w:snapToGrid w:val="0"/>
        <w:spacing w:line="360" w:lineRule="auto"/>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图4.1-1佳木斯市地理位置图</w:t>
      </w:r>
    </w:p>
    <w:p w14:paraId="5C1187DD">
      <w:pPr>
        <w:pStyle w:val="190"/>
        <w:ind w:firstLine="0" w:firstLineChars="0"/>
        <w:jc w:val="both"/>
        <w:rPr>
          <w:rFonts w:ascii="Times New Roman" w:hAnsi="Times New Roman" w:eastAsia="宋体"/>
          <w:caps w:val="0"/>
          <w:smallCaps w:val="0"/>
          <w:color w:val="auto"/>
          <w:spacing w:val="0"/>
          <w:highlight w:val="none"/>
        </w:rPr>
      </w:pPr>
    </w:p>
    <w:p w14:paraId="7AFB458F">
      <w:pPr>
        <w:pStyle w:val="5"/>
        <w:widowControl w:val="0"/>
        <w:rPr>
          <w:rFonts w:eastAsia="宋体"/>
          <w:caps w:val="0"/>
          <w:smallCaps w:val="0"/>
          <w:color w:val="auto"/>
          <w:spacing w:val="0"/>
          <w:sz w:val="30"/>
          <w:szCs w:val="30"/>
          <w:highlight w:val="none"/>
        </w:rPr>
      </w:pPr>
      <w:bookmarkStart w:id="114" w:name="_Toc31377"/>
      <w:r>
        <w:rPr>
          <w:rFonts w:eastAsia="宋体"/>
          <w:caps w:val="0"/>
          <w:smallCaps w:val="0"/>
          <w:color w:val="auto"/>
          <w:spacing w:val="0"/>
          <w:sz w:val="30"/>
          <w:szCs w:val="30"/>
          <w:highlight w:val="none"/>
        </w:rPr>
        <w:t>4.1.2地形、地貌</w:t>
      </w:r>
      <w:bookmarkEnd w:id="113"/>
      <w:bookmarkEnd w:id="114"/>
    </w:p>
    <w:p w14:paraId="13A9E1B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115" w:name="_Toc477951967"/>
      <w:r>
        <w:rPr>
          <w:rFonts w:ascii="Times New Roman" w:hAnsi="Times New Roman" w:eastAsia="宋体" w:cs="Times New Roman"/>
          <w:caps w:val="0"/>
          <w:smallCaps w:val="0"/>
          <w:color w:val="auto"/>
          <w:spacing w:val="0"/>
          <w:highlight w:val="none"/>
        </w:rPr>
        <w:t>佳木斯位于黑龙江、松花江、乌苏里江汇流的地带。西部为小兴安的青山南部为张广才岭，南部和东南部为那丹哈达岭和完达山。完达山以北是三江冲积平原，张广才岭的东北部有倭肯河山间河谷平原。全市地貌自西南向东北形成山地—丘陵—平原的过渡形式。地势总的趋势是西南高、东北低。侵蚀剥蚀低山，面积14629平方公里，占佳木斯市总面积的21.7%。包括小兴安岭、完达山、那丹哈达岭、张广才岭四条山脉在本市境内的部分。主要分布在桦南、汤原等县。这一带是古生代末期海西运动形成的褶皱山，属于新华夏系第三隆起带。山脉大部分为东北—西南走向。海拔高度一般为500—800米，属于低山类型。（海拔800米以上的中山极少）。除局部地段有陡峻的山峰和“V”型峡谷外，一般山势起伏和缓，坡度10—15度。山间沟谷发育多为宽阔的U型谷。地表多为残积物，由亚粘土、亚砂土组成，往往含有岩石碎屑，以下为基岩风化壳。母质大部分为海西期、燕山期的花岗岩，部分为元古代的变质岩。</w:t>
      </w:r>
    </w:p>
    <w:p w14:paraId="500CC27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侵蚀剥蚀丘陵，面积为9789平方公里，占全市总面积的14.5%。在小兴安岭东坡和完达山周围，随着山势逐渐降低，地貌由低山过渡到丘陵。本市丘陵分布在桦南、富锦等县；多分布在平原的边缘，并与低山相间。海拔高度为200—450米，坡度平缓，坡面较长，丘顶</w:t>
      </w:r>
      <w:r>
        <w:rPr>
          <w:rFonts w:hint="eastAsia" w:ascii="Times New Roman" w:hAnsi="Times New Roman" w:eastAsia="宋体" w:cs="Times New Roman"/>
          <w:caps w:val="0"/>
          <w:smallCaps w:val="0"/>
          <w:color w:val="auto"/>
          <w:spacing w:val="0"/>
          <w:highlight w:val="none"/>
        </w:rPr>
        <w:t>浑圆</w:t>
      </w:r>
      <w:r>
        <w:rPr>
          <w:rFonts w:ascii="Times New Roman" w:hAnsi="Times New Roman" w:eastAsia="宋体" w:cs="Times New Roman"/>
          <w:caps w:val="0"/>
          <w:smallCaps w:val="0"/>
          <w:color w:val="auto"/>
          <w:spacing w:val="0"/>
          <w:highlight w:val="none"/>
        </w:rPr>
        <w:t>，部分呈垄岗状，丘陵间谷宽而浅。地表多为残积物。土层较薄，上为亚粘土、</w:t>
      </w:r>
      <w:r>
        <w:rPr>
          <w:rFonts w:hint="eastAsia" w:ascii="Times New Roman" w:hAnsi="Times New Roman" w:eastAsia="宋体" w:cs="Times New Roman"/>
          <w:caps w:val="0"/>
          <w:smallCaps w:val="0"/>
          <w:color w:val="auto"/>
          <w:spacing w:val="0"/>
          <w:highlight w:val="none"/>
        </w:rPr>
        <w:t>亚砂土</w:t>
      </w:r>
      <w:r>
        <w:rPr>
          <w:rFonts w:ascii="Times New Roman" w:hAnsi="Times New Roman" w:eastAsia="宋体" w:cs="Times New Roman"/>
          <w:caps w:val="0"/>
          <w:smallCaps w:val="0"/>
          <w:color w:val="auto"/>
          <w:spacing w:val="0"/>
          <w:highlight w:val="none"/>
        </w:rPr>
        <w:t>，下部为风化碎屑。丘陵母质多为古老的花岗岩，谷地多为沉积岩。丘陵下部坡面和谷地多数已开耕种。</w:t>
      </w:r>
    </w:p>
    <w:p w14:paraId="5AF6334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洪积、侵蚀剥蚀台地，总面积为6382平方公里，占全市总面积的9.5%。冲积平原，面积36480平方公里，占佳木斯市面积的54.2%。主要有三江冲积低平原、倭肯河山间谷平原以及完达山山前地带的洪积冲积平原。该区在大地构造上属于新华夏系第二隆起带中的新坳陷。晚侏罗纪至白垩纪，山地逐渐上升；平原地区发生凹陷，第四纪更新世以来，继续处于大面积沉降运动中；只有局部地区发生岗状隆起，迫使松花江多次改道，遗留下许多古河道、河曲带。构成平原区的地貌类型主要是高、低河漫滩，一、二级阶地。地表大部分为第四纪全统粉质黏土覆盖。该区总体上地形平坦，地势较低。海拔高度40—80米，抚远三角洲地势最低只有34米。平原中有少数孤山、残丘。地势自西南向东北倾斜，坡降为1/5000—1/10000。由于地势低平，河流下切能力弱。流经本区的河流除松花江外，其他河流河床比降小，许多河流具有沼泽性河流的特点。平原内河曲发育，牛轭湖、旧河道、沙洲较多，沼泽广布。本区由于地势平坦，土质较好，种植业发展较快，大部分已垦为农田，是省内主要的种植业基地之一。</w:t>
      </w:r>
    </w:p>
    <w:p w14:paraId="73FF402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平原中有11295平方公里的低洼地，占平原面积的31%，主要分布在同江、抚远等县。</w:t>
      </w:r>
    </w:p>
    <w:p w14:paraId="6A4CD01C">
      <w:pPr>
        <w:pStyle w:val="5"/>
        <w:widowControl w:val="0"/>
        <w:rPr>
          <w:rFonts w:eastAsia="宋体"/>
          <w:caps w:val="0"/>
          <w:smallCaps w:val="0"/>
          <w:color w:val="auto"/>
          <w:spacing w:val="0"/>
          <w:sz w:val="30"/>
          <w:szCs w:val="30"/>
          <w:highlight w:val="none"/>
        </w:rPr>
      </w:pPr>
      <w:bookmarkStart w:id="116" w:name="_Toc2885"/>
      <w:r>
        <w:rPr>
          <w:rFonts w:eastAsia="宋体"/>
          <w:caps w:val="0"/>
          <w:smallCaps w:val="0"/>
          <w:color w:val="auto"/>
          <w:spacing w:val="0"/>
          <w:sz w:val="30"/>
          <w:szCs w:val="30"/>
          <w:highlight w:val="none"/>
        </w:rPr>
        <w:t>4.1.3</w:t>
      </w:r>
      <w:bookmarkEnd w:id="115"/>
      <w:r>
        <w:rPr>
          <w:rFonts w:eastAsia="宋体"/>
          <w:caps w:val="0"/>
          <w:smallCaps w:val="0"/>
          <w:color w:val="auto"/>
          <w:spacing w:val="0"/>
          <w:sz w:val="30"/>
          <w:szCs w:val="30"/>
          <w:highlight w:val="none"/>
        </w:rPr>
        <w:t>水系概况</w:t>
      </w:r>
      <w:bookmarkEnd w:id="116"/>
    </w:p>
    <w:p w14:paraId="01E8DA0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117" w:name="_Toc477951968"/>
      <w:r>
        <w:rPr>
          <w:rFonts w:ascii="Times New Roman" w:hAnsi="Times New Roman" w:eastAsia="宋体" w:cs="Times New Roman"/>
          <w:caps w:val="0"/>
          <w:smallCaps w:val="0"/>
          <w:color w:val="auto"/>
          <w:spacing w:val="0"/>
          <w:highlight w:val="none"/>
        </w:rPr>
        <w:t>佳木斯市地表水较为丰富，境内河流纵横，有等大小河流118条。松花江是流经佳木斯市的主要河流，发源于长白山和小兴安岭，全长2308km，流域面积545639km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。流经佳木斯市的松花江由汤原县洼丹河口至松花江与黑龙江合处的同江石三江口，长345km。松花江佳木斯境内主要支流有：倭肯河、汤旺河、梧桐河、黑金河、卧龙河、音达木河、英格吐河等。</w:t>
      </w:r>
    </w:p>
    <w:p w14:paraId="47CA920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lang w:eastAsia="zh-CN"/>
        </w:rPr>
        <w:t>铃铛</w:t>
      </w:r>
      <w:r>
        <w:rPr>
          <w:rFonts w:ascii="Times New Roman" w:hAnsi="Times New Roman" w:eastAsia="宋体" w:cs="Times New Roman"/>
          <w:caps w:val="0"/>
          <w:smallCaps w:val="0"/>
          <w:color w:val="auto"/>
          <w:spacing w:val="0"/>
          <w:highlight w:val="none"/>
        </w:rPr>
        <w:t>麦河为音达木河支流，由于长期接纳佳木斯企业污水，现已无水体功能，已作为佳木斯市排污沟。音达木河为松花江支流，由于长期接纳佳木斯企业污水，现已失去水体功能，已作为佳木斯市排污沟。</w:t>
      </w:r>
    </w:p>
    <w:p w14:paraId="24DA431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松花江佳木斯江段全长110km，河床宽度在800~1200m之间，水位平均标高76.0m，平均水深为4m，最大水深10.4m，平均流速为0.8m/s，冰冻期为150天左右，水流量历年平均为2149m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/s，历年最大流量为18400m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/s，最小流量为125m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/s。松花江水量丰富，年径流量是双峰型，夏季洪峰高、流量大，春季融雪洪峰流量小。径流量的年际变化与降水量的分布特征基本相似，主要集中在6~9月份，占全年的60%。</w:t>
      </w:r>
    </w:p>
    <w:p w14:paraId="0B42FC4E">
      <w:pPr>
        <w:pStyle w:val="5"/>
        <w:widowControl w:val="0"/>
        <w:rPr>
          <w:rFonts w:eastAsia="宋体"/>
          <w:caps w:val="0"/>
          <w:smallCaps w:val="0"/>
          <w:color w:val="auto"/>
          <w:spacing w:val="0"/>
          <w:sz w:val="30"/>
          <w:szCs w:val="30"/>
          <w:highlight w:val="none"/>
        </w:rPr>
      </w:pPr>
      <w:bookmarkStart w:id="118" w:name="_Toc14243"/>
      <w:r>
        <w:rPr>
          <w:rFonts w:eastAsia="宋体"/>
          <w:caps w:val="0"/>
          <w:smallCaps w:val="0"/>
          <w:color w:val="auto"/>
          <w:spacing w:val="0"/>
          <w:sz w:val="30"/>
          <w:szCs w:val="30"/>
          <w:highlight w:val="none"/>
        </w:rPr>
        <w:t>4.1.4</w:t>
      </w:r>
      <w:bookmarkEnd w:id="117"/>
      <w:r>
        <w:rPr>
          <w:rFonts w:eastAsia="宋体"/>
          <w:caps w:val="0"/>
          <w:smallCaps w:val="0"/>
          <w:color w:val="auto"/>
          <w:spacing w:val="0"/>
          <w:sz w:val="30"/>
          <w:szCs w:val="30"/>
          <w:highlight w:val="none"/>
        </w:rPr>
        <w:t>气候、气象</w:t>
      </w:r>
      <w:bookmarkEnd w:id="118"/>
    </w:p>
    <w:p w14:paraId="29DE731F">
      <w:pPr>
        <w:pStyle w:val="153"/>
        <w:autoSpaceDE w:val="0"/>
        <w:autoSpaceDN w:val="0"/>
        <w:adjustRightInd/>
        <w:spacing w:line="360" w:lineRule="auto"/>
        <w:ind w:firstLine="480" w:firstLineChars="200"/>
        <w:jc w:val="both"/>
        <w:textAlignment w:val="bottom"/>
        <w:rPr>
          <w:rFonts w:ascii="Times New Roman"/>
          <w:caps w:val="0"/>
          <w:smallCaps w:val="0"/>
          <w:color w:val="auto"/>
          <w:spacing w:val="0"/>
          <w:highlight w:val="none"/>
        </w:rPr>
      </w:pPr>
      <w:r>
        <w:rPr>
          <w:rFonts w:ascii="Times New Roman"/>
          <w:caps w:val="0"/>
          <w:smallCaps w:val="0"/>
          <w:color w:val="auto"/>
          <w:spacing w:val="0"/>
          <w:highlight w:val="none"/>
        </w:rPr>
        <w:t>佳木斯市区气候属湿润寒温带季风气候，气温变化大，季节明显，冬长夏短。年平均气温4.2℃，最高气温38℃，最低气温-41℃，冻土深度2.06米。全年主导风向西南风，最大风速31.8米/秒，年平均风速2.7米/秒，年平均降雨量510.5毫米。</w:t>
      </w:r>
    </w:p>
    <w:p w14:paraId="4B3AD22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佳木斯市属于半湿润寒温带大陆性季风气候，四季分明。由于夏季受东南季风的影响，冬季受西伯利亚冷气团的侵袭，致使佳木斯地区冬季漫长达200天左右，土壤冻结深度达1.6至2.5m，一年中寒暑温差较大。</w:t>
      </w:r>
    </w:p>
    <w:p w14:paraId="3898C3D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连续20年气象统计资料显示，年平均气温3.2℃左右，年极端最高气温38.1℃，年极端最低气温-41.1℃。年平均风速为3.5m/s，年最大风速为24.3m/s，出现风向为西南西（WSW）风，年主导风向为西南（SW）风，出现频率均为11%；年平均降水量为510.5mm；年平均蒸发量1312.1mm；年平均气压1003.7Pa；年日照时长2488.7h；年平均相对湿度约67％。</w:t>
      </w:r>
    </w:p>
    <w:p w14:paraId="1976157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佳木斯市连续20年各风向频率见表4.1-1，连续20年年风向玫瑰图4.1-2。</w:t>
      </w:r>
    </w:p>
    <w:p w14:paraId="62E5C9B0">
      <w:pPr>
        <w:widowControl w:val="0"/>
        <w:adjustRightInd w:val="0"/>
        <w:snapToGrid w:val="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0" distR="0">
            <wp:extent cx="1923415" cy="2002155"/>
            <wp:effectExtent l="0" t="0" r="63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923955" cy="2002949"/>
                    </a:xfrm>
                    <a:prstGeom prst="rect">
                      <a:avLst/>
                    </a:prstGeom>
                    <a:noFill/>
                    <a:ln>
                      <a:noFill/>
                    </a:ln>
                  </pic:spPr>
                </pic:pic>
              </a:graphicData>
            </a:graphic>
          </wp:inline>
        </w:drawing>
      </w:r>
    </w:p>
    <w:p w14:paraId="629A6AED">
      <w:pPr>
        <w:widowControl w:val="0"/>
        <w:adjustRightInd w:val="0"/>
        <w:snapToGrid w:val="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图4.1-2多年风向玫瑰图</w:t>
      </w:r>
    </w:p>
    <w:p w14:paraId="16A64085">
      <w:pPr>
        <w:widowControl w:val="0"/>
        <w:adjustRightInd w:val="0"/>
        <w:snapToGrid w:val="0"/>
        <w:ind w:firstLine="482" w:firstLineChars="200"/>
        <w:jc w:val="center"/>
        <w:rPr>
          <w:rFonts w:ascii="Times New Roman" w:hAnsi="Times New Roman" w:eastAsia="宋体" w:cs="Times New Roman"/>
          <w:b/>
          <w:caps w:val="0"/>
          <w:smallCaps w:val="0"/>
          <w:color w:val="auto"/>
          <w:spacing w:val="0"/>
          <w:highlight w:val="none"/>
        </w:rPr>
      </w:pPr>
    </w:p>
    <w:p w14:paraId="19030FBF">
      <w:pPr>
        <w:widowControl w:val="0"/>
        <w:spacing w:after="48" w:afterLines="20"/>
        <w:ind w:firstLine="482" w:firstLineChars="20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表4.1-1佳木斯市20年统计各风向频率(%)</w:t>
      </w:r>
    </w:p>
    <w:tbl>
      <w:tblPr>
        <w:tblStyle w:val="37"/>
        <w:tblW w:w="4999"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628"/>
        <w:gridCol w:w="239"/>
        <w:gridCol w:w="649"/>
        <w:gridCol w:w="426"/>
        <w:gridCol w:w="615"/>
        <w:gridCol w:w="205"/>
        <w:gridCol w:w="565"/>
        <w:gridCol w:w="376"/>
        <w:gridCol w:w="493"/>
        <w:gridCol w:w="354"/>
        <w:gridCol w:w="535"/>
        <w:gridCol w:w="478"/>
        <w:gridCol w:w="769"/>
        <w:gridCol w:w="313"/>
        <w:gridCol w:w="821"/>
        <w:gridCol w:w="529"/>
        <w:gridCol w:w="750"/>
        <w:gridCol w:w="323"/>
      </w:tblGrid>
      <w:tr w14:paraId="43D449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629" w:type="dxa"/>
            <w:tcBorders>
              <w:bottom w:val="single" w:color="auto" w:sz="8" w:space="0"/>
              <w:tl2br w:val="nil"/>
              <w:tr2bl w:val="nil"/>
            </w:tcBorders>
            <w:vAlign w:val="center"/>
          </w:tcPr>
          <w:p w14:paraId="3B970249">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风向</w:t>
            </w:r>
          </w:p>
        </w:tc>
        <w:tc>
          <w:tcPr>
            <w:tcW w:w="239" w:type="dxa"/>
            <w:tcBorders>
              <w:bottom w:val="single" w:color="auto" w:sz="8" w:space="0"/>
              <w:tl2br w:val="nil"/>
              <w:tr2bl w:val="nil"/>
            </w:tcBorders>
            <w:vAlign w:val="center"/>
          </w:tcPr>
          <w:p w14:paraId="5722EA23">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N</w:t>
            </w:r>
          </w:p>
        </w:tc>
        <w:tc>
          <w:tcPr>
            <w:tcW w:w="649" w:type="dxa"/>
            <w:tcBorders>
              <w:bottom w:val="single" w:color="auto" w:sz="8" w:space="0"/>
              <w:tl2br w:val="nil"/>
              <w:tr2bl w:val="nil"/>
            </w:tcBorders>
            <w:vAlign w:val="center"/>
          </w:tcPr>
          <w:p w14:paraId="6311AB7A">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NNE</w:t>
            </w:r>
          </w:p>
        </w:tc>
        <w:tc>
          <w:tcPr>
            <w:tcW w:w="426" w:type="dxa"/>
            <w:tcBorders>
              <w:bottom w:val="single" w:color="auto" w:sz="8" w:space="0"/>
              <w:tl2br w:val="nil"/>
              <w:tr2bl w:val="nil"/>
            </w:tcBorders>
            <w:vAlign w:val="center"/>
          </w:tcPr>
          <w:p w14:paraId="232E648C">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NE</w:t>
            </w:r>
          </w:p>
        </w:tc>
        <w:tc>
          <w:tcPr>
            <w:tcW w:w="615" w:type="dxa"/>
            <w:tcBorders>
              <w:bottom w:val="single" w:color="auto" w:sz="8" w:space="0"/>
              <w:tl2br w:val="nil"/>
              <w:tr2bl w:val="nil"/>
            </w:tcBorders>
            <w:vAlign w:val="center"/>
          </w:tcPr>
          <w:p w14:paraId="1F7D4CB5">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ENE</w:t>
            </w:r>
          </w:p>
        </w:tc>
        <w:tc>
          <w:tcPr>
            <w:tcW w:w="205" w:type="dxa"/>
            <w:tcBorders>
              <w:bottom w:val="single" w:color="auto" w:sz="8" w:space="0"/>
              <w:tl2br w:val="nil"/>
              <w:tr2bl w:val="nil"/>
            </w:tcBorders>
            <w:vAlign w:val="center"/>
          </w:tcPr>
          <w:p w14:paraId="42F3EAA5">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E</w:t>
            </w:r>
          </w:p>
        </w:tc>
        <w:tc>
          <w:tcPr>
            <w:tcW w:w="565" w:type="dxa"/>
            <w:tcBorders>
              <w:bottom w:val="single" w:color="auto" w:sz="8" w:space="0"/>
              <w:tl2br w:val="nil"/>
              <w:tr2bl w:val="nil"/>
            </w:tcBorders>
            <w:vAlign w:val="center"/>
          </w:tcPr>
          <w:p w14:paraId="7935FFE0">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ESE</w:t>
            </w:r>
          </w:p>
        </w:tc>
        <w:tc>
          <w:tcPr>
            <w:tcW w:w="376" w:type="dxa"/>
            <w:tcBorders>
              <w:bottom w:val="single" w:color="auto" w:sz="8" w:space="0"/>
              <w:tl2br w:val="nil"/>
              <w:tr2bl w:val="nil"/>
            </w:tcBorders>
            <w:vAlign w:val="center"/>
          </w:tcPr>
          <w:p w14:paraId="0A440DE2">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SE</w:t>
            </w:r>
          </w:p>
        </w:tc>
        <w:tc>
          <w:tcPr>
            <w:tcW w:w="493" w:type="dxa"/>
            <w:tcBorders>
              <w:bottom w:val="single" w:color="auto" w:sz="8" w:space="0"/>
              <w:tl2br w:val="nil"/>
              <w:tr2bl w:val="nil"/>
            </w:tcBorders>
            <w:vAlign w:val="center"/>
          </w:tcPr>
          <w:p w14:paraId="66B7DFDF">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SSE</w:t>
            </w:r>
          </w:p>
        </w:tc>
        <w:tc>
          <w:tcPr>
            <w:tcW w:w="354" w:type="dxa"/>
            <w:tcBorders>
              <w:bottom w:val="single" w:color="auto" w:sz="8" w:space="0"/>
              <w:tl2br w:val="nil"/>
              <w:tr2bl w:val="nil"/>
            </w:tcBorders>
            <w:vAlign w:val="center"/>
          </w:tcPr>
          <w:p w14:paraId="60EF0A54">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S</w:t>
            </w:r>
          </w:p>
        </w:tc>
        <w:tc>
          <w:tcPr>
            <w:tcW w:w="535" w:type="dxa"/>
            <w:tcBorders>
              <w:bottom w:val="single" w:color="auto" w:sz="8" w:space="0"/>
              <w:tl2br w:val="nil"/>
              <w:tr2bl w:val="nil"/>
            </w:tcBorders>
            <w:vAlign w:val="center"/>
          </w:tcPr>
          <w:p w14:paraId="2CF65A71">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SSW</w:t>
            </w:r>
          </w:p>
        </w:tc>
        <w:tc>
          <w:tcPr>
            <w:tcW w:w="478" w:type="dxa"/>
            <w:tcBorders>
              <w:bottom w:val="single" w:color="auto" w:sz="8" w:space="0"/>
              <w:tl2br w:val="nil"/>
              <w:tr2bl w:val="nil"/>
            </w:tcBorders>
            <w:vAlign w:val="center"/>
          </w:tcPr>
          <w:p w14:paraId="6BC3A887">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SW</w:t>
            </w:r>
          </w:p>
        </w:tc>
        <w:tc>
          <w:tcPr>
            <w:tcW w:w="769" w:type="dxa"/>
            <w:tcBorders>
              <w:bottom w:val="single" w:color="auto" w:sz="8" w:space="0"/>
              <w:tl2br w:val="nil"/>
              <w:tr2bl w:val="nil"/>
            </w:tcBorders>
            <w:vAlign w:val="center"/>
          </w:tcPr>
          <w:p w14:paraId="46941432">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WSW</w:t>
            </w:r>
          </w:p>
        </w:tc>
        <w:tc>
          <w:tcPr>
            <w:tcW w:w="313" w:type="dxa"/>
            <w:tcBorders>
              <w:bottom w:val="single" w:color="auto" w:sz="8" w:space="0"/>
              <w:tl2br w:val="nil"/>
              <w:tr2bl w:val="nil"/>
            </w:tcBorders>
            <w:vAlign w:val="center"/>
          </w:tcPr>
          <w:p w14:paraId="729A3ACA">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W</w:t>
            </w:r>
          </w:p>
        </w:tc>
        <w:tc>
          <w:tcPr>
            <w:tcW w:w="821" w:type="dxa"/>
            <w:tcBorders>
              <w:bottom w:val="single" w:color="auto" w:sz="8" w:space="0"/>
              <w:tl2br w:val="nil"/>
              <w:tr2bl w:val="nil"/>
            </w:tcBorders>
            <w:vAlign w:val="center"/>
          </w:tcPr>
          <w:p w14:paraId="470B9710">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WNW</w:t>
            </w:r>
          </w:p>
        </w:tc>
        <w:tc>
          <w:tcPr>
            <w:tcW w:w="529" w:type="dxa"/>
            <w:tcBorders>
              <w:bottom w:val="single" w:color="auto" w:sz="8" w:space="0"/>
              <w:tl2br w:val="nil"/>
              <w:tr2bl w:val="nil"/>
            </w:tcBorders>
            <w:vAlign w:val="center"/>
          </w:tcPr>
          <w:p w14:paraId="787C88B7">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NW</w:t>
            </w:r>
          </w:p>
        </w:tc>
        <w:tc>
          <w:tcPr>
            <w:tcW w:w="750" w:type="dxa"/>
            <w:tcBorders>
              <w:bottom w:val="single" w:color="auto" w:sz="8" w:space="0"/>
              <w:tl2br w:val="nil"/>
              <w:tr2bl w:val="nil"/>
            </w:tcBorders>
            <w:vAlign w:val="center"/>
          </w:tcPr>
          <w:p w14:paraId="6F45BEDD">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NNW</w:t>
            </w:r>
          </w:p>
        </w:tc>
        <w:tc>
          <w:tcPr>
            <w:tcW w:w="323" w:type="dxa"/>
            <w:tcBorders>
              <w:bottom w:val="single" w:color="auto" w:sz="8" w:space="0"/>
              <w:tl2br w:val="nil"/>
              <w:tr2bl w:val="nil"/>
            </w:tcBorders>
            <w:vAlign w:val="center"/>
          </w:tcPr>
          <w:p w14:paraId="16382C6F">
            <w:pPr>
              <w:widowControl w:val="0"/>
              <w:adjustRightInd w:val="0"/>
              <w:snapToGrid w:val="0"/>
              <w:spacing w:before="72" w:beforeLines="30" w:after="72" w:afterLines="3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C</w:t>
            </w:r>
          </w:p>
        </w:tc>
      </w:tr>
      <w:tr w14:paraId="552710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629" w:type="dxa"/>
            <w:tcBorders>
              <w:top w:val="single" w:color="auto" w:sz="8" w:space="0"/>
              <w:tl2br w:val="nil"/>
              <w:tr2bl w:val="nil"/>
            </w:tcBorders>
            <w:vAlign w:val="center"/>
          </w:tcPr>
          <w:p w14:paraId="25BC8609">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风频</w:t>
            </w:r>
          </w:p>
        </w:tc>
        <w:tc>
          <w:tcPr>
            <w:tcW w:w="239" w:type="dxa"/>
            <w:tcBorders>
              <w:top w:val="single" w:color="auto" w:sz="8" w:space="0"/>
              <w:tl2br w:val="nil"/>
              <w:tr2bl w:val="nil"/>
            </w:tcBorders>
            <w:vAlign w:val="center"/>
          </w:tcPr>
          <w:p w14:paraId="0A00E301">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649" w:type="dxa"/>
            <w:tcBorders>
              <w:top w:val="single" w:color="auto" w:sz="8" w:space="0"/>
              <w:tl2br w:val="nil"/>
              <w:tr2bl w:val="nil"/>
            </w:tcBorders>
            <w:vAlign w:val="center"/>
          </w:tcPr>
          <w:p w14:paraId="132D27C4">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w:t>
            </w:r>
          </w:p>
        </w:tc>
        <w:tc>
          <w:tcPr>
            <w:tcW w:w="426" w:type="dxa"/>
            <w:tcBorders>
              <w:top w:val="single" w:color="auto" w:sz="8" w:space="0"/>
              <w:tl2br w:val="nil"/>
              <w:tr2bl w:val="nil"/>
            </w:tcBorders>
            <w:vAlign w:val="center"/>
          </w:tcPr>
          <w:p w14:paraId="0C2E855A">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w:t>
            </w:r>
          </w:p>
        </w:tc>
        <w:tc>
          <w:tcPr>
            <w:tcW w:w="615" w:type="dxa"/>
            <w:tcBorders>
              <w:top w:val="single" w:color="auto" w:sz="8" w:space="0"/>
              <w:tl2br w:val="nil"/>
              <w:tr2bl w:val="nil"/>
            </w:tcBorders>
            <w:vAlign w:val="center"/>
          </w:tcPr>
          <w:p w14:paraId="23781463">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w:t>
            </w:r>
          </w:p>
        </w:tc>
        <w:tc>
          <w:tcPr>
            <w:tcW w:w="205" w:type="dxa"/>
            <w:tcBorders>
              <w:top w:val="single" w:color="auto" w:sz="8" w:space="0"/>
              <w:tl2br w:val="nil"/>
              <w:tr2bl w:val="nil"/>
            </w:tcBorders>
            <w:vAlign w:val="center"/>
          </w:tcPr>
          <w:p w14:paraId="7EB11159">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565" w:type="dxa"/>
            <w:tcBorders>
              <w:top w:val="single" w:color="auto" w:sz="8" w:space="0"/>
              <w:tl2br w:val="nil"/>
              <w:tr2bl w:val="nil"/>
            </w:tcBorders>
            <w:vAlign w:val="center"/>
          </w:tcPr>
          <w:p w14:paraId="55E55D3A">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w:t>
            </w:r>
          </w:p>
        </w:tc>
        <w:tc>
          <w:tcPr>
            <w:tcW w:w="376" w:type="dxa"/>
            <w:tcBorders>
              <w:top w:val="single" w:color="auto" w:sz="8" w:space="0"/>
              <w:tl2br w:val="nil"/>
              <w:tr2bl w:val="nil"/>
            </w:tcBorders>
            <w:vAlign w:val="center"/>
          </w:tcPr>
          <w:p w14:paraId="1182D432">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493" w:type="dxa"/>
            <w:tcBorders>
              <w:top w:val="single" w:color="auto" w:sz="8" w:space="0"/>
              <w:tl2br w:val="nil"/>
              <w:tr2bl w:val="nil"/>
            </w:tcBorders>
            <w:vAlign w:val="center"/>
          </w:tcPr>
          <w:p w14:paraId="1B2F02D0">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354" w:type="dxa"/>
            <w:tcBorders>
              <w:top w:val="single" w:color="auto" w:sz="8" w:space="0"/>
              <w:tl2br w:val="nil"/>
              <w:tr2bl w:val="nil"/>
            </w:tcBorders>
            <w:vAlign w:val="center"/>
          </w:tcPr>
          <w:p w14:paraId="3814EB21">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w:t>
            </w:r>
          </w:p>
        </w:tc>
        <w:tc>
          <w:tcPr>
            <w:tcW w:w="535" w:type="dxa"/>
            <w:tcBorders>
              <w:top w:val="single" w:color="auto" w:sz="8" w:space="0"/>
              <w:tl2br w:val="nil"/>
              <w:tr2bl w:val="nil"/>
            </w:tcBorders>
            <w:vAlign w:val="center"/>
          </w:tcPr>
          <w:p w14:paraId="19951C67">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w:t>
            </w:r>
          </w:p>
        </w:tc>
        <w:tc>
          <w:tcPr>
            <w:tcW w:w="478" w:type="dxa"/>
            <w:tcBorders>
              <w:top w:val="single" w:color="auto" w:sz="8" w:space="0"/>
              <w:tl2br w:val="nil"/>
              <w:tr2bl w:val="nil"/>
            </w:tcBorders>
            <w:vAlign w:val="center"/>
          </w:tcPr>
          <w:p w14:paraId="752EDEEA">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15</w:t>
            </w:r>
          </w:p>
        </w:tc>
        <w:tc>
          <w:tcPr>
            <w:tcW w:w="769" w:type="dxa"/>
            <w:tcBorders>
              <w:top w:val="single" w:color="auto" w:sz="8" w:space="0"/>
              <w:tl2br w:val="nil"/>
              <w:tr2bl w:val="nil"/>
            </w:tcBorders>
            <w:vAlign w:val="center"/>
          </w:tcPr>
          <w:p w14:paraId="41DF21C9">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12</w:t>
            </w:r>
          </w:p>
        </w:tc>
        <w:tc>
          <w:tcPr>
            <w:tcW w:w="313" w:type="dxa"/>
            <w:tcBorders>
              <w:top w:val="single" w:color="auto" w:sz="8" w:space="0"/>
              <w:tl2br w:val="nil"/>
              <w:tr2bl w:val="nil"/>
            </w:tcBorders>
            <w:vAlign w:val="center"/>
          </w:tcPr>
          <w:p w14:paraId="71140A68">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11</w:t>
            </w:r>
          </w:p>
        </w:tc>
        <w:tc>
          <w:tcPr>
            <w:tcW w:w="821" w:type="dxa"/>
            <w:tcBorders>
              <w:top w:val="single" w:color="auto" w:sz="8" w:space="0"/>
              <w:tl2br w:val="nil"/>
              <w:tr2bl w:val="nil"/>
            </w:tcBorders>
            <w:vAlign w:val="center"/>
          </w:tcPr>
          <w:p w14:paraId="5B3D0844">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w:t>
            </w:r>
          </w:p>
        </w:tc>
        <w:tc>
          <w:tcPr>
            <w:tcW w:w="529" w:type="dxa"/>
            <w:tcBorders>
              <w:top w:val="single" w:color="auto" w:sz="8" w:space="0"/>
              <w:tl2br w:val="nil"/>
              <w:tr2bl w:val="nil"/>
            </w:tcBorders>
            <w:vAlign w:val="center"/>
          </w:tcPr>
          <w:p w14:paraId="763C2C9C">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w:t>
            </w:r>
          </w:p>
        </w:tc>
        <w:tc>
          <w:tcPr>
            <w:tcW w:w="750" w:type="dxa"/>
            <w:tcBorders>
              <w:top w:val="single" w:color="auto" w:sz="8" w:space="0"/>
              <w:tl2br w:val="nil"/>
              <w:tr2bl w:val="nil"/>
            </w:tcBorders>
            <w:vAlign w:val="center"/>
          </w:tcPr>
          <w:p w14:paraId="010307DF">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323" w:type="dxa"/>
            <w:tcBorders>
              <w:top w:val="single" w:color="auto" w:sz="8" w:space="0"/>
              <w:tl2br w:val="nil"/>
              <w:tr2bl w:val="nil"/>
            </w:tcBorders>
            <w:vAlign w:val="center"/>
          </w:tcPr>
          <w:p w14:paraId="53F02BE4">
            <w:pPr>
              <w:widowControl w:val="0"/>
              <w:adjustRightInd w:val="0"/>
              <w:snapToGrid w:val="0"/>
              <w:spacing w:before="72" w:beforeLines="30" w:after="72" w:afterLines="3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18</w:t>
            </w:r>
          </w:p>
        </w:tc>
      </w:tr>
    </w:tbl>
    <w:p w14:paraId="519A460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根据佳木斯市近20年各风向频率统计结果可以看出，该区域主导风向为SW-WSW-W的风向范围，其主导风向角风频之和为38%。</w:t>
      </w:r>
    </w:p>
    <w:p w14:paraId="1D9B22F3">
      <w:pPr>
        <w:pStyle w:val="5"/>
        <w:widowControl w:val="0"/>
        <w:rPr>
          <w:rFonts w:eastAsia="宋体"/>
          <w:caps w:val="0"/>
          <w:smallCaps w:val="0"/>
          <w:color w:val="auto"/>
          <w:spacing w:val="0"/>
          <w:sz w:val="30"/>
          <w:szCs w:val="30"/>
          <w:highlight w:val="none"/>
        </w:rPr>
      </w:pPr>
      <w:bookmarkStart w:id="119" w:name="_Toc5128"/>
      <w:r>
        <w:rPr>
          <w:rFonts w:eastAsia="宋体"/>
          <w:caps w:val="0"/>
          <w:smallCaps w:val="0"/>
          <w:color w:val="auto"/>
          <w:spacing w:val="0"/>
          <w:sz w:val="30"/>
          <w:szCs w:val="30"/>
          <w:highlight w:val="none"/>
        </w:rPr>
        <w:t>4.1.5水文地质</w:t>
      </w:r>
      <w:bookmarkEnd w:id="119"/>
    </w:p>
    <w:p w14:paraId="6F17B8BE">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4.1.5.1地下水类型划分</w:t>
      </w:r>
    </w:p>
    <w:p w14:paraId="0DF2697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地下水的形成、分布受区域地质构造、地形地貌及地层岩性的控制。在漫滩区，沉积了厚层第四系砂、砂砾石，赋存第四系砂砾石孔隙水。山前台地沉积有粉质黏土，赋存微孔隙裂隙水；在山前台地上的残丘一带，出露岩性为花岗岩，其风化裂隙发育，赋存基岩风化裂隙水。根据含水层岩性、地下水赋存条件及水力特征，将地下水类型划分如下。</w:t>
      </w:r>
    </w:p>
    <w:p w14:paraId="6F59D69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1、第四系砂砾石孔隙水</w:t>
      </w:r>
    </w:p>
    <w:p w14:paraId="727B7B0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水量极丰富区（单井涌水量＞5000m³/d）分布评价区北部至松花江的漫滩区，含水层岩性以粗砂及砾砂为主，其次为中细砂等，含水层厚度20－45m，水位埋深一般为2-7.5m，渗透系数75.60-94.37m/d。地下水量极丰富，推算单井涌水量大于5000m³/d。地下水化学类型为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—Ca·Na、HCO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—Ca·Mg、SO</w:t>
      </w:r>
      <w:r>
        <w:rPr>
          <w:rFonts w:ascii="Times New Roman" w:hAnsi="Times New Roman" w:eastAsia="宋体" w:cs="Times New Roman"/>
          <w:caps w:val="0"/>
          <w:smallCaps w:val="0"/>
          <w:color w:val="auto"/>
          <w:spacing w:val="0"/>
          <w:highlight w:val="none"/>
          <w:vertAlign w:val="subscript"/>
        </w:rPr>
        <w:t>4</w:t>
      </w:r>
      <w:r>
        <w:rPr>
          <w:rFonts w:ascii="Times New Roman" w:hAnsi="Times New Roman" w:eastAsia="宋体" w:cs="Times New Roman"/>
          <w:caps w:val="0"/>
          <w:smallCaps w:val="0"/>
          <w:color w:val="auto"/>
          <w:spacing w:val="0"/>
          <w:highlight w:val="none"/>
        </w:rPr>
        <w:t>—Ca·Mg、HCO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·SO</w:t>
      </w:r>
      <w:r>
        <w:rPr>
          <w:rFonts w:ascii="Times New Roman" w:hAnsi="Times New Roman" w:eastAsia="宋体" w:cs="Times New Roman"/>
          <w:caps w:val="0"/>
          <w:smallCaps w:val="0"/>
          <w:color w:val="auto"/>
          <w:spacing w:val="0"/>
          <w:highlight w:val="none"/>
          <w:vertAlign w:val="subscript"/>
        </w:rPr>
        <w:t>4</w:t>
      </w:r>
      <w:r>
        <w:rPr>
          <w:rFonts w:ascii="Times New Roman" w:hAnsi="Times New Roman" w:eastAsia="宋体" w:cs="Times New Roman"/>
          <w:caps w:val="0"/>
          <w:smallCaps w:val="0"/>
          <w:color w:val="auto"/>
          <w:spacing w:val="0"/>
          <w:highlight w:val="none"/>
        </w:rPr>
        <w:t>—Ca·Mg及HCO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·SO</w:t>
      </w:r>
      <w:r>
        <w:rPr>
          <w:rFonts w:ascii="Times New Roman" w:hAnsi="Times New Roman" w:eastAsia="宋体" w:cs="Times New Roman"/>
          <w:caps w:val="0"/>
          <w:smallCaps w:val="0"/>
          <w:color w:val="auto"/>
          <w:spacing w:val="0"/>
          <w:highlight w:val="none"/>
          <w:vertAlign w:val="subscript"/>
        </w:rPr>
        <w:t>4</w:t>
      </w:r>
      <w:r>
        <w:rPr>
          <w:rFonts w:ascii="Times New Roman" w:hAnsi="Times New Roman" w:eastAsia="宋体" w:cs="Times New Roman"/>
          <w:caps w:val="0"/>
          <w:smallCaps w:val="0"/>
          <w:color w:val="auto"/>
          <w:spacing w:val="0"/>
          <w:highlight w:val="none"/>
        </w:rPr>
        <w:t>·Cl—Ca·Mg·Na型水，pH值6.50~8.50，总硬度111~391mg/L（以CaCO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计），矿化度为204~398mg/L，为低矿化度淡水，水质较好。</w:t>
      </w:r>
    </w:p>
    <w:p w14:paraId="55301D7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水量丰富区（单井涌水量3000－5000m³/d）分布于评价区南侧，含水层岩性以中粗砂为主，其次为细砂及砾砂，砂层之间有无连续隔水层，含水层厚度10~20m，水位埋深2~6m，渗透系数25.00~35.00m/d。地下水水量丰富，推算单井涌水量3000~5000m³/d。水化学类型为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—Ca·Mg、HCO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—Na·Ca型，pH值6.50~7.12，总硬度95.29~241.00mg/L，矿化度为165.87~311.00mg/L，为低矿化度淡水，水质较好。</w:t>
      </w:r>
    </w:p>
    <w:p w14:paraId="740060B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r>
        <w:rPr>
          <w:rFonts w:hint="eastAsia" w:ascii="Times New Roman" w:hAnsi="Times New Roman" w:eastAsia="宋体" w:cs="Times New Roman"/>
          <w:caps w:val="0"/>
          <w:smallCaps w:val="0"/>
          <w:color w:val="auto"/>
          <w:spacing w:val="0"/>
          <w:highlight w:val="none"/>
        </w:rPr>
        <w:t>粉质粘土</w:t>
      </w:r>
      <w:r>
        <w:rPr>
          <w:rFonts w:ascii="Times New Roman" w:hAnsi="Times New Roman" w:eastAsia="宋体" w:cs="Times New Roman"/>
          <w:caps w:val="0"/>
          <w:smallCaps w:val="0"/>
          <w:color w:val="auto"/>
          <w:spacing w:val="0"/>
          <w:highlight w:val="none"/>
        </w:rPr>
        <w:t>微孔隙裂隙水</w:t>
      </w:r>
    </w:p>
    <w:p w14:paraId="3061C04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分布于评价区西南及东南角山前台地一带。含水层为第四系中更新统浓江组（</w:t>
      </w:r>
      <w:r>
        <w:rPr>
          <w:rFonts w:ascii="Times New Roman" w:hAnsi="Times New Roman" w:eastAsia="宋体" w:cs="Times New Roman"/>
          <w:caps w:val="0"/>
          <w:smallCaps w:val="0"/>
          <w:color w:val="auto"/>
          <w:spacing w:val="0"/>
          <w:position w:val="-10"/>
          <w:highlight w:val="none"/>
        </w:rPr>
        <w:object>
          <v:shape id="_x0000_i1027" o:spt="75" type="#_x0000_t75" style="height:14.4pt;width:14.4pt;" o:ole="t" filled="f" o:preferrelative="t" stroked="f" coordsize="21600,21600">
            <v:path/>
            <v:fill on="f" focussize="0,0"/>
            <v:stroke on="f" joinstyle="miter"/>
            <v:imagedata r:id="rId61" o:title=""/>
            <o:lock v:ext="edit" aspectratio="t"/>
            <w10:wrap type="none"/>
            <w10:anchorlock/>
          </v:shape>
          <o:OLEObject Type="Embed" ProgID="Equation.3" ShapeID="_x0000_i1027" DrawAspect="Content" ObjectID="_1468075727" r:id="rId60">
            <o:LockedField>false</o:LockedField>
          </o:OLEObject>
        </w:object>
      </w:r>
      <w:r>
        <w:rPr>
          <w:rFonts w:ascii="Times New Roman" w:hAnsi="Times New Roman" w:eastAsia="宋体" w:cs="Times New Roman"/>
          <w:caps w:val="0"/>
          <w:smallCaps w:val="0"/>
          <w:color w:val="auto"/>
          <w:spacing w:val="0"/>
          <w:highlight w:val="none"/>
        </w:rPr>
        <w:t>n）粉质黏土，地下水赋存于粉质黏土中、上部层位微裂隙中，富水性很弱且不均匀，水量贫乏，单井涌水量一般小于100m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/d，水质较好，水化学类型为HCO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—Ca·Mg型、HCO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·SO</w:t>
      </w:r>
      <w:r>
        <w:rPr>
          <w:rFonts w:ascii="Times New Roman" w:hAnsi="Times New Roman" w:eastAsia="宋体" w:cs="Times New Roman"/>
          <w:caps w:val="0"/>
          <w:smallCaps w:val="0"/>
          <w:color w:val="auto"/>
          <w:spacing w:val="0"/>
          <w:highlight w:val="none"/>
          <w:vertAlign w:val="subscript"/>
        </w:rPr>
        <w:t>4</w:t>
      </w:r>
      <w:r>
        <w:rPr>
          <w:rFonts w:ascii="Times New Roman" w:hAnsi="Times New Roman" w:eastAsia="宋体" w:cs="Times New Roman"/>
          <w:caps w:val="0"/>
          <w:smallCaps w:val="0"/>
          <w:color w:val="auto"/>
          <w:spacing w:val="0"/>
          <w:highlight w:val="none"/>
        </w:rPr>
        <w:t>—Ca·Mg型水，总硬度80.97~138.17mg/L，pH值6.62~7.03，矿化度130.38~244.61mg/L。由于粉质黏土微孔隙裂隙水水量很小，因此，无供水意义。</w:t>
      </w:r>
    </w:p>
    <w:p w14:paraId="4FADF57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3、基岩风化裂隙水</w:t>
      </w:r>
    </w:p>
    <w:p w14:paraId="0333D75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出露于评价区东南角及南部，漫滩区及台地区掩埋于第四系松散岩类含水层之下。含水层为元古代晋宁期花岗岩及白垩系砂岩风化带，地下水赋存于风化裂隙中。风化带厚度一般小于100m。水位埋深为13.5m左右，水力性质为潜水。富水性贫乏，且水量不均一，单井出水量一般小于100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/d。水质良好，水化学类型为HCO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—Ca·Mg、HCO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—Ca·Na型水，矿化度150~411mg/L，总硬度100~241mg/L。水量小，仅适合</w:t>
      </w:r>
      <w:r>
        <w:rPr>
          <w:rFonts w:hint="eastAsia" w:ascii="Times New Roman" w:hAnsi="Times New Roman" w:eastAsia="宋体" w:cs="Times New Roman"/>
          <w:caps w:val="0"/>
          <w:smallCaps w:val="0"/>
          <w:color w:val="auto"/>
          <w:spacing w:val="0"/>
          <w:highlight w:val="none"/>
        </w:rPr>
        <w:t>作为</w:t>
      </w:r>
      <w:r>
        <w:rPr>
          <w:rFonts w:ascii="Times New Roman" w:hAnsi="Times New Roman" w:eastAsia="宋体" w:cs="Times New Roman"/>
          <w:caps w:val="0"/>
          <w:smallCaps w:val="0"/>
          <w:color w:val="auto"/>
          <w:spacing w:val="0"/>
          <w:highlight w:val="none"/>
        </w:rPr>
        <w:t>分散式居民饮用水水源。</w:t>
      </w:r>
    </w:p>
    <w:p w14:paraId="183316AD">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4.1.5.2地下水补给、径流、排泄条件</w:t>
      </w:r>
    </w:p>
    <w:p w14:paraId="11B6E44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120" w:name="_Toc416621725"/>
      <w:bookmarkStart w:id="121" w:name="_Toc443568807"/>
      <w:bookmarkStart w:id="122" w:name="_Toc436064633"/>
      <w:bookmarkStart w:id="123" w:name="_Toc436064476"/>
      <w:r>
        <w:rPr>
          <w:rFonts w:ascii="Times New Roman" w:hAnsi="Times New Roman" w:eastAsia="宋体" w:cs="Times New Roman"/>
          <w:caps w:val="0"/>
          <w:smallCaps w:val="0"/>
          <w:color w:val="auto"/>
          <w:spacing w:val="0"/>
          <w:highlight w:val="none"/>
        </w:rPr>
        <w:t>评价区地处完达山的北坡、松花江河谷平原。在水文地质单元中，南部丘陵山区是地下水的补给区，中部山前台地既是补给区也是径流区，北部漫滩平原既是补给区也是径流排泄区。</w:t>
      </w:r>
    </w:p>
    <w:p w14:paraId="77E03AC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1、基岩裂隙水的补给、径流、排泄条件</w:t>
      </w:r>
    </w:p>
    <w:p w14:paraId="01D3E1F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南部丘陵山区，基岩裸露，岩石风化裂隙发育，大气降水渗入地下形成基岩风化裂隙潜水，并在重力作用下向下游径流，进入山前台地下部成为承压水。在山前台地区的基岩裸露地段，大气降水可直接渗入岩石裂隙中，形成基岩风化裂隙潜水。地下水的主要排泄方式为以地下径流的方式向下游排泄，人类开发利用也是地下水的排泄途径之一。</w:t>
      </w:r>
    </w:p>
    <w:p w14:paraId="3FC8D02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2、第四系砂砾孔隙潜水的补给、径流、排泄条件</w:t>
      </w:r>
    </w:p>
    <w:p w14:paraId="53DA0BC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评价区第四系砂砾石孔隙水的主要补给来源为大气降水的垂直渗入及测区南部地下水的侧向径流补给。枯水期及平水期地下水除被人工开采</w:t>
      </w:r>
      <w:r>
        <w:rPr>
          <w:rFonts w:hint="eastAsia" w:ascii="Times New Roman" w:hAnsi="Times New Roman" w:eastAsia="宋体" w:cs="Times New Roman"/>
          <w:caps w:val="0"/>
          <w:smallCaps w:val="0"/>
          <w:color w:val="auto"/>
          <w:spacing w:val="0"/>
          <w:highlight w:val="none"/>
        </w:rPr>
        <w:t>径流</w:t>
      </w:r>
      <w:r>
        <w:rPr>
          <w:rFonts w:ascii="Times New Roman" w:hAnsi="Times New Roman" w:eastAsia="宋体" w:cs="Times New Roman"/>
          <w:caps w:val="0"/>
          <w:smallCaps w:val="0"/>
          <w:color w:val="auto"/>
          <w:spacing w:val="0"/>
          <w:highlight w:val="none"/>
        </w:rPr>
        <w:t>外排泄于地表水，丰水期地下水则接受河流的补给。评价区内东兴煤化工及农业灌溉开采地下水为地下水排泄的主要途径，居民生活用水开采及潜水蒸发也是地下水重要的排泄的方式。</w:t>
      </w:r>
    </w:p>
    <w:bookmarkEnd w:id="120"/>
    <w:bookmarkEnd w:id="121"/>
    <w:bookmarkEnd w:id="122"/>
    <w:bookmarkEnd w:id="123"/>
    <w:p w14:paraId="05D5FCD2">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收集2016年长兴村、东兴煤化工监测井地下水动态监测资料显示，第四系孔隙潜水水位随季节而出现周期性变化。本区一年中的7、8、9三个月为丰水期，地下水位随之上升，至8~9月水位达高峰值，其后水位开始回落，直至翌年3~5月份水位达低峰值，评价区地下水动态变化主要是受气象因素所控制，地下水动态类型为气象型。</w:t>
      </w:r>
    </w:p>
    <w:p w14:paraId="389E833A">
      <w:pPr>
        <w:widowControl w:val="0"/>
        <w:spacing w:line="36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2016年长兴村与东兴煤化工地下水监测井水位动态曲线图见图4.1-3。</w:t>
      </w:r>
    </w:p>
    <w:p w14:paraId="4B52FED7">
      <w:pPr>
        <w:pStyle w:val="48"/>
        <w:jc w:val="center"/>
        <w:rPr>
          <w:rFonts w:ascii="Times New Roman" w:cs="Times New Roman"/>
          <w:caps w:val="0"/>
          <w:smallCaps w:val="0"/>
          <w:color w:val="auto"/>
          <w:spacing w:val="0"/>
          <w:highlight w:val="none"/>
        </w:rPr>
      </w:pPr>
      <w:r>
        <w:rPr>
          <w:rFonts w:ascii="Times New Roman" w:cs="Times New Roman"/>
          <w:caps w:val="0"/>
          <w:smallCaps w:val="0"/>
          <w:color w:val="auto"/>
          <w:spacing w:val="0"/>
          <w:highlight w:val="none"/>
        </w:rPr>
        <w:drawing>
          <wp:inline distT="0" distB="0" distL="0" distR="0">
            <wp:extent cx="5273040" cy="2600960"/>
            <wp:effectExtent l="0" t="0" r="22860" b="27940"/>
            <wp:docPr id="5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81D1BA1">
      <w:pPr>
        <w:widowControl w:val="0"/>
        <w:spacing w:line="360" w:lineRule="auto"/>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图4.1-3</w:t>
      </w:r>
      <w:r>
        <w:rPr>
          <w:rFonts w:hint="eastAsia" w:ascii="Times New Roman" w:hAnsi="Times New Roman" w:eastAsia="宋体" w:cs="Times New Roman"/>
          <w:b/>
          <w:caps w:val="0"/>
          <w:smallCaps w:val="0"/>
          <w:color w:val="auto"/>
          <w:spacing w:val="0"/>
          <w:highlight w:val="none"/>
        </w:rPr>
        <w:t xml:space="preserve"> </w:t>
      </w:r>
      <w:r>
        <w:rPr>
          <w:rFonts w:ascii="Times New Roman" w:hAnsi="Times New Roman" w:eastAsia="宋体" w:cs="Times New Roman"/>
          <w:b/>
          <w:caps w:val="0"/>
          <w:smallCaps w:val="0"/>
          <w:color w:val="auto"/>
          <w:spacing w:val="0"/>
          <w:highlight w:val="none"/>
        </w:rPr>
        <w:t>2016年长兴村与东兴煤化工地下水监测井水位动态曲线图</w:t>
      </w:r>
    </w:p>
    <w:p w14:paraId="265866DE">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4.1.5.3地下水资源开发利用现状</w:t>
      </w:r>
    </w:p>
    <w:p w14:paraId="13765396">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根据现场调查，评价区内地下水开发利用方式主要为企业开采、各村屯居民生活用水开采及农业灌溉开采。</w:t>
      </w:r>
    </w:p>
    <w:p w14:paraId="684D358D">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1、企业开采</w:t>
      </w:r>
    </w:p>
    <w:p w14:paraId="49B39BB7">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评价区内企业开采地下水主要为东兴煤化工生产用水开采，地下水开采情况见下表4.1-2。</w:t>
      </w:r>
    </w:p>
    <w:p w14:paraId="597D805A">
      <w:pPr>
        <w:widowControl w:val="0"/>
        <w:adjustRightInd w:val="0"/>
        <w:snapToGrid w:val="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表4.1-2东兴煤化工企业地下水开采情况统计表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945"/>
        <w:gridCol w:w="1192"/>
        <w:gridCol w:w="2746"/>
        <w:gridCol w:w="2412"/>
      </w:tblGrid>
      <w:tr w14:paraId="2342D0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90" w:type="dxa"/>
            <w:tcBorders>
              <w:top w:val="single" w:color="auto" w:sz="8" w:space="0"/>
              <w:bottom w:val="single" w:color="auto" w:sz="8" w:space="0"/>
            </w:tcBorders>
            <w:vAlign w:val="center"/>
          </w:tcPr>
          <w:p w14:paraId="3A11A942">
            <w:pPr>
              <w:pStyle w:val="127"/>
              <w:widowControl w:val="0"/>
              <w:adjustRightInd w:val="0"/>
              <w:snapToGrid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水源井</w:t>
            </w:r>
          </w:p>
        </w:tc>
        <w:tc>
          <w:tcPr>
            <w:tcW w:w="1945" w:type="dxa"/>
            <w:tcBorders>
              <w:top w:val="single" w:color="auto" w:sz="8" w:space="0"/>
              <w:bottom w:val="single" w:color="auto" w:sz="8" w:space="0"/>
            </w:tcBorders>
            <w:vAlign w:val="center"/>
          </w:tcPr>
          <w:p w14:paraId="20F19B5E">
            <w:pPr>
              <w:pStyle w:val="127"/>
              <w:widowControl w:val="0"/>
              <w:adjustRightInd w:val="0"/>
              <w:snapToGrid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坐标</w:t>
            </w:r>
          </w:p>
        </w:tc>
        <w:tc>
          <w:tcPr>
            <w:tcW w:w="1192" w:type="dxa"/>
            <w:tcBorders>
              <w:top w:val="single" w:color="auto" w:sz="8" w:space="0"/>
              <w:bottom w:val="single" w:color="auto" w:sz="8" w:space="0"/>
            </w:tcBorders>
            <w:vAlign w:val="center"/>
          </w:tcPr>
          <w:p w14:paraId="2E46EA67">
            <w:pPr>
              <w:pStyle w:val="127"/>
              <w:widowControl w:val="0"/>
              <w:adjustRightInd w:val="0"/>
              <w:snapToGrid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井深</w:t>
            </w:r>
          </w:p>
        </w:tc>
        <w:tc>
          <w:tcPr>
            <w:tcW w:w="2746" w:type="dxa"/>
            <w:tcBorders>
              <w:top w:val="single" w:color="auto" w:sz="8" w:space="0"/>
              <w:bottom w:val="single" w:color="auto" w:sz="8" w:space="0"/>
            </w:tcBorders>
            <w:vAlign w:val="center"/>
          </w:tcPr>
          <w:p w14:paraId="24D1E47D">
            <w:pPr>
              <w:pStyle w:val="127"/>
              <w:widowControl w:val="0"/>
              <w:adjustRightInd w:val="0"/>
              <w:snapToGrid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开采量</w:t>
            </w:r>
          </w:p>
        </w:tc>
        <w:tc>
          <w:tcPr>
            <w:tcW w:w="2413" w:type="dxa"/>
            <w:tcBorders>
              <w:top w:val="single" w:color="auto" w:sz="8" w:space="0"/>
              <w:bottom w:val="single" w:color="auto" w:sz="8" w:space="0"/>
            </w:tcBorders>
            <w:vAlign w:val="center"/>
          </w:tcPr>
          <w:p w14:paraId="6582350A">
            <w:pPr>
              <w:pStyle w:val="127"/>
              <w:widowControl w:val="0"/>
              <w:adjustRightInd w:val="0"/>
              <w:snapToGrid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开采目的含水层</w:t>
            </w:r>
          </w:p>
        </w:tc>
      </w:tr>
      <w:tr w14:paraId="2DFF6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tcBorders>
              <w:top w:val="single" w:color="auto" w:sz="8" w:space="0"/>
            </w:tcBorders>
            <w:vAlign w:val="center"/>
          </w:tcPr>
          <w:p w14:paraId="25BABF89">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w:t>
            </w:r>
          </w:p>
        </w:tc>
        <w:tc>
          <w:tcPr>
            <w:tcW w:w="1945" w:type="dxa"/>
            <w:tcBorders>
              <w:top w:val="single" w:color="auto" w:sz="8" w:space="0"/>
            </w:tcBorders>
            <w:vAlign w:val="center"/>
          </w:tcPr>
          <w:p w14:paraId="256D66B2">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130°26'15.82"</w:t>
            </w:r>
          </w:p>
          <w:p w14:paraId="13C70E42">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46°47'33.54"</w:t>
            </w:r>
          </w:p>
        </w:tc>
        <w:tc>
          <w:tcPr>
            <w:tcW w:w="1192" w:type="dxa"/>
            <w:tcBorders>
              <w:top w:val="single" w:color="auto" w:sz="8" w:space="0"/>
            </w:tcBorders>
            <w:vAlign w:val="center"/>
          </w:tcPr>
          <w:p w14:paraId="3B8AC811">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30m</w:t>
            </w:r>
          </w:p>
        </w:tc>
        <w:tc>
          <w:tcPr>
            <w:tcW w:w="2746" w:type="dxa"/>
            <w:tcBorders>
              <w:top w:val="single" w:color="auto" w:sz="8" w:space="0"/>
            </w:tcBorders>
            <w:vAlign w:val="center"/>
          </w:tcPr>
          <w:p w14:paraId="37A51295">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2400.00m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w:t>
            </w:r>
          </w:p>
        </w:tc>
        <w:tc>
          <w:tcPr>
            <w:tcW w:w="2413" w:type="dxa"/>
            <w:tcBorders>
              <w:top w:val="single" w:color="auto" w:sz="8" w:space="0"/>
            </w:tcBorders>
            <w:vAlign w:val="center"/>
          </w:tcPr>
          <w:p w14:paraId="07FC4D76">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第四系砂砾石孔隙水</w:t>
            </w:r>
          </w:p>
        </w:tc>
      </w:tr>
      <w:tr w14:paraId="49AC27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2291160D">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p>
        </w:tc>
        <w:tc>
          <w:tcPr>
            <w:tcW w:w="1945" w:type="dxa"/>
            <w:vAlign w:val="center"/>
          </w:tcPr>
          <w:p w14:paraId="1EB1C28C">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46°47'33.5365"</w:t>
            </w:r>
          </w:p>
          <w:p w14:paraId="46DBC385">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46°47'31.3627"</w:t>
            </w:r>
          </w:p>
        </w:tc>
        <w:tc>
          <w:tcPr>
            <w:tcW w:w="1192" w:type="dxa"/>
            <w:vAlign w:val="center"/>
          </w:tcPr>
          <w:p w14:paraId="52E90263">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30m</w:t>
            </w:r>
          </w:p>
        </w:tc>
        <w:tc>
          <w:tcPr>
            <w:tcW w:w="2746" w:type="dxa"/>
            <w:vAlign w:val="center"/>
          </w:tcPr>
          <w:p w14:paraId="3E074AB0">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2400.00m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w:t>
            </w:r>
          </w:p>
        </w:tc>
        <w:tc>
          <w:tcPr>
            <w:tcW w:w="2413" w:type="dxa"/>
            <w:vAlign w:val="center"/>
          </w:tcPr>
          <w:p w14:paraId="10B24324">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第四系砂砾石孔隙水</w:t>
            </w:r>
          </w:p>
        </w:tc>
      </w:tr>
      <w:tr w14:paraId="10A68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1E9A0EE6">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w:t>
            </w:r>
          </w:p>
        </w:tc>
        <w:tc>
          <w:tcPr>
            <w:tcW w:w="1945" w:type="dxa"/>
            <w:vAlign w:val="center"/>
          </w:tcPr>
          <w:p w14:paraId="44EDE309">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130°26'23.54"</w:t>
            </w:r>
          </w:p>
          <w:p w14:paraId="0809AB9E">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46°47'27.87"</w:t>
            </w:r>
          </w:p>
        </w:tc>
        <w:tc>
          <w:tcPr>
            <w:tcW w:w="1192" w:type="dxa"/>
            <w:vAlign w:val="center"/>
          </w:tcPr>
          <w:p w14:paraId="524FBF86">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30m</w:t>
            </w:r>
          </w:p>
        </w:tc>
        <w:tc>
          <w:tcPr>
            <w:tcW w:w="2746" w:type="dxa"/>
            <w:vAlign w:val="center"/>
          </w:tcPr>
          <w:p w14:paraId="525DDA69">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2400.00m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w:t>
            </w:r>
          </w:p>
        </w:tc>
        <w:tc>
          <w:tcPr>
            <w:tcW w:w="2413" w:type="dxa"/>
            <w:vAlign w:val="center"/>
          </w:tcPr>
          <w:p w14:paraId="1AD128F1">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第四系砂砾石孔隙水</w:t>
            </w:r>
          </w:p>
        </w:tc>
      </w:tr>
      <w:tr w14:paraId="64AE62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tcBorders>
              <w:bottom w:val="single" w:color="auto" w:sz="8" w:space="0"/>
            </w:tcBorders>
            <w:vAlign w:val="center"/>
          </w:tcPr>
          <w:p w14:paraId="5525C315">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w:t>
            </w:r>
          </w:p>
        </w:tc>
        <w:tc>
          <w:tcPr>
            <w:tcW w:w="1945" w:type="dxa"/>
            <w:tcBorders>
              <w:bottom w:val="single" w:color="auto" w:sz="8" w:space="0"/>
            </w:tcBorders>
            <w:vAlign w:val="center"/>
          </w:tcPr>
          <w:p w14:paraId="2ACA46EC">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130°26'18.17"</w:t>
            </w:r>
          </w:p>
          <w:p w14:paraId="5469C732">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46°47'13.94"</w:t>
            </w:r>
          </w:p>
        </w:tc>
        <w:tc>
          <w:tcPr>
            <w:tcW w:w="1192" w:type="dxa"/>
            <w:tcBorders>
              <w:bottom w:val="single" w:color="auto" w:sz="8" w:space="0"/>
            </w:tcBorders>
            <w:vAlign w:val="center"/>
          </w:tcPr>
          <w:p w14:paraId="3A0020C5">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30m</w:t>
            </w:r>
          </w:p>
        </w:tc>
        <w:tc>
          <w:tcPr>
            <w:tcW w:w="2746" w:type="dxa"/>
            <w:tcBorders>
              <w:bottom w:val="single" w:color="auto" w:sz="8" w:space="0"/>
            </w:tcBorders>
            <w:vAlign w:val="center"/>
          </w:tcPr>
          <w:p w14:paraId="5AD8985B">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2400.00m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w:t>
            </w:r>
          </w:p>
        </w:tc>
        <w:tc>
          <w:tcPr>
            <w:tcW w:w="2413" w:type="dxa"/>
            <w:tcBorders>
              <w:bottom w:val="single" w:color="auto" w:sz="8" w:space="0"/>
            </w:tcBorders>
            <w:vAlign w:val="center"/>
          </w:tcPr>
          <w:p w14:paraId="2C865786">
            <w:pPr>
              <w:pStyle w:val="127"/>
              <w:widowControl w:val="0"/>
              <w:adjustRightInd w:val="0"/>
              <w:snapToGrid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第四系砂砾石孔隙水</w:t>
            </w:r>
          </w:p>
        </w:tc>
      </w:tr>
    </w:tbl>
    <w:p w14:paraId="4242E291">
      <w:pPr>
        <w:widowControl w:val="0"/>
        <w:adjustRightInd w:val="0"/>
        <w:snapToGrid w:val="0"/>
        <w:spacing w:before="12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2、居民生活用水</w:t>
      </w:r>
    </w:p>
    <w:p w14:paraId="3A7B267F">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评价区内各村屯生活用水水源均为地下水，各村屯人口总和为18350人，用水定额值为60L/人·d，用水量为1101.00m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/d。开采井为村屯分散式或集中饮用水井，井深10-120m。</w:t>
      </w:r>
    </w:p>
    <w:p w14:paraId="0870AE9D">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3、农业灌溉用水</w:t>
      </w:r>
    </w:p>
    <w:p w14:paraId="2208DCCC">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评价区内蔬菜地采用地下水灌溉，主要分布在模范村周围区域，占地面积为2.01km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，区内蔬菜灌溉采用管井抽取地下水，灌水净定额1500m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，地下水开采量为301500.00m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/a。区内水田灌溉主要采用地表水。</w:t>
      </w:r>
    </w:p>
    <w:p w14:paraId="27F18499">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4.1.5.4地下水污染源调查</w:t>
      </w:r>
    </w:p>
    <w:p w14:paraId="7F2E036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评价区内主要污染源为居民点、农业污染源及企业污染源。</w:t>
      </w:r>
    </w:p>
    <w:p w14:paraId="22D6006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1、居民点污染源</w:t>
      </w:r>
    </w:p>
    <w:p w14:paraId="3494CB4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内分布有宏力村、宏伟村、恒心村、巨宝村、宝山村、东华村、道德村、兴国村、长兴村、双合村、陆家岗、双合屯、新立屯、下甸子、联合村、振兴村、模范屯共18个村屯。各村屯的旱厕、垃圾堆放点、渗水坑以及牲畜、家禽养殖场均属地下水点状污染源，其主要污染物为COD、氨氮、硝酸盐、氯化物、硫酸盐、细菌微生物等有机污染指标。</w:t>
      </w:r>
    </w:p>
    <w:p w14:paraId="2082A77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2、农业污染源</w:t>
      </w:r>
    </w:p>
    <w:p w14:paraId="6F36C17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评价区南部及东部分布有农田分布，主要种植蔬菜、水田及旱田作物。农田施用过量的有机农家肥、化肥是浅层地下水的污染物。</w:t>
      </w:r>
    </w:p>
    <w:p w14:paraId="222355C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3、企业污染源</w:t>
      </w:r>
    </w:p>
    <w:p w14:paraId="49688D8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区内主要企业污染源为东兴煤化工厂、佳木斯垃圾填埋场、佳木斯百威英博啤酒有限公司。东兴煤化工厂位于厂区西南2.8km处，主要特征污染物为COD、氨氮等；佳木斯垃圾填埋场位于厂区东南1.7km，主要特征污染物为COD、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、氨氮等；佳木斯百威英博啤酒有限公司污水处理厂位于厂区西侧约80m，主要特征污染物为COD、BOD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、氨氮等。</w:t>
      </w:r>
    </w:p>
    <w:p w14:paraId="6610D937">
      <w:pPr>
        <w:pStyle w:val="5"/>
        <w:widowControl w:val="0"/>
        <w:rPr>
          <w:rFonts w:eastAsia="宋体"/>
          <w:caps w:val="0"/>
          <w:smallCaps w:val="0"/>
          <w:color w:val="auto"/>
          <w:spacing w:val="0"/>
          <w:sz w:val="30"/>
          <w:szCs w:val="30"/>
          <w:highlight w:val="none"/>
        </w:rPr>
      </w:pPr>
      <w:bookmarkStart w:id="124" w:name="_Toc9095"/>
      <w:r>
        <w:rPr>
          <w:rFonts w:eastAsia="宋体"/>
          <w:caps w:val="0"/>
          <w:smallCaps w:val="0"/>
          <w:color w:val="auto"/>
          <w:spacing w:val="0"/>
          <w:sz w:val="30"/>
          <w:szCs w:val="30"/>
          <w:highlight w:val="none"/>
        </w:rPr>
        <w:t>4.1.</w:t>
      </w:r>
      <w:r>
        <w:rPr>
          <w:rFonts w:hint="eastAsia" w:eastAsia="宋体"/>
          <w:caps w:val="0"/>
          <w:smallCaps w:val="0"/>
          <w:color w:val="auto"/>
          <w:spacing w:val="0"/>
          <w:sz w:val="30"/>
          <w:szCs w:val="30"/>
          <w:highlight w:val="none"/>
        </w:rPr>
        <w:t>6土壤</w:t>
      </w:r>
      <w:bookmarkEnd w:id="124"/>
    </w:p>
    <w:p w14:paraId="485559A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佳木斯资源富集、土地广袤，是世界上大块黑土平原之一，包含世界上三大黑土湿地</w:t>
      </w:r>
      <w:r>
        <w:rPr>
          <w:rFonts w:ascii="Times New Roman" w:hAnsi="Times New Roman" w:eastAsia="宋体" w:cs="Times New Roman"/>
          <w:caps w:val="0"/>
          <w:smallCaps w:val="0"/>
          <w:color w:val="auto"/>
          <w:spacing w:val="0"/>
          <w:highlight w:val="none"/>
        </w:rPr>
        <w:t>214</w:t>
      </w:r>
      <w:r>
        <w:rPr>
          <w:rFonts w:hint="eastAsia" w:ascii="Times New Roman" w:hAnsi="Times New Roman" w:eastAsia="宋体" w:cs="Times New Roman"/>
          <w:caps w:val="0"/>
          <w:smallCaps w:val="0"/>
          <w:color w:val="auto"/>
          <w:spacing w:val="0"/>
          <w:highlight w:val="none"/>
        </w:rPr>
        <w:t xml:space="preserve">5万亩。佳木斯区域内江河纵横，大小湖泊星罗棋布，境内有黑龙江、松花江、乌苏里江三大水系，充足的水资源为发展工业，特别是高耗能、高耗水产业提供了有利的条件。佳木斯还是中国风能资源的富集区，风力发电潜力大。佳木斯市矿产储备以黄金、煤炭、石油、天然气、饰面石材、矿泉水为主。已发现矿产资源43种。佳木斯具备油气生成的地质条件，现已探明天然气储量近百亿立方米，全市黄金已累计探明储量 </w:t>
      </w:r>
      <w:r>
        <w:rPr>
          <w:rFonts w:ascii="Times New Roman" w:hAnsi="Times New Roman" w:eastAsia="宋体" w:cs="Times New Roman"/>
          <w:caps w:val="0"/>
          <w:smallCaps w:val="0"/>
          <w:color w:val="auto"/>
          <w:spacing w:val="0"/>
          <w:highlight w:val="none"/>
        </w:rPr>
        <w:t>38745.4</w:t>
      </w:r>
      <w:r>
        <w:rPr>
          <w:rFonts w:hint="eastAsia" w:ascii="Times New Roman" w:hAnsi="Times New Roman" w:eastAsia="宋体" w:cs="Times New Roman"/>
          <w:caps w:val="0"/>
          <w:smallCaps w:val="0"/>
          <w:color w:val="auto"/>
          <w:spacing w:val="0"/>
          <w:highlight w:val="none"/>
        </w:rPr>
        <w:t>公斤（金属量）。</w:t>
      </w:r>
    </w:p>
    <w:p w14:paraId="41111FF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本项目位于黑龙江省佳木斯市高新技术产业开发区轻工产业园（含新材料）内，通过查询国家土壤信息服务平台，最终本项目及周边土壤类型（评价范围内）为草甸土。土壤信息平台截图如图4.1-4所示。</w:t>
      </w:r>
    </w:p>
    <w:p w14:paraId="008CDDD7">
      <w:pPr>
        <w:widowControl w:val="0"/>
        <w:spacing w:line="360" w:lineRule="auto"/>
        <w:ind w:firstLine="480" w:firstLineChars="200"/>
        <w:jc w:val="both"/>
        <w:rPr>
          <w:caps w:val="0"/>
          <w:smallCaps w:val="0"/>
          <w:color w:val="auto"/>
          <w:spacing w:val="0"/>
          <w:highlight w:val="none"/>
        </w:rPr>
      </w:pPr>
      <w:r>
        <w:rPr>
          <w:caps w:val="0"/>
          <w:smallCaps w:val="0"/>
          <w:color w:val="auto"/>
          <w:spacing w:val="0"/>
          <w:highlight w:val="none"/>
        </w:rPr>
        <w:drawing>
          <wp:inline distT="0" distB="0" distL="114300" distR="114300">
            <wp:extent cx="5753735" cy="2879725"/>
            <wp:effectExtent l="0" t="0" r="18415" b="15875"/>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63"/>
                    <a:stretch>
                      <a:fillRect/>
                    </a:stretch>
                  </pic:blipFill>
                  <pic:spPr>
                    <a:xfrm>
                      <a:off x="0" y="0"/>
                      <a:ext cx="5753735" cy="2879725"/>
                    </a:xfrm>
                    <a:prstGeom prst="rect">
                      <a:avLst/>
                    </a:prstGeom>
                    <a:noFill/>
                    <a:ln>
                      <a:noFill/>
                    </a:ln>
                  </pic:spPr>
                </pic:pic>
              </a:graphicData>
            </a:graphic>
          </wp:inline>
        </w:drawing>
      </w:r>
    </w:p>
    <w:p w14:paraId="61A437B0">
      <w:pPr>
        <w:widowControl w:val="0"/>
        <w:spacing w:line="360" w:lineRule="auto"/>
        <w:ind w:firstLine="482" w:firstLineChars="200"/>
        <w:jc w:val="center"/>
        <w:rPr>
          <w:rFonts w:ascii="Times New Roman" w:hAnsi="Times New Roman" w:cs="Times New Roman" w:eastAsiaTheme="minorEastAsia"/>
          <w:b/>
          <w:bCs/>
          <w:caps w:val="0"/>
          <w:smallCaps w:val="0"/>
          <w:color w:val="auto"/>
          <w:spacing w:val="0"/>
          <w:highlight w:val="none"/>
        </w:rPr>
      </w:pPr>
      <w:r>
        <w:rPr>
          <w:rFonts w:ascii="Times New Roman" w:hAnsi="Times New Roman" w:cs="Times New Roman" w:eastAsiaTheme="minorEastAsia"/>
          <w:b/>
          <w:bCs/>
          <w:caps w:val="0"/>
          <w:smallCaps w:val="0"/>
          <w:color w:val="auto"/>
          <w:spacing w:val="0"/>
          <w:highlight w:val="none"/>
        </w:rPr>
        <w:t>图4</w:t>
      </w:r>
      <w:r>
        <w:rPr>
          <w:rFonts w:hint="eastAsia" w:ascii="Times New Roman" w:hAnsi="Times New Roman" w:cs="Times New Roman" w:eastAsiaTheme="minorEastAsia"/>
          <w:b/>
          <w:bCs/>
          <w:caps w:val="0"/>
          <w:smallCaps w:val="0"/>
          <w:color w:val="auto"/>
          <w:spacing w:val="0"/>
          <w:highlight w:val="none"/>
        </w:rPr>
        <w:t>.1-4</w:t>
      </w:r>
      <w:r>
        <w:rPr>
          <w:rFonts w:ascii="Times New Roman" w:hAnsi="Times New Roman" w:cs="Times New Roman" w:eastAsiaTheme="minorEastAsia"/>
          <w:b/>
          <w:bCs/>
          <w:caps w:val="0"/>
          <w:smallCaps w:val="0"/>
          <w:color w:val="auto"/>
          <w:spacing w:val="0"/>
          <w:highlight w:val="none"/>
        </w:rPr>
        <w:t xml:space="preserve"> 土壤信息服务平台截图</w:t>
      </w:r>
    </w:p>
    <w:p w14:paraId="30E0745F">
      <w:pPr>
        <w:pStyle w:val="4"/>
        <w:widowControl w:val="0"/>
        <w:rPr>
          <w:rFonts w:eastAsia="宋体"/>
          <w:caps w:val="0"/>
          <w:smallCaps w:val="0"/>
          <w:color w:val="auto"/>
          <w:spacing w:val="0"/>
          <w:highlight w:val="none"/>
        </w:rPr>
      </w:pPr>
      <w:bookmarkStart w:id="125" w:name="_Toc27504"/>
      <w:r>
        <w:rPr>
          <w:rFonts w:eastAsia="宋体"/>
          <w:caps w:val="0"/>
          <w:smallCaps w:val="0"/>
          <w:color w:val="auto"/>
          <w:spacing w:val="0"/>
          <w:highlight w:val="none"/>
        </w:rPr>
        <w:t>4.2佳木斯高新技术产业开发区概况</w:t>
      </w:r>
      <w:bookmarkEnd w:id="125"/>
    </w:p>
    <w:p w14:paraId="229374A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一、规划范围</w:t>
      </w:r>
    </w:p>
    <w:p w14:paraId="215D2A10">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高新技术产业开发区东至佳木斯东郊机场东侧，北至松花江，南至同三公路，西至水源山公园东侧。规划占地面积约40平方公里，含机场、宏力港区等区域性基础设施用地。其中建设用地约35.80平方公里，其他为水域和生态用地。</w:t>
      </w:r>
    </w:p>
    <w:p w14:paraId="772A140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二、产业定位</w:t>
      </w:r>
    </w:p>
    <w:p w14:paraId="3CB34ED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市高新技术产业开发区产业体系主体定位为：以机械生产、新能源、新材料和生物科技为主，大力发展循环经济，同时加强四大产业提档升级：改造提升装备制造业（四机一缆及退城进园）、绿色有机食品与农副产品加工业、能源造纸、生物医药、秸秆与林木产品精深加工业，以及依托区位优势和周边资源，努力培育和发展其他新兴产业。</w:t>
      </w:r>
    </w:p>
    <w:p w14:paraId="2460455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技术产业开发区发挥铁路物流基地和佳木斯综合保税区作用，重点发展绿色食品、装备制造、秸秆综合利用、林业深加工、新型建材等优势特色产业，大力发展新能源、新材料、生物医药等战略新兴产业，协调发展研发设计、检验检测、现代物流、电子商务、人力资源服务等生产性服务业，不断增强产业集聚，科技孵化、研发创新、对俄合作、公共服务功能，打造国内具有一定影响力的高新技术产业集聚区和产城</w:t>
      </w:r>
      <w:r>
        <w:rPr>
          <w:rFonts w:hint="eastAsia" w:ascii="Times New Roman" w:hAnsi="Times New Roman" w:eastAsia="宋体" w:cs="Times New Roman"/>
          <w:caps w:val="0"/>
          <w:smallCaps w:val="0"/>
          <w:color w:val="auto"/>
          <w:spacing w:val="0"/>
          <w:highlight w:val="none"/>
        </w:rPr>
        <w:t>融合</w:t>
      </w:r>
      <w:r>
        <w:rPr>
          <w:rFonts w:ascii="Times New Roman" w:hAnsi="Times New Roman" w:eastAsia="宋体" w:cs="Times New Roman"/>
          <w:caps w:val="0"/>
          <w:smallCaps w:val="0"/>
          <w:color w:val="auto"/>
          <w:spacing w:val="0"/>
          <w:highlight w:val="none"/>
        </w:rPr>
        <w:t>的综合性产业新城。</w:t>
      </w:r>
    </w:p>
    <w:p w14:paraId="4B991C9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三、功能布局</w:t>
      </w:r>
    </w:p>
    <w:p w14:paraId="32BF2C1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技术产业开发区位于佳木斯市东风区境内，按照多元化发展思路，规划为“六园三区”。即农机及机械装备制造产业园、农副产品加工产业园、轻工产业园（含新材料）、能源造纸园、秸秆综合利用示范产业园、生物医药产业园以及为产业发展配套的综合配套服务区、公铁物流园区及佳木斯综合保税区。</w:t>
      </w:r>
    </w:p>
    <w:p w14:paraId="4FD76A15">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（一）、“六园”布局</w:t>
      </w:r>
    </w:p>
    <w:p w14:paraId="63ADABE9">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1、农机及机械装备制造园：位于科技大道东侧、</w:t>
      </w:r>
      <w:r>
        <w:rPr>
          <w:rFonts w:hint="eastAsia" w:ascii="Times New Roman" w:hAnsi="Times New Roman" w:eastAsia="宋体" w:cs="Times New Roman"/>
          <w:caps w:val="0"/>
          <w:smallCaps w:val="0"/>
          <w:color w:val="auto"/>
          <w:spacing w:val="0"/>
          <w:szCs w:val="22"/>
          <w:highlight w:val="none"/>
          <w:lang w:eastAsia="zh-CN"/>
        </w:rPr>
        <w:t>铃铛</w:t>
      </w:r>
      <w:r>
        <w:rPr>
          <w:rFonts w:ascii="Times New Roman" w:hAnsi="Times New Roman" w:eastAsia="宋体" w:cs="Times New Roman"/>
          <w:caps w:val="0"/>
          <w:smallCaps w:val="0"/>
          <w:color w:val="auto"/>
          <w:spacing w:val="0"/>
          <w:szCs w:val="22"/>
          <w:highlight w:val="none"/>
        </w:rPr>
        <w:t>麦河北侧，占地面积约405公顷，以农机、煤矿机械制造等产业为主，兼容发展电工电气及林木精深加工产业，用地可向东逐步扩展。</w:t>
      </w:r>
    </w:p>
    <w:p w14:paraId="194DEDA5">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2、农副产品加工产业园：位于</w:t>
      </w:r>
      <w:bookmarkStart w:id="126" w:name="_Hlk24554973"/>
      <w:r>
        <w:rPr>
          <w:rFonts w:ascii="Times New Roman" w:hAnsi="Times New Roman" w:eastAsia="宋体" w:cs="Times New Roman"/>
          <w:caps w:val="0"/>
          <w:smallCaps w:val="0"/>
          <w:color w:val="auto"/>
          <w:spacing w:val="0"/>
          <w:szCs w:val="22"/>
          <w:highlight w:val="none"/>
        </w:rPr>
        <w:t>双合路以南</w:t>
      </w:r>
      <w:bookmarkEnd w:id="126"/>
      <w:r>
        <w:rPr>
          <w:rFonts w:ascii="Times New Roman" w:hAnsi="Times New Roman" w:eastAsia="宋体" w:cs="Times New Roman"/>
          <w:caps w:val="0"/>
          <w:smallCaps w:val="0"/>
          <w:color w:val="auto"/>
          <w:spacing w:val="0"/>
          <w:szCs w:val="22"/>
          <w:highlight w:val="none"/>
        </w:rPr>
        <w:t>，科技大道以西，</w:t>
      </w:r>
      <w:bookmarkStart w:id="127" w:name="_Hlk24554995"/>
      <w:r>
        <w:rPr>
          <w:rFonts w:ascii="Times New Roman" w:hAnsi="Times New Roman" w:eastAsia="宋体" w:cs="Times New Roman"/>
          <w:caps w:val="0"/>
          <w:smallCaps w:val="0"/>
          <w:color w:val="auto"/>
          <w:spacing w:val="0"/>
          <w:szCs w:val="22"/>
          <w:highlight w:val="none"/>
        </w:rPr>
        <w:t>占地面积约150公顷。</w:t>
      </w:r>
      <w:bookmarkEnd w:id="127"/>
      <w:r>
        <w:rPr>
          <w:rFonts w:ascii="Times New Roman" w:hAnsi="Times New Roman" w:eastAsia="宋体" w:cs="Times New Roman"/>
          <w:caps w:val="0"/>
          <w:smallCaps w:val="0"/>
          <w:color w:val="auto"/>
          <w:spacing w:val="0"/>
          <w:szCs w:val="22"/>
          <w:highlight w:val="none"/>
        </w:rPr>
        <w:t>其中益海米业以北区域主要布局北大荒粮食加工、粮食物流，益海米业南部区域主要布局食品加工企业。</w:t>
      </w:r>
    </w:p>
    <w:p w14:paraId="4A96A277">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3、轻工产业园（含新材料）：位于双合路中段两侧，占地面积约580公顷，包含东兴煤化工、玻璃厂等，依托现有铁路专用线发展园区大宗货物物流平台，东兴煤化工周边区域可适当发展新型材料（如发电玻璃、电缆防火材料等）、包装、及造纸等轻工产业。邻近高新区生活区，模范村东侧和南侧地块占地面积约170公顷，主要布局较为洁净的生产企业，目前已布置了东北粮食科技等项目。</w:t>
      </w:r>
    </w:p>
    <w:p w14:paraId="2B45D034">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4、能源造纸园：位于松花江南侧，音达木河东侧，占地约180公顷，为华电发电厂和佳木斯造纸厂，规划搬迁发电厂东侧的化工企业和黑龙农药厂至化工园区，改善滨江地带环境质量，优化用地布局结构，原址引入电子商务平台，适当发展商贸物流业和农资配送业。拟对造纸厂部分厂区进行改造，植入工业博览和信息化元素，形成佳木斯市工业博览中心和创业孵化中心，以及对俄贸易与技术合作，其余厂区发展纸回收利用产业。</w:t>
      </w:r>
    </w:p>
    <w:p w14:paraId="1ADC4307">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5、秸秆综合利用示范产业园：位于双合路以南，科技大道以东，占地面积约70公顷。区域主要发展</w:t>
      </w:r>
      <w:bookmarkStart w:id="128" w:name="_Hlk24554917"/>
      <w:r>
        <w:rPr>
          <w:rFonts w:ascii="Times New Roman" w:hAnsi="Times New Roman" w:eastAsia="宋体" w:cs="Times New Roman"/>
          <w:caps w:val="0"/>
          <w:smallCaps w:val="0"/>
          <w:color w:val="auto"/>
          <w:spacing w:val="0"/>
          <w:szCs w:val="22"/>
          <w:highlight w:val="none"/>
        </w:rPr>
        <w:t>秸秆综合利用示范产业</w:t>
      </w:r>
      <w:bookmarkEnd w:id="128"/>
      <w:r>
        <w:rPr>
          <w:rFonts w:ascii="Times New Roman" w:hAnsi="Times New Roman" w:eastAsia="宋体" w:cs="Times New Roman"/>
          <w:caps w:val="0"/>
          <w:smallCaps w:val="0"/>
          <w:color w:val="auto"/>
          <w:spacing w:val="0"/>
          <w:szCs w:val="22"/>
          <w:highlight w:val="none"/>
        </w:rPr>
        <w:t>，以泉林纸业为核心，打造秸秆综合利用、大力发展循环经济典型示范区。</w:t>
      </w:r>
    </w:p>
    <w:p w14:paraId="60E805F6">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6、生物医药园：位于胜利路南侧，宏伟街东侧，占地面积约160公顷，主要发展生物医药生产、医药研发配送等。</w:t>
      </w:r>
    </w:p>
    <w:p w14:paraId="35A20F9D">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（二）、“三区”布局：</w:t>
      </w:r>
    </w:p>
    <w:p w14:paraId="33D4EEA0">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1、综合服务区：位于高新区西北部，包括公共服务设施用地、居住用地、绿地系统用地等，占地面积约1725公顷。</w:t>
      </w:r>
    </w:p>
    <w:p w14:paraId="72C63433">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2、公铁物流区：位于农副产品加工产业园南侧，占地面积约120公顷。</w:t>
      </w:r>
    </w:p>
    <w:p w14:paraId="11F2752E">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2"/>
          <w:highlight w:val="none"/>
        </w:rPr>
        <w:t>3、综合保税区：位于牡佳快速铁路和佳东火车站东南，占地面积约190公顷。</w:t>
      </w:r>
    </w:p>
    <w:p w14:paraId="2BA68E9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四、基础设施</w:t>
      </w:r>
    </w:p>
    <w:p w14:paraId="42B9463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1、给水工程</w:t>
      </w:r>
    </w:p>
    <w:p w14:paraId="7151BD1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园区生活用水水源引自佳木斯高新经济技术开发区自来水管网。佳木斯高新技术开发区的生活用水水源采用市政供水为水源，近期供水量6.8万m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/d，远期供水量10.5万m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/d，生产用水通过园区原水管道取水，原水引自松花江；本项目用水引自佳木斯高新经济技术开发区自来水管网。园区现有供水规划及供水量可以满足本项目需要。</w:t>
      </w:r>
    </w:p>
    <w:p w14:paraId="2A75FD3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2、排水工程</w:t>
      </w:r>
    </w:p>
    <w:p w14:paraId="39C8AF0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园区污水处理厂设计处理规模为7.0万m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/d，（一期规模为3.5万m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/d，预留扩建用地）。该区内各工业企业的污水须自行处理达到污水处理厂接管要求后，排入园区污水管道，通过污水管道进入开发区污水处理厂。园区污水处理厂设计为二级处理工艺，</w:t>
      </w:r>
      <w:r>
        <w:rPr>
          <w:rFonts w:hint="eastAsia" w:ascii="Times New Roman" w:hAnsi="Times New Roman" w:eastAsia="宋体" w:cs="Times New Roman"/>
          <w:caps w:val="0"/>
          <w:smallCaps w:val="0"/>
          <w:color w:val="auto"/>
          <w:spacing w:val="0"/>
          <w:highlight w:val="none"/>
          <w:lang w:eastAsia="zh-CN"/>
        </w:rPr>
        <w:t>污水处理厂</w:t>
      </w:r>
      <w:r>
        <w:rPr>
          <w:rFonts w:ascii="Times New Roman" w:hAnsi="Times New Roman" w:eastAsia="宋体" w:cs="Times New Roman"/>
          <w:caps w:val="0"/>
          <w:smallCaps w:val="0"/>
          <w:color w:val="auto"/>
          <w:spacing w:val="0"/>
          <w:highlight w:val="none"/>
        </w:rPr>
        <w:t>出水水质达到《城镇污水处理厂污染物排放标准》（GB18918-2002）中的一级A标准后，排入</w:t>
      </w:r>
      <w:r>
        <w:rPr>
          <w:rFonts w:hint="eastAsia" w:ascii="Times New Roman" w:hAnsi="Times New Roman" w:eastAsia="宋体" w:cs="Times New Roman"/>
          <w:caps w:val="0"/>
          <w:smallCaps w:val="0"/>
          <w:color w:val="auto"/>
          <w:spacing w:val="0"/>
          <w:highlight w:val="none"/>
          <w:lang w:eastAsia="zh-CN"/>
        </w:rPr>
        <w:t>铃铛麦河途经音达木河</w:t>
      </w:r>
      <w:r>
        <w:rPr>
          <w:rFonts w:ascii="Times New Roman" w:hAnsi="Times New Roman" w:eastAsia="宋体" w:cs="Times New Roman"/>
          <w:caps w:val="0"/>
          <w:smallCaps w:val="0"/>
          <w:color w:val="auto"/>
          <w:spacing w:val="0"/>
          <w:highlight w:val="none"/>
        </w:rPr>
        <w:t>汇入松花江。</w:t>
      </w:r>
    </w:p>
    <w:p w14:paraId="79227DB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本项目拟建含镉工艺污水处理站，处理后的污水回用于含镉生产工艺。其余碱性废水经中和后与纯水制备废水排放园区污水管网，出水可满足污水处理厂接管要求，排入园区污水处理厂。</w:t>
      </w:r>
    </w:p>
    <w:p w14:paraId="0AAD855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3.</w:t>
      </w:r>
      <w:r>
        <w:rPr>
          <w:rFonts w:ascii="Times New Roman" w:hAnsi="Times New Roman" w:eastAsia="宋体" w:cs="Times New Roman"/>
          <w:caps w:val="0"/>
          <w:smallCaps w:val="0"/>
          <w:color w:val="auto"/>
          <w:spacing w:val="0"/>
          <w:highlight w:val="none"/>
        </w:rPr>
        <w:t>供汽工程</w:t>
      </w:r>
    </w:p>
    <w:p w14:paraId="165D9F3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目前园区无集中供热设施，各企业均采用自建锅炉供汽及采暖。</w:t>
      </w:r>
    </w:p>
    <w:p w14:paraId="4581542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规划一座热电联产热源作为集中供热热源。考虑到工业热负荷，规划该热源近期规模为：3×130t/h高温高压循环流化床锅炉（两用一备）+1×30MW背压汽轮发电机组。远期扩建1×58MW热水锅炉。垃圾焚烧发电工程可作为协同供热热源。</w:t>
      </w:r>
    </w:p>
    <w:p w14:paraId="5705F63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4、供电工程</w:t>
      </w:r>
    </w:p>
    <w:p w14:paraId="48609FE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园区现有110kV工业变电站一座，变电站位于宏伟街东侧、富民路北侧。该变电站建设31.5MVA变压器2台，110千伏出线2回，10千伏出线8回，装设1台站用变，无功补偿安装2组电容器。目前已接入负荷约7000kW，110kV</w:t>
      </w:r>
    </w:p>
    <w:p w14:paraId="4D27E37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变电站可以满足本项目的建设和发展需要。</w:t>
      </w:r>
    </w:p>
    <w:p w14:paraId="711F31B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5、燃气工程规划</w:t>
      </w:r>
    </w:p>
    <w:p w14:paraId="2439D15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园区燃气以天然气为气源。近期建设CNG储配站，中期以管输天然气为气源，CNG储配站作为应急调峰站。近期、中期均以液化石油气作为辅助气源。CNG储配站规划选址在双合路以南。</w:t>
      </w:r>
    </w:p>
    <w:p w14:paraId="7B9BDCA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本企业天然气通过园区燃气管道引自市政燃气门站，燃气管道采用直埋敷设的方式，管道应避开高压走廊、电缆沟槽等区域，燃气供气管径为DN100~DN300。天然气来自大庆油田，热值为84MJ/Nm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w:t>
      </w:r>
    </w:p>
    <w:p w14:paraId="406FEAE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现阶段，佳木斯市高新技术产业开发区已经完成园区规划环评，并已经取得了黑龙江省生态环境厅关于“佳木斯市高新技术产业开发区已经完成园区规划环评”的审查意见，文号为“黑环函</w:t>
      </w:r>
      <w:r>
        <w:rPr>
          <w:rFonts w:hint="eastAsia" w:ascii="Times New Roman" w:hAnsi="Times New Roman" w:eastAsia="宋体" w:cs="Times New Roman"/>
          <w:caps w:val="0"/>
          <w:smallCaps w:val="0"/>
          <w:color w:val="auto"/>
          <w:spacing w:val="0"/>
          <w:highlight w:val="none"/>
        </w:rPr>
        <w:t>〔2019〕410号</w:t>
      </w:r>
      <w:r>
        <w:rPr>
          <w:rFonts w:ascii="Times New Roman" w:hAnsi="Times New Roman" w:eastAsia="宋体" w:cs="Times New Roman"/>
          <w:caps w:val="0"/>
          <w:smallCaps w:val="0"/>
          <w:color w:val="auto"/>
          <w:spacing w:val="0"/>
          <w:highlight w:val="none"/>
        </w:rPr>
        <w:t>”</w:t>
      </w:r>
    </w:p>
    <w:p w14:paraId="0FB171A7">
      <w:pPr>
        <w:pStyle w:val="4"/>
        <w:widowControl w:val="0"/>
        <w:rPr>
          <w:rFonts w:eastAsia="宋体"/>
          <w:caps w:val="0"/>
          <w:smallCaps w:val="0"/>
          <w:color w:val="auto"/>
          <w:spacing w:val="0"/>
          <w:highlight w:val="none"/>
        </w:rPr>
      </w:pPr>
      <w:bookmarkStart w:id="129" w:name="_Toc17206"/>
      <w:r>
        <w:rPr>
          <w:rFonts w:eastAsia="宋体"/>
          <w:caps w:val="0"/>
          <w:smallCaps w:val="0"/>
          <w:color w:val="auto"/>
          <w:spacing w:val="0"/>
          <w:highlight w:val="none"/>
        </w:rPr>
        <w:t>4.3环境保护目标调查</w:t>
      </w:r>
      <w:bookmarkEnd w:id="129"/>
    </w:p>
    <w:p w14:paraId="5C3C8240">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依据环境保护部令第33号，所称环境敏感区，是指依法设立的各级各类自然、文化保护地，以及对建设项目的某类污染因子或者生态影响因子特别敏感的区域，主要包括：</w:t>
      </w:r>
    </w:p>
    <w:p w14:paraId="074B7A3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自然保护区、风景名胜区、世界文化和自然遗产地、饮用水水源保护区；</w:t>
      </w:r>
    </w:p>
    <w:p w14:paraId="10F5271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基本农田保护区、基本草原、森林公园、地质公园、重要湿地、天然林、珍稀濒危野生动植物天然集中分布区、重要水生生物的自然产卵场、索饵场、越冬场和洄游通道、天然渔场、资源性缺水地区、水土流失重点防治区、沙化土地封禁保护区、封闭及半封闭海域、富营养化水域；</w:t>
      </w:r>
    </w:p>
    <w:p w14:paraId="0A00A96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以居住、医疗卫生、文化教育、科研、行政办公等为主要功能的区域，文物保护单位，具有特殊历史、文化、科学、民族意义的保护地。</w:t>
      </w:r>
    </w:p>
    <w:p w14:paraId="599B317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本项目位于黑龙江省佳木斯市东部，高新技术产业开发区</w:t>
      </w:r>
      <w:r>
        <w:rPr>
          <w:rFonts w:ascii="Times New Roman" w:hAnsi="Times New Roman" w:eastAsia="宋体" w:cs="Times New Roman"/>
          <w:caps w:val="0"/>
          <w:smallCaps w:val="0"/>
          <w:color w:val="auto"/>
          <w:spacing w:val="0"/>
          <w:szCs w:val="22"/>
          <w:highlight w:val="none"/>
        </w:rPr>
        <w:t>轻工产业园（含新材料）</w:t>
      </w:r>
      <w:r>
        <w:rPr>
          <w:rFonts w:ascii="Times New Roman" w:hAnsi="Times New Roman" w:eastAsia="宋体" w:cs="Times New Roman"/>
          <w:caps w:val="0"/>
          <w:smallCaps w:val="0"/>
          <w:color w:val="auto"/>
          <w:spacing w:val="0"/>
          <w:highlight w:val="none"/>
        </w:rPr>
        <w:t>内</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本项目生活污水及部分污水排放至园区污水处理厂处理达标后外排，项目区地下水质量分类为Ⅲ类，评价区内主要有宏伟村和红力村饮用水水源地；项目区域大型地表水体为距项目北侧4300m的松花江，</w:t>
      </w:r>
      <w:r>
        <w:rPr>
          <w:rFonts w:hint="eastAsia" w:ascii="Times New Roman" w:hAnsi="Times New Roman" w:cs="Times New Roman"/>
          <w:caps w:val="0"/>
          <w:smallCaps w:val="0"/>
          <w:color w:val="auto"/>
          <w:spacing w:val="0"/>
          <w:highlight w:val="none"/>
          <w:lang w:val="en-US" w:eastAsia="zh-CN"/>
        </w:rPr>
        <w:t>根据《2024年黑龙江省生态环境质量状况》</w:t>
      </w:r>
      <w:r>
        <w:rPr>
          <w:rFonts w:ascii="Times New Roman" w:hAnsi="Times New Roman" w:eastAsia="宋体" w:cs="Times New Roman"/>
          <w:caps w:val="0"/>
          <w:smallCaps w:val="0"/>
          <w:color w:val="auto"/>
          <w:spacing w:val="0"/>
          <w:highlight w:val="none"/>
        </w:rPr>
        <w:t>松花江佳木斯江段水质目标为</w:t>
      </w:r>
      <w:r>
        <w:rPr>
          <w:rFonts w:hint="eastAsia" w:ascii="Times New Roman" w:hAnsi="Times New Roman" w:cs="Times New Roman"/>
          <w:caps w:val="0"/>
          <w:smallCaps w:val="0"/>
          <w:color w:val="auto"/>
          <w:spacing w:val="0"/>
          <w:highlight w:val="none"/>
          <w:lang w:val="en-US" w:eastAsia="zh-CN"/>
        </w:rPr>
        <w:t>III</w:t>
      </w:r>
      <w:r>
        <w:rPr>
          <w:rFonts w:ascii="Times New Roman" w:hAnsi="Times New Roman" w:eastAsia="宋体" w:cs="Times New Roman"/>
          <w:caps w:val="0"/>
          <w:smallCaps w:val="0"/>
          <w:color w:val="auto"/>
          <w:spacing w:val="0"/>
          <w:highlight w:val="none"/>
        </w:rPr>
        <w:t>类水体功能；本项目声环境功能区根据《声环境质量标准》（GB3096-2008），项目区属于3类</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lang w:val="en-US" w:eastAsia="zh-CN"/>
        </w:rPr>
        <w:t>4a类</w:t>
      </w:r>
      <w:r>
        <w:rPr>
          <w:rFonts w:ascii="Times New Roman" w:hAnsi="Times New Roman" w:eastAsia="宋体" w:cs="Times New Roman"/>
          <w:caps w:val="0"/>
          <w:smallCaps w:val="0"/>
          <w:color w:val="auto"/>
          <w:spacing w:val="0"/>
          <w:highlight w:val="none"/>
        </w:rPr>
        <w:t>声环境功能区。项目评价区域内具体保护目标见表4.3-1。</w:t>
      </w:r>
    </w:p>
    <w:p w14:paraId="1C87AADA">
      <w:pPr>
        <w:widowControl w:val="0"/>
        <w:adjustRightInd w:val="0"/>
        <w:jc w:val="center"/>
        <w:rPr>
          <w:rFonts w:ascii="Times New Roman" w:hAnsi="Times New Roman" w:eastAsia="宋体" w:cs="Times New Roman"/>
          <w:b/>
          <w:caps w:val="0"/>
          <w:smallCaps w:val="0"/>
          <w:snapToGrid w:val="0"/>
          <w:color w:val="auto"/>
          <w:spacing w:val="0"/>
          <w:kern w:val="0"/>
          <w:highlight w:val="none"/>
        </w:rPr>
      </w:pPr>
      <w:r>
        <w:rPr>
          <w:rFonts w:ascii="Times New Roman" w:hAnsi="Times New Roman" w:eastAsia="宋体" w:cs="Times New Roman"/>
          <w:b/>
          <w:caps w:val="0"/>
          <w:smallCaps w:val="0"/>
          <w:snapToGrid w:val="0"/>
          <w:color w:val="auto"/>
          <w:spacing w:val="0"/>
          <w:kern w:val="0"/>
          <w:highlight w:val="none"/>
        </w:rPr>
        <w:t>表4.3-1环境保护目标调查情况表</w:t>
      </w:r>
    </w:p>
    <w:tbl>
      <w:tblPr>
        <w:tblStyle w:val="37"/>
        <w:tblW w:w="9070" w:type="dxa"/>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14"/>
        <w:gridCol w:w="800"/>
        <w:gridCol w:w="801"/>
        <w:gridCol w:w="1117"/>
        <w:gridCol w:w="2205"/>
        <w:gridCol w:w="993"/>
        <w:gridCol w:w="1840"/>
      </w:tblGrid>
      <w:tr w14:paraId="73A59CB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bottom w:val="single" w:color="auto" w:sz="8" w:space="0"/>
              <w:tl2br w:val="nil"/>
              <w:tr2bl w:val="nil"/>
            </w:tcBorders>
            <w:vAlign w:val="center"/>
          </w:tcPr>
          <w:p w14:paraId="463A2425">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环境保护目标名称</w:t>
            </w:r>
          </w:p>
        </w:tc>
        <w:tc>
          <w:tcPr>
            <w:tcW w:w="800" w:type="dxa"/>
            <w:tcBorders>
              <w:bottom w:val="single" w:color="auto" w:sz="8" w:space="0"/>
              <w:tl2br w:val="nil"/>
              <w:tr2bl w:val="nil"/>
            </w:tcBorders>
            <w:vAlign w:val="center"/>
          </w:tcPr>
          <w:p w14:paraId="01E06444">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相对方位</w:t>
            </w:r>
          </w:p>
        </w:tc>
        <w:tc>
          <w:tcPr>
            <w:tcW w:w="801" w:type="dxa"/>
            <w:tcBorders>
              <w:bottom w:val="single" w:color="auto" w:sz="8" w:space="0"/>
              <w:tl2br w:val="nil"/>
              <w:tr2bl w:val="nil"/>
            </w:tcBorders>
            <w:vAlign w:val="center"/>
          </w:tcPr>
          <w:p w14:paraId="1C7C1966">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距离（m）</w:t>
            </w:r>
          </w:p>
        </w:tc>
        <w:tc>
          <w:tcPr>
            <w:tcW w:w="1117" w:type="dxa"/>
            <w:tcBorders>
              <w:bottom w:val="single" w:color="auto" w:sz="8" w:space="0"/>
              <w:tl2br w:val="nil"/>
              <w:tr2bl w:val="nil"/>
            </w:tcBorders>
            <w:vAlign w:val="center"/>
          </w:tcPr>
          <w:p w14:paraId="17B4AC2F">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服务</w:t>
            </w:r>
          </w:p>
          <w:p w14:paraId="636FD91B">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功能</w:t>
            </w:r>
          </w:p>
        </w:tc>
        <w:tc>
          <w:tcPr>
            <w:tcW w:w="2205" w:type="dxa"/>
            <w:tcBorders>
              <w:bottom w:val="single" w:color="auto" w:sz="8" w:space="0"/>
              <w:tl2br w:val="nil"/>
              <w:tr2bl w:val="nil"/>
            </w:tcBorders>
            <w:vAlign w:val="center"/>
          </w:tcPr>
          <w:p w14:paraId="26C5E308">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规模</w:t>
            </w:r>
          </w:p>
        </w:tc>
        <w:tc>
          <w:tcPr>
            <w:tcW w:w="993" w:type="dxa"/>
            <w:tcBorders>
              <w:bottom w:val="single" w:color="auto" w:sz="8" w:space="0"/>
              <w:tl2br w:val="nil"/>
              <w:tr2bl w:val="nil"/>
            </w:tcBorders>
            <w:vAlign w:val="center"/>
          </w:tcPr>
          <w:p w14:paraId="6CD83D05">
            <w:pPr>
              <w:widowControl w:val="0"/>
              <w:jc w:val="center"/>
              <w:rPr>
                <w:rFonts w:ascii="Times New Roman" w:hAnsi="Times New Roman" w:eastAsia="宋体" w:cs="Times New Roman"/>
                <w:b/>
                <w:caps w:val="0"/>
                <w:smallCaps w:val="0"/>
                <w:color w:val="auto"/>
                <w:spacing w:val="0"/>
                <w:kern w:val="0"/>
                <w:sz w:val="21"/>
                <w:highlight w:val="none"/>
              </w:rPr>
            </w:pPr>
            <w:r>
              <w:rPr>
                <w:rFonts w:ascii="Times New Roman" w:hAnsi="Times New Roman" w:eastAsia="宋体" w:cs="Times New Roman"/>
                <w:b/>
                <w:caps w:val="0"/>
                <w:smallCaps w:val="0"/>
                <w:color w:val="auto"/>
                <w:spacing w:val="0"/>
                <w:kern w:val="0"/>
                <w:sz w:val="21"/>
                <w:highlight w:val="none"/>
              </w:rPr>
              <w:t>保护对象</w:t>
            </w:r>
          </w:p>
        </w:tc>
        <w:tc>
          <w:tcPr>
            <w:tcW w:w="1840" w:type="dxa"/>
            <w:tcBorders>
              <w:bottom w:val="single" w:color="auto" w:sz="8" w:space="0"/>
              <w:tl2br w:val="nil"/>
              <w:tr2bl w:val="nil"/>
            </w:tcBorders>
            <w:vAlign w:val="center"/>
          </w:tcPr>
          <w:p w14:paraId="073CE04C">
            <w:pPr>
              <w:widowControl w:val="0"/>
              <w:jc w:val="center"/>
              <w:rPr>
                <w:rFonts w:ascii="Times New Roman" w:hAnsi="Times New Roman" w:eastAsia="宋体" w:cs="Times New Roman"/>
                <w:b/>
                <w:caps w:val="0"/>
                <w:smallCaps w:val="0"/>
                <w:color w:val="auto"/>
                <w:spacing w:val="0"/>
                <w:kern w:val="0"/>
                <w:sz w:val="21"/>
                <w:highlight w:val="none"/>
              </w:rPr>
            </w:pPr>
            <w:r>
              <w:rPr>
                <w:rFonts w:hint="eastAsia" w:ascii="Times New Roman" w:hAnsi="Times New Roman" w:eastAsia="宋体" w:cs="Times New Roman"/>
                <w:b/>
                <w:caps w:val="0"/>
                <w:smallCaps w:val="0"/>
                <w:color w:val="auto"/>
                <w:spacing w:val="0"/>
                <w:kern w:val="0"/>
                <w:sz w:val="21"/>
                <w:highlight w:val="none"/>
              </w:rPr>
              <w:t>保护要求</w:t>
            </w:r>
          </w:p>
        </w:tc>
      </w:tr>
      <w:tr w14:paraId="0871E99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tl2br w:val="nil"/>
              <w:tr2bl w:val="nil"/>
            </w:tcBorders>
            <w:vAlign w:val="center"/>
          </w:tcPr>
          <w:p w14:paraId="4CA89FE1">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音达木河</w:t>
            </w:r>
          </w:p>
        </w:tc>
        <w:tc>
          <w:tcPr>
            <w:tcW w:w="800" w:type="dxa"/>
            <w:tcBorders>
              <w:tl2br w:val="nil"/>
              <w:tr2bl w:val="nil"/>
            </w:tcBorders>
            <w:vAlign w:val="center"/>
          </w:tcPr>
          <w:p w14:paraId="5DE381F7">
            <w:pPr>
              <w:widowControl w:val="0"/>
              <w:jc w:val="center"/>
              <w:rPr>
                <w:rFonts w:hint="eastAsia" w:ascii="Times New Roman" w:hAnsi="Times New Roman" w:eastAsia="宋体" w:cs="Times New Roman"/>
                <w:caps w:val="0"/>
                <w:smallCaps w:val="0"/>
                <w:color w:val="auto"/>
                <w:spacing w:val="0"/>
                <w:kern w:val="0"/>
                <w:sz w:val="21"/>
                <w:highlight w:val="none"/>
                <w:lang w:eastAsia="zh-CN"/>
              </w:rPr>
            </w:pPr>
            <w:r>
              <w:rPr>
                <w:rFonts w:hint="eastAsia" w:ascii="Times New Roman" w:hAnsi="Times New Roman" w:eastAsia="宋体" w:cs="Times New Roman"/>
                <w:caps w:val="0"/>
                <w:smallCaps w:val="0"/>
                <w:color w:val="auto"/>
                <w:spacing w:val="0"/>
                <w:kern w:val="0"/>
                <w:sz w:val="21"/>
                <w:highlight w:val="none"/>
                <w:lang w:val="en-US" w:eastAsia="zh-CN"/>
              </w:rPr>
              <w:t>N</w:t>
            </w:r>
          </w:p>
        </w:tc>
        <w:tc>
          <w:tcPr>
            <w:tcW w:w="801" w:type="dxa"/>
            <w:tcBorders>
              <w:tl2br w:val="nil"/>
              <w:tr2bl w:val="nil"/>
            </w:tcBorders>
            <w:vAlign w:val="center"/>
          </w:tcPr>
          <w:p w14:paraId="7BFAA44C">
            <w:pPr>
              <w:widowControl w:val="0"/>
              <w:jc w:val="center"/>
              <w:rPr>
                <w:rFonts w:ascii="Times New Roman" w:hAnsi="Times New Roman" w:eastAsia="宋体" w:cs="Times New Roman"/>
                <w:caps w:val="0"/>
                <w:smallCaps w:val="0"/>
                <w:color w:val="auto"/>
                <w:spacing w:val="0"/>
                <w:kern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rPr>
              <w:t>7</w:t>
            </w:r>
            <w:r>
              <w:rPr>
                <w:rFonts w:ascii="Times New Roman" w:hAnsi="Times New Roman" w:eastAsia="宋体" w:cs="Times New Roman"/>
                <w:caps w:val="0"/>
                <w:smallCaps w:val="0"/>
                <w:color w:val="auto"/>
                <w:spacing w:val="0"/>
                <w:kern w:val="0"/>
                <w:sz w:val="21"/>
                <w:highlight w:val="none"/>
              </w:rPr>
              <w:t>60</w:t>
            </w:r>
          </w:p>
        </w:tc>
        <w:tc>
          <w:tcPr>
            <w:tcW w:w="1117" w:type="dxa"/>
            <w:tcBorders>
              <w:tl2br w:val="nil"/>
              <w:tr2bl w:val="nil"/>
            </w:tcBorders>
            <w:vAlign w:val="center"/>
          </w:tcPr>
          <w:p w14:paraId="4042EF8C">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河流</w:t>
            </w:r>
          </w:p>
        </w:tc>
        <w:tc>
          <w:tcPr>
            <w:tcW w:w="2205" w:type="dxa"/>
            <w:tcBorders>
              <w:tl2br w:val="nil"/>
              <w:tr2bl w:val="nil"/>
            </w:tcBorders>
            <w:vAlign w:val="center"/>
          </w:tcPr>
          <w:p w14:paraId="0F9FFE95">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佳木斯市内河</w:t>
            </w:r>
          </w:p>
        </w:tc>
        <w:tc>
          <w:tcPr>
            <w:tcW w:w="993" w:type="dxa"/>
            <w:tcBorders>
              <w:tl2br w:val="nil"/>
              <w:tr2bl w:val="nil"/>
            </w:tcBorders>
            <w:vAlign w:val="center"/>
          </w:tcPr>
          <w:p w14:paraId="491A92F2">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水质</w:t>
            </w:r>
          </w:p>
        </w:tc>
        <w:tc>
          <w:tcPr>
            <w:tcW w:w="1840" w:type="dxa"/>
            <w:tcBorders>
              <w:tl2br w:val="nil"/>
              <w:tr2bl w:val="nil"/>
            </w:tcBorders>
            <w:vAlign w:val="center"/>
          </w:tcPr>
          <w:p w14:paraId="51A8AA4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无水体功能区划，水质类别参照松花江</w:t>
            </w:r>
          </w:p>
        </w:tc>
      </w:tr>
      <w:tr w14:paraId="07DC17D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tl2br w:val="nil"/>
              <w:tr2bl w:val="nil"/>
            </w:tcBorders>
            <w:vAlign w:val="center"/>
          </w:tcPr>
          <w:p w14:paraId="3F8A376F">
            <w:pPr>
              <w:widowControl w:val="0"/>
              <w:jc w:val="center"/>
              <w:rPr>
                <w:rFonts w:hint="eastAsia" w:ascii="Times New Roman" w:hAnsi="Times New Roman" w:eastAsia="宋体" w:cs="Times New Roman"/>
                <w:caps w:val="0"/>
                <w:smallCaps w:val="0"/>
                <w:color w:val="auto"/>
                <w:spacing w:val="0"/>
                <w:kern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rPr>
              <w:t>铃铛麦河</w:t>
            </w:r>
          </w:p>
        </w:tc>
        <w:tc>
          <w:tcPr>
            <w:tcW w:w="800" w:type="dxa"/>
            <w:tcBorders>
              <w:tl2br w:val="nil"/>
              <w:tr2bl w:val="nil"/>
            </w:tcBorders>
            <w:vAlign w:val="center"/>
          </w:tcPr>
          <w:p w14:paraId="7786CC1C">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w:t>
            </w:r>
          </w:p>
        </w:tc>
        <w:tc>
          <w:tcPr>
            <w:tcW w:w="801" w:type="dxa"/>
            <w:tcBorders>
              <w:tl2br w:val="nil"/>
              <w:tr2bl w:val="nil"/>
            </w:tcBorders>
            <w:vAlign w:val="center"/>
          </w:tcPr>
          <w:p w14:paraId="61CE6CCB">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560</w:t>
            </w:r>
          </w:p>
        </w:tc>
        <w:tc>
          <w:tcPr>
            <w:tcW w:w="1117" w:type="dxa"/>
            <w:tcBorders>
              <w:tl2br w:val="nil"/>
              <w:tr2bl w:val="nil"/>
            </w:tcBorders>
            <w:vAlign w:val="center"/>
          </w:tcPr>
          <w:p w14:paraId="725FBADC">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河流</w:t>
            </w:r>
          </w:p>
        </w:tc>
        <w:tc>
          <w:tcPr>
            <w:tcW w:w="2205" w:type="dxa"/>
            <w:tcBorders>
              <w:tl2br w:val="nil"/>
              <w:tr2bl w:val="nil"/>
            </w:tcBorders>
            <w:vAlign w:val="center"/>
          </w:tcPr>
          <w:p w14:paraId="0C149DA3">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佳木斯市内河</w:t>
            </w:r>
          </w:p>
        </w:tc>
        <w:tc>
          <w:tcPr>
            <w:tcW w:w="993" w:type="dxa"/>
            <w:tcBorders>
              <w:tl2br w:val="nil"/>
              <w:tr2bl w:val="nil"/>
            </w:tcBorders>
            <w:vAlign w:val="center"/>
          </w:tcPr>
          <w:p w14:paraId="4B88983A">
            <w:pPr>
              <w:pStyle w:val="171"/>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水质</w:t>
            </w:r>
          </w:p>
        </w:tc>
        <w:tc>
          <w:tcPr>
            <w:tcW w:w="1840" w:type="dxa"/>
            <w:tcBorders>
              <w:tl2br w:val="nil"/>
              <w:tr2bl w:val="nil"/>
            </w:tcBorders>
            <w:vAlign w:val="center"/>
          </w:tcPr>
          <w:p w14:paraId="74291381">
            <w:pPr>
              <w:pStyle w:val="171"/>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无水体功能区划，水质类别参照松花江</w:t>
            </w:r>
          </w:p>
        </w:tc>
      </w:tr>
      <w:tr w14:paraId="5434884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tl2br w:val="nil"/>
              <w:tr2bl w:val="nil"/>
            </w:tcBorders>
            <w:vAlign w:val="center"/>
          </w:tcPr>
          <w:p w14:paraId="1C8D0C2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松花江</w:t>
            </w:r>
          </w:p>
        </w:tc>
        <w:tc>
          <w:tcPr>
            <w:tcW w:w="800" w:type="dxa"/>
            <w:tcBorders>
              <w:tl2br w:val="nil"/>
              <w:tr2bl w:val="nil"/>
            </w:tcBorders>
            <w:vAlign w:val="center"/>
          </w:tcPr>
          <w:p w14:paraId="1284C75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w:t>
            </w:r>
          </w:p>
        </w:tc>
        <w:tc>
          <w:tcPr>
            <w:tcW w:w="801" w:type="dxa"/>
            <w:tcBorders>
              <w:tl2br w:val="nil"/>
              <w:tr2bl w:val="nil"/>
            </w:tcBorders>
            <w:vAlign w:val="center"/>
          </w:tcPr>
          <w:p w14:paraId="5950BBE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4300</w:t>
            </w:r>
          </w:p>
        </w:tc>
        <w:tc>
          <w:tcPr>
            <w:tcW w:w="1117" w:type="dxa"/>
            <w:tcBorders>
              <w:tl2br w:val="nil"/>
              <w:tr2bl w:val="nil"/>
            </w:tcBorders>
            <w:vAlign w:val="center"/>
          </w:tcPr>
          <w:p w14:paraId="0B0A948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河流</w:t>
            </w:r>
          </w:p>
        </w:tc>
        <w:tc>
          <w:tcPr>
            <w:tcW w:w="2205" w:type="dxa"/>
            <w:tcBorders>
              <w:tl2br w:val="nil"/>
              <w:tr2bl w:val="nil"/>
            </w:tcBorders>
            <w:vAlign w:val="center"/>
          </w:tcPr>
          <w:p w14:paraId="749DAEF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特大河流</w:t>
            </w:r>
          </w:p>
        </w:tc>
        <w:tc>
          <w:tcPr>
            <w:tcW w:w="993" w:type="dxa"/>
            <w:tcBorders>
              <w:tl2br w:val="nil"/>
              <w:tr2bl w:val="nil"/>
            </w:tcBorders>
            <w:vAlign w:val="center"/>
          </w:tcPr>
          <w:p w14:paraId="7920224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水质</w:t>
            </w:r>
          </w:p>
        </w:tc>
        <w:tc>
          <w:tcPr>
            <w:tcW w:w="1840" w:type="dxa"/>
            <w:tcBorders>
              <w:tl2br w:val="nil"/>
              <w:tr2bl w:val="nil"/>
            </w:tcBorders>
            <w:vAlign w:val="center"/>
          </w:tcPr>
          <w:p w14:paraId="1BCDDE2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《地表水环境质量标准》（GB3838-2002）</w:t>
            </w:r>
            <w:r>
              <w:rPr>
                <w:rFonts w:hint="eastAsia" w:ascii="Times New Roman" w:hAnsi="Times New Roman" w:cs="Times New Roman"/>
                <w:caps w:val="0"/>
                <w:smallCaps w:val="0"/>
                <w:color w:val="auto"/>
                <w:spacing w:val="0"/>
                <w:highlight w:val="none"/>
                <w:lang w:val="en-US" w:eastAsia="zh-CN"/>
              </w:rPr>
              <w:t>III</w:t>
            </w:r>
            <w:r>
              <w:rPr>
                <w:rFonts w:ascii="Times New Roman" w:hAnsi="Times New Roman" w:eastAsia="宋体" w:cs="Times New Roman"/>
                <w:caps w:val="0"/>
                <w:smallCaps w:val="0"/>
                <w:color w:val="auto"/>
                <w:spacing w:val="0"/>
                <w:sz w:val="21"/>
                <w:highlight w:val="none"/>
              </w:rPr>
              <w:t>类</w:t>
            </w:r>
          </w:p>
        </w:tc>
      </w:tr>
      <w:tr w14:paraId="740271E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tl2br w:val="nil"/>
              <w:tr2bl w:val="nil"/>
            </w:tcBorders>
            <w:vAlign w:val="center"/>
          </w:tcPr>
          <w:p w14:paraId="13344CCA">
            <w:pPr>
              <w:widowControl w:val="0"/>
              <w:jc w:val="center"/>
              <w:rPr>
                <w:rFonts w:ascii="Times New Roman" w:hAnsi="Times New Roman" w:eastAsia="宋体" w:cs="Times New Roman"/>
                <w:caps w:val="0"/>
                <w:smallCaps w:val="0"/>
                <w:color w:val="auto"/>
                <w:spacing w:val="0"/>
                <w:sz w:val="21"/>
                <w:highlight w:val="none"/>
              </w:rPr>
            </w:pPr>
            <w:bookmarkStart w:id="130" w:name="_Toc477951970"/>
            <w:r>
              <w:rPr>
                <w:rFonts w:ascii="Times New Roman" w:hAnsi="Times New Roman" w:eastAsia="宋体" w:cs="Times New Roman"/>
                <w:caps w:val="0"/>
                <w:smallCaps w:val="0"/>
                <w:color w:val="auto"/>
                <w:spacing w:val="0"/>
                <w:kern w:val="0"/>
                <w:sz w:val="21"/>
                <w:highlight w:val="none"/>
              </w:rPr>
              <w:t>宏伟村水井</w:t>
            </w:r>
            <w:r>
              <w:rPr>
                <w:rFonts w:hint="eastAsia" w:ascii="Times New Roman" w:hAnsi="Times New Roman" w:eastAsia="宋体" w:cs="Times New Roman"/>
                <w:caps w:val="0"/>
                <w:smallCaps w:val="0"/>
                <w:color w:val="auto"/>
                <w:spacing w:val="0"/>
                <w:kern w:val="0"/>
                <w:sz w:val="21"/>
                <w:highlight w:val="none"/>
                <w:lang w:eastAsia="zh-CN"/>
              </w:rPr>
              <w:t>（</w:t>
            </w:r>
            <w:r>
              <w:rPr>
                <w:rFonts w:hint="eastAsia" w:ascii="Times New Roman" w:hAnsi="Times New Roman" w:eastAsia="宋体" w:cs="Times New Roman"/>
                <w:caps w:val="0"/>
                <w:smallCaps w:val="0"/>
                <w:color w:val="auto"/>
                <w:spacing w:val="0"/>
                <w:kern w:val="0"/>
                <w:sz w:val="21"/>
                <w:highlight w:val="none"/>
                <w:lang w:val="en-US" w:eastAsia="zh-CN"/>
              </w:rPr>
              <w:t>1口</w:t>
            </w:r>
            <w:r>
              <w:rPr>
                <w:rFonts w:hint="eastAsia" w:ascii="Times New Roman" w:hAnsi="Times New Roman" w:eastAsia="宋体" w:cs="Times New Roman"/>
                <w:caps w:val="0"/>
                <w:smallCaps w:val="0"/>
                <w:color w:val="auto"/>
                <w:spacing w:val="0"/>
                <w:kern w:val="0"/>
                <w:sz w:val="21"/>
                <w:highlight w:val="none"/>
                <w:lang w:eastAsia="zh-CN"/>
              </w:rPr>
              <w:t>）</w:t>
            </w:r>
          </w:p>
        </w:tc>
        <w:tc>
          <w:tcPr>
            <w:tcW w:w="800" w:type="dxa"/>
            <w:tcBorders>
              <w:tl2br w:val="nil"/>
              <w:tr2bl w:val="nil"/>
            </w:tcBorders>
            <w:vAlign w:val="center"/>
          </w:tcPr>
          <w:p w14:paraId="356D9AD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w:t>
            </w:r>
          </w:p>
        </w:tc>
        <w:tc>
          <w:tcPr>
            <w:tcW w:w="801" w:type="dxa"/>
            <w:tcBorders>
              <w:tl2br w:val="nil"/>
              <w:tr2bl w:val="nil"/>
            </w:tcBorders>
            <w:vAlign w:val="center"/>
          </w:tcPr>
          <w:p w14:paraId="5157CDD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1830</w:t>
            </w:r>
          </w:p>
        </w:tc>
        <w:tc>
          <w:tcPr>
            <w:tcW w:w="1117" w:type="dxa"/>
            <w:tcBorders>
              <w:tl2br w:val="nil"/>
              <w:tr2bl w:val="nil"/>
            </w:tcBorders>
            <w:vAlign w:val="center"/>
          </w:tcPr>
          <w:p w14:paraId="43AAED24">
            <w:pPr>
              <w:widowControl w:val="0"/>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村屯分散式水源</w:t>
            </w:r>
            <w:r>
              <w:rPr>
                <w:rFonts w:hint="eastAsia" w:ascii="Times New Roman" w:hAnsi="Times New Roman" w:eastAsia="宋体" w:cs="Times New Roman"/>
                <w:caps w:val="0"/>
                <w:smallCaps w:val="0"/>
                <w:color w:val="auto"/>
                <w:spacing w:val="0"/>
                <w:sz w:val="21"/>
                <w:highlight w:val="none"/>
                <w:lang w:eastAsia="zh-CN"/>
              </w:rPr>
              <w:t>（</w:t>
            </w:r>
            <w:r>
              <w:rPr>
                <w:rFonts w:hint="eastAsia" w:ascii="Times New Roman" w:hAnsi="Times New Roman" w:eastAsia="宋体" w:cs="Times New Roman"/>
                <w:caps w:val="0"/>
                <w:smallCaps w:val="0"/>
                <w:color w:val="auto"/>
                <w:spacing w:val="0"/>
                <w:sz w:val="21"/>
                <w:highlight w:val="none"/>
                <w:lang w:val="en-US" w:eastAsia="zh-CN"/>
              </w:rPr>
              <w:t>服务人口380人</w:t>
            </w:r>
            <w:r>
              <w:rPr>
                <w:rFonts w:hint="eastAsia" w:ascii="Times New Roman" w:hAnsi="Times New Roman" w:eastAsia="宋体" w:cs="Times New Roman"/>
                <w:caps w:val="0"/>
                <w:smallCaps w:val="0"/>
                <w:color w:val="auto"/>
                <w:spacing w:val="0"/>
                <w:sz w:val="21"/>
                <w:highlight w:val="none"/>
                <w:lang w:eastAsia="zh-CN"/>
              </w:rPr>
              <w:t>）</w:t>
            </w:r>
          </w:p>
        </w:tc>
        <w:tc>
          <w:tcPr>
            <w:tcW w:w="2205" w:type="dxa"/>
            <w:tcBorders>
              <w:tl2br w:val="nil"/>
              <w:tr2bl w:val="nil"/>
            </w:tcBorders>
            <w:vAlign w:val="center"/>
          </w:tcPr>
          <w:p w14:paraId="0041FC5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村屯分散式水源</w:t>
            </w:r>
          </w:p>
        </w:tc>
        <w:tc>
          <w:tcPr>
            <w:tcW w:w="993" w:type="dxa"/>
            <w:tcBorders>
              <w:tl2br w:val="nil"/>
              <w:tr2bl w:val="nil"/>
            </w:tcBorders>
            <w:vAlign w:val="center"/>
          </w:tcPr>
          <w:p w14:paraId="358A362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地下水环境</w:t>
            </w:r>
          </w:p>
        </w:tc>
        <w:tc>
          <w:tcPr>
            <w:tcW w:w="1840" w:type="dxa"/>
            <w:vMerge w:val="restart"/>
            <w:tcBorders>
              <w:tl2br w:val="nil"/>
              <w:tr2bl w:val="nil"/>
            </w:tcBorders>
            <w:vAlign w:val="center"/>
          </w:tcPr>
          <w:p w14:paraId="10E0BE3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《地下水质量标准》（GB/T14848-2007）“Ⅲ类”标准</w:t>
            </w:r>
          </w:p>
        </w:tc>
      </w:tr>
      <w:tr w14:paraId="094ADEC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tl2br w:val="nil"/>
              <w:tr2bl w:val="nil"/>
            </w:tcBorders>
            <w:vAlign w:val="center"/>
          </w:tcPr>
          <w:p w14:paraId="0C0ECB4F">
            <w:pPr>
              <w:widowControl w:val="0"/>
              <w:jc w:val="center"/>
              <w:rPr>
                <w:rFonts w:hint="eastAsia" w:ascii="Times New Roman" w:hAnsi="Times New Roman" w:eastAsia="新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kern w:val="0"/>
                <w:sz w:val="21"/>
                <w:highlight w:val="none"/>
              </w:rPr>
              <w:t>红力村水井</w:t>
            </w:r>
            <w:r>
              <w:rPr>
                <w:rFonts w:hint="eastAsia"/>
                <w:color w:val="auto"/>
                <w:highlight w:val="none"/>
                <w:lang w:eastAsia="zh-CN"/>
              </w:rPr>
              <w:t>（</w:t>
            </w:r>
            <w:r>
              <w:rPr>
                <w:rFonts w:hint="eastAsia"/>
                <w:color w:val="auto"/>
                <w:highlight w:val="none"/>
                <w:lang w:val="en-US" w:eastAsia="zh-CN"/>
              </w:rPr>
              <w:t>1口</w:t>
            </w:r>
            <w:r>
              <w:rPr>
                <w:rFonts w:hint="eastAsia"/>
                <w:color w:val="auto"/>
                <w:highlight w:val="none"/>
                <w:lang w:eastAsia="zh-CN"/>
              </w:rPr>
              <w:t>）</w:t>
            </w:r>
          </w:p>
        </w:tc>
        <w:tc>
          <w:tcPr>
            <w:tcW w:w="800" w:type="dxa"/>
            <w:tcBorders>
              <w:tl2br w:val="nil"/>
              <w:tr2bl w:val="nil"/>
            </w:tcBorders>
            <w:vAlign w:val="center"/>
          </w:tcPr>
          <w:p w14:paraId="0D38CEA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NW</w:t>
            </w:r>
          </w:p>
        </w:tc>
        <w:tc>
          <w:tcPr>
            <w:tcW w:w="801" w:type="dxa"/>
            <w:tcBorders>
              <w:tl2br w:val="nil"/>
              <w:tr2bl w:val="nil"/>
            </w:tcBorders>
            <w:vAlign w:val="center"/>
          </w:tcPr>
          <w:p w14:paraId="75AAF92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2960</w:t>
            </w:r>
          </w:p>
        </w:tc>
        <w:tc>
          <w:tcPr>
            <w:tcW w:w="1117" w:type="dxa"/>
            <w:tcBorders>
              <w:tl2br w:val="nil"/>
              <w:tr2bl w:val="nil"/>
            </w:tcBorders>
            <w:vAlign w:val="center"/>
          </w:tcPr>
          <w:p w14:paraId="6CCCBACE">
            <w:pPr>
              <w:widowControl w:val="0"/>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集中式水源</w:t>
            </w:r>
            <w:r>
              <w:rPr>
                <w:rFonts w:hint="eastAsia" w:ascii="Times New Roman" w:hAnsi="Times New Roman" w:eastAsia="宋体" w:cs="Times New Roman"/>
                <w:caps w:val="0"/>
                <w:smallCaps w:val="0"/>
                <w:color w:val="auto"/>
                <w:spacing w:val="0"/>
                <w:sz w:val="21"/>
                <w:highlight w:val="none"/>
                <w:lang w:eastAsia="zh-CN"/>
              </w:rPr>
              <w:t>（</w:t>
            </w:r>
            <w:r>
              <w:rPr>
                <w:rFonts w:hint="eastAsia" w:ascii="Times New Roman" w:hAnsi="Times New Roman" w:eastAsia="宋体" w:cs="Times New Roman"/>
                <w:caps w:val="0"/>
                <w:smallCaps w:val="0"/>
                <w:color w:val="auto"/>
                <w:spacing w:val="0"/>
                <w:sz w:val="21"/>
                <w:highlight w:val="none"/>
                <w:lang w:val="en-US" w:eastAsia="zh-CN"/>
              </w:rPr>
              <w:t>服务人口</w:t>
            </w:r>
            <w:r>
              <w:rPr>
                <w:rFonts w:ascii="Times New Roman" w:hAnsi="Times New Roman" w:eastAsia="宋体" w:cs="Times New Roman"/>
                <w:caps w:val="0"/>
                <w:smallCaps w:val="0"/>
                <w:color w:val="auto"/>
                <w:spacing w:val="0"/>
                <w:highlight w:val="none"/>
              </w:rPr>
              <w:t>1020</w:t>
            </w:r>
            <w:r>
              <w:rPr>
                <w:rFonts w:hint="eastAsia" w:ascii="Times New Roman" w:hAnsi="Times New Roman" w:eastAsia="宋体" w:cs="Times New Roman"/>
                <w:caps w:val="0"/>
                <w:smallCaps w:val="0"/>
                <w:color w:val="auto"/>
                <w:spacing w:val="0"/>
                <w:sz w:val="21"/>
                <w:highlight w:val="none"/>
                <w:lang w:eastAsia="zh-CN"/>
              </w:rPr>
              <w:t>）</w:t>
            </w:r>
          </w:p>
        </w:tc>
        <w:tc>
          <w:tcPr>
            <w:tcW w:w="2205" w:type="dxa"/>
            <w:tcBorders>
              <w:tl2br w:val="nil"/>
              <w:tr2bl w:val="nil"/>
            </w:tcBorders>
            <w:vAlign w:val="center"/>
          </w:tcPr>
          <w:p w14:paraId="6C10B82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集中式水源</w:t>
            </w:r>
          </w:p>
        </w:tc>
        <w:tc>
          <w:tcPr>
            <w:tcW w:w="993" w:type="dxa"/>
            <w:tcBorders>
              <w:tl2br w:val="nil"/>
              <w:tr2bl w:val="nil"/>
            </w:tcBorders>
            <w:vAlign w:val="center"/>
          </w:tcPr>
          <w:p w14:paraId="3C6109C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地下水环境</w:t>
            </w:r>
          </w:p>
        </w:tc>
        <w:tc>
          <w:tcPr>
            <w:tcW w:w="1840" w:type="dxa"/>
            <w:vMerge w:val="continue"/>
            <w:tcBorders>
              <w:tl2br w:val="nil"/>
              <w:tr2bl w:val="nil"/>
            </w:tcBorders>
            <w:vAlign w:val="center"/>
          </w:tcPr>
          <w:p w14:paraId="49E7D0DA">
            <w:pPr>
              <w:widowControl w:val="0"/>
              <w:jc w:val="center"/>
              <w:rPr>
                <w:rFonts w:ascii="Times New Roman" w:hAnsi="Times New Roman" w:eastAsia="宋体" w:cs="Times New Roman"/>
                <w:caps w:val="0"/>
                <w:smallCaps w:val="0"/>
                <w:color w:val="auto"/>
                <w:spacing w:val="0"/>
                <w:sz w:val="21"/>
                <w:highlight w:val="none"/>
              </w:rPr>
            </w:pPr>
          </w:p>
        </w:tc>
      </w:tr>
      <w:tr w14:paraId="70353F9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4" w:type="dxa"/>
            <w:tcBorders>
              <w:tl2br w:val="nil"/>
              <w:tr2bl w:val="nil"/>
            </w:tcBorders>
            <w:vAlign w:val="center"/>
          </w:tcPr>
          <w:p w14:paraId="52682A15">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黑龙江佳木斯沿江湿地省级自然保护区</w:t>
            </w:r>
          </w:p>
        </w:tc>
        <w:tc>
          <w:tcPr>
            <w:tcW w:w="800" w:type="dxa"/>
            <w:tcBorders>
              <w:tl2br w:val="nil"/>
              <w:tr2bl w:val="nil"/>
            </w:tcBorders>
            <w:vAlign w:val="center"/>
          </w:tcPr>
          <w:p w14:paraId="27D0E22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w:t>
            </w:r>
          </w:p>
        </w:tc>
        <w:tc>
          <w:tcPr>
            <w:tcW w:w="801" w:type="dxa"/>
            <w:tcBorders>
              <w:tl2br w:val="nil"/>
              <w:tr2bl w:val="nil"/>
            </w:tcBorders>
            <w:vAlign w:val="center"/>
          </w:tcPr>
          <w:p w14:paraId="1C0F58E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3500</w:t>
            </w:r>
          </w:p>
        </w:tc>
        <w:tc>
          <w:tcPr>
            <w:tcW w:w="1117" w:type="dxa"/>
            <w:tcBorders>
              <w:tl2br w:val="nil"/>
              <w:tr2bl w:val="nil"/>
            </w:tcBorders>
            <w:vAlign w:val="center"/>
          </w:tcPr>
          <w:p w14:paraId="582651A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自然保护区</w:t>
            </w:r>
          </w:p>
        </w:tc>
        <w:tc>
          <w:tcPr>
            <w:tcW w:w="2205" w:type="dxa"/>
            <w:tcBorders>
              <w:tl2br w:val="nil"/>
              <w:tr2bl w:val="nil"/>
            </w:tcBorders>
            <w:vAlign w:val="center"/>
          </w:tcPr>
          <w:p w14:paraId="2987BFF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省级</w:t>
            </w:r>
          </w:p>
        </w:tc>
        <w:tc>
          <w:tcPr>
            <w:tcW w:w="993" w:type="dxa"/>
            <w:tcBorders>
              <w:tl2br w:val="nil"/>
              <w:tr2bl w:val="nil"/>
            </w:tcBorders>
            <w:vAlign w:val="center"/>
          </w:tcPr>
          <w:p w14:paraId="1780F36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空气、地表水、湿地生态系统及栖息</w:t>
            </w:r>
            <w:r>
              <w:rPr>
                <w:rFonts w:hint="eastAsia" w:ascii="Times New Roman" w:hAnsi="Times New Roman" w:eastAsia="宋体" w:cs="Times New Roman"/>
                <w:caps w:val="0"/>
                <w:smallCaps w:val="0"/>
                <w:color w:val="auto"/>
                <w:spacing w:val="0"/>
                <w:sz w:val="21"/>
                <w:highlight w:val="none"/>
              </w:rPr>
              <w:t>地珍稀</w:t>
            </w:r>
            <w:r>
              <w:rPr>
                <w:rFonts w:ascii="Times New Roman" w:hAnsi="Times New Roman" w:eastAsia="宋体" w:cs="Times New Roman"/>
                <w:caps w:val="0"/>
                <w:smallCaps w:val="0"/>
                <w:color w:val="auto"/>
                <w:spacing w:val="0"/>
                <w:sz w:val="21"/>
                <w:highlight w:val="none"/>
              </w:rPr>
              <w:t>、濒危野生动物、保持自然景观</w:t>
            </w:r>
            <w:r>
              <w:rPr>
                <w:rFonts w:hint="eastAsia" w:ascii="Times New Roman" w:hAnsi="Times New Roman" w:eastAsia="宋体" w:cs="Times New Roman"/>
                <w:caps w:val="0"/>
                <w:smallCaps w:val="0"/>
                <w:color w:val="auto"/>
                <w:spacing w:val="0"/>
                <w:sz w:val="21"/>
                <w:highlight w:val="none"/>
              </w:rPr>
              <w:t>完整</w:t>
            </w:r>
          </w:p>
        </w:tc>
        <w:tc>
          <w:tcPr>
            <w:tcW w:w="1840" w:type="dxa"/>
            <w:tcBorders>
              <w:tl2br w:val="nil"/>
              <w:tr2bl w:val="nil"/>
            </w:tcBorders>
            <w:vAlign w:val="center"/>
          </w:tcPr>
          <w:p w14:paraId="691475B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《环境空气质量标准》（GB3095-2012）</w:t>
            </w:r>
            <w:r>
              <w:rPr>
                <w:rFonts w:hint="eastAsia" w:ascii="Times New Roman" w:hAnsi="Times New Roman" w:eastAsia="宋体" w:cs="Times New Roman"/>
                <w:caps w:val="0"/>
                <w:smallCaps w:val="0"/>
                <w:color w:val="auto"/>
                <w:spacing w:val="0"/>
                <w:sz w:val="21"/>
                <w:highlight w:val="none"/>
                <w:lang w:val="en-US" w:eastAsia="zh-CN"/>
              </w:rPr>
              <w:t>一</w:t>
            </w:r>
            <w:r>
              <w:rPr>
                <w:rFonts w:ascii="Times New Roman" w:hAnsi="Times New Roman" w:eastAsia="宋体" w:cs="Times New Roman"/>
                <w:caps w:val="0"/>
                <w:smallCaps w:val="0"/>
                <w:color w:val="auto"/>
                <w:spacing w:val="0"/>
                <w:sz w:val="21"/>
                <w:highlight w:val="none"/>
              </w:rPr>
              <w:t>类，《地表水环境质量标准》（GB3838-2002）</w:t>
            </w:r>
            <w:r>
              <w:rPr>
                <w:rFonts w:hint="eastAsia" w:ascii="Times New Roman" w:hAnsi="Times New Roman" w:cs="Times New Roman"/>
                <w:caps w:val="0"/>
                <w:smallCaps w:val="0"/>
                <w:color w:val="auto"/>
                <w:spacing w:val="0"/>
                <w:highlight w:val="none"/>
                <w:lang w:val="en-US" w:eastAsia="zh-CN"/>
              </w:rPr>
              <w:t>III</w:t>
            </w:r>
            <w:r>
              <w:rPr>
                <w:rFonts w:ascii="Times New Roman" w:hAnsi="Times New Roman" w:eastAsia="宋体" w:cs="Times New Roman"/>
                <w:caps w:val="0"/>
                <w:smallCaps w:val="0"/>
                <w:color w:val="auto"/>
                <w:spacing w:val="0"/>
                <w:sz w:val="21"/>
                <w:highlight w:val="none"/>
              </w:rPr>
              <w:t>类</w:t>
            </w:r>
          </w:p>
        </w:tc>
      </w:tr>
    </w:tbl>
    <w:p w14:paraId="737B2E5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主要环境保护敏感目标调查如下：</w:t>
      </w:r>
    </w:p>
    <w:p w14:paraId="1BC3BB7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w:t>
      </w:r>
      <w:r>
        <w:rPr>
          <w:rFonts w:hint="eastAsia" w:ascii="Times New Roman" w:hAnsi="Times New Roman" w:eastAsia="宋体" w:cs="Times New Roman"/>
          <w:caps w:val="0"/>
          <w:smallCaps w:val="0"/>
          <w:color w:val="auto"/>
          <w:spacing w:val="0"/>
          <w:highlight w:val="none"/>
          <w:lang w:val="en-US" w:eastAsia="zh-CN"/>
        </w:rPr>
        <w:t>黑龙江佳木斯沿江湿地省级自然保护区</w:t>
      </w:r>
    </w:p>
    <w:p w14:paraId="6A10C64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黑龙江佳木斯沿江湿地自然保护区位于黑龙江省佳木斯市东北部，</w:t>
      </w:r>
      <w:r>
        <w:rPr>
          <w:rFonts w:hint="eastAsia" w:ascii="Times New Roman" w:hAnsi="Times New Roman" w:eastAsia="宋体" w:cs="Times New Roman"/>
          <w:caps w:val="0"/>
          <w:smallCaps w:val="0"/>
          <w:color w:val="auto"/>
          <w:spacing w:val="0"/>
          <w:highlight w:val="none"/>
        </w:rPr>
        <w:t>松花江</w:t>
      </w:r>
      <w:r>
        <w:rPr>
          <w:rFonts w:ascii="Times New Roman" w:hAnsi="Times New Roman" w:eastAsia="宋体" w:cs="Times New Roman"/>
          <w:caps w:val="0"/>
          <w:smallCaps w:val="0"/>
          <w:color w:val="auto"/>
          <w:spacing w:val="0"/>
          <w:highlight w:val="none"/>
        </w:rPr>
        <w:t>下游北岸。保护区北部与佳郊的莲江口镇、平安乡相连，南与佳木斯市区和松江乡、建国乡由松花江相连，东部与桦川县接壤。保护区沿松花江北岸东北西南带状延伸，其</w:t>
      </w:r>
      <w:r>
        <w:rPr>
          <w:rFonts w:hint="eastAsia" w:ascii="Times New Roman" w:hAnsi="Times New Roman" w:eastAsia="宋体" w:cs="Times New Roman"/>
          <w:caps w:val="0"/>
          <w:smallCaps w:val="0"/>
          <w:color w:val="auto"/>
          <w:spacing w:val="0"/>
          <w:highlight w:val="none"/>
        </w:rPr>
        <w:t>地理坐标</w:t>
      </w:r>
      <w:r>
        <w:rPr>
          <w:rFonts w:ascii="Times New Roman" w:hAnsi="Times New Roman" w:eastAsia="宋体" w:cs="Times New Roman"/>
          <w:caps w:val="0"/>
          <w:smallCaps w:val="0"/>
          <w:color w:val="auto"/>
          <w:spacing w:val="0"/>
          <w:highlight w:val="none"/>
        </w:rPr>
        <w:t>为46°50'46"~47°02'55N",130°25'14"~130°36'08"E。保护区长26km，宽5km，周长132km总面积为11267hm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。其中林地1482hm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，芦苇湿地1294hm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，湿生草地3287hm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，水域2882hm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，耕地1491hm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，草甸831hm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；分别占保护区总面积的13.15%、11.48%、29.17%、25.58%、13.23%和7.38%。区内河流泡沼大量分布。</w:t>
      </w:r>
    </w:p>
    <w:p w14:paraId="3421BA8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lang w:val="en-US" w:eastAsia="zh-CN"/>
        </w:rPr>
        <w:t>黑龙江佳木斯沿江湿地省级自然保护区</w:t>
      </w:r>
      <w:r>
        <w:rPr>
          <w:rFonts w:ascii="Times New Roman" w:hAnsi="Times New Roman" w:eastAsia="宋体" w:cs="Times New Roman"/>
          <w:caps w:val="0"/>
          <w:smallCaps w:val="0"/>
          <w:color w:val="auto"/>
          <w:spacing w:val="0"/>
          <w:highlight w:val="none"/>
        </w:rPr>
        <w:t>地处三江平原西部，三江平原分布的大部分植物在保护区内均有分布。据初步调查统计佳木斯沿江湿地自然保护区植被组成中共有高等植物114科263属463种：包括苔藓植物36科64属109种；维管束植物354种，其中蕨类植物4科5属7种。种子植物74科194属347种。种子植物约占黑龙江植物总数的20.45%。佳木斯沿江湿地自然保护区植物区系属长白植物区系。但由于受其它区系成分的影响和渗透，形成了多区系成分种重叠混杂的现象。导致植物种类虽然不多，但区系成分较为复杂。从而丰富了本区植物区系地理成分，并具有独特性。依据Kitagawa(1979)分析的结果，对本区组成植物种进行系统分析。可将本保护区的354种维管束植物分成四大类15类。</w:t>
      </w:r>
    </w:p>
    <w:p w14:paraId="09A37E2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lang w:val="en-US" w:eastAsia="zh-CN"/>
        </w:rPr>
        <w:t>黑龙江佳木斯沿江湿地省级自然保护区</w:t>
      </w:r>
      <w:r>
        <w:rPr>
          <w:rFonts w:ascii="Times New Roman" w:hAnsi="Times New Roman" w:eastAsia="宋体" w:cs="Times New Roman"/>
          <w:caps w:val="0"/>
          <w:smallCaps w:val="0"/>
          <w:color w:val="auto"/>
          <w:spacing w:val="0"/>
          <w:highlight w:val="none"/>
        </w:rPr>
        <w:t>因地势低平、排水不畅等立地因素影响，地带性植被不能发育，而产生了大面积的非地带性植被。其植被主要包括草甸、沼泽、水生植被</w:t>
      </w:r>
      <w:r>
        <w:rPr>
          <w:rFonts w:hint="eastAsia" w:ascii="Times New Roman" w:hAnsi="Times New Roman" w:eastAsia="宋体" w:cs="Times New Roman"/>
          <w:caps w:val="0"/>
          <w:smallCaps w:val="0"/>
          <w:color w:val="auto"/>
          <w:spacing w:val="0"/>
          <w:highlight w:val="none"/>
          <w:lang w:eastAsia="zh-CN"/>
        </w:rPr>
        <w:t>三种</w:t>
      </w:r>
      <w:r>
        <w:rPr>
          <w:rFonts w:ascii="Times New Roman" w:hAnsi="Times New Roman" w:eastAsia="宋体" w:cs="Times New Roman"/>
          <w:caps w:val="0"/>
          <w:smallCaps w:val="0"/>
          <w:color w:val="auto"/>
          <w:spacing w:val="0"/>
          <w:highlight w:val="none"/>
        </w:rPr>
        <w:t>类型。根据《国家重点保护野生植物名录(第一批)》(国家林业局、农业部，1999)，佳木斯沿江湿地自然保护区共有国家级珍稀濒危保护植物3种，既野大豆、莲、乌苏里狐尾藻。佳木斯沿江湿地自然保护区在动物地理区划上属古北界东北区长白山亚区。脊椎动物资源以温带栖息类型的动物为主。本区地势平坦，生境比较单一。以松花江河道湖泊及沼泽湿地占绝大面积，在江心岛及岸边分布有小片的乔木和灌丛。因此，脊椎动物资源以湿生动物为主，亦有一些林栖动物的侵入。据统计全区共有脊椎动物6纲32目70科170属295种；包括圆口类1目1科1属2种，鱼类5目10科44属61种，两栖类2目4科4属6种，爬行类2目2科3属4种，鸟类16目41科98属197种，哺乳类6目12科20属25种。本区共有保护动物70种，占本区动物种数的21.57%，其中国家保护一级重点保护动物5种，国家二级重点保护野生动物30种，黑龙江省重点保护野生动物35种，且多处于濒危状态，有些种类已经在此区绝迹。本区还有CN保护动物29种，列入《濒危野生动植物种国际贸易公约》(CITES)附录种类36种。佳木斯沿江湿地地势平坦，沿江两岸既有大面积的芦苇沼泽和草甸，又有众多的</w:t>
      </w:r>
      <w:r>
        <w:rPr>
          <w:rFonts w:hint="eastAsia" w:ascii="Times New Roman" w:hAnsi="Times New Roman" w:eastAsia="宋体" w:cs="Times New Roman"/>
          <w:caps w:val="0"/>
          <w:smallCaps w:val="0"/>
          <w:color w:val="auto"/>
          <w:spacing w:val="0"/>
          <w:highlight w:val="none"/>
        </w:rPr>
        <w:t>湖泊</w:t>
      </w:r>
      <w:r>
        <w:rPr>
          <w:rFonts w:ascii="Times New Roman" w:hAnsi="Times New Roman" w:eastAsia="宋体" w:cs="Times New Roman"/>
          <w:caps w:val="0"/>
          <w:smallCaps w:val="0"/>
          <w:color w:val="auto"/>
          <w:spacing w:val="0"/>
          <w:highlight w:val="none"/>
        </w:rPr>
        <w:t>分布其中。为鸟类提供了良好的栖息和觅食场所。因此，本区的鸟类资源十分丰富特别是水禽种类、数量均较多。据统计本区共录有鸟类197种</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占全省鸟类种数的54.72%全国鸟类种数的9.14%。但在鸟类组成上季节性变化极大，且多为旅鸟及夏候鸟，共计171种，占本区鸟类种数的86.80%。</w:t>
      </w:r>
    </w:p>
    <w:p w14:paraId="098B32F2">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黑龙江佳木斯沿江湿地地势平坦、江面宽、浅滩密布、沼泽连片，是水禽的乐园由于交通不便，至今部分地区仍保持着原始的自然景观，每年均有数万只水禽来此栖息繁殖。据调查在1990以前，每年均有1~2对大天鹅在此繁殖，有数对丹顶鹤在此繁殖。繁殖季节鸥类、鸻鹬类和鸭类的巢随处可见。2000年以后，由于连续多年</w:t>
      </w:r>
      <w:r>
        <w:rPr>
          <w:rFonts w:hint="eastAsia" w:ascii="Times New Roman" w:hAnsi="Times New Roman" w:eastAsia="宋体" w:cs="Times New Roman"/>
          <w:caps w:val="0"/>
          <w:smallCaps w:val="0"/>
          <w:color w:val="auto"/>
          <w:spacing w:val="0"/>
          <w:highlight w:val="none"/>
        </w:rPr>
        <w:t>干旱</w:t>
      </w:r>
      <w:r>
        <w:rPr>
          <w:rFonts w:ascii="Times New Roman" w:hAnsi="Times New Roman" w:eastAsia="宋体" w:cs="Times New Roman"/>
          <w:caps w:val="0"/>
          <w:smallCaps w:val="0"/>
          <w:color w:val="auto"/>
          <w:spacing w:val="0"/>
          <w:highlight w:val="none"/>
        </w:rPr>
        <w:t>，松花江水位下降，大部分江滩</w:t>
      </w:r>
      <w:r>
        <w:rPr>
          <w:rFonts w:hint="eastAsia" w:ascii="Times New Roman" w:hAnsi="Times New Roman" w:eastAsia="宋体" w:cs="Times New Roman"/>
          <w:caps w:val="0"/>
          <w:smallCaps w:val="0"/>
          <w:color w:val="auto"/>
          <w:spacing w:val="0"/>
          <w:highlight w:val="none"/>
        </w:rPr>
        <w:t>裸露</w:t>
      </w:r>
      <w:r>
        <w:rPr>
          <w:rFonts w:ascii="Times New Roman" w:hAnsi="Times New Roman" w:eastAsia="宋体" w:cs="Times New Roman"/>
          <w:caps w:val="0"/>
          <w:smallCaps w:val="0"/>
          <w:color w:val="auto"/>
          <w:spacing w:val="0"/>
          <w:highlight w:val="none"/>
        </w:rPr>
        <w:t>，再加上近年粮食涨价</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农民受利益驱使，纷纷到江滩开地；许多江滩被开垦成农田，导致江滩湿地严重破碎化，水禽繁殖数量急剧减少。2005年春季调查，本区繁殖的水禽数量仅有数千只。而雁鸭类等大中型水禽的繁殖数量更少，许多种类已经绝迹</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如鸳鸯、东方白鹳等。丹顶鹤、白枕鹤、大天鹅等亦处于绝迹的边缘已经有数年未见其在本区繁殖了。</w:t>
      </w:r>
    </w:p>
    <w:p w14:paraId="3B36556E">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从分类学上看，本区共有雀形目鸟类85种，占鸟类种数的43.15%。非雀形目鸟类112种，占本区鸟类种数的56.85%。其中水禽80种，占非雀形目鸟类种数的71.43%从区系特征上看，本区共有古北界鸟类127种，占本区鸟类种数的64.47%；东洋界鸟类3种，占1.52%；广布种67种，占34.01%。</w:t>
      </w:r>
    </w:p>
    <w:p w14:paraId="04AADC05">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从鸟类栖息类型上看，因其栖息地生境不同，按自然景观可分为水域、沼泽、</w:t>
      </w:r>
      <w:r>
        <w:rPr>
          <w:rFonts w:hint="eastAsia" w:ascii="Times New Roman" w:hAnsi="Times New Roman" w:eastAsia="宋体" w:cs="Times New Roman"/>
          <w:caps w:val="0"/>
          <w:smallCaps w:val="0"/>
          <w:color w:val="auto"/>
          <w:spacing w:val="0"/>
          <w:highlight w:val="none"/>
        </w:rPr>
        <w:t>草地</w:t>
      </w:r>
      <w:r>
        <w:rPr>
          <w:rFonts w:ascii="Times New Roman" w:hAnsi="Times New Roman" w:eastAsia="宋体" w:cs="Times New Roman"/>
          <w:caps w:val="0"/>
          <w:smallCaps w:val="0"/>
          <w:color w:val="auto"/>
          <w:spacing w:val="0"/>
          <w:highlight w:val="none"/>
        </w:rPr>
        <w:t>、林地和灌丛、居民区及农田和荒地六个生境类型的鸟类。</w:t>
      </w:r>
    </w:p>
    <w:p w14:paraId="63B40B97">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水域鸟类：本区水域面积大，除松花江外，有大小泡子数十个，及数条河流流入本区，因而成为鸟类，特别是水禽的最佳栖息地。此类群鸟类多羽毛丰满，尾脂腺发达，脚呈蹊状，善于游泳，飞行速度快，包括潜鸟目、雁形目、鸥形目、鹈形目鸟类。优势种有鸿雁、绿头鸭、针尾鸭、绿翅鸭、红头潜鸭、凤头潜鸭、凤头鸱、银鸥、红嘴鸥等。国家二级重点保护鸟类大天鹅、小天鹅、白额雁等均属此类。本区共有水域鸟类39种，占本区鸟类种数的19.80%，包括佛法目的翠鸟等。</w:t>
      </w:r>
    </w:p>
    <w:p w14:paraId="155B59D8">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沼泽鸟类：在松花江沿岸有大片的浅滩，为涉禽提供了良好的觅食地。此类群鸟类多具三长，既长喙、长颈、长腿。适于在沙滩、泥土中觅食。包括形目、鹳形目、鹤形目鸟类。优势种有苍鹭、草鹭、凤头麦鸡、白腰草鹬、针尾沙锥等。</w:t>
      </w:r>
      <w:r>
        <w:rPr>
          <w:rFonts w:hint="eastAsia" w:ascii="Times New Roman" w:hAnsi="Times New Roman" w:eastAsia="宋体" w:cs="Times New Roman"/>
          <w:caps w:val="0"/>
          <w:smallCaps w:val="0"/>
          <w:color w:val="auto"/>
          <w:spacing w:val="0"/>
          <w:highlight w:val="none"/>
        </w:rPr>
        <w:t>国家一级</w:t>
      </w:r>
      <w:r>
        <w:rPr>
          <w:rFonts w:ascii="Times New Roman" w:hAnsi="Times New Roman" w:eastAsia="宋体" w:cs="Times New Roman"/>
          <w:caps w:val="0"/>
          <w:smallCaps w:val="0"/>
          <w:color w:val="auto"/>
          <w:spacing w:val="0"/>
          <w:highlight w:val="none"/>
        </w:rPr>
        <w:t>重点保护鸟类丹顶鹤、东方白鹳、白鹤及国家二级重点保护鸟类白琵鹭、白枕鹤等均属此类。雁鸭类亦选择此区筑巢繁殖。亦有白尾鹞、白腹鹞、鹊等在此区繁殖、觅食。本区共记录沼泽鸟类47种，占本区鸟类种数的23.86%，且均为非雀形目鸟类。</w:t>
      </w:r>
    </w:p>
    <w:p w14:paraId="6AE2D8F0">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草甸鸟类：在沼泽边缘生长有小叶章草甸。鸟类组成复杂，但以雀形目鸟类居多。大多有保护色。优势种有黄胸鸡、黄喉等。鸢、苍鹰、雀鹰等在空中盘旋。本区共记录草甸鸟类27种，占本区鸟类种数的13.71%，其中非雀形目鸟类3种。</w:t>
      </w:r>
    </w:p>
    <w:p w14:paraId="15432C08">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4）森林、</w:t>
      </w:r>
      <w:r>
        <w:rPr>
          <w:rFonts w:hint="eastAsia" w:ascii="Times New Roman" w:hAnsi="Times New Roman" w:eastAsia="宋体" w:cs="Times New Roman"/>
          <w:caps w:val="0"/>
          <w:smallCaps w:val="0"/>
          <w:color w:val="auto"/>
          <w:spacing w:val="0"/>
          <w:highlight w:val="none"/>
        </w:rPr>
        <w:t>灌丛</w:t>
      </w:r>
      <w:r>
        <w:rPr>
          <w:rFonts w:ascii="Times New Roman" w:hAnsi="Times New Roman" w:eastAsia="宋体" w:cs="Times New Roman"/>
          <w:caps w:val="0"/>
          <w:smallCaps w:val="0"/>
          <w:color w:val="auto"/>
          <w:spacing w:val="0"/>
          <w:highlight w:val="none"/>
        </w:rPr>
        <w:t>鸟类：在本区松花江中，分布着大小十数个岛屿，当地称之为“条通”。在一些较大的岛上生长着杨、柳柞等树木。在小岛和沿江还着生着密密的柳丛。为林栖鸟类提供了良好的觅食、隐蔽和繁殖场所。此类型鸟类其特征是翼较短且宽而钝，小翼发达。多为树栖型鸟类，以雀形目等小型鸟类居多。分布在这一生境的鸟类有华形目、鸡形目、鸮形目、鹃形目、驾形目及雀形目鸟类。优势种有山斑鸠、大山雀、杜鹃及啄木鸟等。本区共记录森林、灌丛鸟类77种，占本区鸟类种数的39.09%，其中非雀形目鸟类25种。</w:t>
      </w:r>
    </w:p>
    <w:p w14:paraId="76AE4C07">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居民区鸟类：此类型鸟类多为伴人鸟类，因居民区有许多建筑物，为鸟类提供了繁殖栖息地；加之居民生活中散落的一些粮食、食品为其提供了食物。主要为雀形目鸟类。主要有麻雀、家燕、金腰燕等。本区共记录居民区鸟类4种，占本区鸟类种数的2.03%，均为雀形目鸟类。</w:t>
      </w:r>
    </w:p>
    <w:p w14:paraId="69760167">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农田、荒地鸟类：保护区内除湿地和林地外，亦散布着一些农田，为农田鸟类提供了丰富的食物资源。该生境隐蔽条件差，生境单一，只有少数食谷鸟类在此栖息觅食，但大多数种类繁殖仍在树上。有部分鸦类</w:t>
      </w:r>
      <w:r>
        <w:rPr>
          <w:rFonts w:hint="eastAsia" w:ascii="Times New Roman" w:hAnsi="Times New Roman" w:eastAsia="宋体" w:cs="Times New Roman"/>
          <w:caps w:val="0"/>
          <w:smallCaps w:val="0"/>
          <w:color w:val="auto"/>
          <w:spacing w:val="0"/>
          <w:highlight w:val="none"/>
        </w:rPr>
        <w:t>、鱼</w:t>
      </w:r>
      <w:r>
        <w:rPr>
          <w:rFonts w:ascii="Times New Roman" w:hAnsi="Times New Roman" w:eastAsia="宋体" w:cs="Times New Roman"/>
          <w:caps w:val="0"/>
          <w:smallCaps w:val="0"/>
          <w:color w:val="auto"/>
          <w:spacing w:val="0"/>
          <w:highlight w:val="none"/>
        </w:rPr>
        <w:t>类、莺类、雉类等在此觅食。早春迁至的鸫类及椋鸟亦在农田中觅食</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晚秋则可见雁类、鹤类在此觅食。本区共记录农田、荒地鸟类2种，占佳木斯沿江湿地鸟类种数的1.02%。均为雀形目鸟类。</w:t>
      </w:r>
    </w:p>
    <w:p w14:paraId="231492C7">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2、红力村饮用水水源井</w:t>
      </w:r>
    </w:p>
    <w:p w14:paraId="72509E12">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红力村饮用水水源始建于2012年，红力村取水目的层为粗砂层。原供给红力村和江山村居民用水，现阶段江山村已拆迁。该水源现服务人口约1020人，为红力村居民，井深60米，原取水量130m</w:t>
      </w:r>
      <w:r>
        <w:rPr>
          <w:rFonts w:hint="eastAsia" w:ascii="Times New Roman" w:hAnsi="Times New Roman" w:eastAsia="宋体" w:cs="Times New Roman"/>
          <w:caps w:val="0"/>
          <w:smallCaps w:val="0"/>
          <w:color w:val="auto"/>
          <w:spacing w:val="0"/>
          <w:highlight w:val="none"/>
          <w:vertAlign w:val="superscript"/>
          <w:lang w:val="en-US" w:eastAsia="zh-CN"/>
        </w:rPr>
        <w:t>3</w:t>
      </w:r>
      <w:r>
        <w:rPr>
          <w:rFonts w:hint="eastAsia" w:ascii="Times New Roman" w:hAnsi="Times New Roman" w:eastAsia="宋体" w:cs="Times New Roman"/>
          <w:caps w:val="0"/>
          <w:smallCaps w:val="0"/>
          <w:color w:val="auto"/>
          <w:spacing w:val="0"/>
          <w:highlight w:val="none"/>
          <w:lang w:val="en-US" w:eastAsia="zh-CN"/>
        </w:rPr>
        <w:t>/</w:t>
      </w:r>
      <w:r>
        <w:rPr>
          <w:rFonts w:ascii="Times New Roman" w:hAnsi="Times New Roman" w:eastAsia="宋体" w:cs="Times New Roman"/>
          <w:caps w:val="0"/>
          <w:smallCaps w:val="0"/>
          <w:color w:val="auto"/>
          <w:spacing w:val="0"/>
          <w:highlight w:val="none"/>
        </w:rPr>
        <w:t>d，现阶江山村拆迁后大部分居民并入东兴城小区，现取水量有所减少。</w:t>
      </w:r>
    </w:p>
    <w:p w14:paraId="73D41CED">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3、宏伟村饮用水源井</w:t>
      </w:r>
    </w:p>
    <w:p w14:paraId="3B741AE3">
      <w:pPr>
        <w:pStyle w:val="36"/>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宏伟村饮用水水源为单井，现阶段部分已搬迁，服务人口现阶段380人，为分散式饮用水水源地，取水量小于50m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w:t>
      </w:r>
    </w:p>
    <w:p w14:paraId="39970AFA">
      <w:pPr>
        <w:pStyle w:val="4"/>
        <w:widowControl w:val="0"/>
        <w:rPr>
          <w:rFonts w:eastAsia="宋体"/>
          <w:caps w:val="0"/>
          <w:smallCaps w:val="0"/>
          <w:color w:val="auto"/>
          <w:spacing w:val="0"/>
          <w:highlight w:val="none"/>
        </w:rPr>
      </w:pPr>
      <w:bookmarkStart w:id="131" w:name="_Toc6892"/>
      <w:r>
        <w:rPr>
          <w:rFonts w:eastAsia="宋体"/>
          <w:caps w:val="0"/>
          <w:smallCaps w:val="0"/>
          <w:color w:val="auto"/>
          <w:spacing w:val="0"/>
          <w:highlight w:val="none"/>
        </w:rPr>
        <w:t>4.4环境质量现状评价</w:t>
      </w:r>
      <w:bookmarkEnd w:id="130"/>
      <w:bookmarkEnd w:id="131"/>
    </w:p>
    <w:p w14:paraId="71342221">
      <w:pPr>
        <w:pStyle w:val="5"/>
        <w:widowControl w:val="0"/>
        <w:rPr>
          <w:rFonts w:eastAsia="宋体"/>
          <w:caps w:val="0"/>
          <w:smallCaps w:val="0"/>
          <w:color w:val="auto"/>
          <w:spacing w:val="0"/>
          <w:sz w:val="30"/>
          <w:szCs w:val="30"/>
          <w:highlight w:val="none"/>
        </w:rPr>
      </w:pPr>
      <w:bookmarkStart w:id="132" w:name="_Toc32199"/>
      <w:bookmarkStart w:id="133" w:name="_Toc477951972"/>
      <w:r>
        <w:rPr>
          <w:rFonts w:eastAsia="宋体"/>
          <w:caps w:val="0"/>
          <w:smallCaps w:val="0"/>
          <w:color w:val="auto"/>
          <w:spacing w:val="0"/>
          <w:sz w:val="30"/>
          <w:szCs w:val="30"/>
          <w:highlight w:val="none"/>
        </w:rPr>
        <w:t>4.4.1地表水环境质量现状评价</w:t>
      </w:r>
      <w:bookmarkEnd w:id="132"/>
    </w:p>
    <w:p w14:paraId="5ECB7AB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本项目所在区域纳污地表水体为</w:t>
      </w:r>
      <w:r>
        <w:rPr>
          <w:rFonts w:hint="eastAsia" w:ascii="Times New Roman" w:hAnsi="Times New Roman" w:eastAsia="宋体" w:cs="Times New Roman"/>
          <w:caps w:val="0"/>
          <w:smallCaps w:val="0"/>
          <w:color w:val="auto"/>
          <w:spacing w:val="0"/>
          <w:szCs w:val="24"/>
          <w:highlight w:val="none"/>
          <w:lang w:eastAsia="zh-CN"/>
        </w:rPr>
        <w:t>铃铛麦河</w:t>
      </w:r>
      <w:r>
        <w:rPr>
          <w:rFonts w:ascii="Times New Roman" w:hAnsi="Times New Roman" w:eastAsia="宋体" w:cs="Times New Roman"/>
          <w:caps w:val="0"/>
          <w:smallCaps w:val="0"/>
          <w:color w:val="auto"/>
          <w:spacing w:val="0"/>
          <w:szCs w:val="24"/>
          <w:highlight w:val="none"/>
        </w:rPr>
        <w:t>，根据《全国重要江河湖泊水功能区划（2011-2030年）》，</w:t>
      </w:r>
      <w:r>
        <w:rPr>
          <w:rFonts w:hint="eastAsia" w:ascii="Times New Roman" w:hAnsi="Times New Roman" w:eastAsia="宋体" w:cs="Times New Roman"/>
          <w:caps w:val="0"/>
          <w:smallCaps w:val="0"/>
          <w:color w:val="auto"/>
          <w:spacing w:val="0"/>
          <w:szCs w:val="24"/>
          <w:highlight w:val="none"/>
          <w:lang w:eastAsia="zh-CN"/>
        </w:rPr>
        <w:t>铃铛麦河</w:t>
      </w:r>
      <w:r>
        <w:rPr>
          <w:rFonts w:ascii="Times New Roman" w:hAnsi="Times New Roman" w:eastAsia="宋体" w:cs="Times New Roman"/>
          <w:caps w:val="0"/>
          <w:smallCaps w:val="0"/>
          <w:color w:val="auto"/>
          <w:spacing w:val="0"/>
          <w:szCs w:val="24"/>
          <w:highlight w:val="none"/>
        </w:rPr>
        <w:t>无水体类别，</w:t>
      </w:r>
      <w:r>
        <w:rPr>
          <w:rFonts w:hint="eastAsia" w:ascii="Times New Roman" w:hAnsi="Times New Roman" w:eastAsia="宋体" w:cs="Times New Roman"/>
          <w:caps w:val="0"/>
          <w:smallCaps w:val="0"/>
          <w:color w:val="auto"/>
          <w:spacing w:val="0"/>
          <w:szCs w:val="24"/>
          <w:highlight w:val="none"/>
          <w:lang w:eastAsia="zh-CN"/>
        </w:rPr>
        <w:t>铃铛麦河途经音达木河</w:t>
      </w:r>
      <w:r>
        <w:rPr>
          <w:rFonts w:ascii="Times New Roman" w:hAnsi="Times New Roman" w:eastAsia="宋体" w:cs="Times New Roman"/>
          <w:caps w:val="0"/>
          <w:smallCaps w:val="0"/>
          <w:color w:val="auto"/>
          <w:spacing w:val="0"/>
          <w:szCs w:val="24"/>
          <w:highlight w:val="none"/>
        </w:rPr>
        <w:t>最终汇入松花江（宏力村—中和村）。根据《2024年黑龙江省生态环境质量状况》，项目所在区域国家地表水考核断面佳木斯下断面水质达到</w:t>
      </w:r>
      <w:r>
        <w:rPr>
          <w:rFonts w:hint="default" w:ascii="Times New Roman" w:hAnsi="Times New Roman" w:cs="Times New Roman"/>
          <w:b w:val="0"/>
          <w:bCs/>
          <w:caps w:val="0"/>
          <w:smallCaps w:val="0"/>
          <w:color w:val="auto"/>
          <w:spacing w:val="0"/>
          <w:sz w:val="24"/>
          <w:szCs w:val="24"/>
          <w:highlight w:val="none"/>
        </w:rPr>
        <w:t>Ⅲ</w:t>
      </w:r>
      <w:r>
        <w:rPr>
          <w:rFonts w:ascii="Times New Roman" w:hAnsi="Times New Roman" w:eastAsia="宋体" w:cs="Times New Roman"/>
          <w:caps w:val="0"/>
          <w:smallCaps w:val="0"/>
          <w:color w:val="auto"/>
          <w:spacing w:val="0"/>
          <w:szCs w:val="24"/>
          <w:highlight w:val="none"/>
        </w:rPr>
        <w:t>类水质要求，水质状况良好，满足所在水环境功能区要求</w:t>
      </w:r>
      <w:r>
        <w:rPr>
          <w:rFonts w:ascii="Times New Roman" w:hAnsi="Times New Roman" w:eastAsia="宋体" w:cs="Times New Roman"/>
          <w:caps w:val="0"/>
          <w:smallCaps w:val="0"/>
          <w:color w:val="auto"/>
          <w:spacing w:val="0"/>
          <w:highlight w:val="none"/>
        </w:rPr>
        <w:t>。</w:t>
      </w:r>
    </w:p>
    <w:p w14:paraId="13028C29">
      <w:pPr>
        <w:pStyle w:val="5"/>
        <w:widowControl w:val="0"/>
        <w:rPr>
          <w:rFonts w:eastAsia="宋体"/>
          <w:caps w:val="0"/>
          <w:smallCaps w:val="0"/>
          <w:color w:val="auto"/>
          <w:spacing w:val="0"/>
          <w:sz w:val="30"/>
          <w:szCs w:val="30"/>
          <w:highlight w:val="none"/>
        </w:rPr>
      </w:pPr>
      <w:bookmarkStart w:id="134" w:name="_Toc986"/>
      <w:r>
        <w:rPr>
          <w:rFonts w:eastAsia="宋体"/>
          <w:caps w:val="0"/>
          <w:smallCaps w:val="0"/>
          <w:color w:val="auto"/>
          <w:spacing w:val="0"/>
          <w:sz w:val="30"/>
          <w:szCs w:val="30"/>
          <w:highlight w:val="none"/>
        </w:rPr>
        <w:t>4.4.2环境空气质量现状</w:t>
      </w:r>
      <w:bookmarkEnd w:id="133"/>
      <w:r>
        <w:rPr>
          <w:rFonts w:eastAsia="宋体"/>
          <w:caps w:val="0"/>
          <w:smallCaps w:val="0"/>
          <w:color w:val="auto"/>
          <w:spacing w:val="0"/>
          <w:sz w:val="30"/>
          <w:szCs w:val="30"/>
          <w:highlight w:val="none"/>
        </w:rPr>
        <w:t>评价</w:t>
      </w:r>
      <w:bookmarkEnd w:id="134"/>
    </w:p>
    <w:p w14:paraId="71A4FB52">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4.4.2.1项目所在区环境空气质量现状调查</w:t>
      </w:r>
    </w:p>
    <w:p w14:paraId="7A29EB04">
      <w:pPr>
        <w:widowControl w:val="0"/>
        <w:spacing w:line="360" w:lineRule="auto"/>
        <w:ind w:firstLine="480" w:firstLineChars="20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caps w:val="0"/>
          <w:smallCaps w:val="0"/>
          <w:color w:val="auto"/>
          <w:spacing w:val="0"/>
          <w:kern w:val="0"/>
          <w:highlight w:val="none"/>
          <w:lang w:bidi="ar"/>
        </w:rPr>
        <w:t>根据《2024年黑龙江省生态环境质量状况》，佳木斯市2024年空气质量级别达二级标准，达标天数为342天(93.4%)，SO</w:t>
      </w:r>
      <w:r>
        <w:rPr>
          <w:rFonts w:ascii="Times New Roman" w:hAnsi="Times New Roman" w:eastAsia="宋体" w:cs="Times New Roman"/>
          <w:caps w:val="0"/>
          <w:smallCaps w:val="0"/>
          <w:color w:val="auto"/>
          <w:spacing w:val="0"/>
          <w:kern w:val="0"/>
          <w:sz w:val="15"/>
          <w:szCs w:val="15"/>
          <w:highlight w:val="none"/>
          <w:lang w:bidi="ar"/>
        </w:rPr>
        <w:t>2</w:t>
      </w:r>
      <w:r>
        <w:rPr>
          <w:rFonts w:ascii="Times New Roman" w:hAnsi="Times New Roman" w:eastAsia="宋体" w:cs="Times New Roman"/>
          <w:caps w:val="0"/>
          <w:smallCaps w:val="0"/>
          <w:color w:val="auto"/>
          <w:spacing w:val="0"/>
          <w:kern w:val="0"/>
          <w:highlight w:val="none"/>
          <w:lang w:bidi="ar"/>
        </w:rPr>
        <w:t>、NO</w:t>
      </w:r>
      <w:r>
        <w:rPr>
          <w:rFonts w:ascii="Times New Roman" w:hAnsi="Times New Roman" w:eastAsia="宋体" w:cs="Times New Roman"/>
          <w:caps w:val="0"/>
          <w:smallCaps w:val="0"/>
          <w:color w:val="auto"/>
          <w:spacing w:val="0"/>
          <w:kern w:val="0"/>
          <w:sz w:val="15"/>
          <w:szCs w:val="15"/>
          <w:highlight w:val="none"/>
          <w:lang w:bidi="ar"/>
        </w:rPr>
        <w:t>2、</w:t>
      </w:r>
      <w:r>
        <w:rPr>
          <w:rFonts w:ascii="Times New Roman" w:hAnsi="Times New Roman" w:eastAsia="宋体" w:cs="Times New Roman"/>
          <w:caps w:val="0"/>
          <w:smallCaps w:val="0"/>
          <w:color w:val="auto"/>
          <w:spacing w:val="0"/>
          <w:kern w:val="0"/>
          <w:highlight w:val="none"/>
          <w:lang w:bidi="ar"/>
        </w:rPr>
        <w:t>PM</w:t>
      </w:r>
      <w:r>
        <w:rPr>
          <w:rFonts w:ascii="Times New Roman" w:hAnsi="Times New Roman" w:eastAsia="宋体" w:cs="Times New Roman"/>
          <w:caps w:val="0"/>
          <w:smallCaps w:val="0"/>
          <w:color w:val="auto"/>
          <w:spacing w:val="0"/>
          <w:kern w:val="0"/>
          <w:highlight w:val="none"/>
          <w:vertAlign w:val="subscript"/>
          <w:lang w:bidi="ar"/>
        </w:rPr>
        <w:t>10</w:t>
      </w:r>
      <w:r>
        <w:rPr>
          <w:rFonts w:ascii="Times New Roman" w:hAnsi="Times New Roman" w:eastAsia="宋体" w:cs="Times New Roman"/>
          <w:caps w:val="0"/>
          <w:smallCaps w:val="0"/>
          <w:color w:val="auto"/>
          <w:spacing w:val="0"/>
          <w:kern w:val="0"/>
          <w:highlight w:val="none"/>
          <w:lang w:bidi="ar"/>
        </w:rPr>
        <w:t>、PM</w:t>
      </w:r>
      <w:r>
        <w:rPr>
          <w:rFonts w:ascii="Times New Roman" w:hAnsi="Times New Roman" w:eastAsia="宋体" w:cs="Times New Roman"/>
          <w:caps w:val="0"/>
          <w:smallCaps w:val="0"/>
          <w:color w:val="auto"/>
          <w:spacing w:val="0"/>
          <w:kern w:val="0"/>
          <w:highlight w:val="none"/>
          <w:vertAlign w:val="subscript"/>
          <w:lang w:bidi="ar"/>
        </w:rPr>
        <w:t>2.5</w:t>
      </w:r>
      <w:r>
        <w:rPr>
          <w:rFonts w:ascii="Times New Roman" w:hAnsi="Times New Roman" w:eastAsia="宋体" w:cs="Times New Roman"/>
          <w:caps w:val="0"/>
          <w:smallCaps w:val="0"/>
          <w:color w:val="auto"/>
          <w:spacing w:val="0"/>
          <w:kern w:val="0"/>
          <w:highlight w:val="none"/>
          <w:lang w:bidi="ar"/>
        </w:rPr>
        <w:t>年均浓度分别为7</w:t>
      </w:r>
      <w:r>
        <w:rPr>
          <w:rFonts w:ascii="Times New Roman" w:hAnsi="Times New Roman" w:eastAsia="宋体" w:cs="Times New Roman"/>
          <w:caps w:val="0"/>
          <w:smallCaps w:val="0"/>
          <w:color w:val="auto"/>
          <w:spacing w:val="0"/>
          <w:sz w:val="21"/>
          <w:highlight w:val="none"/>
        </w:rPr>
        <w:t>μg</w:t>
      </w:r>
      <w:r>
        <w:rPr>
          <w:rFonts w:ascii="Times New Roman" w:hAnsi="Times New Roman" w:eastAsia="宋体" w:cs="Times New Roman"/>
          <w:caps w:val="0"/>
          <w:smallCaps w:val="0"/>
          <w:color w:val="auto"/>
          <w:spacing w:val="0"/>
          <w:kern w:val="0"/>
          <w:highlight w:val="none"/>
          <w:lang w:bidi="ar"/>
        </w:rPr>
        <w:t>/m</w:t>
      </w:r>
      <w:r>
        <w:rPr>
          <w:rFonts w:ascii="Times New Roman" w:hAnsi="Times New Roman" w:eastAsia="宋体" w:cs="Times New Roman"/>
          <w:caps w:val="0"/>
          <w:smallCaps w:val="0"/>
          <w:color w:val="auto"/>
          <w:spacing w:val="0"/>
          <w:kern w:val="0"/>
          <w:highlight w:val="none"/>
          <w:vertAlign w:val="superscript"/>
          <w:lang w:bidi="ar"/>
        </w:rPr>
        <w:t>3</w:t>
      </w:r>
      <w:r>
        <w:rPr>
          <w:rFonts w:ascii="Times New Roman" w:hAnsi="Times New Roman" w:eastAsia="宋体" w:cs="Times New Roman"/>
          <w:caps w:val="0"/>
          <w:smallCaps w:val="0"/>
          <w:color w:val="auto"/>
          <w:spacing w:val="0"/>
          <w:kern w:val="0"/>
          <w:highlight w:val="none"/>
          <w:lang w:bidi="ar"/>
        </w:rPr>
        <w:t>、19</w:t>
      </w:r>
      <w:r>
        <w:rPr>
          <w:rFonts w:ascii="Times New Roman" w:hAnsi="Times New Roman" w:eastAsia="宋体" w:cs="Times New Roman"/>
          <w:caps w:val="0"/>
          <w:smallCaps w:val="0"/>
          <w:color w:val="auto"/>
          <w:spacing w:val="0"/>
          <w:sz w:val="21"/>
          <w:highlight w:val="none"/>
        </w:rPr>
        <w:t>μg</w:t>
      </w:r>
      <w:r>
        <w:rPr>
          <w:rFonts w:ascii="Times New Roman" w:hAnsi="Times New Roman" w:eastAsia="宋体" w:cs="Times New Roman"/>
          <w:caps w:val="0"/>
          <w:smallCaps w:val="0"/>
          <w:color w:val="auto"/>
          <w:spacing w:val="0"/>
          <w:kern w:val="0"/>
          <w:highlight w:val="none"/>
          <w:lang w:bidi="ar"/>
        </w:rPr>
        <w:t>/m</w:t>
      </w:r>
      <w:r>
        <w:rPr>
          <w:rFonts w:ascii="Times New Roman" w:hAnsi="Times New Roman" w:eastAsia="宋体" w:cs="Times New Roman"/>
          <w:caps w:val="0"/>
          <w:smallCaps w:val="0"/>
          <w:color w:val="auto"/>
          <w:spacing w:val="0"/>
          <w:kern w:val="0"/>
          <w:highlight w:val="none"/>
          <w:vertAlign w:val="superscript"/>
          <w:lang w:bidi="ar"/>
        </w:rPr>
        <w:t>3</w:t>
      </w:r>
      <w:r>
        <w:rPr>
          <w:rFonts w:ascii="Times New Roman" w:hAnsi="Times New Roman" w:eastAsia="宋体" w:cs="Times New Roman"/>
          <w:caps w:val="0"/>
          <w:smallCaps w:val="0"/>
          <w:color w:val="auto"/>
          <w:spacing w:val="0"/>
          <w:kern w:val="0"/>
          <w:highlight w:val="none"/>
          <w:lang w:bidi="ar"/>
        </w:rPr>
        <w:t>、39</w:t>
      </w:r>
      <w:r>
        <w:rPr>
          <w:rFonts w:ascii="Times New Roman" w:hAnsi="Times New Roman" w:eastAsia="宋体" w:cs="Times New Roman"/>
          <w:caps w:val="0"/>
          <w:smallCaps w:val="0"/>
          <w:color w:val="auto"/>
          <w:spacing w:val="0"/>
          <w:sz w:val="21"/>
          <w:highlight w:val="none"/>
        </w:rPr>
        <w:t>μg</w:t>
      </w:r>
      <w:r>
        <w:rPr>
          <w:rFonts w:ascii="Times New Roman" w:hAnsi="Times New Roman" w:eastAsia="宋体" w:cs="Times New Roman"/>
          <w:caps w:val="0"/>
          <w:smallCaps w:val="0"/>
          <w:color w:val="auto"/>
          <w:spacing w:val="0"/>
          <w:kern w:val="0"/>
          <w:highlight w:val="none"/>
          <w:lang w:bidi="ar"/>
        </w:rPr>
        <w:t>/m</w:t>
      </w:r>
      <w:r>
        <w:rPr>
          <w:rFonts w:ascii="Times New Roman" w:hAnsi="Times New Roman" w:eastAsia="宋体" w:cs="Times New Roman"/>
          <w:caps w:val="0"/>
          <w:smallCaps w:val="0"/>
          <w:color w:val="auto"/>
          <w:spacing w:val="0"/>
          <w:kern w:val="0"/>
          <w:highlight w:val="none"/>
          <w:vertAlign w:val="superscript"/>
          <w:lang w:bidi="ar"/>
        </w:rPr>
        <w:t>3</w:t>
      </w:r>
      <w:r>
        <w:rPr>
          <w:rFonts w:ascii="Times New Roman" w:hAnsi="Times New Roman" w:eastAsia="宋体" w:cs="Times New Roman"/>
          <w:caps w:val="0"/>
          <w:smallCaps w:val="0"/>
          <w:color w:val="auto"/>
          <w:spacing w:val="0"/>
          <w:kern w:val="0"/>
          <w:highlight w:val="none"/>
          <w:lang w:bidi="ar"/>
        </w:rPr>
        <w:t>、28</w:t>
      </w:r>
      <w:r>
        <w:rPr>
          <w:rFonts w:ascii="Times New Roman" w:hAnsi="Times New Roman" w:eastAsia="宋体" w:cs="Times New Roman"/>
          <w:caps w:val="0"/>
          <w:smallCaps w:val="0"/>
          <w:color w:val="auto"/>
          <w:spacing w:val="0"/>
          <w:sz w:val="21"/>
          <w:highlight w:val="none"/>
        </w:rPr>
        <w:t>μg</w:t>
      </w:r>
      <w:r>
        <w:rPr>
          <w:rFonts w:ascii="Times New Roman" w:hAnsi="Times New Roman" w:eastAsia="宋体" w:cs="Times New Roman"/>
          <w:caps w:val="0"/>
          <w:smallCaps w:val="0"/>
          <w:color w:val="auto"/>
          <w:spacing w:val="0"/>
          <w:kern w:val="0"/>
          <w:highlight w:val="none"/>
          <w:lang w:bidi="ar"/>
        </w:rPr>
        <w:t>/m</w:t>
      </w:r>
      <w:r>
        <w:rPr>
          <w:rFonts w:ascii="Times New Roman" w:hAnsi="Times New Roman" w:eastAsia="宋体" w:cs="Times New Roman"/>
          <w:caps w:val="0"/>
          <w:smallCaps w:val="0"/>
          <w:color w:val="auto"/>
          <w:spacing w:val="0"/>
          <w:kern w:val="0"/>
          <w:highlight w:val="none"/>
          <w:vertAlign w:val="superscript"/>
          <w:lang w:bidi="ar"/>
        </w:rPr>
        <w:t>3</w:t>
      </w:r>
      <w:r>
        <w:rPr>
          <w:rFonts w:ascii="Times New Roman" w:hAnsi="Times New Roman" w:eastAsia="宋体" w:cs="Times New Roman"/>
          <w:caps w:val="0"/>
          <w:smallCaps w:val="0"/>
          <w:color w:val="auto"/>
          <w:spacing w:val="0"/>
          <w:kern w:val="0"/>
          <w:highlight w:val="none"/>
          <w:lang w:bidi="ar"/>
        </w:rPr>
        <w:t>；CO24小时平均第95百分位数为0.9mg/m</w:t>
      </w:r>
      <w:r>
        <w:rPr>
          <w:rFonts w:ascii="Times New Roman" w:hAnsi="Times New Roman" w:eastAsia="宋体" w:cs="Times New Roman"/>
          <w:caps w:val="0"/>
          <w:smallCaps w:val="0"/>
          <w:color w:val="auto"/>
          <w:spacing w:val="0"/>
          <w:kern w:val="0"/>
          <w:highlight w:val="none"/>
          <w:vertAlign w:val="superscript"/>
          <w:lang w:bidi="ar"/>
        </w:rPr>
        <w:t>3</w:t>
      </w:r>
      <w:r>
        <w:rPr>
          <w:rFonts w:ascii="Times New Roman" w:hAnsi="Times New Roman" w:eastAsia="宋体" w:cs="Times New Roman"/>
          <w:caps w:val="0"/>
          <w:smallCaps w:val="0"/>
          <w:color w:val="auto"/>
          <w:spacing w:val="0"/>
          <w:kern w:val="0"/>
          <w:highlight w:val="none"/>
          <w:lang w:bidi="ar"/>
        </w:rPr>
        <w:t>，O</w:t>
      </w:r>
      <w:r>
        <w:rPr>
          <w:rFonts w:ascii="Times New Roman" w:hAnsi="Times New Roman" w:eastAsia="宋体" w:cs="Times New Roman"/>
          <w:caps w:val="0"/>
          <w:smallCaps w:val="0"/>
          <w:color w:val="auto"/>
          <w:spacing w:val="0"/>
          <w:kern w:val="0"/>
          <w:sz w:val="15"/>
          <w:szCs w:val="15"/>
          <w:highlight w:val="none"/>
          <w:lang w:bidi="ar"/>
        </w:rPr>
        <w:t>3</w:t>
      </w:r>
      <w:r>
        <w:rPr>
          <w:rFonts w:ascii="Times New Roman" w:hAnsi="Times New Roman" w:eastAsia="宋体" w:cs="Times New Roman"/>
          <w:caps w:val="0"/>
          <w:smallCaps w:val="0"/>
          <w:color w:val="auto"/>
          <w:spacing w:val="0"/>
          <w:kern w:val="0"/>
          <w:highlight w:val="none"/>
          <w:lang w:bidi="ar"/>
        </w:rPr>
        <w:t>日最大8小时平均第90百分位数为107</w:t>
      </w:r>
      <w:r>
        <w:rPr>
          <w:rFonts w:ascii="Times New Roman" w:hAnsi="Times New Roman" w:eastAsia="宋体" w:cs="Times New Roman"/>
          <w:caps w:val="0"/>
          <w:smallCaps w:val="0"/>
          <w:color w:val="auto"/>
          <w:spacing w:val="0"/>
          <w:sz w:val="21"/>
          <w:highlight w:val="none"/>
        </w:rPr>
        <w:t>μg</w:t>
      </w:r>
      <w:r>
        <w:rPr>
          <w:rFonts w:ascii="Times New Roman" w:hAnsi="Times New Roman" w:eastAsia="宋体" w:cs="Times New Roman"/>
          <w:caps w:val="0"/>
          <w:smallCaps w:val="0"/>
          <w:color w:val="auto"/>
          <w:spacing w:val="0"/>
          <w:kern w:val="0"/>
          <w:highlight w:val="none"/>
          <w:lang w:bidi="ar"/>
        </w:rPr>
        <w:t>/m</w:t>
      </w:r>
      <w:r>
        <w:rPr>
          <w:rFonts w:ascii="Times New Roman" w:hAnsi="Times New Roman" w:eastAsia="宋体" w:cs="Times New Roman"/>
          <w:caps w:val="0"/>
          <w:smallCaps w:val="0"/>
          <w:color w:val="auto"/>
          <w:spacing w:val="0"/>
          <w:kern w:val="0"/>
          <w:highlight w:val="none"/>
          <w:vertAlign w:val="superscript"/>
          <w:lang w:bidi="ar"/>
        </w:rPr>
        <w:t>3</w:t>
      </w:r>
      <w:r>
        <w:rPr>
          <w:rFonts w:ascii="Times New Roman" w:hAnsi="Times New Roman" w:eastAsia="宋体" w:cs="Times New Roman"/>
          <w:caps w:val="0"/>
          <w:smallCaps w:val="0"/>
          <w:color w:val="auto"/>
          <w:spacing w:val="0"/>
          <w:kern w:val="0"/>
          <w:highlight w:val="none"/>
          <w:lang w:bidi="ar"/>
        </w:rPr>
        <w:t>；各污染物平均浓度均优于《环境空气质量标准》（GB3095-2012）中二级标准限值，判定结果为达标区。</w:t>
      </w:r>
    </w:p>
    <w:p w14:paraId="270D9CA1">
      <w:pPr>
        <w:pStyle w:val="208"/>
        <w:widowControl w:val="0"/>
        <w:spacing w:line="360" w:lineRule="auto"/>
        <w:ind w:firstLine="480"/>
        <w:rPr>
          <w:rFonts w:ascii="Times New Roman" w:hAnsi="Times New Roman" w:eastAsia="宋体" w:cs="Times New Roman"/>
          <w:bCs/>
          <w:caps w:val="0"/>
          <w:smallCaps w:val="0"/>
          <w:color w:val="auto"/>
          <w:spacing w:val="0"/>
          <w:kern w:val="2"/>
          <w:szCs w:val="24"/>
          <w:highlight w:val="none"/>
        </w:rPr>
      </w:pPr>
      <w:r>
        <w:rPr>
          <w:rFonts w:ascii="Times New Roman" w:hAnsi="Times New Roman" w:eastAsia="宋体" w:cs="Times New Roman"/>
          <w:bCs/>
          <w:caps w:val="0"/>
          <w:smallCaps w:val="0"/>
          <w:color w:val="auto"/>
          <w:spacing w:val="0"/>
          <w:kern w:val="2"/>
          <w:szCs w:val="24"/>
          <w:highlight w:val="none"/>
        </w:rPr>
        <w:t>本项目常规污染物（SO</w:t>
      </w:r>
      <w:r>
        <w:rPr>
          <w:rFonts w:ascii="Times New Roman" w:hAnsi="Times New Roman" w:eastAsia="宋体" w:cs="Times New Roman"/>
          <w:bCs/>
          <w:caps w:val="0"/>
          <w:smallCaps w:val="0"/>
          <w:color w:val="auto"/>
          <w:spacing w:val="0"/>
          <w:kern w:val="2"/>
          <w:szCs w:val="24"/>
          <w:highlight w:val="none"/>
          <w:vertAlign w:val="subscript"/>
        </w:rPr>
        <w:t>2</w:t>
      </w:r>
      <w:r>
        <w:rPr>
          <w:rFonts w:ascii="Times New Roman" w:hAnsi="Times New Roman" w:eastAsia="宋体" w:cs="Times New Roman"/>
          <w:bCs/>
          <w:caps w:val="0"/>
          <w:smallCaps w:val="0"/>
          <w:color w:val="auto"/>
          <w:spacing w:val="0"/>
          <w:kern w:val="2"/>
          <w:szCs w:val="24"/>
          <w:highlight w:val="none"/>
        </w:rPr>
        <w:t>、NO</w:t>
      </w:r>
      <w:r>
        <w:rPr>
          <w:rFonts w:ascii="Times New Roman" w:hAnsi="Times New Roman" w:eastAsia="宋体" w:cs="Times New Roman"/>
          <w:bCs/>
          <w:caps w:val="0"/>
          <w:smallCaps w:val="0"/>
          <w:color w:val="auto"/>
          <w:spacing w:val="0"/>
          <w:kern w:val="2"/>
          <w:szCs w:val="24"/>
          <w:highlight w:val="none"/>
          <w:vertAlign w:val="subscript"/>
        </w:rPr>
        <w:t>2</w:t>
      </w:r>
      <w:r>
        <w:rPr>
          <w:rFonts w:ascii="Times New Roman" w:hAnsi="Times New Roman" w:eastAsia="宋体" w:cs="Times New Roman"/>
          <w:bCs/>
          <w:caps w:val="0"/>
          <w:smallCaps w:val="0"/>
          <w:color w:val="auto"/>
          <w:spacing w:val="0"/>
          <w:kern w:val="2"/>
          <w:szCs w:val="24"/>
          <w:highlight w:val="none"/>
        </w:rPr>
        <w:t>、PM</w:t>
      </w:r>
      <w:r>
        <w:rPr>
          <w:rFonts w:ascii="Times New Roman" w:hAnsi="Times New Roman" w:eastAsia="宋体" w:cs="Times New Roman"/>
          <w:bCs/>
          <w:caps w:val="0"/>
          <w:smallCaps w:val="0"/>
          <w:color w:val="auto"/>
          <w:spacing w:val="0"/>
          <w:kern w:val="2"/>
          <w:szCs w:val="24"/>
          <w:highlight w:val="none"/>
          <w:vertAlign w:val="subscript"/>
        </w:rPr>
        <w:t>10</w:t>
      </w:r>
      <w:r>
        <w:rPr>
          <w:rFonts w:ascii="Times New Roman" w:hAnsi="Times New Roman" w:eastAsia="宋体" w:cs="Times New Roman"/>
          <w:bCs/>
          <w:caps w:val="0"/>
          <w:smallCaps w:val="0"/>
          <w:color w:val="auto"/>
          <w:spacing w:val="0"/>
          <w:kern w:val="2"/>
          <w:szCs w:val="24"/>
          <w:highlight w:val="none"/>
        </w:rPr>
        <w:t>、PM</w:t>
      </w:r>
      <w:r>
        <w:rPr>
          <w:rFonts w:ascii="Times New Roman" w:hAnsi="Times New Roman" w:eastAsia="宋体" w:cs="Times New Roman"/>
          <w:bCs/>
          <w:caps w:val="0"/>
          <w:smallCaps w:val="0"/>
          <w:color w:val="auto"/>
          <w:spacing w:val="0"/>
          <w:kern w:val="2"/>
          <w:szCs w:val="24"/>
          <w:highlight w:val="none"/>
          <w:vertAlign w:val="subscript"/>
        </w:rPr>
        <w:t>2.5</w:t>
      </w:r>
      <w:r>
        <w:rPr>
          <w:rFonts w:ascii="Times New Roman" w:hAnsi="Times New Roman" w:eastAsia="宋体" w:cs="Times New Roman"/>
          <w:bCs/>
          <w:caps w:val="0"/>
          <w:smallCaps w:val="0"/>
          <w:color w:val="auto"/>
          <w:spacing w:val="0"/>
          <w:kern w:val="2"/>
          <w:szCs w:val="24"/>
          <w:highlight w:val="none"/>
        </w:rPr>
        <w:t>、O</w:t>
      </w:r>
      <w:r>
        <w:rPr>
          <w:rFonts w:ascii="Times New Roman" w:hAnsi="Times New Roman" w:eastAsia="宋体" w:cs="Times New Roman"/>
          <w:bCs/>
          <w:caps w:val="0"/>
          <w:smallCaps w:val="0"/>
          <w:color w:val="auto"/>
          <w:spacing w:val="0"/>
          <w:kern w:val="2"/>
          <w:szCs w:val="24"/>
          <w:highlight w:val="none"/>
          <w:vertAlign w:val="subscript"/>
        </w:rPr>
        <w:t>3</w:t>
      </w:r>
      <w:r>
        <w:rPr>
          <w:rFonts w:ascii="Times New Roman" w:hAnsi="Times New Roman" w:eastAsia="宋体" w:cs="Times New Roman"/>
          <w:bCs/>
          <w:caps w:val="0"/>
          <w:smallCaps w:val="0"/>
          <w:color w:val="auto"/>
          <w:spacing w:val="0"/>
          <w:kern w:val="2"/>
          <w:szCs w:val="24"/>
          <w:highlight w:val="none"/>
        </w:rPr>
        <w:t>、CO）区域空气质量现状评价情况见下表。</w:t>
      </w:r>
    </w:p>
    <w:p w14:paraId="5D7755E5">
      <w:pPr>
        <w:widowControl w:val="0"/>
        <w:adjustRightInd w:val="0"/>
        <w:snapToGrid w:val="0"/>
        <w:ind w:firstLine="422"/>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表4.4-1区域空气质量现状评价表单位：μg/m</w:t>
      </w:r>
      <w:r>
        <w:rPr>
          <w:rFonts w:ascii="Times New Roman" w:hAnsi="Times New Roman" w:eastAsia="宋体" w:cs="Times New Roman"/>
          <w:b/>
          <w:caps w:val="0"/>
          <w:smallCaps w:val="0"/>
          <w:color w:val="auto"/>
          <w:spacing w:val="0"/>
          <w:highlight w:val="none"/>
          <w:vertAlign w:val="superscript"/>
        </w:rPr>
        <w:t>3</w:t>
      </w:r>
    </w:p>
    <w:tbl>
      <w:tblPr>
        <w:tblStyle w:val="37"/>
        <w:tblW w:w="4991"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095"/>
        <w:gridCol w:w="2837"/>
        <w:gridCol w:w="1603"/>
        <w:gridCol w:w="1454"/>
        <w:gridCol w:w="1245"/>
        <w:gridCol w:w="1035"/>
      </w:tblGrid>
      <w:tr w14:paraId="53BC5E7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tcBorders>
              <w:top w:val="single" w:color="auto" w:sz="8" w:space="0"/>
              <w:bottom w:val="single" w:color="auto" w:sz="8" w:space="0"/>
            </w:tcBorders>
            <w:vAlign w:val="center"/>
          </w:tcPr>
          <w:p w14:paraId="4E60EBD5">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污染物</w:t>
            </w:r>
          </w:p>
        </w:tc>
        <w:tc>
          <w:tcPr>
            <w:tcW w:w="1529" w:type="pct"/>
            <w:tcBorders>
              <w:top w:val="single" w:color="auto" w:sz="8" w:space="0"/>
              <w:bottom w:val="single" w:color="auto" w:sz="8" w:space="0"/>
            </w:tcBorders>
            <w:vAlign w:val="center"/>
          </w:tcPr>
          <w:p w14:paraId="251CF644">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年评价指标</w:t>
            </w:r>
          </w:p>
        </w:tc>
        <w:tc>
          <w:tcPr>
            <w:tcW w:w="864" w:type="pct"/>
            <w:tcBorders>
              <w:top w:val="single" w:color="auto" w:sz="8" w:space="0"/>
              <w:bottom w:val="single" w:color="auto" w:sz="8" w:space="0"/>
            </w:tcBorders>
            <w:vAlign w:val="center"/>
          </w:tcPr>
          <w:p w14:paraId="5C852B8A">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现状浓度</w:t>
            </w:r>
          </w:p>
          <w:p w14:paraId="5C5A691E">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（μg/m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w:t>
            </w:r>
          </w:p>
        </w:tc>
        <w:tc>
          <w:tcPr>
            <w:tcW w:w="784" w:type="pct"/>
            <w:tcBorders>
              <w:top w:val="single" w:color="auto" w:sz="8" w:space="0"/>
              <w:bottom w:val="single" w:color="auto" w:sz="8" w:space="0"/>
            </w:tcBorders>
            <w:vAlign w:val="center"/>
          </w:tcPr>
          <w:p w14:paraId="464ED5BF">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标准值</w:t>
            </w:r>
          </w:p>
          <w:p w14:paraId="6FBC3E0B">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（μg/m</w:t>
            </w:r>
            <w:r>
              <w:rPr>
                <w:rFonts w:ascii="Times New Roman" w:hAnsi="Times New Roman" w:cs="Times New Roman"/>
                <w:caps w:val="0"/>
                <w:smallCaps w:val="0"/>
                <w:color w:val="auto"/>
                <w:spacing w:val="0"/>
                <w:sz w:val="21"/>
                <w:szCs w:val="21"/>
                <w:highlight w:val="none"/>
                <w:vertAlign w:val="superscript"/>
                <w:lang w:eastAsia="zh-CN"/>
              </w:rPr>
              <w:t>3</w:t>
            </w:r>
            <w:r>
              <w:rPr>
                <w:rFonts w:ascii="Times New Roman" w:hAnsi="Times New Roman" w:cs="Times New Roman"/>
                <w:caps w:val="0"/>
                <w:smallCaps w:val="0"/>
                <w:color w:val="auto"/>
                <w:spacing w:val="0"/>
                <w:sz w:val="21"/>
                <w:szCs w:val="21"/>
                <w:highlight w:val="none"/>
                <w:lang w:eastAsia="zh-CN"/>
              </w:rPr>
              <w:t>）</w:t>
            </w:r>
          </w:p>
        </w:tc>
        <w:tc>
          <w:tcPr>
            <w:tcW w:w="671" w:type="pct"/>
            <w:tcBorders>
              <w:top w:val="single" w:color="auto" w:sz="8" w:space="0"/>
              <w:bottom w:val="single" w:color="auto" w:sz="8" w:space="0"/>
            </w:tcBorders>
            <w:vAlign w:val="center"/>
          </w:tcPr>
          <w:p w14:paraId="4104B3C6">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占标率（%）</w:t>
            </w:r>
          </w:p>
        </w:tc>
        <w:tc>
          <w:tcPr>
            <w:tcW w:w="558" w:type="pct"/>
            <w:tcBorders>
              <w:top w:val="single" w:color="auto" w:sz="8" w:space="0"/>
              <w:bottom w:val="single" w:color="auto" w:sz="8" w:space="0"/>
            </w:tcBorders>
            <w:vAlign w:val="center"/>
          </w:tcPr>
          <w:p w14:paraId="03008CCA">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达标情况</w:t>
            </w:r>
          </w:p>
        </w:tc>
      </w:tr>
      <w:tr w14:paraId="2AFE62D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tcBorders>
              <w:top w:val="single" w:color="auto" w:sz="8" w:space="0"/>
            </w:tcBorders>
            <w:vAlign w:val="center"/>
          </w:tcPr>
          <w:p w14:paraId="68EE49FE">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PM</w:t>
            </w:r>
            <w:r>
              <w:rPr>
                <w:rFonts w:ascii="Times New Roman" w:hAnsi="Times New Roman" w:cs="Times New Roman"/>
                <w:caps w:val="0"/>
                <w:smallCaps w:val="0"/>
                <w:color w:val="auto"/>
                <w:spacing w:val="0"/>
                <w:sz w:val="21"/>
                <w:szCs w:val="21"/>
                <w:highlight w:val="none"/>
                <w:vertAlign w:val="subscript"/>
                <w:lang w:eastAsia="zh-CN"/>
              </w:rPr>
              <w:t>2.5</w:t>
            </w:r>
          </w:p>
        </w:tc>
        <w:tc>
          <w:tcPr>
            <w:tcW w:w="1529" w:type="pct"/>
            <w:tcBorders>
              <w:top w:val="single" w:color="auto" w:sz="8" w:space="0"/>
            </w:tcBorders>
            <w:vAlign w:val="center"/>
          </w:tcPr>
          <w:p w14:paraId="06995EFD">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年平均质量浓度</w:t>
            </w:r>
          </w:p>
        </w:tc>
        <w:tc>
          <w:tcPr>
            <w:tcW w:w="1359" w:type="dxa"/>
            <w:tcBorders>
              <w:top w:val="single" w:color="auto" w:sz="8" w:space="0"/>
            </w:tcBorders>
            <w:vAlign w:val="center"/>
          </w:tcPr>
          <w:p w14:paraId="3A3AA7E0">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28</w:t>
            </w:r>
          </w:p>
        </w:tc>
        <w:tc>
          <w:tcPr>
            <w:tcW w:w="1234" w:type="dxa"/>
            <w:tcBorders>
              <w:top w:val="single" w:color="auto" w:sz="8" w:space="0"/>
            </w:tcBorders>
            <w:vAlign w:val="center"/>
          </w:tcPr>
          <w:p w14:paraId="3078B65D">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35</w:t>
            </w:r>
          </w:p>
        </w:tc>
        <w:tc>
          <w:tcPr>
            <w:tcW w:w="1056" w:type="dxa"/>
            <w:tcBorders>
              <w:top w:val="single" w:color="auto" w:sz="8" w:space="0"/>
            </w:tcBorders>
            <w:vAlign w:val="center"/>
          </w:tcPr>
          <w:p w14:paraId="6FBEBAF3">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80.00</w:t>
            </w:r>
          </w:p>
        </w:tc>
        <w:tc>
          <w:tcPr>
            <w:tcW w:w="878" w:type="dxa"/>
            <w:tcBorders>
              <w:top w:val="single" w:color="auto" w:sz="8" w:space="0"/>
            </w:tcBorders>
            <w:vAlign w:val="center"/>
          </w:tcPr>
          <w:p w14:paraId="2F2D24B6">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w:t>
            </w:r>
          </w:p>
        </w:tc>
      </w:tr>
      <w:tr w14:paraId="331D0B7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vAlign w:val="center"/>
          </w:tcPr>
          <w:p w14:paraId="7DDDF0F3">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PM</w:t>
            </w:r>
            <w:r>
              <w:rPr>
                <w:rFonts w:ascii="Times New Roman" w:hAnsi="Times New Roman" w:cs="Times New Roman"/>
                <w:caps w:val="0"/>
                <w:smallCaps w:val="0"/>
                <w:color w:val="auto"/>
                <w:spacing w:val="0"/>
                <w:sz w:val="21"/>
                <w:szCs w:val="21"/>
                <w:highlight w:val="none"/>
                <w:vertAlign w:val="subscript"/>
                <w:lang w:eastAsia="zh-CN"/>
              </w:rPr>
              <w:t>10</w:t>
            </w:r>
          </w:p>
        </w:tc>
        <w:tc>
          <w:tcPr>
            <w:tcW w:w="1529" w:type="pct"/>
            <w:vAlign w:val="center"/>
          </w:tcPr>
          <w:p w14:paraId="480481A2">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年平均质量浓度</w:t>
            </w:r>
          </w:p>
        </w:tc>
        <w:tc>
          <w:tcPr>
            <w:tcW w:w="1359" w:type="dxa"/>
            <w:vAlign w:val="center"/>
          </w:tcPr>
          <w:p w14:paraId="00D9EB26">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39</w:t>
            </w:r>
          </w:p>
        </w:tc>
        <w:tc>
          <w:tcPr>
            <w:tcW w:w="1234" w:type="dxa"/>
            <w:vAlign w:val="center"/>
          </w:tcPr>
          <w:p w14:paraId="04C41E43">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70</w:t>
            </w:r>
          </w:p>
        </w:tc>
        <w:tc>
          <w:tcPr>
            <w:tcW w:w="1056" w:type="dxa"/>
            <w:vAlign w:val="center"/>
          </w:tcPr>
          <w:p w14:paraId="2F1D17D0">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55.71</w:t>
            </w:r>
          </w:p>
        </w:tc>
        <w:tc>
          <w:tcPr>
            <w:tcW w:w="878" w:type="dxa"/>
            <w:vAlign w:val="center"/>
          </w:tcPr>
          <w:p w14:paraId="479EED8D">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w:t>
            </w:r>
          </w:p>
        </w:tc>
      </w:tr>
      <w:tr w14:paraId="039EFE3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vAlign w:val="center"/>
          </w:tcPr>
          <w:p w14:paraId="431B6237">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SO</w:t>
            </w:r>
            <w:r>
              <w:rPr>
                <w:rFonts w:ascii="Times New Roman" w:hAnsi="Times New Roman" w:cs="Times New Roman"/>
                <w:caps w:val="0"/>
                <w:smallCaps w:val="0"/>
                <w:color w:val="auto"/>
                <w:spacing w:val="0"/>
                <w:sz w:val="21"/>
                <w:szCs w:val="21"/>
                <w:highlight w:val="none"/>
                <w:vertAlign w:val="subscript"/>
                <w:lang w:eastAsia="zh-CN"/>
              </w:rPr>
              <w:t>2</w:t>
            </w:r>
          </w:p>
        </w:tc>
        <w:tc>
          <w:tcPr>
            <w:tcW w:w="1529" w:type="pct"/>
            <w:vAlign w:val="center"/>
          </w:tcPr>
          <w:p w14:paraId="7C9BEAC1">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年平均质量浓度</w:t>
            </w:r>
          </w:p>
        </w:tc>
        <w:tc>
          <w:tcPr>
            <w:tcW w:w="1359" w:type="dxa"/>
            <w:vAlign w:val="center"/>
          </w:tcPr>
          <w:p w14:paraId="2A85D38A">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7</w:t>
            </w:r>
          </w:p>
        </w:tc>
        <w:tc>
          <w:tcPr>
            <w:tcW w:w="1234" w:type="dxa"/>
            <w:vAlign w:val="center"/>
          </w:tcPr>
          <w:p w14:paraId="7FD622C9">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40</w:t>
            </w:r>
          </w:p>
        </w:tc>
        <w:tc>
          <w:tcPr>
            <w:tcW w:w="1056" w:type="dxa"/>
            <w:vAlign w:val="center"/>
          </w:tcPr>
          <w:p w14:paraId="345B3A1A">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17.50</w:t>
            </w:r>
          </w:p>
        </w:tc>
        <w:tc>
          <w:tcPr>
            <w:tcW w:w="878" w:type="dxa"/>
            <w:vAlign w:val="center"/>
          </w:tcPr>
          <w:p w14:paraId="066B000D">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w:t>
            </w:r>
          </w:p>
        </w:tc>
      </w:tr>
      <w:tr w14:paraId="5FFA93C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tcBorders>
              <w:bottom w:val="single" w:color="auto" w:sz="8" w:space="0"/>
            </w:tcBorders>
            <w:vAlign w:val="center"/>
          </w:tcPr>
          <w:p w14:paraId="65360B4A">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NO</w:t>
            </w:r>
            <w:r>
              <w:rPr>
                <w:rFonts w:ascii="Times New Roman" w:hAnsi="Times New Roman" w:cs="Times New Roman"/>
                <w:caps w:val="0"/>
                <w:smallCaps w:val="0"/>
                <w:color w:val="auto"/>
                <w:spacing w:val="0"/>
                <w:sz w:val="21"/>
                <w:szCs w:val="21"/>
                <w:highlight w:val="none"/>
                <w:vertAlign w:val="subscript"/>
                <w:lang w:eastAsia="zh-CN"/>
              </w:rPr>
              <w:t>2</w:t>
            </w:r>
          </w:p>
        </w:tc>
        <w:tc>
          <w:tcPr>
            <w:tcW w:w="1529" w:type="pct"/>
            <w:tcBorders>
              <w:bottom w:val="single" w:color="auto" w:sz="8" w:space="0"/>
            </w:tcBorders>
            <w:vAlign w:val="center"/>
          </w:tcPr>
          <w:p w14:paraId="7DD8BEC4">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年平均质量浓度</w:t>
            </w:r>
          </w:p>
        </w:tc>
        <w:tc>
          <w:tcPr>
            <w:tcW w:w="1359" w:type="dxa"/>
            <w:tcBorders>
              <w:bottom w:val="single" w:color="auto" w:sz="8" w:space="0"/>
            </w:tcBorders>
            <w:vAlign w:val="center"/>
          </w:tcPr>
          <w:p w14:paraId="584366FA">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19</w:t>
            </w:r>
          </w:p>
        </w:tc>
        <w:tc>
          <w:tcPr>
            <w:tcW w:w="1234" w:type="dxa"/>
            <w:tcBorders>
              <w:bottom w:val="single" w:color="auto" w:sz="8" w:space="0"/>
            </w:tcBorders>
            <w:vAlign w:val="center"/>
          </w:tcPr>
          <w:p w14:paraId="0B3D379D">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60</w:t>
            </w:r>
          </w:p>
        </w:tc>
        <w:tc>
          <w:tcPr>
            <w:tcW w:w="1056" w:type="dxa"/>
            <w:tcBorders>
              <w:bottom w:val="single" w:color="auto" w:sz="8" w:space="0"/>
            </w:tcBorders>
            <w:vAlign w:val="center"/>
          </w:tcPr>
          <w:p w14:paraId="0F1FD815">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31.67</w:t>
            </w:r>
          </w:p>
        </w:tc>
        <w:tc>
          <w:tcPr>
            <w:tcW w:w="878" w:type="dxa"/>
            <w:tcBorders>
              <w:bottom w:val="single" w:color="auto" w:sz="8" w:space="0"/>
            </w:tcBorders>
            <w:vAlign w:val="center"/>
          </w:tcPr>
          <w:p w14:paraId="4A23CE49">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w:t>
            </w:r>
          </w:p>
        </w:tc>
      </w:tr>
      <w:tr w14:paraId="7E06889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tcBorders>
              <w:top w:val="single" w:color="auto" w:sz="8" w:space="0"/>
            </w:tcBorders>
            <w:vAlign w:val="center"/>
          </w:tcPr>
          <w:p w14:paraId="5AEFF5F7">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CO</w:t>
            </w:r>
          </w:p>
        </w:tc>
        <w:tc>
          <w:tcPr>
            <w:tcW w:w="1529" w:type="pct"/>
            <w:tcBorders>
              <w:top w:val="single" w:color="auto" w:sz="8" w:space="0"/>
            </w:tcBorders>
            <w:vAlign w:val="center"/>
          </w:tcPr>
          <w:p w14:paraId="764847FB">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第95百分位数日平均质量浓度</w:t>
            </w:r>
          </w:p>
        </w:tc>
        <w:tc>
          <w:tcPr>
            <w:tcW w:w="1359" w:type="dxa"/>
            <w:tcBorders>
              <w:top w:val="single" w:color="auto" w:sz="8" w:space="0"/>
            </w:tcBorders>
            <w:vAlign w:val="center"/>
          </w:tcPr>
          <w:p w14:paraId="7EB10853">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1000</w:t>
            </w:r>
          </w:p>
        </w:tc>
        <w:tc>
          <w:tcPr>
            <w:tcW w:w="1234" w:type="dxa"/>
            <w:tcBorders>
              <w:top w:val="single" w:color="auto" w:sz="8" w:space="0"/>
            </w:tcBorders>
            <w:vAlign w:val="center"/>
          </w:tcPr>
          <w:p w14:paraId="2C640CB3">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4000</w:t>
            </w:r>
          </w:p>
        </w:tc>
        <w:tc>
          <w:tcPr>
            <w:tcW w:w="1056" w:type="dxa"/>
            <w:tcBorders>
              <w:top w:val="single" w:color="auto" w:sz="8" w:space="0"/>
            </w:tcBorders>
            <w:vAlign w:val="center"/>
          </w:tcPr>
          <w:p w14:paraId="38FB338C">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25.00</w:t>
            </w:r>
          </w:p>
        </w:tc>
        <w:tc>
          <w:tcPr>
            <w:tcW w:w="878" w:type="dxa"/>
            <w:tcBorders>
              <w:top w:val="single" w:color="auto" w:sz="8" w:space="0"/>
            </w:tcBorders>
            <w:vAlign w:val="center"/>
          </w:tcPr>
          <w:p w14:paraId="15D23454">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w:t>
            </w:r>
          </w:p>
        </w:tc>
      </w:tr>
      <w:tr w14:paraId="2421A82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0" w:type="pct"/>
            <w:tcBorders>
              <w:bottom w:val="single" w:color="auto" w:sz="8" w:space="0"/>
            </w:tcBorders>
            <w:vAlign w:val="center"/>
          </w:tcPr>
          <w:p w14:paraId="5BB8E7B0">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O</w:t>
            </w:r>
            <w:r>
              <w:rPr>
                <w:rFonts w:ascii="Times New Roman" w:hAnsi="Times New Roman" w:cs="Times New Roman"/>
                <w:caps w:val="0"/>
                <w:smallCaps w:val="0"/>
                <w:color w:val="auto"/>
                <w:spacing w:val="0"/>
                <w:sz w:val="21"/>
                <w:szCs w:val="21"/>
                <w:highlight w:val="none"/>
                <w:vertAlign w:val="subscript"/>
                <w:lang w:eastAsia="zh-CN"/>
              </w:rPr>
              <w:t>3</w:t>
            </w:r>
          </w:p>
        </w:tc>
        <w:tc>
          <w:tcPr>
            <w:tcW w:w="1529" w:type="pct"/>
            <w:tcBorders>
              <w:bottom w:val="single" w:color="auto" w:sz="8" w:space="0"/>
            </w:tcBorders>
            <w:vAlign w:val="center"/>
          </w:tcPr>
          <w:p w14:paraId="4192E43E">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日最大8小时滑动平均值第90百分位数</w:t>
            </w:r>
          </w:p>
        </w:tc>
        <w:tc>
          <w:tcPr>
            <w:tcW w:w="1359" w:type="dxa"/>
            <w:tcBorders>
              <w:bottom w:val="single" w:color="auto" w:sz="8" w:space="0"/>
            </w:tcBorders>
            <w:vAlign w:val="center"/>
          </w:tcPr>
          <w:p w14:paraId="12A65F20">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107</w:t>
            </w:r>
          </w:p>
        </w:tc>
        <w:tc>
          <w:tcPr>
            <w:tcW w:w="1234" w:type="dxa"/>
            <w:tcBorders>
              <w:bottom w:val="single" w:color="auto" w:sz="8" w:space="0"/>
            </w:tcBorders>
            <w:vAlign w:val="center"/>
          </w:tcPr>
          <w:p w14:paraId="7A4D5249">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160</w:t>
            </w:r>
          </w:p>
        </w:tc>
        <w:tc>
          <w:tcPr>
            <w:tcW w:w="1056" w:type="dxa"/>
            <w:tcBorders>
              <w:bottom w:val="single" w:color="auto" w:sz="8" w:space="0"/>
            </w:tcBorders>
            <w:vAlign w:val="center"/>
          </w:tcPr>
          <w:p w14:paraId="450A35C6">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66.88</w:t>
            </w:r>
          </w:p>
        </w:tc>
        <w:tc>
          <w:tcPr>
            <w:tcW w:w="878" w:type="dxa"/>
            <w:tcBorders>
              <w:bottom w:val="single" w:color="auto" w:sz="8" w:space="0"/>
            </w:tcBorders>
            <w:vAlign w:val="center"/>
          </w:tcPr>
          <w:p w14:paraId="02D32402">
            <w:pPr>
              <w:pStyle w:val="195"/>
              <w:widowControl w:val="0"/>
              <w:spacing w:before="43" w:line="239" w:lineRule="auto"/>
              <w:ind w:right="48"/>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达标</w:t>
            </w:r>
          </w:p>
        </w:tc>
      </w:tr>
    </w:tbl>
    <w:p w14:paraId="5934955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lang w:val="en-GB"/>
        </w:rPr>
      </w:pPr>
      <w:r>
        <w:rPr>
          <w:rFonts w:ascii="Times New Roman" w:hAnsi="Times New Roman" w:eastAsia="宋体" w:cs="Times New Roman"/>
          <w:caps w:val="0"/>
          <w:smallCaps w:val="0"/>
          <w:color w:val="auto"/>
          <w:spacing w:val="0"/>
          <w:highlight w:val="none"/>
          <w:lang w:val="en-GB"/>
        </w:rPr>
        <w:t>由上表可知，</w:t>
      </w:r>
      <w:r>
        <w:rPr>
          <w:rFonts w:ascii="Times New Roman" w:hAnsi="Times New Roman" w:eastAsia="宋体" w:cs="Times New Roman"/>
          <w:caps w:val="0"/>
          <w:smallCaps w:val="0"/>
          <w:color w:val="auto"/>
          <w:spacing w:val="0"/>
          <w:highlight w:val="none"/>
        </w:rPr>
        <w:t>空气中基本污染物中SO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、NO</w:t>
      </w:r>
      <w:r>
        <w:rPr>
          <w:rFonts w:ascii="Times New Roman" w:hAnsi="Times New Roman" w:eastAsia="宋体" w:cs="Times New Roman"/>
          <w:caps w:val="0"/>
          <w:smallCaps w:val="0"/>
          <w:color w:val="auto"/>
          <w:spacing w:val="0"/>
          <w:highlight w:val="none"/>
          <w:vertAlign w:val="subscript"/>
        </w:rPr>
        <w:t>2</w:t>
      </w: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10</w:t>
      </w:r>
      <w:r>
        <w:rPr>
          <w:rFonts w:ascii="Times New Roman" w:hAnsi="Times New Roman" w:eastAsia="宋体" w:cs="Times New Roman"/>
          <w:caps w:val="0"/>
          <w:smallCaps w:val="0"/>
          <w:color w:val="auto"/>
          <w:spacing w:val="0"/>
          <w:highlight w:val="none"/>
        </w:rPr>
        <w:t>、PM</w:t>
      </w:r>
      <w:r>
        <w:rPr>
          <w:rFonts w:ascii="Times New Roman" w:hAnsi="Times New Roman" w:eastAsia="宋体" w:cs="Times New Roman"/>
          <w:caps w:val="0"/>
          <w:smallCaps w:val="0"/>
          <w:color w:val="auto"/>
          <w:spacing w:val="0"/>
          <w:highlight w:val="none"/>
          <w:vertAlign w:val="subscript"/>
        </w:rPr>
        <w:t>2.5</w:t>
      </w:r>
      <w:r>
        <w:rPr>
          <w:rFonts w:ascii="Times New Roman" w:hAnsi="Times New Roman" w:eastAsia="宋体" w:cs="Times New Roman"/>
          <w:caps w:val="0"/>
          <w:smallCaps w:val="0"/>
          <w:color w:val="auto"/>
          <w:spacing w:val="0"/>
          <w:highlight w:val="none"/>
          <w:lang w:val="en-GB"/>
        </w:rPr>
        <w:t>年平均质量浓度</w:t>
      </w:r>
      <w:r>
        <w:rPr>
          <w:rFonts w:ascii="Times New Roman" w:hAnsi="Times New Roman" w:eastAsia="宋体" w:cs="Times New Roman"/>
          <w:caps w:val="0"/>
          <w:smallCaps w:val="0"/>
          <w:color w:val="auto"/>
          <w:spacing w:val="0"/>
          <w:highlight w:val="none"/>
        </w:rPr>
        <w:t>及CO第95百分位数日平均浓度、O</w:t>
      </w:r>
      <w:r>
        <w:rPr>
          <w:rFonts w:ascii="Times New Roman" w:hAnsi="Times New Roman" w:eastAsia="宋体" w:cs="Times New Roman"/>
          <w:caps w:val="0"/>
          <w:smallCaps w:val="0"/>
          <w:color w:val="auto"/>
          <w:spacing w:val="0"/>
          <w:highlight w:val="none"/>
          <w:vertAlign w:val="subscript"/>
        </w:rPr>
        <w:t>3</w:t>
      </w:r>
      <w:r>
        <w:rPr>
          <w:rFonts w:ascii="Times New Roman" w:hAnsi="Times New Roman" w:eastAsia="宋体" w:cs="Times New Roman"/>
          <w:caps w:val="0"/>
          <w:smallCaps w:val="0"/>
          <w:color w:val="auto"/>
          <w:spacing w:val="0"/>
          <w:highlight w:val="none"/>
        </w:rPr>
        <w:t>第90百分位数8h平均质量浓度均满足</w:t>
      </w:r>
      <w:r>
        <w:rPr>
          <w:rFonts w:ascii="Times New Roman" w:hAnsi="Times New Roman" w:eastAsia="宋体" w:cs="Times New Roman"/>
          <w:caps w:val="0"/>
          <w:smallCaps w:val="0"/>
          <w:color w:val="auto"/>
          <w:spacing w:val="0"/>
          <w:highlight w:val="none"/>
          <w:lang w:val="en-GB"/>
        </w:rPr>
        <w:t>《环境空气质量标准》（GB3095-2012）及其修改单二级浓度限值。综上所述，本项目区域为环境空气质量达标区。</w:t>
      </w:r>
    </w:p>
    <w:p w14:paraId="12E38C3C">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4.4.2.2环境空气质量现状补充监测</w:t>
      </w:r>
    </w:p>
    <w:p w14:paraId="16B1919D">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（1）监测点位与监测项目</w:t>
      </w:r>
    </w:p>
    <w:p w14:paraId="68A2948C">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kern w:val="0"/>
          <w:szCs w:val="24"/>
          <w:highlight w:val="none"/>
        </w:rPr>
        <w:t>根据《环境影响评价技术导则大气环境》（HJ2.2-2018），</w:t>
      </w:r>
      <w:r>
        <w:rPr>
          <w:rFonts w:hint="eastAsia" w:ascii="Times New Roman" w:hAnsi="Times New Roman" w:eastAsia="宋体" w:cs="Times New Roman"/>
          <w:caps w:val="0"/>
          <w:smallCaps w:val="0"/>
          <w:color w:val="auto"/>
          <w:spacing w:val="0"/>
          <w:kern w:val="0"/>
          <w:szCs w:val="24"/>
          <w:highlight w:val="none"/>
          <w:lang w:val="en-US" w:eastAsia="zh-CN"/>
        </w:rPr>
        <w:t>本项目不设评价范围</w:t>
      </w:r>
      <w:r>
        <w:rPr>
          <w:rFonts w:ascii="Times New Roman" w:hAnsi="Times New Roman" w:eastAsia="宋体" w:cs="Times New Roman"/>
          <w:caps w:val="0"/>
          <w:smallCaps w:val="0"/>
          <w:color w:val="auto"/>
          <w:spacing w:val="0"/>
          <w:kern w:val="0"/>
          <w:szCs w:val="24"/>
          <w:highlight w:val="none"/>
        </w:rPr>
        <w:t>。按项目所在区域的常年主导风向，结合环境功能分区，在评价范围内共设2个监测点，为</w:t>
      </w:r>
      <w:r>
        <w:rPr>
          <w:rFonts w:hint="eastAsia" w:ascii="Times New Roman" w:hAnsi="Times New Roman" w:eastAsia="宋体" w:cs="Times New Roman"/>
          <w:caps w:val="0"/>
          <w:smallCaps w:val="0"/>
          <w:color w:val="auto"/>
          <w:spacing w:val="0"/>
          <w:kern w:val="0"/>
          <w:szCs w:val="24"/>
          <w:highlight w:val="none"/>
          <w:lang w:val="en-US" w:eastAsia="zh-CN"/>
        </w:rPr>
        <w:t>厂址北侧30m处</w:t>
      </w:r>
      <w:r>
        <w:rPr>
          <w:rFonts w:ascii="Times New Roman" w:hAnsi="Times New Roman" w:eastAsia="宋体" w:cs="Times New Roman"/>
          <w:caps w:val="0"/>
          <w:smallCaps w:val="0"/>
          <w:color w:val="auto"/>
          <w:spacing w:val="0"/>
          <w:kern w:val="0"/>
          <w:szCs w:val="24"/>
          <w:highlight w:val="none"/>
        </w:rPr>
        <w:t>和</w:t>
      </w:r>
      <w:r>
        <w:rPr>
          <w:rFonts w:hint="eastAsia" w:ascii="Times New Roman" w:hAnsi="Times New Roman" w:eastAsia="宋体" w:cs="Times New Roman"/>
          <w:caps w:val="0"/>
          <w:smallCaps w:val="0"/>
          <w:color w:val="auto"/>
          <w:spacing w:val="0"/>
          <w:kern w:val="0"/>
          <w:szCs w:val="24"/>
          <w:highlight w:val="none"/>
          <w:lang w:val="en-US" w:eastAsia="zh-CN"/>
        </w:rPr>
        <w:t>厂址</w:t>
      </w:r>
      <w:r>
        <w:rPr>
          <w:rFonts w:ascii="Times New Roman" w:hAnsi="Times New Roman" w:eastAsia="宋体" w:cs="Times New Roman"/>
          <w:caps w:val="0"/>
          <w:smallCaps w:val="0"/>
          <w:color w:val="auto"/>
          <w:spacing w:val="0"/>
          <w:kern w:val="0"/>
          <w:szCs w:val="24"/>
          <w:highlight w:val="none"/>
        </w:rPr>
        <w:t>下风向</w:t>
      </w:r>
      <w:r>
        <w:rPr>
          <w:rFonts w:hint="eastAsia" w:ascii="Times New Roman" w:hAnsi="Times New Roman" w:eastAsia="宋体" w:cs="Times New Roman"/>
          <w:caps w:val="0"/>
          <w:smallCaps w:val="0"/>
          <w:color w:val="auto"/>
          <w:spacing w:val="0"/>
          <w:kern w:val="0"/>
          <w:szCs w:val="24"/>
          <w:highlight w:val="none"/>
          <w:lang w:eastAsia="zh-CN"/>
        </w:rPr>
        <w:t>，</w:t>
      </w:r>
      <w:r>
        <w:rPr>
          <w:rFonts w:hint="eastAsia" w:ascii="Times New Roman" w:hAnsi="Times New Roman" w:eastAsia="宋体" w:cs="Times New Roman"/>
          <w:caps w:val="0"/>
          <w:smallCaps w:val="0"/>
          <w:color w:val="auto"/>
          <w:spacing w:val="0"/>
          <w:kern w:val="0"/>
          <w:szCs w:val="24"/>
          <w:highlight w:val="none"/>
          <w:lang w:val="en-US" w:eastAsia="zh-CN"/>
        </w:rPr>
        <w:t>其中镉及其化合物留作本底值</w:t>
      </w:r>
      <w:r>
        <w:rPr>
          <w:rFonts w:hint="eastAsia" w:ascii="Times New Roman" w:hAnsi="Times New Roman" w:eastAsia="宋体" w:cs="Times New Roman"/>
          <w:caps w:val="0"/>
          <w:smallCaps w:val="0"/>
          <w:color w:val="auto"/>
          <w:spacing w:val="0"/>
          <w:highlight w:val="none"/>
        </w:rPr>
        <w:t>。</w:t>
      </w:r>
    </w:p>
    <w:p w14:paraId="11A0BB7F">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rPr>
        <w:t>监测及分析方法按国家颁发的《环境空气质量标准》（GB3095-2012）和《环境监测技术规范》中的有关规定和要求进行。</w:t>
      </w:r>
    </w:p>
    <w:p w14:paraId="66383128">
      <w:pPr>
        <w:widowControl w:val="0"/>
        <w:jc w:val="center"/>
        <w:rPr>
          <w:rFonts w:ascii="Times New Roman" w:hAnsi="Times New Roman" w:eastAsia="宋体" w:cs="Times New Roman"/>
          <w:caps w:val="0"/>
          <w:smallCaps w:val="0"/>
          <w:color w:val="auto"/>
          <w:spacing w:val="0"/>
          <w:highlight w:val="none"/>
          <w:lang w:val="zh-CN"/>
        </w:rPr>
      </w:pPr>
      <w:r>
        <w:rPr>
          <w:rFonts w:ascii="Times New Roman" w:hAnsi="Times New Roman" w:eastAsia="宋体" w:cs="Times New Roman"/>
          <w:caps w:val="0"/>
          <w:smallCaps w:val="0"/>
          <w:color w:val="auto"/>
          <w:spacing w:val="0"/>
          <w:highlight w:val="none"/>
        </w:rPr>
        <w:drawing>
          <wp:anchor distT="0" distB="0" distL="114300" distR="114300" simplePos="0" relativeHeight="251667456" behindDoc="0" locked="0" layoutInCell="1" allowOverlap="1">
            <wp:simplePos x="0" y="0"/>
            <wp:positionH relativeFrom="column">
              <wp:posOffset>4966970</wp:posOffset>
            </wp:positionH>
            <wp:positionV relativeFrom="paragraph">
              <wp:posOffset>3119120</wp:posOffset>
            </wp:positionV>
            <wp:extent cx="114935" cy="144145"/>
            <wp:effectExtent l="0" t="0" r="18415" b="825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4"/>
                    <a:stretch>
                      <a:fillRect/>
                    </a:stretch>
                  </pic:blipFill>
                  <pic:spPr>
                    <a:xfrm>
                      <a:off x="0" y="0"/>
                      <a:ext cx="114935" cy="144145"/>
                    </a:xfrm>
                    <a:prstGeom prst="rect">
                      <a:avLst/>
                    </a:prstGeom>
                    <a:noFill/>
                    <a:ln>
                      <a:noFill/>
                    </a:ln>
                  </pic:spPr>
                </pic:pic>
              </a:graphicData>
            </a:graphic>
          </wp:anchor>
        </w:drawing>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66432" behindDoc="0" locked="0" layoutInCell="1" allowOverlap="1">
                <wp:simplePos x="0" y="0"/>
                <wp:positionH relativeFrom="column">
                  <wp:posOffset>4921250</wp:posOffset>
                </wp:positionH>
                <wp:positionV relativeFrom="paragraph">
                  <wp:posOffset>2945130</wp:posOffset>
                </wp:positionV>
                <wp:extent cx="210820" cy="84455"/>
                <wp:effectExtent l="12700" t="12700" r="24130" b="17145"/>
                <wp:wrapNone/>
                <wp:docPr id="15" name="矩形 15"/>
                <wp:cNvGraphicFramePr/>
                <a:graphic xmlns:a="http://schemas.openxmlformats.org/drawingml/2006/main">
                  <a:graphicData uri="http://schemas.microsoft.com/office/word/2010/wordprocessingShape">
                    <wps:wsp>
                      <wps:cNvSpPr/>
                      <wps:spPr>
                        <a:xfrm>
                          <a:off x="5781675" y="9074150"/>
                          <a:ext cx="210820" cy="8445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7.5pt;margin-top:231.9pt;height:6.65pt;width:16.6pt;z-index:251666432;v-text-anchor:middle;mso-width-relative:page;mso-height-relative:page;" filled="f" stroked="t" coordsize="21600,21600" o:gfxdata="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1baZXtoAAAALAQAADwAAAAAAAAABACAAAAAiAAAAZHJzL2Rvd25yZXYueG1s&#10;UEsBAhQAFAAAAAgAh07iQNlS/nFoAgAAwAQAAA4AAAAAAAAAAQAgAAAAKQEAAGRycy9lMm9Eb2Mu&#10;eG1sUEsFBgAAAAAGAAYAWQEAAAMGAAAAAA==&#10;">
                <v:fill on="f" focussize="0,0"/>
                <v:stroke weight="2pt" color="#FF0000 [2404]" joinstyle="round"/>
                <v:imagedata o:title=""/>
                <o:lock v:ext="edit" aspectratio="f"/>
              </v:rect>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65408" behindDoc="0" locked="0" layoutInCell="1" allowOverlap="1">
                <wp:simplePos x="0" y="0"/>
                <wp:positionH relativeFrom="column">
                  <wp:posOffset>4838700</wp:posOffset>
                </wp:positionH>
                <wp:positionV relativeFrom="paragraph">
                  <wp:posOffset>2724785</wp:posOffset>
                </wp:positionV>
                <wp:extent cx="886460" cy="608965"/>
                <wp:effectExtent l="5080" t="4445" r="22860" b="15240"/>
                <wp:wrapNone/>
                <wp:docPr id="14" name="文本框 14"/>
                <wp:cNvGraphicFramePr/>
                <a:graphic xmlns:a="http://schemas.openxmlformats.org/drawingml/2006/main">
                  <a:graphicData uri="http://schemas.microsoft.com/office/word/2010/wordprocessingShape">
                    <wps:wsp>
                      <wps:cNvSpPr txBox="1"/>
                      <wps:spPr>
                        <a:xfrm>
                          <a:off x="5775325" y="8838565"/>
                          <a:ext cx="886460" cy="6089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B8B1A1">
                            <w:pPr>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图例</w:t>
                            </w:r>
                          </w:p>
                          <w:p w14:paraId="2053D67F">
                            <w:pPr>
                              <w:pStyle w:val="13"/>
                              <w:spacing w:after="0" w:line="360" w:lineRule="auto"/>
                              <w:ind w:firstLine="360" w:firstLineChars="200"/>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项目边</w:t>
                            </w:r>
                            <w:r>
                              <w:rPr>
                                <w:rFonts w:ascii="Times New Roman" w:hAnsi="Times New Roman" w:cs="Times New Roman" w:eastAsiaTheme="minorEastAsia"/>
                                <w:sz w:val="18"/>
                                <w:szCs w:val="18"/>
                              </w:rPr>
                              <w:t>界</w:t>
                            </w:r>
                          </w:p>
                          <w:p w14:paraId="619AC4C4">
                            <w:pPr>
                              <w:spacing w:line="360" w:lineRule="auto"/>
                              <w:ind w:firstLine="360" w:firstLineChars="200"/>
                              <w:rPr>
                                <w:rFonts w:ascii="Times New Roman" w:hAnsi="Times New Roman" w:cs="Times New Roman" w:eastAsiaTheme="minorEastAsia"/>
                                <w:sz w:val="18"/>
                                <w:szCs w:val="18"/>
                              </w:rPr>
                            </w:pPr>
                            <w:r>
                              <w:rPr>
                                <w:rFonts w:ascii="Times New Roman" w:hAnsi="Times New Roman" w:cs="Times New Roman" w:eastAsiaTheme="minorEastAsia"/>
                                <w:sz w:val="18"/>
                                <w:szCs w:val="18"/>
                              </w:rPr>
                              <w:t>监测点</w:t>
                            </w:r>
                            <w:r>
                              <w:rPr>
                                <w:rFonts w:hint="eastAsia" w:ascii="Times New Roman" w:hAnsi="Times New Roman" w:cs="Times New Roman" w:eastAsiaTheme="minorEastAsia"/>
                                <w:sz w:val="18"/>
                                <w:szCs w:val="18"/>
                              </w:rPr>
                              <w:t>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pt;margin-top:214.55pt;height:47.95pt;width:69.8pt;z-index:251665408;mso-width-relative:page;mso-height-relative:page;" fillcolor="#FFFFFF [3201]" filled="t" stroked="t" coordsize="21600,21600" o:gfxdata="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0RalnYAAAACwEAAA8AAAAAAAAAAQAgAAAAIgAAAGRycy9kb3ducmV2LnhtbFBLAQIU&#10;ABQAAAAIAIdO4kBvpCGCZQIAAMQEAAAOAAAAAAAAAAEAIAAAACcBAABkcnMvZTJvRG9jLnhtbFBL&#10;BQYAAAAABgAGAFkBAAD+BQAAAAA=&#10;">
                <v:fill on="t" focussize="0,0"/>
                <v:stroke weight="0.5pt" color="#000000 [3204]" joinstyle="round"/>
                <v:imagedata o:title=""/>
                <o:lock v:ext="edit" aspectratio="f"/>
                <v:textbox>
                  <w:txbxContent>
                    <w:p w14:paraId="60B8B1A1">
                      <w:pPr>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图例</w:t>
                      </w:r>
                    </w:p>
                    <w:p w14:paraId="2053D67F">
                      <w:pPr>
                        <w:pStyle w:val="13"/>
                        <w:spacing w:after="0" w:line="360" w:lineRule="auto"/>
                        <w:ind w:firstLine="360" w:firstLineChars="200"/>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项目边</w:t>
                      </w:r>
                      <w:r>
                        <w:rPr>
                          <w:rFonts w:ascii="Times New Roman" w:hAnsi="Times New Roman" w:cs="Times New Roman" w:eastAsiaTheme="minorEastAsia"/>
                          <w:sz w:val="18"/>
                          <w:szCs w:val="18"/>
                        </w:rPr>
                        <w:t>界</w:t>
                      </w:r>
                    </w:p>
                    <w:p w14:paraId="619AC4C4">
                      <w:pPr>
                        <w:spacing w:line="360" w:lineRule="auto"/>
                        <w:ind w:firstLine="360" w:firstLineChars="200"/>
                        <w:rPr>
                          <w:rFonts w:ascii="Times New Roman" w:hAnsi="Times New Roman" w:cs="Times New Roman" w:eastAsiaTheme="minorEastAsia"/>
                          <w:sz w:val="18"/>
                          <w:szCs w:val="18"/>
                        </w:rPr>
                      </w:pPr>
                      <w:r>
                        <w:rPr>
                          <w:rFonts w:ascii="Times New Roman" w:hAnsi="Times New Roman" w:cs="Times New Roman" w:eastAsiaTheme="minorEastAsia"/>
                          <w:sz w:val="18"/>
                          <w:szCs w:val="18"/>
                        </w:rPr>
                        <w:t>监测点</w:t>
                      </w:r>
                      <w:r>
                        <w:rPr>
                          <w:rFonts w:hint="eastAsia" w:ascii="Times New Roman" w:hAnsi="Times New Roman" w:cs="Times New Roman" w:eastAsiaTheme="minorEastAsia"/>
                          <w:sz w:val="18"/>
                          <w:szCs w:val="18"/>
                        </w:rPr>
                        <w:t>位</w:t>
                      </w:r>
                    </w:p>
                  </w:txbxContent>
                </v:textbox>
              </v:shape>
            </w:pict>
          </mc:Fallback>
        </mc:AlternateContent>
      </w:r>
      <w:r>
        <w:rPr>
          <w:rFonts w:eastAsia="仿宋_GB2312"/>
          <w:color w:val="auto"/>
          <w:highlight w:val="none"/>
        </w:rPr>
        <w:drawing>
          <wp:anchor distT="0" distB="0" distL="114300" distR="114300" simplePos="0" relativeHeight="251700224" behindDoc="0" locked="0" layoutInCell="1" allowOverlap="1">
            <wp:simplePos x="0" y="0"/>
            <wp:positionH relativeFrom="column">
              <wp:posOffset>5121910</wp:posOffset>
            </wp:positionH>
            <wp:positionV relativeFrom="paragraph">
              <wp:posOffset>2540</wp:posOffset>
            </wp:positionV>
            <wp:extent cx="621665" cy="647065"/>
            <wp:effectExtent l="0" t="0" r="6985" b="635"/>
            <wp:wrapNone/>
            <wp:docPr id="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21665" cy="647065"/>
                    </a:xfrm>
                    <a:prstGeom prst="rect">
                      <a:avLst/>
                    </a:prstGeom>
                    <a:noFill/>
                    <a:ln>
                      <a:noFill/>
                    </a:ln>
                  </pic:spPr>
                </pic:pic>
              </a:graphicData>
            </a:graphic>
          </wp:anchor>
        </w:drawing>
      </w:r>
      <w:r>
        <w:rPr>
          <w:color w:val="auto"/>
          <w:highlight w:val="none"/>
        </w:rPr>
        <w:drawing>
          <wp:inline distT="0" distB="0" distL="114300" distR="114300">
            <wp:extent cx="5758180" cy="3353435"/>
            <wp:effectExtent l="0" t="0" r="13970" b="18415"/>
            <wp:docPr id="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pic:cNvPicPr>
                      <a:picLocks noChangeAspect="1"/>
                    </pic:cNvPicPr>
                  </pic:nvPicPr>
                  <pic:blipFill>
                    <a:blip r:embed="rId65"/>
                    <a:stretch>
                      <a:fillRect/>
                    </a:stretch>
                  </pic:blipFill>
                  <pic:spPr>
                    <a:xfrm>
                      <a:off x="0" y="0"/>
                      <a:ext cx="5758180" cy="3353435"/>
                    </a:xfrm>
                    <a:prstGeom prst="rect">
                      <a:avLst/>
                    </a:prstGeom>
                    <a:noFill/>
                    <a:ln>
                      <a:noFill/>
                    </a:ln>
                  </pic:spPr>
                </pic:pic>
              </a:graphicData>
            </a:graphic>
          </wp:inline>
        </w:drawing>
      </w:r>
    </w:p>
    <w:p w14:paraId="11323382">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图4.4-1监测点位示意图</w:t>
      </w:r>
    </w:p>
    <w:p w14:paraId="631580E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kern w:val="0"/>
          <w:szCs w:val="24"/>
          <w:highlight w:val="none"/>
        </w:rPr>
        <w:t>（2）监测时间和频次</w:t>
      </w:r>
    </w:p>
    <w:p w14:paraId="39AEBD08">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kern w:val="0"/>
          <w:szCs w:val="24"/>
          <w:highlight w:val="none"/>
        </w:rPr>
        <w:t>采样方法按《环境监测技术规范》（大气部分）执行，分析方法按《环境空气质量标准》（GB3095-2012）及其修改单（2018年）中的要求进行</w:t>
      </w:r>
      <w:r>
        <w:rPr>
          <w:rFonts w:ascii="Times New Roman" w:hAnsi="Times New Roman" w:eastAsia="宋体" w:cs="Times New Roman"/>
          <w:caps w:val="0"/>
          <w:smallCaps w:val="0"/>
          <w:color w:val="auto"/>
          <w:spacing w:val="0"/>
          <w:kern w:val="0"/>
          <w:szCs w:val="24"/>
          <w:highlight w:val="none"/>
        </w:rPr>
        <w:t>。常规监测连续采样7天，</w:t>
      </w:r>
      <w:r>
        <w:rPr>
          <w:rFonts w:ascii="Times New Roman" w:hAnsi="Times New Roman" w:eastAsia="宋体" w:cs="Times New Roman"/>
          <w:caps w:val="0"/>
          <w:smallCaps w:val="0"/>
          <w:color w:val="auto"/>
          <w:spacing w:val="0"/>
          <w:kern w:val="0"/>
          <w:szCs w:val="24"/>
          <w:highlight w:val="none"/>
        </w:rPr>
        <w:t>监测时间及监测频率见表4.4-2。监测期间同步进行地面风向、风速、气温等气象要素观测。</w:t>
      </w:r>
    </w:p>
    <w:p w14:paraId="5F617159">
      <w:pPr>
        <w:widowControl w:val="0"/>
        <w:jc w:val="center"/>
        <w:rPr>
          <w:rFonts w:ascii="Times New Roman" w:hAnsi="Times New Roman" w:eastAsia="宋体" w:cs="Times New Roman"/>
          <w:b/>
          <w:caps w:val="0"/>
          <w:smallCaps w:val="0"/>
          <w:color w:val="auto"/>
          <w:spacing w:val="0"/>
          <w:highlight w:val="none"/>
        </w:rPr>
      </w:pPr>
      <w:bookmarkStart w:id="135" w:name="_Ref488155555"/>
      <w:r>
        <w:rPr>
          <w:rFonts w:ascii="Times New Roman" w:hAnsi="Times New Roman" w:eastAsia="宋体" w:cs="Times New Roman"/>
          <w:b/>
          <w:caps w:val="0"/>
          <w:smallCaps w:val="0"/>
          <w:color w:val="auto"/>
          <w:spacing w:val="0"/>
          <w:highlight w:val="none"/>
        </w:rPr>
        <w:t>表</w:t>
      </w:r>
      <w:bookmarkEnd w:id="135"/>
      <w:r>
        <w:rPr>
          <w:rFonts w:ascii="Times New Roman" w:hAnsi="Times New Roman" w:eastAsia="宋体" w:cs="Times New Roman"/>
          <w:b/>
          <w:caps w:val="0"/>
          <w:smallCaps w:val="0"/>
          <w:color w:val="auto"/>
          <w:spacing w:val="0"/>
          <w:highlight w:val="none"/>
        </w:rPr>
        <w:t>4.4-2补充监测点位基本信息</w:t>
      </w:r>
    </w:p>
    <w:tbl>
      <w:tblPr>
        <w:tblStyle w:val="3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083"/>
        <w:gridCol w:w="2799"/>
        <w:gridCol w:w="1887"/>
        <w:gridCol w:w="1008"/>
        <w:gridCol w:w="1117"/>
      </w:tblGrid>
      <w:tr w14:paraId="63093B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87" w:type="dxa"/>
            <w:tcBorders>
              <w:tl2br w:val="nil"/>
              <w:tr2bl w:val="nil"/>
            </w:tcBorders>
            <w:vAlign w:val="center"/>
          </w:tcPr>
          <w:p w14:paraId="3CC7D438">
            <w:pPr>
              <w:widowControl w:val="0"/>
              <w:jc w:val="center"/>
              <w:rPr>
                <w:rFonts w:ascii="Times New Roman" w:hAnsi="Times New Roman" w:eastAsia="宋体" w:cs="Times New Roman"/>
                <w:b/>
                <w:bCs/>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名称</w:t>
            </w:r>
          </w:p>
        </w:tc>
        <w:tc>
          <w:tcPr>
            <w:tcW w:w="1083" w:type="dxa"/>
            <w:tcBorders>
              <w:tl2br w:val="nil"/>
              <w:tr2bl w:val="nil"/>
            </w:tcBorders>
            <w:vAlign w:val="center"/>
          </w:tcPr>
          <w:p w14:paraId="22C95784">
            <w:pPr>
              <w:widowControl w:val="0"/>
              <w:jc w:val="center"/>
              <w:rPr>
                <w:rFonts w:ascii="Times New Roman" w:hAnsi="Times New Roman" w:eastAsia="宋体" w:cs="Times New Roman"/>
                <w:b/>
                <w:bCs/>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坐标</w:t>
            </w:r>
          </w:p>
        </w:tc>
        <w:tc>
          <w:tcPr>
            <w:tcW w:w="2799" w:type="dxa"/>
            <w:tcBorders>
              <w:tl2br w:val="nil"/>
              <w:tr2bl w:val="nil"/>
            </w:tcBorders>
            <w:vAlign w:val="center"/>
          </w:tcPr>
          <w:p w14:paraId="206EFA7D">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kern w:val="0"/>
                <w:sz w:val="21"/>
                <w:highlight w:val="none"/>
              </w:rPr>
              <w:t>监测因子</w:t>
            </w:r>
          </w:p>
        </w:tc>
        <w:tc>
          <w:tcPr>
            <w:tcW w:w="1887" w:type="dxa"/>
            <w:tcBorders>
              <w:tl2br w:val="nil"/>
              <w:tr2bl w:val="nil"/>
            </w:tcBorders>
            <w:vAlign w:val="center"/>
          </w:tcPr>
          <w:p w14:paraId="2911E8D8">
            <w:pPr>
              <w:widowControl w:val="0"/>
              <w:jc w:val="center"/>
              <w:rPr>
                <w:rFonts w:ascii="Times New Roman" w:hAnsi="Times New Roman" w:eastAsia="宋体" w:cs="Times New Roman"/>
                <w:bCs/>
                <w:caps w:val="0"/>
                <w:smallCaps w:val="0"/>
                <w:color w:val="auto"/>
                <w:spacing w:val="0"/>
                <w:kern w:val="0"/>
                <w:sz w:val="21"/>
                <w:highlight w:val="none"/>
              </w:rPr>
            </w:pPr>
            <w:r>
              <w:rPr>
                <w:rFonts w:ascii="Times New Roman" w:hAnsi="Times New Roman" w:eastAsia="宋体" w:cs="Times New Roman"/>
                <w:b/>
                <w:bCs/>
                <w:caps w:val="0"/>
                <w:smallCaps w:val="0"/>
                <w:color w:val="auto"/>
                <w:spacing w:val="0"/>
                <w:kern w:val="0"/>
                <w:sz w:val="21"/>
                <w:highlight w:val="none"/>
              </w:rPr>
              <w:t>监测时段</w:t>
            </w:r>
          </w:p>
        </w:tc>
        <w:tc>
          <w:tcPr>
            <w:tcW w:w="1008" w:type="dxa"/>
            <w:tcBorders>
              <w:tl2br w:val="nil"/>
              <w:tr2bl w:val="nil"/>
            </w:tcBorders>
            <w:vAlign w:val="center"/>
          </w:tcPr>
          <w:p w14:paraId="7C667303">
            <w:pPr>
              <w:widowControl w:val="0"/>
              <w:jc w:val="center"/>
              <w:rPr>
                <w:rFonts w:ascii="Times New Roman" w:hAnsi="Times New Roman" w:eastAsia="宋体" w:cs="Times New Roman"/>
                <w:b/>
                <w:bCs/>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相对厂址方位</w:t>
            </w:r>
          </w:p>
        </w:tc>
        <w:tc>
          <w:tcPr>
            <w:tcW w:w="1117" w:type="dxa"/>
            <w:tcBorders>
              <w:tl2br w:val="nil"/>
              <w:tr2bl w:val="nil"/>
            </w:tcBorders>
            <w:vAlign w:val="center"/>
          </w:tcPr>
          <w:p w14:paraId="3F7096DF">
            <w:pPr>
              <w:widowControl w:val="0"/>
              <w:jc w:val="center"/>
              <w:rPr>
                <w:rFonts w:ascii="Times New Roman" w:hAnsi="Times New Roman" w:eastAsia="宋体" w:cs="Times New Roman"/>
                <w:b/>
                <w:bCs/>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相对厂界距离/m</w:t>
            </w:r>
          </w:p>
        </w:tc>
      </w:tr>
      <w:tr w14:paraId="6B795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87" w:type="dxa"/>
            <w:vMerge w:val="restart"/>
            <w:tcBorders>
              <w:tl2br w:val="nil"/>
              <w:tr2bl w:val="nil"/>
            </w:tcBorders>
            <w:vAlign w:val="center"/>
          </w:tcPr>
          <w:p w14:paraId="2A543700">
            <w:pPr>
              <w:widowControl w:val="0"/>
              <w:jc w:val="center"/>
              <w:rPr>
                <w:rFonts w:ascii="Times New Roman" w:hAnsi="Times New Roman" w:eastAsia="宋体" w:cs="Times New Roman"/>
                <w:caps w:val="0"/>
                <w:smallCaps w:val="0"/>
                <w:color w:val="auto"/>
                <w:spacing w:val="0"/>
                <w:kern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rPr>
              <w:t>厂址北侧30m</w:t>
            </w:r>
            <w:r>
              <w:rPr>
                <w:rFonts w:ascii="Times New Roman" w:hAnsi="Times New Roman" w:eastAsia="宋体" w:cs="Times New Roman"/>
                <w:caps w:val="0"/>
                <w:smallCaps w:val="0"/>
                <w:color w:val="auto"/>
                <w:spacing w:val="0"/>
                <w:kern w:val="0"/>
                <w:sz w:val="21"/>
                <w:highlight w:val="none"/>
              </w:rPr>
              <w:t>处</w:t>
            </w:r>
          </w:p>
        </w:tc>
        <w:tc>
          <w:tcPr>
            <w:tcW w:w="1083" w:type="dxa"/>
            <w:vMerge w:val="restart"/>
            <w:tcBorders>
              <w:tl2br w:val="nil"/>
              <w:tr2bl w:val="nil"/>
            </w:tcBorders>
            <w:vAlign w:val="center"/>
          </w:tcPr>
          <w:p w14:paraId="6FA609F4">
            <w:pPr>
              <w:widowControl w:val="0"/>
              <w:jc w:val="both"/>
              <w:rPr>
                <w:rFonts w:hint="eastAsia" w:ascii="Times New Roman" w:hAnsi="Times New Roman" w:eastAsia="宋体" w:cs="Times New Roman"/>
                <w:caps w:val="0"/>
                <w:smallCaps w:val="0"/>
                <w:color w:val="auto"/>
                <w:spacing w:val="0"/>
                <w:kern w:val="0"/>
                <w:sz w:val="21"/>
                <w:highlight w:val="none"/>
              </w:rPr>
            </w:pPr>
            <w:r>
              <w:rPr>
                <w:rFonts w:hint="eastAsia" w:ascii="Times New Roman" w:hAnsi="Times New Roman" w:eastAsia="宋体" w:cs="Times New Roman"/>
                <w:caps w:val="0"/>
                <w:smallCaps w:val="0"/>
                <w:color w:val="auto"/>
                <w:spacing w:val="0"/>
                <w:kern w:val="0"/>
                <w:sz w:val="21"/>
                <w:highlight w:val="none"/>
              </w:rPr>
              <w:t>130.46813662</w:t>
            </w:r>
          </w:p>
          <w:p w14:paraId="3B062555">
            <w:pPr>
              <w:widowControl w:val="0"/>
              <w:jc w:val="both"/>
              <w:rPr>
                <w:rFonts w:ascii="Times New Roman" w:hAnsi="Times New Roman" w:eastAsia="宋体" w:cs="Times New Roman"/>
                <w:caps w:val="0"/>
                <w:smallCaps w:val="0"/>
                <w:color w:val="auto"/>
                <w:spacing w:val="0"/>
                <w:kern w:val="0"/>
                <w:sz w:val="21"/>
                <w:highlight w:val="none"/>
              </w:rPr>
            </w:pPr>
            <w:r>
              <w:rPr>
                <w:rFonts w:hint="eastAsia" w:ascii="Times New Roman" w:hAnsi="Times New Roman" w:eastAsia="宋体" w:cs="Times New Roman"/>
                <w:caps w:val="0"/>
                <w:smallCaps w:val="0"/>
                <w:color w:val="auto"/>
                <w:spacing w:val="0"/>
                <w:kern w:val="0"/>
                <w:sz w:val="21"/>
                <w:highlight w:val="none"/>
              </w:rPr>
              <w:t>46.81851170</w:t>
            </w:r>
          </w:p>
        </w:tc>
        <w:tc>
          <w:tcPr>
            <w:tcW w:w="2799" w:type="dxa"/>
            <w:tcBorders>
              <w:tl2br w:val="nil"/>
              <w:tr2bl w:val="nil"/>
            </w:tcBorders>
            <w:vAlign w:val="center"/>
          </w:tcPr>
          <w:p w14:paraId="3E03F71E">
            <w:pPr>
              <w:widowControl w:val="0"/>
              <w:ind w:firstLine="210"/>
              <w:jc w:val="center"/>
              <w:rPr>
                <w:rFonts w:ascii="Times New Roman" w:hAnsi="Times New Roman" w:eastAsia="宋体" w:cs="Times New Roman"/>
                <w:bCs/>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氮氧化物</w:t>
            </w:r>
          </w:p>
        </w:tc>
        <w:tc>
          <w:tcPr>
            <w:tcW w:w="1887" w:type="dxa"/>
            <w:vMerge w:val="restart"/>
            <w:tcBorders>
              <w:tl2br w:val="nil"/>
              <w:tr2bl w:val="nil"/>
            </w:tcBorders>
            <w:vAlign w:val="center"/>
          </w:tcPr>
          <w:p w14:paraId="40BA4F7B">
            <w:pPr>
              <w:widowControl w:val="0"/>
              <w:jc w:val="center"/>
              <w:rPr>
                <w:rFonts w:ascii="Times New Roman" w:hAnsi="Times New Roman" w:eastAsia="宋体" w:cs="Times New Roman"/>
                <w:bCs/>
                <w:caps w:val="0"/>
                <w:smallCaps w:val="0"/>
                <w:color w:val="auto"/>
                <w:spacing w:val="0"/>
                <w:kern w:val="0"/>
                <w:sz w:val="21"/>
                <w:highlight w:val="none"/>
              </w:rPr>
            </w:pPr>
            <w:r>
              <w:rPr>
                <w:rFonts w:ascii="Times New Roman" w:hAnsi="Times New Roman" w:eastAsia="宋体" w:cs="Times New Roman"/>
                <w:bCs/>
                <w:caps w:val="0"/>
                <w:smallCaps w:val="0"/>
                <w:color w:val="auto"/>
                <w:spacing w:val="0"/>
                <w:kern w:val="0"/>
                <w:sz w:val="21"/>
                <w:highlight w:val="none"/>
              </w:rPr>
              <w:t>2025年7月14日-2025年7月20日，</w:t>
            </w:r>
            <w:r>
              <w:rPr>
                <w:rFonts w:hint="eastAsia" w:ascii="Times New Roman" w:hAnsi="Times New Roman" w:eastAsia="宋体" w:cs="Times New Roman"/>
                <w:bCs/>
                <w:caps w:val="0"/>
                <w:smallCaps w:val="0"/>
                <w:color w:val="auto"/>
                <w:spacing w:val="0"/>
                <w:kern w:val="0"/>
                <w:sz w:val="21"/>
                <w:highlight w:val="none"/>
                <w:lang w:val="en-US" w:eastAsia="zh-CN"/>
              </w:rPr>
              <w:t>2026年1月31日-2026年2月6日，</w:t>
            </w:r>
            <w:r>
              <w:rPr>
                <w:rFonts w:ascii="Times New Roman" w:hAnsi="Times New Roman" w:eastAsia="宋体" w:cs="Times New Roman"/>
                <w:bCs/>
                <w:caps w:val="0"/>
                <w:smallCaps w:val="0"/>
                <w:color w:val="auto"/>
                <w:spacing w:val="0"/>
                <w:kern w:val="0"/>
                <w:sz w:val="21"/>
                <w:highlight w:val="none"/>
              </w:rPr>
              <w:t>连续监测7天</w:t>
            </w:r>
          </w:p>
        </w:tc>
        <w:tc>
          <w:tcPr>
            <w:tcW w:w="1008" w:type="dxa"/>
            <w:vMerge w:val="restart"/>
            <w:tcBorders>
              <w:tl2br w:val="nil"/>
              <w:tr2bl w:val="nil"/>
            </w:tcBorders>
            <w:vAlign w:val="center"/>
          </w:tcPr>
          <w:p w14:paraId="7895BB9E">
            <w:pPr>
              <w:widowControl w:val="0"/>
              <w:jc w:val="center"/>
              <w:rPr>
                <w:rFonts w:hint="eastAsia" w:ascii="Times New Roman" w:hAnsi="Times New Roman" w:eastAsia="宋体" w:cs="Times New Roman"/>
                <w:bCs/>
                <w:caps w:val="0"/>
                <w:smallCaps w:val="0"/>
                <w:color w:val="auto"/>
                <w:spacing w:val="0"/>
                <w:kern w:val="0"/>
                <w:sz w:val="21"/>
                <w:highlight w:val="none"/>
                <w:lang w:eastAsia="zh-CN"/>
              </w:rPr>
            </w:pPr>
            <w:r>
              <w:rPr>
                <w:rFonts w:hint="eastAsia" w:ascii="Times New Roman" w:hAnsi="Times New Roman" w:eastAsia="宋体" w:cs="Times New Roman"/>
                <w:bCs/>
                <w:caps w:val="0"/>
                <w:smallCaps w:val="0"/>
                <w:color w:val="auto"/>
                <w:spacing w:val="0"/>
                <w:kern w:val="0"/>
                <w:sz w:val="21"/>
                <w:highlight w:val="none"/>
                <w:lang w:val="en-US" w:eastAsia="zh-CN"/>
              </w:rPr>
              <w:t>N</w:t>
            </w:r>
          </w:p>
        </w:tc>
        <w:tc>
          <w:tcPr>
            <w:tcW w:w="1117" w:type="dxa"/>
            <w:vMerge w:val="restart"/>
            <w:tcBorders>
              <w:tl2br w:val="nil"/>
              <w:tr2bl w:val="nil"/>
            </w:tcBorders>
            <w:vAlign w:val="center"/>
          </w:tcPr>
          <w:p w14:paraId="43AD3EB5">
            <w:pPr>
              <w:widowControl w:val="0"/>
              <w:jc w:val="center"/>
              <w:rPr>
                <w:rFonts w:hint="default" w:ascii="Times New Roman" w:hAnsi="Times New Roman" w:eastAsia="宋体" w:cs="Times New Roman"/>
                <w:bCs/>
                <w:caps w:val="0"/>
                <w:smallCaps w:val="0"/>
                <w:color w:val="auto"/>
                <w:spacing w:val="0"/>
                <w:kern w:val="0"/>
                <w:sz w:val="21"/>
                <w:highlight w:val="none"/>
                <w:lang w:val="en-US" w:eastAsia="zh-CN"/>
              </w:rPr>
            </w:pPr>
            <w:r>
              <w:rPr>
                <w:rFonts w:hint="eastAsia" w:ascii="Times New Roman" w:hAnsi="Times New Roman" w:eastAsia="宋体" w:cs="Times New Roman"/>
                <w:bCs/>
                <w:caps w:val="0"/>
                <w:smallCaps w:val="0"/>
                <w:color w:val="auto"/>
                <w:spacing w:val="0"/>
                <w:kern w:val="0"/>
                <w:sz w:val="21"/>
                <w:highlight w:val="none"/>
                <w:lang w:val="en-US" w:eastAsia="zh-CN"/>
              </w:rPr>
              <w:t>30</w:t>
            </w:r>
          </w:p>
        </w:tc>
      </w:tr>
      <w:tr w14:paraId="0BB076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87" w:type="dxa"/>
            <w:vMerge w:val="continue"/>
            <w:tcBorders>
              <w:tl2br w:val="nil"/>
              <w:tr2bl w:val="nil"/>
            </w:tcBorders>
            <w:vAlign w:val="center"/>
          </w:tcPr>
          <w:p w14:paraId="1DE23570">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1083" w:type="dxa"/>
            <w:vMerge w:val="continue"/>
            <w:tcBorders>
              <w:tl2br w:val="nil"/>
              <w:tr2bl w:val="nil"/>
            </w:tcBorders>
            <w:vAlign w:val="center"/>
          </w:tcPr>
          <w:p w14:paraId="544D0D74">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2799" w:type="dxa"/>
            <w:tcBorders>
              <w:tl2br w:val="nil"/>
              <w:tr2bl w:val="nil"/>
            </w:tcBorders>
            <w:vAlign w:val="center"/>
          </w:tcPr>
          <w:p w14:paraId="03DB7ADC">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非甲烷总烃</w:t>
            </w:r>
          </w:p>
        </w:tc>
        <w:tc>
          <w:tcPr>
            <w:tcW w:w="1887" w:type="dxa"/>
            <w:vMerge w:val="continue"/>
            <w:tcBorders>
              <w:tl2br w:val="nil"/>
              <w:tr2bl w:val="nil"/>
            </w:tcBorders>
            <w:vAlign w:val="center"/>
          </w:tcPr>
          <w:p w14:paraId="3D20FCF5">
            <w:pPr>
              <w:widowControl w:val="0"/>
              <w:jc w:val="center"/>
              <w:rPr>
                <w:rFonts w:ascii="Times New Roman" w:hAnsi="Times New Roman" w:eastAsia="宋体" w:cs="Times New Roman"/>
                <w:caps w:val="0"/>
                <w:smallCaps w:val="0"/>
                <w:color w:val="auto"/>
                <w:spacing w:val="0"/>
                <w:kern w:val="0"/>
                <w:sz w:val="21"/>
                <w:highlight w:val="none"/>
              </w:rPr>
            </w:pPr>
          </w:p>
        </w:tc>
        <w:tc>
          <w:tcPr>
            <w:tcW w:w="1008" w:type="dxa"/>
            <w:vMerge w:val="continue"/>
            <w:tcBorders>
              <w:tl2br w:val="nil"/>
              <w:tr2bl w:val="nil"/>
            </w:tcBorders>
            <w:vAlign w:val="center"/>
          </w:tcPr>
          <w:p w14:paraId="3A7001A0">
            <w:pPr>
              <w:widowControl w:val="0"/>
              <w:ind w:firstLine="210"/>
              <w:jc w:val="center"/>
              <w:rPr>
                <w:rFonts w:ascii="Times New Roman" w:hAnsi="Times New Roman" w:eastAsia="宋体" w:cs="Times New Roman"/>
                <w:bCs/>
                <w:caps w:val="0"/>
                <w:smallCaps w:val="0"/>
                <w:color w:val="auto"/>
                <w:spacing w:val="0"/>
                <w:kern w:val="0"/>
                <w:sz w:val="21"/>
                <w:highlight w:val="none"/>
              </w:rPr>
            </w:pPr>
          </w:p>
        </w:tc>
        <w:tc>
          <w:tcPr>
            <w:tcW w:w="1117" w:type="dxa"/>
            <w:vMerge w:val="continue"/>
            <w:tcBorders>
              <w:tl2br w:val="nil"/>
              <w:tr2bl w:val="nil"/>
            </w:tcBorders>
            <w:vAlign w:val="center"/>
          </w:tcPr>
          <w:p w14:paraId="7158C5E0">
            <w:pPr>
              <w:widowControl w:val="0"/>
              <w:ind w:firstLine="210"/>
              <w:jc w:val="center"/>
              <w:rPr>
                <w:rFonts w:ascii="Times New Roman" w:hAnsi="Times New Roman" w:eastAsia="宋体" w:cs="Times New Roman"/>
                <w:bCs/>
                <w:caps w:val="0"/>
                <w:smallCaps w:val="0"/>
                <w:color w:val="auto"/>
                <w:spacing w:val="0"/>
                <w:kern w:val="0"/>
                <w:sz w:val="21"/>
                <w:highlight w:val="none"/>
              </w:rPr>
            </w:pPr>
          </w:p>
        </w:tc>
      </w:tr>
      <w:tr w14:paraId="197A6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87" w:type="dxa"/>
            <w:vMerge w:val="continue"/>
            <w:tcBorders>
              <w:tl2br w:val="nil"/>
              <w:tr2bl w:val="nil"/>
            </w:tcBorders>
            <w:vAlign w:val="center"/>
          </w:tcPr>
          <w:p w14:paraId="32FF9B7C">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1083" w:type="dxa"/>
            <w:vMerge w:val="continue"/>
            <w:tcBorders>
              <w:tl2br w:val="nil"/>
              <w:tr2bl w:val="nil"/>
            </w:tcBorders>
            <w:vAlign w:val="center"/>
          </w:tcPr>
          <w:p w14:paraId="5BF9AE66">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2799" w:type="dxa"/>
            <w:tcBorders>
              <w:tl2br w:val="nil"/>
              <w:tr2bl w:val="nil"/>
            </w:tcBorders>
            <w:vAlign w:val="center"/>
          </w:tcPr>
          <w:p w14:paraId="77143892">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镉及其化合物</w:t>
            </w:r>
          </w:p>
        </w:tc>
        <w:tc>
          <w:tcPr>
            <w:tcW w:w="1887" w:type="dxa"/>
            <w:vMerge w:val="continue"/>
            <w:tcBorders>
              <w:tl2br w:val="nil"/>
              <w:tr2bl w:val="nil"/>
            </w:tcBorders>
            <w:vAlign w:val="center"/>
          </w:tcPr>
          <w:p w14:paraId="5221BBCB">
            <w:pPr>
              <w:widowControl w:val="0"/>
              <w:jc w:val="center"/>
              <w:rPr>
                <w:rFonts w:ascii="Times New Roman" w:hAnsi="Times New Roman" w:eastAsia="宋体" w:cs="Times New Roman"/>
                <w:bCs/>
                <w:caps w:val="0"/>
                <w:smallCaps w:val="0"/>
                <w:color w:val="auto"/>
                <w:spacing w:val="0"/>
                <w:kern w:val="0"/>
                <w:sz w:val="21"/>
                <w:highlight w:val="none"/>
              </w:rPr>
            </w:pPr>
          </w:p>
        </w:tc>
        <w:tc>
          <w:tcPr>
            <w:tcW w:w="1008" w:type="dxa"/>
            <w:vMerge w:val="continue"/>
            <w:tcBorders>
              <w:tl2br w:val="nil"/>
              <w:tr2bl w:val="nil"/>
            </w:tcBorders>
            <w:vAlign w:val="center"/>
          </w:tcPr>
          <w:p w14:paraId="00EE444A">
            <w:pPr>
              <w:widowControl w:val="0"/>
              <w:ind w:firstLine="210"/>
              <w:jc w:val="center"/>
              <w:rPr>
                <w:rFonts w:ascii="Times New Roman" w:hAnsi="Times New Roman" w:eastAsia="宋体" w:cs="Times New Roman"/>
                <w:bCs/>
                <w:caps w:val="0"/>
                <w:smallCaps w:val="0"/>
                <w:color w:val="auto"/>
                <w:spacing w:val="0"/>
                <w:kern w:val="0"/>
                <w:sz w:val="21"/>
                <w:highlight w:val="none"/>
              </w:rPr>
            </w:pPr>
          </w:p>
        </w:tc>
        <w:tc>
          <w:tcPr>
            <w:tcW w:w="1117" w:type="dxa"/>
            <w:vMerge w:val="continue"/>
            <w:tcBorders>
              <w:tl2br w:val="nil"/>
              <w:tr2bl w:val="nil"/>
            </w:tcBorders>
            <w:vAlign w:val="center"/>
          </w:tcPr>
          <w:p w14:paraId="77F789B3">
            <w:pPr>
              <w:widowControl w:val="0"/>
              <w:ind w:firstLine="210"/>
              <w:jc w:val="center"/>
              <w:rPr>
                <w:rFonts w:ascii="Times New Roman" w:hAnsi="Times New Roman" w:eastAsia="宋体" w:cs="Times New Roman"/>
                <w:bCs/>
                <w:caps w:val="0"/>
                <w:smallCaps w:val="0"/>
                <w:color w:val="auto"/>
                <w:spacing w:val="0"/>
                <w:kern w:val="0"/>
                <w:sz w:val="21"/>
                <w:highlight w:val="none"/>
              </w:rPr>
            </w:pPr>
          </w:p>
        </w:tc>
      </w:tr>
      <w:tr w14:paraId="3A219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87" w:type="dxa"/>
            <w:vMerge w:val="continue"/>
            <w:tcBorders>
              <w:tl2br w:val="nil"/>
              <w:tr2bl w:val="nil"/>
            </w:tcBorders>
            <w:vAlign w:val="center"/>
          </w:tcPr>
          <w:p w14:paraId="3AE9F17A">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1083" w:type="dxa"/>
            <w:vMerge w:val="continue"/>
            <w:tcBorders>
              <w:tl2br w:val="nil"/>
              <w:tr2bl w:val="nil"/>
            </w:tcBorders>
            <w:vAlign w:val="center"/>
          </w:tcPr>
          <w:p w14:paraId="0D0410D6">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2799" w:type="dxa"/>
            <w:tcBorders>
              <w:tl2br w:val="nil"/>
              <w:tr2bl w:val="nil"/>
            </w:tcBorders>
            <w:vAlign w:val="center"/>
          </w:tcPr>
          <w:p w14:paraId="5611B24F">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氯化氢</w:t>
            </w:r>
          </w:p>
        </w:tc>
        <w:tc>
          <w:tcPr>
            <w:tcW w:w="1887" w:type="dxa"/>
            <w:vMerge w:val="continue"/>
            <w:tcBorders>
              <w:tl2br w:val="nil"/>
              <w:tr2bl w:val="nil"/>
            </w:tcBorders>
            <w:vAlign w:val="center"/>
          </w:tcPr>
          <w:p w14:paraId="1678ADE0">
            <w:pPr>
              <w:widowControl w:val="0"/>
              <w:jc w:val="center"/>
              <w:rPr>
                <w:rFonts w:ascii="Times New Roman" w:hAnsi="Times New Roman" w:eastAsia="宋体" w:cs="Times New Roman"/>
                <w:bCs/>
                <w:caps w:val="0"/>
                <w:smallCaps w:val="0"/>
                <w:color w:val="auto"/>
                <w:spacing w:val="0"/>
                <w:kern w:val="0"/>
                <w:sz w:val="21"/>
                <w:highlight w:val="none"/>
              </w:rPr>
            </w:pPr>
          </w:p>
        </w:tc>
        <w:tc>
          <w:tcPr>
            <w:tcW w:w="1008" w:type="dxa"/>
            <w:vMerge w:val="continue"/>
            <w:tcBorders>
              <w:tl2br w:val="nil"/>
              <w:tr2bl w:val="nil"/>
            </w:tcBorders>
            <w:vAlign w:val="center"/>
          </w:tcPr>
          <w:p w14:paraId="24D6417F">
            <w:pPr>
              <w:widowControl w:val="0"/>
              <w:ind w:firstLine="210"/>
              <w:jc w:val="center"/>
              <w:rPr>
                <w:rFonts w:ascii="Times New Roman" w:hAnsi="Times New Roman" w:eastAsia="宋体" w:cs="Times New Roman"/>
                <w:bCs/>
                <w:caps w:val="0"/>
                <w:smallCaps w:val="0"/>
                <w:color w:val="auto"/>
                <w:spacing w:val="0"/>
                <w:kern w:val="0"/>
                <w:sz w:val="21"/>
                <w:highlight w:val="none"/>
              </w:rPr>
            </w:pPr>
          </w:p>
        </w:tc>
        <w:tc>
          <w:tcPr>
            <w:tcW w:w="1117" w:type="dxa"/>
            <w:vMerge w:val="continue"/>
            <w:tcBorders>
              <w:tl2br w:val="nil"/>
              <w:tr2bl w:val="nil"/>
            </w:tcBorders>
            <w:vAlign w:val="center"/>
          </w:tcPr>
          <w:p w14:paraId="69E18613">
            <w:pPr>
              <w:widowControl w:val="0"/>
              <w:ind w:firstLine="210"/>
              <w:jc w:val="center"/>
              <w:rPr>
                <w:rFonts w:ascii="Times New Roman" w:hAnsi="Times New Roman" w:eastAsia="宋体" w:cs="Times New Roman"/>
                <w:bCs/>
                <w:caps w:val="0"/>
                <w:smallCaps w:val="0"/>
                <w:color w:val="auto"/>
                <w:spacing w:val="0"/>
                <w:kern w:val="0"/>
                <w:sz w:val="21"/>
                <w:highlight w:val="none"/>
              </w:rPr>
            </w:pPr>
          </w:p>
        </w:tc>
      </w:tr>
      <w:tr w14:paraId="1C9233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387" w:type="dxa"/>
            <w:vMerge w:val="restart"/>
            <w:tcBorders>
              <w:tl2br w:val="nil"/>
              <w:tr2bl w:val="nil"/>
            </w:tcBorders>
            <w:vAlign w:val="center"/>
          </w:tcPr>
          <w:p w14:paraId="2534D520">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厂址</w:t>
            </w:r>
            <w:r>
              <w:rPr>
                <w:rFonts w:ascii="Times New Roman" w:hAnsi="Times New Roman" w:eastAsia="宋体" w:cs="Times New Roman"/>
                <w:caps w:val="0"/>
                <w:smallCaps w:val="0"/>
                <w:color w:val="auto"/>
                <w:spacing w:val="0"/>
                <w:sz w:val="21"/>
                <w:highlight w:val="none"/>
              </w:rPr>
              <w:t>下风向</w:t>
            </w:r>
          </w:p>
          <w:p w14:paraId="6AF9BE1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（宏伟村）</w:t>
            </w:r>
          </w:p>
        </w:tc>
        <w:tc>
          <w:tcPr>
            <w:tcW w:w="1083" w:type="dxa"/>
            <w:vMerge w:val="restart"/>
            <w:tcBorders>
              <w:tl2br w:val="nil"/>
              <w:tr2bl w:val="nil"/>
            </w:tcBorders>
            <w:vAlign w:val="center"/>
          </w:tcPr>
          <w:p w14:paraId="225467A6">
            <w:pPr>
              <w:widowControl w:val="0"/>
              <w:jc w:val="both"/>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130.47438248，</w:t>
            </w:r>
          </w:p>
          <w:p w14:paraId="256D386F">
            <w:pPr>
              <w:widowControl w:val="0"/>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46.82864708</w:t>
            </w:r>
          </w:p>
        </w:tc>
        <w:tc>
          <w:tcPr>
            <w:tcW w:w="2799" w:type="dxa"/>
            <w:tcBorders>
              <w:tl2br w:val="nil"/>
              <w:tr2bl w:val="nil"/>
            </w:tcBorders>
            <w:vAlign w:val="center"/>
          </w:tcPr>
          <w:p w14:paraId="431CE1F9">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氮氧化物</w:t>
            </w:r>
          </w:p>
        </w:tc>
        <w:tc>
          <w:tcPr>
            <w:tcW w:w="1887" w:type="dxa"/>
            <w:vMerge w:val="continue"/>
            <w:tcBorders>
              <w:tl2br w:val="nil"/>
              <w:tr2bl w:val="nil"/>
            </w:tcBorders>
            <w:vAlign w:val="center"/>
          </w:tcPr>
          <w:p w14:paraId="078A2A10">
            <w:pPr>
              <w:widowControl w:val="0"/>
              <w:jc w:val="center"/>
              <w:rPr>
                <w:rFonts w:ascii="Times New Roman" w:hAnsi="Times New Roman" w:eastAsia="宋体" w:cs="Times New Roman"/>
                <w:caps w:val="0"/>
                <w:smallCaps w:val="0"/>
                <w:color w:val="auto"/>
                <w:spacing w:val="0"/>
                <w:kern w:val="0"/>
                <w:sz w:val="21"/>
                <w:highlight w:val="none"/>
              </w:rPr>
            </w:pPr>
          </w:p>
        </w:tc>
        <w:tc>
          <w:tcPr>
            <w:tcW w:w="1008" w:type="dxa"/>
            <w:vMerge w:val="restart"/>
            <w:tcBorders>
              <w:tl2br w:val="nil"/>
              <w:tr2bl w:val="nil"/>
            </w:tcBorders>
            <w:vAlign w:val="center"/>
          </w:tcPr>
          <w:p w14:paraId="7219442D">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NE</w:t>
            </w:r>
          </w:p>
        </w:tc>
        <w:tc>
          <w:tcPr>
            <w:tcW w:w="1117" w:type="dxa"/>
            <w:vMerge w:val="restart"/>
            <w:tcBorders>
              <w:tl2br w:val="nil"/>
              <w:tr2bl w:val="nil"/>
            </w:tcBorders>
            <w:vAlign w:val="center"/>
          </w:tcPr>
          <w:p w14:paraId="0FD6118C">
            <w:pPr>
              <w:widowControl w:val="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988</w:t>
            </w:r>
          </w:p>
        </w:tc>
      </w:tr>
      <w:tr w14:paraId="35546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387" w:type="dxa"/>
            <w:vMerge w:val="continue"/>
            <w:tcBorders>
              <w:tl2br w:val="nil"/>
              <w:tr2bl w:val="nil"/>
            </w:tcBorders>
            <w:vAlign w:val="center"/>
          </w:tcPr>
          <w:p w14:paraId="11EACB3C">
            <w:pPr>
              <w:widowControl w:val="0"/>
              <w:ind w:firstLine="210"/>
              <w:jc w:val="center"/>
              <w:rPr>
                <w:rFonts w:ascii="Times New Roman" w:hAnsi="Times New Roman" w:eastAsia="宋体" w:cs="Times New Roman"/>
                <w:caps w:val="0"/>
                <w:smallCaps w:val="0"/>
                <w:color w:val="auto"/>
                <w:spacing w:val="0"/>
                <w:sz w:val="21"/>
                <w:highlight w:val="none"/>
              </w:rPr>
            </w:pPr>
          </w:p>
        </w:tc>
        <w:tc>
          <w:tcPr>
            <w:tcW w:w="1083" w:type="dxa"/>
            <w:vMerge w:val="continue"/>
            <w:tcBorders>
              <w:tl2br w:val="nil"/>
              <w:tr2bl w:val="nil"/>
            </w:tcBorders>
            <w:vAlign w:val="center"/>
          </w:tcPr>
          <w:p w14:paraId="38D48C9E">
            <w:pPr>
              <w:widowControl w:val="0"/>
              <w:ind w:firstLine="210"/>
              <w:jc w:val="center"/>
              <w:rPr>
                <w:rFonts w:ascii="Times New Roman" w:hAnsi="Times New Roman" w:eastAsia="宋体" w:cs="Times New Roman"/>
                <w:caps w:val="0"/>
                <w:smallCaps w:val="0"/>
                <w:color w:val="auto"/>
                <w:spacing w:val="0"/>
                <w:sz w:val="21"/>
                <w:highlight w:val="none"/>
              </w:rPr>
            </w:pPr>
          </w:p>
        </w:tc>
        <w:tc>
          <w:tcPr>
            <w:tcW w:w="2799" w:type="dxa"/>
            <w:tcBorders>
              <w:tl2br w:val="nil"/>
              <w:tr2bl w:val="nil"/>
            </w:tcBorders>
            <w:vAlign w:val="center"/>
          </w:tcPr>
          <w:p w14:paraId="3F4ACAEF">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非甲烷总烃</w:t>
            </w:r>
          </w:p>
        </w:tc>
        <w:tc>
          <w:tcPr>
            <w:tcW w:w="1887" w:type="dxa"/>
            <w:vMerge w:val="continue"/>
            <w:tcBorders>
              <w:tl2br w:val="nil"/>
              <w:tr2bl w:val="nil"/>
            </w:tcBorders>
            <w:vAlign w:val="center"/>
          </w:tcPr>
          <w:p w14:paraId="6060CCE4">
            <w:pPr>
              <w:widowControl w:val="0"/>
              <w:jc w:val="center"/>
              <w:rPr>
                <w:rFonts w:ascii="Times New Roman" w:hAnsi="Times New Roman" w:eastAsia="宋体" w:cs="Times New Roman"/>
                <w:caps w:val="0"/>
                <w:smallCaps w:val="0"/>
                <w:color w:val="auto"/>
                <w:spacing w:val="0"/>
                <w:kern w:val="0"/>
                <w:sz w:val="21"/>
                <w:highlight w:val="none"/>
              </w:rPr>
            </w:pPr>
          </w:p>
        </w:tc>
        <w:tc>
          <w:tcPr>
            <w:tcW w:w="1008" w:type="dxa"/>
            <w:vMerge w:val="continue"/>
            <w:tcBorders>
              <w:tl2br w:val="nil"/>
              <w:tr2bl w:val="nil"/>
            </w:tcBorders>
            <w:vAlign w:val="center"/>
          </w:tcPr>
          <w:p w14:paraId="3902FABC">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1117" w:type="dxa"/>
            <w:vMerge w:val="continue"/>
            <w:tcBorders>
              <w:tl2br w:val="nil"/>
              <w:tr2bl w:val="nil"/>
            </w:tcBorders>
            <w:vAlign w:val="center"/>
          </w:tcPr>
          <w:p w14:paraId="7F648864">
            <w:pPr>
              <w:widowControl w:val="0"/>
              <w:ind w:firstLine="210"/>
              <w:jc w:val="center"/>
              <w:rPr>
                <w:rFonts w:ascii="Times New Roman" w:hAnsi="Times New Roman" w:eastAsia="宋体" w:cs="Times New Roman"/>
                <w:caps w:val="0"/>
                <w:smallCaps w:val="0"/>
                <w:color w:val="auto"/>
                <w:spacing w:val="0"/>
                <w:kern w:val="0"/>
                <w:sz w:val="21"/>
                <w:highlight w:val="none"/>
              </w:rPr>
            </w:pPr>
          </w:p>
        </w:tc>
      </w:tr>
      <w:tr w14:paraId="2CEC3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387" w:type="dxa"/>
            <w:vMerge w:val="continue"/>
            <w:tcBorders>
              <w:tl2br w:val="nil"/>
              <w:tr2bl w:val="nil"/>
            </w:tcBorders>
            <w:vAlign w:val="center"/>
          </w:tcPr>
          <w:p w14:paraId="08E9A139">
            <w:pPr>
              <w:widowControl w:val="0"/>
              <w:ind w:firstLine="210"/>
              <w:jc w:val="center"/>
              <w:rPr>
                <w:rFonts w:ascii="Times New Roman" w:hAnsi="Times New Roman" w:eastAsia="宋体" w:cs="Times New Roman"/>
                <w:caps w:val="0"/>
                <w:smallCaps w:val="0"/>
                <w:color w:val="auto"/>
                <w:spacing w:val="0"/>
                <w:sz w:val="21"/>
                <w:highlight w:val="none"/>
              </w:rPr>
            </w:pPr>
          </w:p>
        </w:tc>
        <w:tc>
          <w:tcPr>
            <w:tcW w:w="1083" w:type="dxa"/>
            <w:vMerge w:val="continue"/>
            <w:tcBorders>
              <w:tl2br w:val="nil"/>
              <w:tr2bl w:val="nil"/>
            </w:tcBorders>
            <w:vAlign w:val="center"/>
          </w:tcPr>
          <w:p w14:paraId="4BB09656">
            <w:pPr>
              <w:widowControl w:val="0"/>
              <w:ind w:firstLine="210"/>
              <w:jc w:val="center"/>
              <w:rPr>
                <w:rFonts w:ascii="Times New Roman" w:hAnsi="Times New Roman" w:eastAsia="宋体" w:cs="Times New Roman"/>
                <w:caps w:val="0"/>
                <w:smallCaps w:val="0"/>
                <w:color w:val="auto"/>
                <w:spacing w:val="0"/>
                <w:sz w:val="21"/>
                <w:highlight w:val="none"/>
              </w:rPr>
            </w:pPr>
          </w:p>
        </w:tc>
        <w:tc>
          <w:tcPr>
            <w:tcW w:w="2799" w:type="dxa"/>
            <w:tcBorders>
              <w:tl2br w:val="nil"/>
              <w:tr2bl w:val="nil"/>
            </w:tcBorders>
            <w:vAlign w:val="center"/>
          </w:tcPr>
          <w:p w14:paraId="1DFD374A">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镉及其化合物</w:t>
            </w:r>
          </w:p>
        </w:tc>
        <w:tc>
          <w:tcPr>
            <w:tcW w:w="1887" w:type="dxa"/>
            <w:vMerge w:val="continue"/>
            <w:tcBorders>
              <w:tl2br w:val="nil"/>
              <w:tr2bl w:val="nil"/>
            </w:tcBorders>
            <w:vAlign w:val="center"/>
          </w:tcPr>
          <w:p w14:paraId="3B1F80C5">
            <w:pPr>
              <w:widowControl w:val="0"/>
              <w:jc w:val="center"/>
              <w:rPr>
                <w:rFonts w:ascii="Times New Roman" w:hAnsi="Times New Roman" w:eastAsia="宋体" w:cs="Times New Roman"/>
                <w:caps w:val="0"/>
                <w:smallCaps w:val="0"/>
                <w:color w:val="auto"/>
                <w:spacing w:val="0"/>
                <w:kern w:val="0"/>
                <w:sz w:val="21"/>
                <w:highlight w:val="none"/>
              </w:rPr>
            </w:pPr>
          </w:p>
        </w:tc>
        <w:tc>
          <w:tcPr>
            <w:tcW w:w="1008" w:type="dxa"/>
            <w:vMerge w:val="continue"/>
            <w:tcBorders>
              <w:tl2br w:val="nil"/>
              <w:tr2bl w:val="nil"/>
            </w:tcBorders>
            <w:vAlign w:val="center"/>
          </w:tcPr>
          <w:p w14:paraId="09FAD5A1">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1117" w:type="dxa"/>
            <w:vMerge w:val="continue"/>
            <w:tcBorders>
              <w:tl2br w:val="nil"/>
              <w:tr2bl w:val="nil"/>
            </w:tcBorders>
            <w:vAlign w:val="center"/>
          </w:tcPr>
          <w:p w14:paraId="54096766">
            <w:pPr>
              <w:widowControl w:val="0"/>
              <w:ind w:firstLine="210"/>
              <w:jc w:val="center"/>
              <w:rPr>
                <w:rFonts w:ascii="Times New Roman" w:hAnsi="Times New Roman" w:eastAsia="宋体" w:cs="Times New Roman"/>
                <w:caps w:val="0"/>
                <w:smallCaps w:val="0"/>
                <w:color w:val="auto"/>
                <w:spacing w:val="0"/>
                <w:kern w:val="0"/>
                <w:sz w:val="21"/>
                <w:highlight w:val="none"/>
              </w:rPr>
            </w:pPr>
          </w:p>
        </w:tc>
      </w:tr>
      <w:tr w14:paraId="642B5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387" w:type="dxa"/>
            <w:vMerge w:val="continue"/>
            <w:tcBorders>
              <w:tl2br w:val="nil"/>
              <w:tr2bl w:val="nil"/>
            </w:tcBorders>
            <w:vAlign w:val="center"/>
          </w:tcPr>
          <w:p w14:paraId="13341E2F">
            <w:pPr>
              <w:widowControl w:val="0"/>
              <w:ind w:firstLine="210"/>
              <w:jc w:val="center"/>
              <w:rPr>
                <w:rFonts w:ascii="Times New Roman" w:hAnsi="Times New Roman" w:eastAsia="宋体" w:cs="Times New Roman"/>
                <w:caps w:val="0"/>
                <w:smallCaps w:val="0"/>
                <w:color w:val="auto"/>
                <w:spacing w:val="0"/>
                <w:sz w:val="21"/>
                <w:highlight w:val="none"/>
              </w:rPr>
            </w:pPr>
          </w:p>
        </w:tc>
        <w:tc>
          <w:tcPr>
            <w:tcW w:w="1083" w:type="dxa"/>
            <w:vMerge w:val="continue"/>
            <w:tcBorders>
              <w:tl2br w:val="nil"/>
              <w:tr2bl w:val="nil"/>
            </w:tcBorders>
            <w:vAlign w:val="center"/>
          </w:tcPr>
          <w:p w14:paraId="30DE8E99">
            <w:pPr>
              <w:widowControl w:val="0"/>
              <w:ind w:firstLine="210"/>
              <w:jc w:val="center"/>
              <w:rPr>
                <w:rFonts w:ascii="Times New Roman" w:hAnsi="Times New Roman" w:eastAsia="宋体" w:cs="Times New Roman"/>
                <w:caps w:val="0"/>
                <w:smallCaps w:val="0"/>
                <w:color w:val="auto"/>
                <w:spacing w:val="0"/>
                <w:sz w:val="21"/>
                <w:highlight w:val="none"/>
              </w:rPr>
            </w:pPr>
          </w:p>
        </w:tc>
        <w:tc>
          <w:tcPr>
            <w:tcW w:w="2799" w:type="dxa"/>
            <w:tcBorders>
              <w:tl2br w:val="nil"/>
              <w:tr2bl w:val="nil"/>
            </w:tcBorders>
            <w:vAlign w:val="center"/>
          </w:tcPr>
          <w:p w14:paraId="72203081">
            <w:pPr>
              <w:widowControl w:val="0"/>
              <w:ind w:firstLine="21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氯化氢</w:t>
            </w:r>
          </w:p>
        </w:tc>
        <w:tc>
          <w:tcPr>
            <w:tcW w:w="1887" w:type="dxa"/>
            <w:vMerge w:val="continue"/>
            <w:tcBorders>
              <w:tl2br w:val="nil"/>
              <w:tr2bl w:val="nil"/>
            </w:tcBorders>
            <w:vAlign w:val="center"/>
          </w:tcPr>
          <w:p w14:paraId="2E3C9CF0">
            <w:pPr>
              <w:widowControl w:val="0"/>
              <w:jc w:val="center"/>
              <w:rPr>
                <w:rFonts w:ascii="Times New Roman" w:hAnsi="Times New Roman" w:eastAsia="宋体" w:cs="Times New Roman"/>
                <w:caps w:val="0"/>
                <w:smallCaps w:val="0"/>
                <w:color w:val="auto"/>
                <w:spacing w:val="0"/>
                <w:kern w:val="0"/>
                <w:sz w:val="21"/>
                <w:highlight w:val="none"/>
              </w:rPr>
            </w:pPr>
          </w:p>
        </w:tc>
        <w:tc>
          <w:tcPr>
            <w:tcW w:w="1008" w:type="dxa"/>
            <w:vMerge w:val="continue"/>
            <w:tcBorders>
              <w:tl2br w:val="nil"/>
              <w:tr2bl w:val="nil"/>
            </w:tcBorders>
            <w:vAlign w:val="center"/>
          </w:tcPr>
          <w:p w14:paraId="568AA1AF">
            <w:pPr>
              <w:widowControl w:val="0"/>
              <w:ind w:firstLine="210"/>
              <w:jc w:val="center"/>
              <w:rPr>
                <w:rFonts w:ascii="Times New Roman" w:hAnsi="Times New Roman" w:eastAsia="宋体" w:cs="Times New Roman"/>
                <w:caps w:val="0"/>
                <w:smallCaps w:val="0"/>
                <w:color w:val="auto"/>
                <w:spacing w:val="0"/>
                <w:kern w:val="0"/>
                <w:sz w:val="21"/>
                <w:highlight w:val="none"/>
              </w:rPr>
            </w:pPr>
          </w:p>
        </w:tc>
        <w:tc>
          <w:tcPr>
            <w:tcW w:w="1117" w:type="dxa"/>
            <w:vMerge w:val="continue"/>
            <w:tcBorders>
              <w:tl2br w:val="nil"/>
              <w:tr2bl w:val="nil"/>
            </w:tcBorders>
            <w:vAlign w:val="center"/>
          </w:tcPr>
          <w:p w14:paraId="1FE80AB9">
            <w:pPr>
              <w:widowControl w:val="0"/>
              <w:ind w:firstLine="210"/>
              <w:jc w:val="center"/>
              <w:rPr>
                <w:rFonts w:ascii="Times New Roman" w:hAnsi="Times New Roman" w:eastAsia="宋体" w:cs="Times New Roman"/>
                <w:caps w:val="0"/>
                <w:smallCaps w:val="0"/>
                <w:color w:val="auto"/>
                <w:spacing w:val="0"/>
                <w:kern w:val="0"/>
                <w:sz w:val="21"/>
                <w:highlight w:val="none"/>
              </w:rPr>
            </w:pPr>
          </w:p>
        </w:tc>
      </w:tr>
    </w:tbl>
    <w:p w14:paraId="7BF365A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kern w:val="0"/>
          <w:szCs w:val="24"/>
          <w:highlight w:val="none"/>
        </w:rPr>
        <w:t>（3）监测分析方法</w:t>
      </w:r>
    </w:p>
    <w:p w14:paraId="5000D10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kern w:val="0"/>
          <w:szCs w:val="24"/>
          <w:highlight w:val="none"/>
        </w:rPr>
        <w:t>采样及分析方法按照《环境空气质量标准》（GB3095-2012）中规定的方法进行,分析方法见下表。</w:t>
      </w:r>
    </w:p>
    <w:p w14:paraId="0C0F3033">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表4.4-3</w:t>
      </w:r>
      <w:r>
        <w:rPr>
          <w:rFonts w:ascii="Times New Roman" w:hAnsi="Times New Roman" w:eastAsia="宋体" w:cs="Times New Roman"/>
          <w:b/>
          <w:bCs/>
          <w:caps w:val="0"/>
          <w:smallCaps w:val="0"/>
          <w:color w:val="auto"/>
          <w:spacing w:val="0"/>
          <w:szCs w:val="24"/>
          <w:highlight w:val="none"/>
        </w:rPr>
        <w:t>检测方法及仪器</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2796"/>
        <w:gridCol w:w="1932"/>
        <w:gridCol w:w="1364"/>
        <w:gridCol w:w="1502"/>
      </w:tblGrid>
      <w:tr w14:paraId="6B8624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tcBorders>
              <w:tl2br w:val="nil"/>
              <w:tr2bl w:val="nil"/>
            </w:tcBorders>
            <w:vAlign w:val="center"/>
          </w:tcPr>
          <w:p w14:paraId="5FBC679D">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2796" w:type="dxa"/>
            <w:tcBorders>
              <w:tl2br w:val="nil"/>
              <w:tr2bl w:val="nil"/>
            </w:tcBorders>
            <w:vAlign w:val="center"/>
          </w:tcPr>
          <w:p w14:paraId="21E6B329">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分析方法及标准、代号</w:t>
            </w:r>
          </w:p>
        </w:tc>
        <w:tc>
          <w:tcPr>
            <w:tcW w:w="1932" w:type="dxa"/>
            <w:tcBorders>
              <w:tl2br w:val="nil"/>
              <w:tr2bl w:val="nil"/>
            </w:tcBorders>
            <w:vAlign w:val="center"/>
          </w:tcPr>
          <w:p w14:paraId="574FFAE9">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仪器名称</w:t>
            </w:r>
          </w:p>
        </w:tc>
        <w:tc>
          <w:tcPr>
            <w:tcW w:w="1364" w:type="dxa"/>
            <w:tcBorders>
              <w:tl2br w:val="nil"/>
              <w:tr2bl w:val="nil"/>
            </w:tcBorders>
            <w:vAlign w:val="center"/>
          </w:tcPr>
          <w:p w14:paraId="306680A9">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仪器型号</w:t>
            </w:r>
          </w:p>
        </w:tc>
        <w:tc>
          <w:tcPr>
            <w:tcW w:w="1502" w:type="dxa"/>
            <w:tcBorders>
              <w:tl2br w:val="nil"/>
              <w:tr2bl w:val="nil"/>
            </w:tcBorders>
            <w:vAlign w:val="center"/>
          </w:tcPr>
          <w:p w14:paraId="4C53E18A">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仪器编号</w:t>
            </w:r>
          </w:p>
        </w:tc>
      </w:tr>
      <w:tr w14:paraId="1F99A4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restart"/>
            <w:tcBorders>
              <w:tl2br w:val="nil"/>
              <w:tr2bl w:val="nil"/>
            </w:tcBorders>
            <w:shd w:val="clear" w:color="auto" w:fill="auto"/>
            <w:vAlign w:val="center"/>
          </w:tcPr>
          <w:p w14:paraId="17EC629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氮氧化物</w:t>
            </w:r>
          </w:p>
        </w:tc>
        <w:tc>
          <w:tcPr>
            <w:tcW w:w="2796" w:type="dxa"/>
            <w:vMerge w:val="restart"/>
            <w:tcBorders>
              <w:tl2br w:val="nil"/>
              <w:tr2bl w:val="nil"/>
            </w:tcBorders>
            <w:shd w:val="clear" w:color="auto" w:fill="auto"/>
            <w:vAlign w:val="center"/>
          </w:tcPr>
          <w:p w14:paraId="54AF8B2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环境空气氮氧化物（一氧化氮和二氧化氮）的测定</w:t>
            </w:r>
          </w:p>
          <w:p w14:paraId="64F9449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盐酸萘乙二胺分光光度法</w:t>
            </w:r>
          </w:p>
          <w:p w14:paraId="6C5179F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（HJ479-2009）及修改单</w:t>
            </w:r>
          </w:p>
        </w:tc>
        <w:tc>
          <w:tcPr>
            <w:tcW w:w="1932" w:type="dxa"/>
            <w:tcBorders>
              <w:tl2br w:val="nil"/>
              <w:tr2bl w:val="nil"/>
            </w:tcBorders>
            <w:shd w:val="clear" w:color="auto" w:fill="auto"/>
            <w:vAlign w:val="center"/>
          </w:tcPr>
          <w:p w14:paraId="5847C3D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环境空气颗粒物</w:t>
            </w:r>
          </w:p>
          <w:p w14:paraId="02DBAD5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综合采样器</w:t>
            </w:r>
          </w:p>
        </w:tc>
        <w:tc>
          <w:tcPr>
            <w:tcW w:w="1364" w:type="dxa"/>
            <w:tcBorders>
              <w:tl2br w:val="nil"/>
              <w:tr2bl w:val="nil"/>
            </w:tcBorders>
            <w:shd w:val="clear" w:color="auto" w:fill="auto"/>
            <w:vAlign w:val="center"/>
          </w:tcPr>
          <w:p w14:paraId="6DFBC6D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ZR-3922</w:t>
            </w:r>
          </w:p>
        </w:tc>
        <w:tc>
          <w:tcPr>
            <w:tcW w:w="1502" w:type="dxa"/>
            <w:tcBorders>
              <w:tl2br w:val="nil"/>
              <w:tr2bl w:val="nil"/>
            </w:tcBorders>
            <w:shd w:val="clear" w:color="auto" w:fill="auto"/>
            <w:vAlign w:val="center"/>
          </w:tcPr>
          <w:p w14:paraId="60C0AAA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ZYJC-YQ-122</w:t>
            </w:r>
          </w:p>
        </w:tc>
      </w:tr>
      <w:tr w14:paraId="6980AF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6860AEB3">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2796" w:type="dxa"/>
            <w:vMerge w:val="continue"/>
            <w:tcBorders>
              <w:tl2br w:val="nil"/>
              <w:tr2bl w:val="nil"/>
            </w:tcBorders>
            <w:shd w:val="clear" w:color="auto" w:fill="auto"/>
            <w:vAlign w:val="center"/>
          </w:tcPr>
          <w:p w14:paraId="2C3A98C9">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1932" w:type="dxa"/>
            <w:tcBorders>
              <w:tl2br w:val="nil"/>
              <w:tr2bl w:val="nil"/>
            </w:tcBorders>
            <w:shd w:val="clear" w:color="auto" w:fill="auto"/>
            <w:vAlign w:val="center"/>
          </w:tcPr>
          <w:p w14:paraId="7068682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环境空气颗粒物</w:t>
            </w:r>
          </w:p>
          <w:p w14:paraId="1AEEB7F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综合采样器</w:t>
            </w:r>
          </w:p>
        </w:tc>
        <w:tc>
          <w:tcPr>
            <w:tcW w:w="1364" w:type="dxa"/>
            <w:tcBorders>
              <w:tl2br w:val="nil"/>
              <w:tr2bl w:val="nil"/>
            </w:tcBorders>
            <w:shd w:val="clear" w:color="auto" w:fill="auto"/>
            <w:vAlign w:val="center"/>
          </w:tcPr>
          <w:p w14:paraId="1073701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ZR-3922</w:t>
            </w:r>
          </w:p>
        </w:tc>
        <w:tc>
          <w:tcPr>
            <w:tcW w:w="1502" w:type="dxa"/>
            <w:tcBorders>
              <w:tl2br w:val="nil"/>
              <w:tr2bl w:val="nil"/>
            </w:tcBorders>
            <w:shd w:val="clear" w:color="auto" w:fill="auto"/>
            <w:vAlign w:val="center"/>
          </w:tcPr>
          <w:p w14:paraId="61925E1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ZYJC-YQ-123</w:t>
            </w:r>
          </w:p>
        </w:tc>
      </w:tr>
      <w:tr w14:paraId="22F7A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4E3E4CD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2796" w:type="dxa"/>
            <w:vMerge w:val="continue"/>
            <w:tcBorders>
              <w:tl2br w:val="nil"/>
              <w:tr2bl w:val="nil"/>
            </w:tcBorders>
            <w:shd w:val="clear" w:color="auto" w:fill="auto"/>
            <w:vAlign w:val="center"/>
          </w:tcPr>
          <w:p w14:paraId="206647A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932" w:type="dxa"/>
            <w:tcBorders>
              <w:tl2br w:val="nil"/>
              <w:tr2bl w:val="nil"/>
            </w:tcBorders>
            <w:shd w:val="clear" w:color="auto" w:fill="auto"/>
            <w:vAlign w:val="center"/>
          </w:tcPr>
          <w:p w14:paraId="0CE9160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环境空气颗粒物</w:t>
            </w:r>
          </w:p>
          <w:p w14:paraId="46073E9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综合采样器</w:t>
            </w:r>
          </w:p>
        </w:tc>
        <w:tc>
          <w:tcPr>
            <w:tcW w:w="1364" w:type="dxa"/>
            <w:tcBorders>
              <w:tl2br w:val="nil"/>
              <w:tr2bl w:val="nil"/>
            </w:tcBorders>
            <w:shd w:val="clear" w:color="auto" w:fill="auto"/>
            <w:vAlign w:val="center"/>
          </w:tcPr>
          <w:p w14:paraId="780FCAF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ZR-3922</w:t>
            </w:r>
          </w:p>
        </w:tc>
        <w:tc>
          <w:tcPr>
            <w:tcW w:w="1502" w:type="dxa"/>
            <w:tcBorders>
              <w:tl2br w:val="nil"/>
              <w:tr2bl w:val="nil"/>
            </w:tcBorders>
            <w:shd w:val="clear" w:color="auto" w:fill="auto"/>
            <w:vAlign w:val="center"/>
          </w:tcPr>
          <w:p w14:paraId="7BF52A5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ZYJC-YQ-124</w:t>
            </w:r>
          </w:p>
        </w:tc>
      </w:tr>
      <w:tr w14:paraId="1E444B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5A9D946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2796" w:type="dxa"/>
            <w:vMerge w:val="continue"/>
            <w:tcBorders>
              <w:tl2br w:val="nil"/>
              <w:tr2bl w:val="nil"/>
            </w:tcBorders>
            <w:shd w:val="clear" w:color="auto" w:fill="auto"/>
            <w:vAlign w:val="center"/>
          </w:tcPr>
          <w:p w14:paraId="1536C95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932" w:type="dxa"/>
            <w:tcBorders>
              <w:tl2br w:val="nil"/>
              <w:tr2bl w:val="nil"/>
            </w:tcBorders>
            <w:shd w:val="clear" w:color="auto" w:fill="auto"/>
            <w:vAlign w:val="center"/>
          </w:tcPr>
          <w:p w14:paraId="72D2D15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环境空气颗粒物</w:t>
            </w:r>
          </w:p>
          <w:p w14:paraId="3C29E1A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综合采样器</w:t>
            </w:r>
          </w:p>
        </w:tc>
        <w:tc>
          <w:tcPr>
            <w:tcW w:w="1364" w:type="dxa"/>
            <w:tcBorders>
              <w:tl2br w:val="nil"/>
              <w:tr2bl w:val="nil"/>
            </w:tcBorders>
            <w:shd w:val="clear" w:color="auto" w:fill="auto"/>
            <w:vAlign w:val="center"/>
          </w:tcPr>
          <w:p w14:paraId="0595838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ZR-3922</w:t>
            </w:r>
          </w:p>
        </w:tc>
        <w:tc>
          <w:tcPr>
            <w:tcW w:w="1502" w:type="dxa"/>
            <w:tcBorders>
              <w:tl2br w:val="nil"/>
              <w:tr2bl w:val="nil"/>
            </w:tcBorders>
            <w:shd w:val="clear" w:color="auto" w:fill="auto"/>
            <w:vAlign w:val="center"/>
          </w:tcPr>
          <w:p w14:paraId="46D22B5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ZYJC-YQ-125</w:t>
            </w:r>
          </w:p>
        </w:tc>
      </w:tr>
      <w:tr w14:paraId="79CB24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36DD241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2796" w:type="dxa"/>
            <w:vMerge w:val="continue"/>
            <w:tcBorders>
              <w:tl2br w:val="nil"/>
              <w:tr2bl w:val="nil"/>
            </w:tcBorders>
            <w:shd w:val="clear" w:color="auto" w:fill="auto"/>
            <w:vAlign w:val="center"/>
          </w:tcPr>
          <w:p w14:paraId="4B0E40B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932" w:type="dxa"/>
            <w:tcBorders>
              <w:tl2br w:val="nil"/>
              <w:tr2bl w:val="nil"/>
            </w:tcBorders>
            <w:shd w:val="clear" w:color="auto" w:fill="auto"/>
            <w:vAlign w:val="center"/>
          </w:tcPr>
          <w:p w14:paraId="0F263105">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紫外可见分光光度计</w:t>
            </w:r>
          </w:p>
        </w:tc>
        <w:tc>
          <w:tcPr>
            <w:tcW w:w="1364" w:type="dxa"/>
            <w:tcBorders>
              <w:tl2br w:val="nil"/>
              <w:tr2bl w:val="nil"/>
            </w:tcBorders>
            <w:shd w:val="clear" w:color="auto" w:fill="auto"/>
            <w:vAlign w:val="center"/>
          </w:tcPr>
          <w:p w14:paraId="450657E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502" w:type="dxa"/>
            <w:tcBorders>
              <w:tl2br w:val="nil"/>
              <w:tr2bl w:val="nil"/>
            </w:tcBorders>
            <w:shd w:val="clear" w:color="auto" w:fill="auto"/>
            <w:vAlign w:val="center"/>
          </w:tcPr>
          <w:p w14:paraId="41926BA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660BC5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restart"/>
            <w:tcBorders>
              <w:tl2br w:val="nil"/>
              <w:tr2bl w:val="nil"/>
            </w:tcBorders>
            <w:shd w:val="clear" w:color="auto" w:fill="auto"/>
            <w:vAlign w:val="center"/>
          </w:tcPr>
          <w:p w14:paraId="0227436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非甲烷总烃</w:t>
            </w:r>
          </w:p>
        </w:tc>
        <w:tc>
          <w:tcPr>
            <w:tcW w:w="2796" w:type="dxa"/>
            <w:vMerge w:val="restart"/>
            <w:tcBorders>
              <w:tl2br w:val="nil"/>
              <w:tr2bl w:val="nil"/>
            </w:tcBorders>
            <w:shd w:val="clear" w:color="auto" w:fill="auto"/>
            <w:vAlign w:val="center"/>
          </w:tcPr>
          <w:p w14:paraId="7F755F9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环境空气总烃、甲烷和非甲烷总烃的测定直接进样-气相色谱法（HJ604-2017）</w:t>
            </w:r>
          </w:p>
        </w:tc>
        <w:tc>
          <w:tcPr>
            <w:tcW w:w="1932" w:type="dxa"/>
            <w:tcBorders>
              <w:tl2br w:val="nil"/>
              <w:tr2bl w:val="nil"/>
            </w:tcBorders>
            <w:shd w:val="clear" w:color="auto" w:fill="auto"/>
            <w:vAlign w:val="center"/>
          </w:tcPr>
          <w:p w14:paraId="5D96649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气相色谱仪</w:t>
            </w:r>
          </w:p>
        </w:tc>
        <w:tc>
          <w:tcPr>
            <w:tcW w:w="1364" w:type="dxa"/>
            <w:tcBorders>
              <w:tl2br w:val="nil"/>
              <w:tr2bl w:val="nil"/>
            </w:tcBorders>
            <w:shd w:val="clear" w:color="auto" w:fill="auto"/>
            <w:vAlign w:val="center"/>
          </w:tcPr>
          <w:p w14:paraId="54DDB62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GC3900PLus</w:t>
            </w:r>
          </w:p>
        </w:tc>
        <w:tc>
          <w:tcPr>
            <w:tcW w:w="1502" w:type="dxa"/>
            <w:tcBorders>
              <w:tl2br w:val="nil"/>
              <w:tr2bl w:val="nil"/>
            </w:tcBorders>
            <w:shd w:val="clear" w:color="auto" w:fill="auto"/>
            <w:vAlign w:val="center"/>
          </w:tcPr>
          <w:p w14:paraId="0C82C46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ZYJC-YQ-024</w:t>
            </w:r>
          </w:p>
        </w:tc>
      </w:tr>
      <w:tr w14:paraId="2DCE1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6C606DA1">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2796" w:type="dxa"/>
            <w:vMerge w:val="continue"/>
            <w:tcBorders>
              <w:tl2br w:val="nil"/>
              <w:tr2bl w:val="nil"/>
            </w:tcBorders>
            <w:shd w:val="clear" w:color="auto" w:fill="auto"/>
            <w:vAlign w:val="center"/>
          </w:tcPr>
          <w:p w14:paraId="4543482D">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1932" w:type="dxa"/>
            <w:tcBorders>
              <w:tl2br w:val="nil"/>
              <w:tr2bl w:val="nil"/>
            </w:tcBorders>
            <w:shd w:val="clear" w:color="auto" w:fill="auto"/>
            <w:vAlign w:val="center"/>
          </w:tcPr>
          <w:p w14:paraId="6A1FA2D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真空气袋采样器</w:t>
            </w:r>
          </w:p>
        </w:tc>
        <w:tc>
          <w:tcPr>
            <w:tcW w:w="1364" w:type="dxa"/>
            <w:tcBorders>
              <w:tl2br w:val="nil"/>
              <w:tr2bl w:val="nil"/>
            </w:tcBorders>
            <w:shd w:val="clear" w:color="auto" w:fill="auto"/>
            <w:vAlign w:val="center"/>
          </w:tcPr>
          <w:p w14:paraId="5B28F76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ZR-3520</w:t>
            </w:r>
          </w:p>
        </w:tc>
        <w:tc>
          <w:tcPr>
            <w:tcW w:w="1502" w:type="dxa"/>
            <w:tcBorders>
              <w:tl2br w:val="nil"/>
              <w:tr2bl w:val="nil"/>
            </w:tcBorders>
            <w:shd w:val="clear" w:color="auto" w:fill="auto"/>
            <w:vAlign w:val="center"/>
          </w:tcPr>
          <w:p w14:paraId="503D811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ZYJC-YQ-094</w:t>
            </w:r>
          </w:p>
        </w:tc>
      </w:tr>
      <w:tr w14:paraId="27BF60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tcBorders>
              <w:tl2br w:val="nil"/>
              <w:tr2bl w:val="nil"/>
            </w:tcBorders>
            <w:shd w:val="clear" w:color="auto" w:fill="auto"/>
            <w:vAlign w:val="center"/>
          </w:tcPr>
          <w:p w14:paraId="1D240F2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镉及其化合物</w:t>
            </w:r>
          </w:p>
        </w:tc>
        <w:tc>
          <w:tcPr>
            <w:tcW w:w="2796" w:type="dxa"/>
            <w:tcBorders>
              <w:tl2br w:val="nil"/>
              <w:tr2bl w:val="nil"/>
            </w:tcBorders>
            <w:shd w:val="clear" w:color="auto" w:fill="auto"/>
            <w:vAlign w:val="center"/>
          </w:tcPr>
          <w:p w14:paraId="7035EA31">
            <w:pPr>
              <w:widowControl w:val="0"/>
              <w:spacing w:line="240" w:lineRule="auto"/>
              <w:ind w:right="-63"/>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空气和废气颗粒物中铅等</w:t>
            </w:r>
          </w:p>
          <w:p w14:paraId="38AB9A35">
            <w:pPr>
              <w:widowControl w:val="0"/>
              <w:spacing w:line="240" w:lineRule="auto"/>
              <w:ind w:right="-63"/>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金属元素的测定电感耦合等离子体质谱法（HJ657-2013）</w:t>
            </w:r>
          </w:p>
        </w:tc>
        <w:tc>
          <w:tcPr>
            <w:tcW w:w="1932" w:type="dxa"/>
            <w:tcBorders>
              <w:tl2br w:val="nil"/>
              <w:tr2bl w:val="nil"/>
            </w:tcBorders>
            <w:shd w:val="clear" w:color="auto" w:fill="auto"/>
            <w:vAlign w:val="center"/>
          </w:tcPr>
          <w:p w14:paraId="3A4D425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3E51F4A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离子体质谱仪</w:t>
            </w:r>
          </w:p>
        </w:tc>
        <w:tc>
          <w:tcPr>
            <w:tcW w:w="1364" w:type="dxa"/>
            <w:tcBorders>
              <w:tl2br w:val="nil"/>
              <w:tr2bl w:val="nil"/>
            </w:tcBorders>
            <w:shd w:val="clear" w:color="auto" w:fill="auto"/>
            <w:vAlign w:val="center"/>
          </w:tcPr>
          <w:p w14:paraId="5CAAD1D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Expec7000</w:t>
            </w:r>
          </w:p>
        </w:tc>
        <w:tc>
          <w:tcPr>
            <w:tcW w:w="1502" w:type="dxa"/>
            <w:tcBorders>
              <w:tl2br w:val="nil"/>
              <w:tr2bl w:val="nil"/>
            </w:tcBorders>
            <w:shd w:val="clear" w:color="auto" w:fill="auto"/>
            <w:vAlign w:val="center"/>
          </w:tcPr>
          <w:p w14:paraId="129306E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YQ/01C225</w:t>
            </w:r>
          </w:p>
        </w:tc>
      </w:tr>
      <w:tr w14:paraId="0D471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restart"/>
            <w:tcBorders>
              <w:tl2br w:val="nil"/>
              <w:tr2bl w:val="nil"/>
            </w:tcBorders>
            <w:shd w:val="clear" w:color="auto" w:fill="auto"/>
            <w:vAlign w:val="center"/>
          </w:tcPr>
          <w:p w14:paraId="06C58B7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氯化氢</w:t>
            </w:r>
          </w:p>
        </w:tc>
        <w:tc>
          <w:tcPr>
            <w:tcW w:w="2796" w:type="dxa"/>
            <w:vMerge w:val="restart"/>
            <w:tcBorders>
              <w:tl2br w:val="nil"/>
              <w:tr2bl w:val="nil"/>
            </w:tcBorders>
            <w:shd w:val="clear" w:color="auto" w:fill="auto"/>
            <w:vAlign w:val="center"/>
          </w:tcPr>
          <w:p w14:paraId="4EA6346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环境空气和废气氯化氢的测定离子色谱法（HJ549-2016）</w:t>
            </w:r>
          </w:p>
        </w:tc>
        <w:tc>
          <w:tcPr>
            <w:tcW w:w="1932" w:type="dxa"/>
            <w:tcBorders>
              <w:tl2br w:val="nil"/>
              <w:tr2bl w:val="nil"/>
            </w:tcBorders>
            <w:shd w:val="clear" w:color="auto" w:fill="auto"/>
            <w:vAlign w:val="center"/>
          </w:tcPr>
          <w:p w14:paraId="3E9A9907">
            <w:pPr>
              <w:widowControl w:val="0"/>
              <w:spacing w:line="240" w:lineRule="auto"/>
              <w:jc w:val="center"/>
              <w:rPr>
                <w:rFonts w:hint="default" w:ascii="Times New Roman" w:hAnsi="Times New Roman" w:eastAsia="宋体" w:cs="Times New Roman"/>
                <w:caps w:val="0"/>
                <w:smallCaps w:val="0"/>
                <w:color w:val="auto"/>
                <w:spacing w:val="0"/>
                <w:kern w:val="0"/>
                <w:sz w:val="21"/>
                <w:highlight w:val="none"/>
                <w:lang w:val="en-US" w:eastAsia="zh-CN"/>
              </w:rPr>
            </w:pPr>
            <w:r>
              <w:rPr>
                <w:rFonts w:hint="default" w:ascii="Times New Roman" w:hAnsi="Times New Roman" w:eastAsia="宋体" w:cs="Times New Roman"/>
                <w:caps w:val="0"/>
                <w:smallCaps w:val="0"/>
                <w:color w:val="auto"/>
                <w:spacing w:val="0"/>
                <w:kern w:val="0"/>
                <w:sz w:val="21"/>
                <w:highlight w:val="none"/>
                <w:lang w:val="en-US" w:eastAsia="zh-CN"/>
              </w:rPr>
              <w:t>环境空气颗粒物</w:t>
            </w:r>
          </w:p>
          <w:p w14:paraId="3A09735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hint="default" w:ascii="Times New Roman" w:hAnsi="Times New Roman" w:eastAsia="宋体" w:cs="Times New Roman"/>
                <w:caps w:val="0"/>
                <w:smallCaps w:val="0"/>
                <w:color w:val="auto"/>
                <w:spacing w:val="0"/>
                <w:kern w:val="0"/>
                <w:sz w:val="21"/>
                <w:highlight w:val="none"/>
                <w:lang w:val="en-US" w:eastAsia="zh-CN"/>
              </w:rPr>
              <w:t>综合采样器</w:t>
            </w:r>
          </w:p>
        </w:tc>
        <w:tc>
          <w:tcPr>
            <w:tcW w:w="1364" w:type="dxa"/>
            <w:tcBorders>
              <w:tl2br w:val="nil"/>
              <w:tr2bl w:val="nil"/>
            </w:tcBorders>
            <w:shd w:val="clear" w:color="auto" w:fill="auto"/>
            <w:vAlign w:val="center"/>
          </w:tcPr>
          <w:p w14:paraId="66E64B8B">
            <w:pPr>
              <w:widowControl w:val="0"/>
              <w:spacing w:line="240" w:lineRule="auto"/>
              <w:jc w:val="center"/>
              <w:rPr>
                <w:rFonts w:hint="eastAsia" w:ascii="Times New Roman" w:hAnsi="Times New Roman" w:eastAsia="宋体" w:cs="Times New Roman"/>
                <w:caps w:val="0"/>
                <w:smallCaps w:val="0"/>
                <w:color w:val="auto"/>
                <w:spacing w:val="0"/>
                <w:kern w:val="0"/>
                <w:sz w:val="21"/>
                <w:highlight w:val="none"/>
              </w:rPr>
            </w:pPr>
            <w:r>
              <w:rPr>
                <w:rFonts w:hint="default" w:ascii="Times New Roman" w:hAnsi="Times New Roman" w:eastAsia="宋体" w:cs="Times New Roman"/>
                <w:caps w:val="0"/>
                <w:smallCaps w:val="0"/>
                <w:color w:val="auto"/>
                <w:spacing w:val="0"/>
                <w:kern w:val="0"/>
                <w:sz w:val="21"/>
                <w:highlight w:val="none"/>
              </w:rPr>
              <w:t>ZR-3922</w:t>
            </w:r>
          </w:p>
        </w:tc>
        <w:tc>
          <w:tcPr>
            <w:tcW w:w="1502" w:type="dxa"/>
            <w:tcBorders>
              <w:tl2br w:val="nil"/>
              <w:tr2bl w:val="nil"/>
            </w:tcBorders>
            <w:shd w:val="clear" w:color="auto" w:fill="auto"/>
            <w:vAlign w:val="center"/>
          </w:tcPr>
          <w:p w14:paraId="0EBCD016">
            <w:pPr>
              <w:widowControl w:val="0"/>
              <w:spacing w:line="240" w:lineRule="auto"/>
              <w:jc w:val="center"/>
              <w:rPr>
                <w:rFonts w:hint="eastAsia" w:ascii="Times New Roman" w:hAnsi="Times New Roman" w:eastAsia="宋体" w:cs="Times New Roman"/>
                <w:caps w:val="0"/>
                <w:smallCaps w:val="0"/>
                <w:color w:val="auto"/>
                <w:spacing w:val="0"/>
                <w:kern w:val="0"/>
                <w:sz w:val="21"/>
                <w:highlight w:val="none"/>
              </w:rPr>
            </w:pPr>
            <w:r>
              <w:rPr>
                <w:rFonts w:hint="default" w:ascii="Times New Roman" w:hAnsi="Times New Roman" w:eastAsia="宋体" w:cs="Times New Roman"/>
                <w:caps w:val="0"/>
                <w:smallCaps w:val="0"/>
                <w:color w:val="auto"/>
                <w:spacing w:val="0"/>
                <w:kern w:val="0"/>
                <w:sz w:val="21"/>
                <w:highlight w:val="none"/>
                <w:lang w:val="en-US" w:eastAsia="zh-CN"/>
              </w:rPr>
              <w:t>ZYJC-XYQ-021</w:t>
            </w:r>
          </w:p>
        </w:tc>
      </w:tr>
      <w:tr w14:paraId="6DCE08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6AA0BB41">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2796" w:type="dxa"/>
            <w:vMerge w:val="continue"/>
            <w:tcBorders>
              <w:tl2br w:val="nil"/>
              <w:tr2bl w:val="nil"/>
            </w:tcBorders>
            <w:shd w:val="clear" w:color="auto" w:fill="auto"/>
            <w:vAlign w:val="center"/>
          </w:tcPr>
          <w:p w14:paraId="667B790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932" w:type="dxa"/>
            <w:tcBorders>
              <w:tl2br w:val="nil"/>
              <w:tr2bl w:val="nil"/>
            </w:tcBorders>
            <w:shd w:val="clear" w:color="auto" w:fill="auto"/>
            <w:vAlign w:val="center"/>
          </w:tcPr>
          <w:p w14:paraId="00791CB9">
            <w:pPr>
              <w:widowControl w:val="0"/>
              <w:spacing w:line="240" w:lineRule="auto"/>
              <w:jc w:val="center"/>
              <w:rPr>
                <w:rFonts w:hint="default" w:ascii="Times New Roman" w:hAnsi="Times New Roman" w:eastAsia="宋体" w:cs="Times New Roman"/>
                <w:caps w:val="0"/>
                <w:smallCaps w:val="0"/>
                <w:color w:val="auto"/>
                <w:spacing w:val="0"/>
                <w:kern w:val="0"/>
                <w:sz w:val="21"/>
                <w:highlight w:val="none"/>
                <w:lang w:val="en-US" w:eastAsia="zh-CN"/>
              </w:rPr>
            </w:pPr>
            <w:r>
              <w:rPr>
                <w:rFonts w:hint="default" w:ascii="Times New Roman" w:hAnsi="Times New Roman" w:eastAsia="宋体" w:cs="Times New Roman"/>
                <w:caps w:val="0"/>
                <w:smallCaps w:val="0"/>
                <w:color w:val="auto"/>
                <w:spacing w:val="0"/>
                <w:kern w:val="0"/>
                <w:sz w:val="21"/>
                <w:highlight w:val="none"/>
                <w:lang w:val="en-US" w:eastAsia="zh-CN"/>
              </w:rPr>
              <w:t>环境空气颗粒物</w:t>
            </w:r>
          </w:p>
          <w:p w14:paraId="271AE93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hint="default" w:ascii="Times New Roman" w:hAnsi="Times New Roman" w:eastAsia="宋体" w:cs="Times New Roman"/>
                <w:caps w:val="0"/>
                <w:smallCaps w:val="0"/>
                <w:color w:val="auto"/>
                <w:spacing w:val="0"/>
                <w:kern w:val="0"/>
                <w:sz w:val="21"/>
                <w:highlight w:val="none"/>
                <w:lang w:val="en-US" w:eastAsia="zh-CN"/>
              </w:rPr>
              <w:t>综合采样器</w:t>
            </w:r>
          </w:p>
        </w:tc>
        <w:tc>
          <w:tcPr>
            <w:tcW w:w="1364" w:type="dxa"/>
            <w:tcBorders>
              <w:tl2br w:val="nil"/>
              <w:tr2bl w:val="nil"/>
            </w:tcBorders>
            <w:shd w:val="clear" w:color="auto" w:fill="auto"/>
            <w:vAlign w:val="center"/>
          </w:tcPr>
          <w:p w14:paraId="0546448B">
            <w:pPr>
              <w:widowControl w:val="0"/>
              <w:spacing w:line="240" w:lineRule="auto"/>
              <w:jc w:val="center"/>
              <w:rPr>
                <w:rFonts w:hint="eastAsia" w:ascii="Times New Roman" w:hAnsi="Times New Roman" w:eastAsia="宋体" w:cs="Times New Roman"/>
                <w:caps w:val="0"/>
                <w:smallCaps w:val="0"/>
                <w:color w:val="auto"/>
                <w:spacing w:val="0"/>
                <w:kern w:val="0"/>
                <w:sz w:val="21"/>
                <w:highlight w:val="none"/>
              </w:rPr>
            </w:pPr>
            <w:r>
              <w:rPr>
                <w:rFonts w:hint="default" w:ascii="Times New Roman" w:hAnsi="Times New Roman" w:eastAsia="宋体" w:cs="Times New Roman"/>
                <w:caps w:val="0"/>
                <w:smallCaps w:val="0"/>
                <w:color w:val="auto"/>
                <w:spacing w:val="0"/>
                <w:kern w:val="0"/>
                <w:sz w:val="21"/>
                <w:highlight w:val="none"/>
              </w:rPr>
              <w:t>ZR-3922</w:t>
            </w:r>
          </w:p>
        </w:tc>
        <w:tc>
          <w:tcPr>
            <w:tcW w:w="1502" w:type="dxa"/>
            <w:tcBorders>
              <w:tl2br w:val="nil"/>
              <w:tr2bl w:val="nil"/>
            </w:tcBorders>
            <w:shd w:val="clear" w:color="auto" w:fill="auto"/>
            <w:vAlign w:val="center"/>
          </w:tcPr>
          <w:p w14:paraId="67FF2EB1">
            <w:pPr>
              <w:widowControl w:val="0"/>
              <w:spacing w:line="240" w:lineRule="auto"/>
              <w:jc w:val="center"/>
              <w:rPr>
                <w:rFonts w:hint="eastAsia" w:ascii="Times New Roman" w:hAnsi="Times New Roman" w:eastAsia="宋体" w:cs="Times New Roman"/>
                <w:caps w:val="0"/>
                <w:smallCaps w:val="0"/>
                <w:color w:val="auto"/>
                <w:spacing w:val="0"/>
                <w:kern w:val="0"/>
                <w:sz w:val="21"/>
                <w:highlight w:val="none"/>
              </w:rPr>
            </w:pPr>
            <w:r>
              <w:rPr>
                <w:rFonts w:hint="default" w:ascii="Times New Roman" w:hAnsi="Times New Roman" w:eastAsia="宋体" w:cs="Times New Roman"/>
                <w:caps w:val="0"/>
                <w:smallCaps w:val="0"/>
                <w:color w:val="auto"/>
                <w:spacing w:val="0"/>
                <w:kern w:val="0"/>
                <w:sz w:val="21"/>
                <w:highlight w:val="none"/>
                <w:lang w:val="en-US" w:eastAsia="zh-CN"/>
              </w:rPr>
              <w:t>ZYJC-XYQ-02</w:t>
            </w:r>
            <w:r>
              <w:rPr>
                <w:rFonts w:hint="eastAsia" w:ascii="Times New Roman" w:hAnsi="Times New Roman" w:eastAsia="宋体" w:cs="Times New Roman"/>
                <w:caps w:val="0"/>
                <w:smallCaps w:val="0"/>
                <w:color w:val="auto"/>
                <w:spacing w:val="0"/>
                <w:kern w:val="0"/>
                <w:sz w:val="21"/>
                <w:highlight w:val="none"/>
                <w:lang w:val="en-US" w:eastAsia="zh-CN"/>
              </w:rPr>
              <w:t>2</w:t>
            </w:r>
          </w:p>
        </w:tc>
      </w:tr>
      <w:tr w14:paraId="73CB5E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2" w:type="dxa"/>
            <w:vMerge w:val="continue"/>
            <w:tcBorders>
              <w:tl2br w:val="nil"/>
              <w:tr2bl w:val="nil"/>
            </w:tcBorders>
            <w:shd w:val="clear" w:color="auto" w:fill="auto"/>
            <w:vAlign w:val="center"/>
          </w:tcPr>
          <w:p w14:paraId="6B0D558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2796" w:type="dxa"/>
            <w:vMerge w:val="continue"/>
            <w:tcBorders>
              <w:tl2br w:val="nil"/>
              <w:tr2bl w:val="nil"/>
            </w:tcBorders>
            <w:shd w:val="clear" w:color="auto" w:fill="auto"/>
            <w:vAlign w:val="center"/>
          </w:tcPr>
          <w:p w14:paraId="1FAE0D2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932" w:type="dxa"/>
            <w:tcBorders>
              <w:tl2br w:val="nil"/>
              <w:tr2bl w:val="nil"/>
            </w:tcBorders>
            <w:shd w:val="clear" w:color="auto" w:fill="auto"/>
            <w:vAlign w:val="center"/>
          </w:tcPr>
          <w:p w14:paraId="17596378">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离子色谱仪</w:t>
            </w:r>
          </w:p>
        </w:tc>
        <w:tc>
          <w:tcPr>
            <w:tcW w:w="1364" w:type="dxa"/>
            <w:tcBorders>
              <w:tl2br w:val="nil"/>
              <w:tr2bl w:val="nil"/>
            </w:tcBorders>
            <w:shd w:val="clear" w:color="auto" w:fill="auto"/>
            <w:vAlign w:val="center"/>
          </w:tcPr>
          <w:p w14:paraId="678819A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hint="eastAsia" w:ascii="Times New Roman" w:hAnsi="Times New Roman" w:eastAsia="宋体" w:cs="Times New Roman"/>
                <w:caps w:val="0"/>
                <w:smallCaps w:val="0"/>
                <w:color w:val="auto"/>
                <w:spacing w:val="0"/>
                <w:kern w:val="0"/>
                <w:sz w:val="21"/>
                <w:highlight w:val="none"/>
              </w:rPr>
              <w:t>CIC-D100</w:t>
            </w:r>
          </w:p>
        </w:tc>
        <w:tc>
          <w:tcPr>
            <w:tcW w:w="1502" w:type="dxa"/>
            <w:tcBorders>
              <w:tl2br w:val="nil"/>
              <w:tr2bl w:val="nil"/>
            </w:tcBorders>
            <w:shd w:val="clear" w:color="auto" w:fill="auto"/>
            <w:vAlign w:val="center"/>
          </w:tcPr>
          <w:p w14:paraId="290A0F4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hint="eastAsia" w:ascii="Times New Roman" w:hAnsi="Times New Roman" w:eastAsia="宋体" w:cs="Times New Roman"/>
                <w:caps w:val="0"/>
                <w:smallCaps w:val="0"/>
                <w:color w:val="auto"/>
                <w:spacing w:val="0"/>
                <w:kern w:val="0"/>
                <w:sz w:val="21"/>
                <w:highlight w:val="none"/>
              </w:rPr>
              <w:t>ZYJC-SYQ-041</w:t>
            </w:r>
          </w:p>
        </w:tc>
      </w:tr>
    </w:tbl>
    <w:p w14:paraId="7E1FDA4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（4）监测结果统计与分析</w:t>
      </w:r>
    </w:p>
    <w:p w14:paraId="3A7A7A4A">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1）评价标准</w:t>
      </w:r>
    </w:p>
    <w:p w14:paraId="22468015">
      <w:pPr>
        <w:widowControl w:val="0"/>
        <w:wordWrap w:val="0"/>
        <w:topLinePunct/>
        <w:adjustRightInd w:val="0"/>
        <w:snapToGrid w:val="0"/>
        <w:spacing w:line="360" w:lineRule="auto"/>
        <w:ind w:firstLine="457"/>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各污染物评价标准及浓度限值下表4.4-4。</w:t>
      </w:r>
    </w:p>
    <w:p w14:paraId="7DFF8A6E">
      <w:pPr>
        <w:widowControl w:val="0"/>
        <w:wordWrap w:val="0"/>
        <w:topLinePunct/>
        <w:adjustRightInd w:val="0"/>
        <w:snapToGrid w:val="0"/>
        <w:spacing w:before="2" w:line="212" w:lineRule="auto"/>
        <w:jc w:val="center"/>
        <w:textAlignment w:val="baseline"/>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表4.4-4环境空气质量标准</w:t>
      </w:r>
    </w:p>
    <w:tbl>
      <w:tblPr>
        <w:tblStyle w:val="17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0"/>
        <w:gridCol w:w="2169"/>
        <w:gridCol w:w="4821"/>
      </w:tblGrid>
      <w:tr w14:paraId="7B78D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080" w:type="dxa"/>
            <w:tcBorders>
              <w:top w:val="single" w:color="auto" w:sz="8" w:space="0"/>
              <w:left w:val="nil"/>
              <w:bottom w:val="single" w:color="auto" w:sz="8" w:space="0"/>
            </w:tcBorders>
            <w:vAlign w:val="center"/>
          </w:tcPr>
          <w:p w14:paraId="75E36019">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b/>
                <w:bCs/>
                <w:caps w:val="0"/>
                <w:smallCaps w:val="0"/>
                <w:color w:val="auto"/>
                <w:spacing w:val="0"/>
                <w:highlight w:val="none"/>
              </w:rPr>
              <w:t>污染物名称</w:t>
            </w:r>
          </w:p>
        </w:tc>
        <w:tc>
          <w:tcPr>
            <w:tcW w:w="2169" w:type="dxa"/>
            <w:tcBorders>
              <w:top w:val="single" w:color="auto" w:sz="8" w:space="0"/>
              <w:bottom w:val="single" w:color="auto" w:sz="8" w:space="0"/>
            </w:tcBorders>
            <w:vAlign w:val="center"/>
          </w:tcPr>
          <w:p w14:paraId="6DABFF79">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b/>
                <w:bCs/>
                <w:caps w:val="0"/>
                <w:smallCaps w:val="0"/>
                <w:color w:val="auto"/>
                <w:spacing w:val="0"/>
                <w:highlight w:val="none"/>
              </w:rPr>
              <w:t>浓度限值（</w:t>
            </w:r>
            <w:r>
              <w:rPr>
                <w:rFonts w:ascii="Times New Roman" w:hAnsi="Times New Roman" w:cs="Times New Roman"/>
                <w:b/>
                <w:bCs/>
                <w:caps w:val="0"/>
                <w:smallCaps w:val="0"/>
                <w:color w:val="auto"/>
                <w:spacing w:val="0"/>
                <w:highlight w:val="none"/>
                <w:lang w:eastAsia="zh-CN"/>
              </w:rPr>
              <w:t>m</w:t>
            </w:r>
            <w:r>
              <w:rPr>
                <w:rFonts w:ascii="Times New Roman" w:hAnsi="Times New Roman" w:cs="Times New Roman"/>
                <w:b/>
                <w:bCs/>
                <w:caps w:val="0"/>
                <w:smallCaps w:val="0"/>
                <w:color w:val="auto"/>
                <w:spacing w:val="0"/>
                <w:highlight w:val="none"/>
              </w:rPr>
              <w:t>g/m</w:t>
            </w:r>
            <w:r>
              <w:rPr>
                <w:rFonts w:ascii="Times New Roman" w:hAnsi="Times New Roman" w:cs="Times New Roman"/>
                <w:b/>
                <w:bCs/>
                <w:caps w:val="0"/>
                <w:smallCaps w:val="0"/>
                <w:color w:val="auto"/>
                <w:spacing w:val="0"/>
                <w:position w:val="9"/>
                <w:sz w:val="13"/>
                <w:szCs w:val="13"/>
                <w:highlight w:val="none"/>
              </w:rPr>
              <w:t>3</w:t>
            </w:r>
            <w:r>
              <w:rPr>
                <w:rFonts w:ascii="Times New Roman" w:hAnsi="Times New Roman" w:cs="Times New Roman"/>
                <w:b/>
                <w:bCs/>
                <w:caps w:val="0"/>
                <w:smallCaps w:val="0"/>
                <w:color w:val="auto"/>
                <w:spacing w:val="0"/>
                <w:highlight w:val="none"/>
              </w:rPr>
              <w:t>）</w:t>
            </w:r>
          </w:p>
        </w:tc>
        <w:tc>
          <w:tcPr>
            <w:tcW w:w="4821" w:type="dxa"/>
            <w:tcBorders>
              <w:top w:val="single" w:color="auto" w:sz="8" w:space="0"/>
              <w:bottom w:val="single" w:color="auto" w:sz="8" w:space="0"/>
              <w:right w:val="nil"/>
            </w:tcBorders>
            <w:vAlign w:val="center"/>
          </w:tcPr>
          <w:p w14:paraId="37A25C68">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rPr>
            </w:pPr>
            <w:r>
              <w:rPr>
                <w:rFonts w:ascii="Times New Roman" w:hAnsi="Times New Roman" w:cs="Times New Roman"/>
                <w:b/>
                <w:bCs/>
                <w:caps w:val="0"/>
                <w:smallCaps w:val="0"/>
                <w:color w:val="auto"/>
                <w:spacing w:val="0"/>
                <w:highlight w:val="none"/>
              </w:rPr>
              <w:t>标准来源</w:t>
            </w:r>
          </w:p>
        </w:tc>
      </w:tr>
      <w:tr w14:paraId="339B9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080" w:type="dxa"/>
            <w:tcBorders>
              <w:left w:val="nil"/>
            </w:tcBorders>
            <w:vAlign w:val="center"/>
          </w:tcPr>
          <w:p w14:paraId="0A7C0F99">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lang w:eastAsia="zh-CN"/>
              </w:rPr>
            </w:pPr>
            <w:r>
              <w:rPr>
                <w:rFonts w:ascii="Times New Roman" w:hAnsi="Times New Roman" w:eastAsia="宋体" w:cs="Times New Roman"/>
                <w:caps w:val="0"/>
                <w:smallCaps w:val="0"/>
                <w:color w:val="auto"/>
                <w:spacing w:val="0"/>
                <w:kern w:val="21"/>
                <w:sz w:val="21"/>
                <w:szCs w:val="21"/>
                <w:highlight w:val="none"/>
                <w:lang w:val="en-US" w:eastAsia="zh-CN" w:bidi="ar-SA"/>
              </w:rPr>
              <w:t>镉及其化合物</w:t>
            </w:r>
          </w:p>
        </w:tc>
        <w:tc>
          <w:tcPr>
            <w:tcW w:w="2169" w:type="dxa"/>
            <w:vAlign w:val="center"/>
          </w:tcPr>
          <w:p w14:paraId="5303FB6D">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val="en-US" w:eastAsia="zh-CN"/>
              </w:rPr>
              <w:t>/</w:t>
            </w:r>
          </w:p>
        </w:tc>
        <w:tc>
          <w:tcPr>
            <w:tcW w:w="4821" w:type="dxa"/>
            <w:tcBorders>
              <w:right w:val="nil"/>
            </w:tcBorders>
            <w:vAlign w:val="center"/>
          </w:tcPr>
          <w:p w14:paraId="2F71E9CE">
            <w:pPr>
              <w:pStyle w:val="105"/>
              <w:widowControl w:val="0"/>
              <w:adjustRightInd w:val="0"/>
              <w:snapToGrid w:val="0"/>
              <w:jc w:val="center"/>
              <w:rPr>
                <w:rFonts w:hint="eastAsia" w:ascii="Times New Roman" w:hAnsi="Times New Roman" w:eastAsia="宋体"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kern w:val="21"/>
                <w:sz w:val="21"/>
                <w:szCs w:val="21"/>
                <w:highlight w:val="none"/>
                <w:lang w:val="en-US" w:eastAsia="zh-CN"/>
              </w:rPr>
              <w:t>/</w:t>
            </w:r>
          </w:p>
        </w:tc>
      </w:tr>
      <w:tr w14:paraId="38786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080" w:type="dxa"/>
            <w:tcBorders>
              <w:left w:val="nil"/>
            </w:tcBorders>
            <w:vAlign w:val="center"/>
          </w:tcPr>
          <w:p w14:paraId="6F71E2B8">
            <w:pPr>
              <w:pStyle w:val="105"/>
              <w:widowControl w:val="0"/>
              <w:adjustRightInd w:val="0"/>
              <w:snapToGrid w:val="0"/>
              <w:jc w:val="center"/>
              <w:rPr>
                <w:rFonts w:ascii="Times New Roman" w:hAnsi="Times New Roman" w:cs="Times New Roman"/>
                <w:caps w:val="0"/>
                <w:smallCaps w:val="0"/>
                <w:color w:val="auto"/>
                <w:spacing w:val="0"/>
                <w:highlight w:val="none"/>
                <w:lang w:eastAsia="en-US"/>
              </w:rPr>
            </w:pPr>
            <w:r>
              <w:rPr>
                <w:rFonts w:ascii="Times New Roman" w:hAnsi="Times New Roman" w:cs="Times New Roman"/>
                <w:caps w:val="0"/>
                <w:smallCaps w:val="0"/>
                <w:color w:val="auto"/>
                <w:spacing w:val="0"/>
                <w:kern w:val="21"/>
                <w:sz w:val="21"/>
                <w:szCs w:val="21"/>
                <w:highlight w:val="none"/>
                <w:lang w:eastAsia="en-US"/>
              </w:rPr>
              <w:t>非甲烷总烃</w:t>
            </w:r>
          </w:p>
        </w:tc>
        <w:tc>
          <w:tcPr>
            <w:tcW w:w="2169" w:type="dxa"/>
            <w:vAlign w:val="center"/>
          </w:tcPr>
          <w:p w14:paraId="0C76884B">
            <w:pPr>
              <w:pStyle w:val="205"/>
              <w:widowControl w:val="0"/>
              <w:snapToGrid w:val="0"/>
              <w:spacing w:line="240" w:lineRule="auto"/>
              <w:ind w:right="0" w:firstLine="0" w:firstLineChars="0"/>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highlight w:val="none"/>
                <w:lang w:eastAsia="en-US"/>
              </w:rPr>
              <w:t>2.0</w:t>
            </w:r>
          </w:p>
        </w:tc>
        <w:tc>
          <w:tcPr>
            <w:tcW w:w="4821" w:type="dxa"/>
            <w:tcBorders>
              <w:right w:val="nil"/>
            </w:tcBorders>
            <w:vAlign w:val="center"/>
          </w:tcPr>
          <w:p w14:paraId="7B9A9D8A">
            <w:pPr>
              <w:pStyle w:val="205"/>
              <w:widowControl w:val="0"/>
              <w:snapToGrid w:val="0"/>
              <w:spacing w:line="240" w:lineRule="auto"/>
              <w:ind w:right="0" w:firstLine="0" w:firstLineChars="0"/>
              <w:rPr>
                <w:rFonts w:ascii="Times New Roman" w:hAnsi="Times New Roman" w:eastAsia="宋体" w:cs="Times New Roman"/>
                <w:caps w:val="0"/>
                <w:smallCaps w:val="0"/>
                <w:color w:val="auto"/>
                <w:spacing w:val="0"/>
                <w:kern w:val="21"/>
                <w:szCs w:val="21"/>
                <w:highlight w:val="none"/>
                <w:lang w:eastAsia="en-US"/>
              </w:rPr>
            </w:pPr>
            <w:r>
              <w:rPr>
                <w:rFonts w:ascii="Times New Roman" w:hAnsi="Times New Roman" w:eastAsia="宋体" w:cs="Times New Roman"/>
                <w:caps w:val="0"/>
                <w:smallCaps w:val="0"/>
                <w:color w:val="auto"/>
                <w:spacing w:val="0"/>
                <w:szCs w:val="21"/>
                <w:highlight w:val="none"/>
                <w:lang w:eastAsia="en-US"/>
              </w:rPr>
              <w:t>《大气污染物综合排放标准详解》</w:t>
            </w:r>
          </w:p>
        </w:tc>
      </w:tr>
      <w:tr w14:paraId="2D825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080" w:type="dxa"/>
            <w:tcBorders>
              <w:left w:val="nil"/>
            </w:tcBorders>
            <w:vAlign w:val="center"/>
          </w:tcPr>
          <w:p w14:paraId="5F918662">
            <w:pPr>
              <w:pStyle w:val="105"/>
              <w:widowControl w:val="0"/>
              <w:adjustRightInd w:val="0"/>
              <w:snapToGrid w:val="0"/>
              <w:jc w:val="center"/>
              <w:rPr>
                <w:rFonts w:ascii="Times New Roman" w:hAnsi="Times New Roman" w:cs="Times New Roman"/>
                <w:caps w:val="0"/>
                <w:smallCaps w:val="0"/>
                <w:color w:val="auto"/>
                <w:spacing w:val="0"/>
                <w:highlight w:val="none"/>
                <w:lang w:eastAsia="en-US"/>
              </w:rPr>
            </w:pPr>
            <w:r>
              <w:rPr>
                <w:rFonts w:ascii="Times New Roman" w:hAnsi="Times New Roman" w:cs="Times New Roman"/>
                <w:caps w:val="0"/>
                <w:smallCaps w:val="0"/>
                <w:color w:val="auto"/>
                <w:spacing w:val="0"/>
                <w:kern w:val="21"/>
                <w:sz w:val="21"/>
                <w:szCs w:val="21"/>
                <w:highlight w:val="none"/>
                <w:lang w:eastAsia="en-US"/>
              </w:rPr>
              <w:t>氯化氢</w:t>
            </w:r>
          </w:p>
        </w:tc>
        <w:tc>
          <w:tcPr>
            <w:tcW w:w="2169" w:type="dxa"/>
            <w:vAlign w:val="center"/>
          </w:tcPr>
          <w:p w14:paraId="5C670125">
            <w:pPr>
              <w:pStyle w:val="205"/>
              <w:widowControl w:val="0"/>
              <w:snapToGrid w:val="0"/>
              <w:spacing w:line="240" w:lineRule="auto"/>
              <w:ind w:right="0" w:firstLine="0" w:firstLineChars="0"/>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highlight w:val="none"/>
                <w:lang w:eastAsia="en-US"/>
              </w:rPr>
              <w:t>0.05</w:t>
            </w:r>
          </w:p>
        </w:tc>
        <w:tc>
          <w:tcPr>
            <w:tcW w:w="4821" w:type="dxa"/>
            <w:tcBorders>
              <w:right w:val="nil"/>
            </w:tcBorders>
            <w:vAlign w:val="center"/>
          </w:tcPr>
          <w:p w14:paraId="7B7ADB6D">
            <w:pPr>
              <w:pStyle w:val="205"/>
              <w:widowControl w:val="0"/>
              <w:snapToGrid w:val="0"/>
              <w:spacing w:line="240" w:lineRule="auto"/>
              <w:ind w:right="0" w:firstLine="0" w:firstLineChars="0"/>
              <w:rPr>
                <w:rFonts w:ascii="Times New Roman" w:hAnsi="Times New Roman" w:eastAsia="宋体" w:cs="Times New Roman"/>
                <w:caps w:val="0"/>
                <w:smallCaps w:val="0"/>
                <w:color w:val="auto"/>
                <w:spacing w:val="0"/>
                <w:kern w:val="21"/>
                <w:szCs w:val="21"/>
                <w:highlight w:val="none"/>
                <w:lang w:eastAsia="en-US"/>
              </w:rPr>
            </w:pPr>
            <w:r>
              <w:rPr>
                <w:rFonts w:ascii="Times New Roman" w:hAnsi="Times New Roman" w:eastAsia="宋体" w:cs="Times New Roman"/>
                <w:caps w:val="0"/>
                <w:smallCaps w:val="0"/>
                <w:color w:val="auto"/>
                <w:spacing w:val="0"/>
                <w:szCs w:val="21"/>
                <w:highlight w:val="none"/>
                <w:lang w:eastAsia="en-US"/>
              </w:rPr>
              <w:t>《环境影响评价技术导则大气环境》附录D</w:t>
            </w:r>
          </w:p>
        </w:tc>
      </w:tr>
      <w:tr w14:paraId="3DF16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080" w:type="dxa"/>
            <w:tcBorders>
              <w:left w:val="nil"/>
            </w:tcBorders>
            <w:vAlign w:val="center"/>
          </w:tcPr>
          <w:p w14:paraId="12AB4788">
            <w:pPr>
              <w:pStyle w:val="105"/>
              <w:widowControl w:val="0"/>
              <w:adjustRightInd w:val="0"/>
              <w:snapToGrid w:val="0"/>
              <w:jc w:val="center"/>
              <w:rPr>
                <w:rFonts w:ascii="Times New Roman" w:hAnsi="Times New Roman" w:cs="Times New Roman"/>
                <w:caps w:val="0"/>
                <w:smallCaps w:val="0"/>
                <w:color w:val="auto"/>
                <w:spacing w:val="0"/>
                <w:highlight w:val="none"/>
                <w:lang w:eastAsia="en-US"/>
              </w:rPr>
            </w:pPr>
            <w:r>
              <w:rPr>
                <w:rFonts w:ascii="Times New Roman" w:hAnsi="Times New Roman" w:cs="Times New Roman"/>
                <w:caps w:val="0"/>
                <w:smallCaps w:val="0"/>
                <w:color w:val="auto"/>
                <w:spacing w:val="0"/>
                <w:kern w:val="21"/>
                <w:sz w:val="21"/>
                <w:szCs w:val="21"/>
                <w:highlight w:val="none"/>
                <w:lang w:eastAsia="en-US"/>
              </w:rPr>
              <w:t>氮氧化物</w:t>
            </w:r>
          </w:p>
        </w:tc>
        <w:tc>
          <w:tcPr>
            <w:tcW w:w="2169" w:type="dxa"/>
            <w:vAlign w:val="center"/>
          </w:tcPr>
          <w:p w14:paraId="3053230C">
            <w:pPr>
              <w:pStyle w:val="205"/>
              <w:widowControl w:val="0"/>
              <w:snapToGrid w:val="0"/>
              <w:spacing w:line="240" w:lineRule="auto"/>
              <w:ind w:right="0" w:firstLine="0" w:firstLineChars="0"/>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highlight w:val="none"/>
                <w:lang w:eastAsia="en-US"/>
              </w:rPr>
              <w:t>0.1</w:t>
            </w:r>
          </w:p>
        </w:tc>
        <w:tc>
          <w:tcPr>
            <w:tcW w:w="4821" w:type="dxa"/>
            <w:tcBorders>
              <w:right w:val="nil"/>
            </w:tcBorders>
            <w:vAlign w:val="center"/>
          </w:tcPr>
          <w:p w14:paraId="1DB4EA9B">
            <w:pPr>
              <w:pStyle w:val="105"/>
              <w:widowControl w:val="0"/>
              <w:adjustRightInd w:val="0"/>
              <w:snapToGrid w:val="0"/>
              <w:jc w:val="center"/>
              <w:rPr>
                <w:rFonts w:ascii="Times New Roman" w:hAnsi="Times New Roman" w:cs="Times New Roman"/>
                <w:caps w:val="0"/>
                <w:smallCaps w:val="0"/>
                <w:color w:val="auto"/>
                <w:spacing w:val="0"/>
                <w:kern w:val="21"/>
                <w:sz w:val="21"/>
                <w:szCs w:val="21"/>
                <w:highlight w:val="none"/>
                <w:lang w:eastAsia="en-US"/>
              </w:rPr>
            </w:pPr>
            <w:r>
              <w:rPr>
                <w:rFonts w:ascii="Times New Roman" w:hAnsi="Times New Roman" w:cs="Times New Roman"/>
                <w:caps w:val="0"/>
                <w:smallCaps w:val="0"/>
                <w:color w:val="auto"/>
                <w:spacing w:val="0"/>
                <w:kern w:val="21"/>
                <w:sz w:val="21"/>
                <w:szCs w:val="21"/>
                <w:highlight w:val="none"/>
                <w:lang w:eastAsia="en-US"/>
              </w:rPr>
              <w:t>《环境空气质量标准》（GB3095-2012）表2</w:t>
            </w:r>
          </w:p>
        </w:tc>
      </w:tr>
    </w:tbl>
    <w:p w14:paraId="4FAAFFCB">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2）评价方法</w:t>
      </w:r>
    </w:p>
    <w:p w14:paraId="2272F6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sz w:val="24"/>
          <w:szCs w:val="22"/>
          <w:highlight w:val="none"/>
          <w:u w:val="none"/>
          <w:lang w:val="en-US" w:eastAsia="zh-CN"/>
        </w:rPr>
      </w:pPr>
      <w:r>
        <w:rPr>
          <w:rFonts w:hint="eastAsia" w:ascii="Times New Roman" w:cs="Times New Roman"/>
          <w:color w:val="auto"/>
          <w:sz w:val="24"/>
          <w:szCs w:val="24"/>
          <w:highlight w:val="none"/>
          <w:lang w:val="en-US" w:eastAsia="zh-CN"/>
        </w:rPr>
        <w:t>评价方法采用《</w:t>
      </w:r>
      <w:r>
        <w:rPr>
          <w:rFonts w:hint="default" w:ascii="Times New Roman" w:hAnsi="Times New Roman" w:cs="Times New Roman"/>
          <w:color w:val="auto"/>
          <w:sz w:val="24"/>
          <w:szCs w:val="22"/>
          <w:highlight w:val="none"/>
          <w:u w:val="none"/>
        </w:rPr>
        <w:t>环境影响评价技术导则  大气环境》(HJ2.2-</w:t>
      </w:r>
      <w:r>
        <w:rPr>
          <w:rFonts w:hint="default" w:ascii="Times New Roman" w:hAnsi="Times New Roman" w:cs="Times New Roman"/>
          <w:color w:val="auto"/>
          <w:sz w:val="24"/>
          <w:szCs w:val="22"/>
          <w:highlight w:val="none"/>
          <w:u w:val="none"/>
          <w:lang w:val="en-US" w:eastAsia="zh-CN"/>
        </w:rPr>
        <w:t>2018</w:t>
      </w:r>
      <w:r>
        <w:rPr>
          <w:rFonts w:hint="default" w:ascii="Times New Roman" w:hAnsi="Times New Roman" w:cs="Times New Roman"/>
          <w:color w:val="auto"/>
          <w:sz w:val="24"/>
          <w:szCs w:val="22"/>
          <w:highlight w:val="none"/>
          <w:u w:val="none"/>
        </w:rPr>
        <w:t>)</w:t>
      </w:r>
      <w:r>
        <w:rPr>
          <w:rFonts w:hint="eastAsia" w:ascii="Times New Roman" w:hAnsi="Times New Roman" w:cs="Times New Roman"/>
          <w:color w:val="auto"/>
          <w:sz w:val="24"/>
          <w:szCs w:val="22"/>
          <w:highlight w:val="none"/>
          <w:u w:val="none"/>
          <w:lang w:val="en-US" w:eastAsia="zh-CN"/>
        </w:rPr>
        <w:t>中6.4.3.2对采用补充监测数据进行现状评价的，取各污染物不同评价时段监测浓度的最大值，作为评价范围内环境空气保护目标及网格点环境质量现状浓度。对于有多个监测点位数据的,先计算相同时刻各监测点位平均值，再取各监测时段平均值中的最大值。计算方法见以下公式：</w:t>
      </w:r>
    </w:p>
    <w:p w14:paraId="4092986B">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color w:val="auto"/>
          <w:highlight w:val="none"/>
        </w:rPr>
        <w:drawing>
          <wp:inline distT="0" distB="0" distL="114300" distR="114300">
            <wp:extent cx="5274310" cy="1365250"/>
            <wp:effectExtent l="0" t="0" r="2540" b="6350"/>
            <wp:docPr id="12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9"/>
                    <pic:cNvPicPr>
                      <a:picLocks noChangeAspect="1"/>
                    </pic:cNvPicPr>
                  </pic:nvPicPr>
                  <pic:blipFill>
                    <a:blip r:embed="rId66"/>
                    <a:stretch>
                      <a:fillRect/>
                    </a:stretch>
                  </pic:blipFill>
                  <pic:spPr>
                    <a:xfrm>
                      <a:off x="0" y="0"/>
                      <a:ext cx="5274310" cy="1365250"/>
                    </a:xfrm>
                    <a:prstGeom prst="rect">
                      <a:avLst/>
                    </a:prstGeom>
                    <a:noFill/>
                    <a:ln>
                      <a:noFill/>
                    </a:ln>
                  </pic:spPr>
                </pic:pic>
              </a:graphicData>
            </a:graphic>
          </wp:inline>
        </w:drawing>
      </w:r>
    </w:p>
    <w:p w14:paraId="4C160FA8">
      <w:pPr>
        <w:widowControl w:val="0"/>
        <w:wordWrap w:val="0"/>
        <w:topLinePunct/>
        <w:adjustRightInd w:val="0"/>
        <w:snapToGrid w:val="0"/>
        <w:spacing w:before="20" w:line="232" w:lineRule="auto"/>
        <w:ind w:left="603"/>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3）评价结论</w:t>
      </w:r>
    </w:p>
    <w:p w14:paraId="04EA672E">
      <w:pPr>
        <w:widowControl w:val="0"/>
        <w:wordWrap w:val="0"/>
        <w:topLinePunct/>
        <w:adjustRightInd w:val="0"/>
        <w:snapToGrid w:val="0"/>
        <w:spacing w:before="166" w:line="212" w:lineRule="auto"/>
        <w:ind w:left="237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表4.4-5环境空气质量现状监测结果统计表</w:t>
      </w:r>
    </w:p>
    <w:tbl>
      <w:tblPr>
        <w:tblStyle w:val="37"/>
        <w:tblW w:w="920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42"/>
        <w:gridCol w:w="507"/>
        <w:gridCol w:w="587"/>
        <w:gridCol w:w="1150"/>
        <w:gridCol w:w="1083"/>
        <w:gridCol w:w="970"/>
        <w:gridCol w:w="1432"/>
        <w:gridCol w:w="699"/>
        <w:gridCol w:w="598"/>
        <w:gridCol w:w="609"/>
        <w:gridCol w:w="930"/>
      </w:tblGrid>
      <w:tr w14:paraId="00685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restart"/>
            <w:tcBorders>
              <w:tl2br w:val="nil"/>
              <w:tr2bl w:val="nil"/>
            </w:tcBorders>
            <w:vAlign w:val="center"/>
          </w:tcPr>
          <w:p w14:paraId="1BCB634F">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点位名称</w:t>
            </w:r>
          </w:p>
        </w:tc>
        <w:tc>
          <w:tcPr>
            <w:tcW w:w="1094" w:type="dxa"/>
            <w:gridSpan w:val="2"/>
            <w:tcBorders>
              <w:tl2br w:val="nil"/>
              <w:tr2bl w:val="nil"/>
            </w:tcBorders>
            <w:vAlign w:val="center"/>
          </w:tcPr>
          <w:p w14:paraId="0294190A">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监测点位经纬度</w:t>
            </w:r>
          </w:p>
        </w:tc>
        <w:tc>
          <w:tcPr>
            <w:tcW w:w="1150" w:type="dxa"/>
            <w:vMerge w:val="restart"/>
            <w:tcBorders>
              <w:tl2br w:val="nil"/>
              <w:tr2bl w:val="nil"/>
            </w:tcBorders>
            <w:vAlign w:val="center"/>
          </w:tcPr>
          <w:p w14:paraId="1C1E3472">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污染物</w:t>
            </w:r>
          </w:p>
        </w:tc>
        <w:tc>
          <w:tcPr>
            <w:tcW w:w="1083" w:type="dxa"/>
            <w:vMerge w:val="restart"/>
            <w:tcBorders>
              <w:tl2br w:val="nil"/>
              <w:tr2bl w:val="nil"/>
            </w:tcBorders>
            <w:vAlign w:val="center"/>
          </w:tcPr>
          <w:p w14:paraId="26C12D05">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平均时间</w:t>
            </w:r>
          </w:p>
        </w:tc>
        <w:tc>
          <w:tcPr>
            <w:tcW w:w="970" w:type="dxa"/>
            <w:vMerge w:val="restart"/>
            <w:tcBorders>
              <w:tl2br w:val="nil"/>
              <w:tr2bl w:val="nil"/>
            </w:tcBorders>
            <w:vAlign w:val="center"/>
          </w:tcPr>
          <w:p w14:paraId="3E20EC08">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评价标准</w:t>
            </w:r>
          </w:p>
          <w:p w14:paraId="58F13614">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m</w:t>
            </w:r>
            <w:r>
              <w:rPr>
                <w:rFonts w:ascii="Times New Roman" w:hAnsi="Times New Roman" w:eastAsia="宋体" w:cs="Times New Roman"/>
                <w:caps w:val="0"/>
                <w:smallCaps w:val="0"/>
                <w:color w:val="auto"/>
                <w:spacing w:val="0"/>
                <w:sz w:val="21"/>
                <w:highlight w:val="none"/>
              </w:rPr>
              <w:t>g/m</w:t>
            </w:r>
            <w:r>
              <w:rPr>
                <w:rFonts w:ascii="Times New Roman" w:hAnsi="Times New Roman" w:eastAsia="宋体" w:cs="Times New Roman"/>
                <w:caps w:val="0"/>
                <w:smallCaps w:val="0"/>
                <w:color w:val="auto"/>
                <w:spacing w:val="0"/>
                <w:sz w:val="21"/>
                <w:highlight w:val="none"/>
                <w:vertAlign w:val="superscript"/>
              </w:rPr>
              <w:t>3</w:t>
            </w:r>
            <w:r>
              <w:rPr>
                <w:rFonts w:ascii="Times New Roman" w:hAnsi="Times New Roman" w:eastAsia="宋体" w:cs="Times New Roman"/>
                <w:caps w:val="0"/>
                <w:smallCaps w:val="0"/>
                <w:color w:val="auto"/>
                <w:spacing w:val="0"/>
                <w:sz w:val="21"/>
                <w:highlight w:val="none"/>
              </w:rPr>
              <w:t>）</w:t>
            </w:r>
          </w:p>
        </w:tc>
        <w:tc>
          <w:tcPr>
            <w:tcW w:w="1432" w:type="dxa"/>
            <w:vMerge w:val="restart"/>
            <w:tcBorders>
              <w:tl2br w:val="nil"/>
              <w:tr2bl w:val="nil"/>
            </w:tcBorders>
            <w:vAlign w:val="center"/>
          </w:tcPr>
          <w:p w14:paraId="229E1E98">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监测浓度范围/（</w:t>
            </w:r>
            <w:r>
              <w:rPr>
                <w:rFonts w:hint="eastAsia" w:ascii="Times New Roman" w:hAnsi="Times New Roman" w:eastAsia="宋体" w:cs="Times New Roman"/>
                <w:caps w:val="0"/>
                <w:smallCaps w:val="0"/>
                <w:color w:val="auto"/>
                <w:spacing w:val="0"/>
                <w:sz w:val="21"/>
                <w:highlight w:val="none"/>
              </w:rPr>
              <w:t>m</w:t>
            </w:r>
            <w:r>
              <w:rPr>
                <w:rFonts w:ascii="Times New Roman" w:hAnsi="Times New Roman" w:eastAsia="宋体" w:cs="Times New Roman"/>
                <w:caps w:val="0"/>
                <w:smallCaps w:val="0"/>
                <w:color w:val="auto"/>
                <w:spacing w:val="0"/>
                <w:sz w:val="21"/>
                <w:highlight w:val="none"/>
              </w:rPr>
              <w:t>g/m</w:t>
            </w:r>
            <w:r>
              <w:rPr>
                <w:rFonts w:ascii="Times New Roman" w:hAnsi="Times New Roman" w:eastAsia="宋体" w:cs="Times New Roman"/>
                <w:caps w:val="0"/>
                <w:smallCaps w:val="0"/>
                <w:color w:val="auto"/>
                <w:spacing w:val="0"/>
                <w:sz w:val="21"/>
                <w:highlight w:val="none"/>
                <w:vertAlign w:val="superscript"/>
              </w:rPr>
              <w:t>3</w:t>
            </w:r>
            <w:r>
              <w:rPr>
                <w:rFonts w:ascii="Times New Roman" w:hAnsi="Times New Roman" w:eastAsia="宋体" w:cs="Times New Roman"/>
                <w:caps w:val="0"/>
                <w:smallCaps w:val="0"/>
                <w:color w:val="auto"/>
                <w:spacing w:val="0"/>
                <w:sz w:val="21"/>
                <w:highlight w:val="none"/>
              </w:rPr>
              <w:t>）</w:t>
            </w:r>
          </w:p>
        </w:tc>
        <w:tc>
          <w:tcPr>
            <w:tcW w:w="699" w:type="dxa"/>
            <w:vMerge w:val="restart"/>
            <w:tcBorders>
              <w:tl2br w:val="nil"/>
              <w:tr2bl w:val="nil"/>
            </w:tcBorders>
            <w:vAlign w:val="center"/>
          </w:tcPr>
          <w:p w14:paraId="751B2AC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最大浓度占标率/%</w:t>
            </w:r>
          </w:p>
        </w:tc>
        <w:tc>
          <w:tcPr>
            <w:tcW w:w="598" w:type="dxa"/>
            <w:vMerge w:val="restart"/>
            <w:tcBorders>
              <w:tl2br w:val="nil"/>
              <w:tr2bl w:val="nil"/>
            </w:tcBorders>
            <w:vAlign w:val="center"/>
          </w:tcPr>
          <w:p w14:paraId="0A36EA62">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超标概率/%</w:t>
            </w:r>
          </w:p>
        </w:tc>
        <w:tc>
          <w:tcPr>
            <w:tcW w:w="609" w:type="dxa"/>
            <w:vMerge w:val="restart"/>
            <w:tcBorders>
              <w:tl2br w:val="nil"/>
              <w:tr2bl w:val="nil"/>
            </w:tcBorders>
            <w:vAlign w:val="center"/>
          </w:tcPr>
          <w:p w14:paraId="2C78D2DE">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达标情况</w:t>
            </w:r>
          </w:p>
        </w:tc>
        <w:tc>
          <w:tcPr>
            <w:tcW w:w="930" w:type="dxa"/>
            <w:vMerge w:val="restart"/>
            <w:tcBorders>
              <w:tl2br w:val="nil"/>
              <w:tr2bl w:val="nil"/>
            </w:tcBorders>
            <w:vAlign w:val="center"/>
          </w:tcPr>
          <w:p w14:paraId="6C62B08C">
            <w:pPr>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检出限</w:t>
            </w:r>
            <w:r>
              <w:rPr>
                <w:rFonts w:ascii="Times New Roman" w:hAnsi="Times New Roman" w:eastAsia="宋体" w:cs="Times New Roman"/>
                <w:caps w:val="0"/>
                <w:smallCaps w:val="0"/>
                <w:color w:val="auto"/>
                <w:spacing w:val="0"/>
                <w:sz w:val="21"/>
                <w:highlight w:val="none"/>
              </w:rPr>
              <w:t>/（</w:t>
            </w:r>
            <w:r>
              <w:rPr>
                <w:rFonts w:hint="eastAsia" w:ascii="Times New Roman" w:hAnsi="Times New Roman" w:eastAsia="宋体" w:cs="Times New Roman"/>
                <w:caps w:val="0"/>
                <w:smallCaps w:val="0"/>
                <w:color w:val="auto"/>
                <w:spacing w:val="0"/>
                <w:sz w:val="21"/>
                <w:highlight w:val="none"/>
              </w:rPr>
              <w:t>m</w:t>
            </w:r>
            <w:r>
              <w:rPr>
                <w:rFonts w:ascii="Times New Roman" w:hAnsi="Times New Roman" w:eastAsia="宋体" w:cs="Times New Roman"/>
                <w:caps w:val="0"/>
                <w:smallCaps w:val="0"/>
                <w:color w:val="auto"/>
                <w:spacing w:val="0"/>
                <w:sz w:val="21"/>
                <w:highlight w:val="none"/>
              </w:rPr>
              <w:t>g/m</w:t>
            </w:r>
            <w:r>
              <w:rPr>
                <w:rFonts w:ascii="Times New Roman" w:hAnsi="Times New Roman" w:eastAsia="宋体" w:cs="Times New Roman"/>
                <w:caps w:val="0"/>
                <w:smallCaps w:val="0"/>
                <w:color w:val="auto"/>
                <w:spacing w:val="0"/>
                <w:sz w:val="21"/>
                <w:highlight w:val="none"/>
                <w:vertAlign w:val="superscript"/>
              </w:rPr>
              <w:t>3</w:t>
            </w:r>
            <w:r>
              <w:rPr>
                <w:rFonts w:ascii="Times New Roman" w:hAnsi="Times New Roman" w:eastAsia="宋体" w:cs="Times New Roman"/>
                <w:caps w:val="0"/>
                <w:smallCaps w:val="0"/>
                <w:color w:val="auto"/>
                <w:spacing w:val="0"/>
                <w:sz w:val="21"/>
                <w:highlight w:val="none"/>
              </w:rPr>
              <w:t>）</w:t>
            </w:r>
          </w:p>
        </w:tc>
      </w:tr>
      <w:tr w14:paraId="2170BD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continue"/>
            <w:tcBorders>
              <w:tl2br w:val="nil"/>
              <w:tr2bl w:val="nil"/>
            </w:tcBorders>
            <w:vAlign w:val="center"/>
          </w:tcPr>
          <w:p w14:paraId="16AEFEB3">
            <w:pPr>
              <w:jc w:val="center"/>
              <w:rPr>
                <w:rFonts w:ascii="Times New Roman" w:hAnsi="Times New Roman" w:eastAsia="宋体" w:cs="Times New Roman"/>
                <w:caps w:val="0"/>
                <w:smallCaps w:val="0"/>
                <w:color w:val="auto"/>
                <w:spacing w:val="0"/>
                <w:sz w:val="21"/>
                <w:highlight w:val="none"/>
              </w:rPr>
            </w:pPr>
          </w:p>
        </w:tc>
        <w:tc>
          <w:tcPr>
            <w:tcW w:w="507" w:type="dxa"/>
            <w:tcBorders>
              <w:tl2br w:val="nil"/>
              <w:tr2bl w:val="nil"/>
            </w:tcBorders>
            <w:vAlign w:val="center"/>
          </w:tcPr>
          <w:p w14:paraId="0436A77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E</w:t>
            </w:r>
          </w:p>
        </w:tc>
        <w:tc>
          <w:tcPr>
            <w:tcW w:w="587" w:type="dxa"/>
            <w:tcBorders>
              <w:tl2br w:val="nil"/>
              <w:tr2bl w:val="nil"/>
            </w:tcBorders>
            <w:vAlign w:val="center"/>
          </w:tcPr>
          <w:p w14:paraId="260F5A50">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w:t>
            </w:r>
          </w:p>
        </w:tc>
        <w:tc>
          <w:tcPr>
            <w:tcW w:w="1150" w:type="dxa"/>
            <w:vMerge w:val="continue"/>
            <w:tcBorders>
              <w:tl2br w:val="nil"/>
              <w:tr2bl w:val="nil"/>
            </w:tcBorders>
            <w:vAlign w:val="center"/>
          </w:tcPr>
          <w:p w14:paraId="0AE16014">
            <w:pPr>
              <w:jc w:val="center"/>
              <w:rPr>
                <w:rFonts w:ascii="Times New Roman" w:hAnsi="Times New Roman" w:eastAsia="宋体" w:cs="Times New Roman"/>
                <w:caps w:val="0"/>
                <w:smallCaps w:val="0"/>
                <w:color w:val="auto"/>
                <w:spacing w:val="0"/>
                <w:sz w:val="21"/>
                <w:highlight w:val="none"/>
              </w:rPr>
            </w:pPr>
          </w:p>
        </w:tc>
        <w:tc>
          <w:tcPr>
            <w:tcW w:w="1083" w:type="dxa"/>
            <w:vMerge w:val="continue"/>
            <w:tcBorders>
              <w:tl2br w:val="nil"/>
              <w:tr2bl w:val="nil"/>
            </w:tcBorders>
            <w:vAlign w:val="center"/>
          </w:tcPr>
          <w:p w14:paraId="7EA3D0E8">
            <w:pPr>
              <w:jc w:val="center"/>
              <w:rPr>
                <w:rFonts w:ascii="Times New Roman" w:hAnsi="Times New Roman" w:eastAsia="宋体" w:cs="Times New Roman"/>
                <w:caps w:val="0"/>
                <w:smallCaps w:val="0"/>
                <w:color w:val="auto"/>
                <w:spacing w:val="0"/>
                <w:sz w:val="21"/>
                <w:highlight w:val="none"/>
              </w:rPr>
            </w:pPr>
          </w:p>
        </w:tc>
        <w:tc>
          <w:tcPr>
            <w:tcW w:w="970" w:type="dxa"/>
            <w:vMerge w:val="continue"/>
            <w:tcBorders>
              <w:tl2br w:val="nil"/>
              <w:tr2bl w:val="nil"/>
            </w:tcBorders>
            <w:vAlign w:val="center"/>
          </w:tcPr>
          <w:p w14:paraId="7B3193F8">
            <w:pPr>
              <w:jc w:val="center"/>
              <w:rPr>
                <w:rFonts w:ascii="Times New Roman" w:hAnsi="Times New Roman" w:eastAsia="宋体" w:cs="Times New Roman"/>
                <w:caps w:val="0"/>
                <w:smallCaps w:val="0"/>
                <w:color w:val="auto"/>
                <w:spacing w:val="0"/>
                <w:sz w:val="21"/>
                <w:highlight w:val="none"/>
              </w:rPr>
            </w:pPr>
          </w:p>
        </w:tc>
        <w:tc>
          <w:tcPr>
            <w:tcW w:w="1432" w:type="dxa"/>
            <w:vMerge w:val="continue"/>
            <w:tcBorders>
              <w:tl2br w:val="nil"/>
              <w:tr2bl w:val="nil"/>
            </w:tcBorders>
            <w:vAlign w:val="center"/>
          </w:tcPr>
          <w:p w14:paraId="700A412B">
            <w:pPr>
              <w:jc w:val="center"/>
              <w:rPr>
                <w:rFonts w:ascii="Times New Roman" w:hAnsi="Times New Roman" w:eastAsia="宋体" w:cs="Times New Roman"/>
                <w:caps w:val="0"/>
                <w:smallCaps w:val="0"/>
                <w:color w:val="auto"/>
                <w:spacing w:val="0"/>
                <w:sz w:val="21"/>
                <w:highlight w:val="none"/>
              </w:rPr>
            </w:pPr>
          </w:p>
        </w:tc>
        <w:tc>
          <w:tcPr>
            <w:tcW w:w="699" w:type="dxa"/>
            <w:vMerge w:val="continue"/>
            <w:tcBorders>
              <w:tl2br w:val="nil"/>
              <w:tr2bl w:val="nil"/>
            </w:tcBorders>
            <w:vAlign w:val="center"/>
          </w:tcPr>
          <w:p w14:paraId="3FD79F9E">
            <w:pPr>
              <w:jc w:val="center"/>
              <w:rPr>
                <w:rFonts w:ascii="Times New Roman" w:hAnsi="Times New Roman" w:eastAsia="宋体" w:cs="Times New Roman"/>
                <w:caps w:val="0"/>
                <w:smallCaps w:val="0"/>
                <w:color w:val="auto"/>
                <w:spacing w:val="0"/>
                <w:sz w:val="21"/>
                <w:highlight w:val="none"/>
              </w:rPr>
            </w:pPr>
          </w:p>
        </w:tc>
        <w:tc>
          <w:tcPr>
            <w:tcW w:w="598" w:type="dxa"/>
            <w:vMerge w:val="continue"/>
            <w:tcBorders>
              <w:tl2br w:val="nil"/>
              <w:tr2bl w:val="nil"/>
            </w:tcBorders>
            <w:vAlign w:val="center"/>
          </w:tcPr>
          <w:p w14:paraId="35E5E0E7">
            <w:pPr>
              <w:jc w:val="center"/>
              <w:rPr>
                <w:rFonts w:ascii="Times New Roman" w:hAnsi="Times New Roman" w:eastAsia="宋体" w:cs="Times New Roman"/>
                <w:caps w:val="0"/>
                <w:smallCaps w:val="0"/>
                <w:color w:val="auto"/>
                <w:spacing w:val="0"/>
                <w:sz w:val="21"/>
                <w:highlight w:val="none"/>
              </w:rPr>
            </w:pPr>
          </w:p>
        </w:tc>
        <w:tc>
          <w:tcPr>
            <w:tcW w:w="609" w:type="dxa"/>
            <w:vMerge w:val="continue"/>
            <w:tcBorders>
              <w:tl2br w:val="nil"/>
              <w:tr2bl w:val="nil"/>
            </w:tcBorders>
            <w:vAlign w:val="center"/>
          </w:tcPr>
          <w:p w14:paraId="6CAE6C2F">
            <w:pPr>
              <w:jc w:val="center"/>
              <w:rPr>
                <w:rFonts w:ascii="Times New Roman" w:hAnsi="Times New Roman" w:eastAsia="宋体" w:cs="Times New Roman"/>
                <w:caps w:val="0"/>
                <w:smallCaps w:val="0"/>
                <w:color w:val="auto"/>
                <w:spacing w:val="0"/>
                <w:sz w:val="21"/>
                <w:highlight w:val="none"/>
              </w:rPr>
            </w:pPr>
          </w:p>
        </w:tc>
        <w:tc>
          <w:tcPr>
            <w:tcW w:w="930" w:type="dxa"/>
            <w:vMerge w:val="continue"/>
            <w:tcBorders>
              <w:tl2br w:val="nil"/>
              <w:tr2bl w:val="nil"/>
            </w:tcBorders>
            <w:vAlign w:val="center"/>
          </w:tcPr>
          <w:p w14:paraId="1D1C525B">
            <w:pPr>
              <w:jc w:val="center"/>
              <w:rPr>
                <w:rFonts w:ascii="Times New Roman" w:hAnsi="Times New Roman" w:eastAsia="宋体" w:cs="Times New Roman"/>
                <w:caps w:val="0"/>
                <w:smallCaps w:val="0"/>
                <w:color w:val="auto"/>
                <w:spacing w:val="0"/>
                <w:sz w:val="21"/>
                <w:highlight w:val="none"/>
              </w:rPr>
            </w:pPr>
          </w:p>
        </w:tc>
      </w:tr>
      <w:tr w14:paraId="0C10AC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restart"/>
            <w:tcBorders>
              <w:tl2br w:val="nil"/>
              <w:tr2bl w:val="nil"/>
            </w:tcBorders>
            <w:vAlign w:val="center"/>
          </w:tcPr>
          <w:p w14:paraId="041B7243">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厂址北侧30m处</w:t>
            </w:r>
          </w:p>
        </w:tc>
        <w:tc>
          <w:tcPr>
            <w:tcW w:w="507" w:type="dxa"/>
            <w:vMerge w:val="restart"/>
            <w:tcBorders>
              <w:tl2br w:val="nil"/>
              <w:tr2bl w:val="nil"/>
            </w:tcBorders>
            <w:vAlign w:val="center"/>
          </w:tcPr>
          <w:p w14:paraId="1A5446CC">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130.46968727</w:t>
            </w:r>
          </w:p>
        </w:tc>
        <w:tc>
          <w:tcPr>
            <w:tcW w:w="587" w:type="dxa"/>
            <w:vMerge w:val="restart"/>
            <w:tcBorders>
              <w:tl2br w:val="nil"/>
              <w:tr2bl w:val="nil"/>
            </w:tcBorders>
            <w:vAlign w:val="center"/>
          </w:tcPr>
          <w:p w14:paraId="45472D38">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46.81974205</w:t>
            </w:r>
          </w:p>
        </w:tc>
        <w:tc>
          <w:tcPr>
            <w:tcW w:w="1150" w:type="dxa"/>
            <w:tcBorders>
              <w:tl2br w:val="nil"/>
              <w:tr2bl w:val="nil"/>
            </w:tcBorders>
            <w:vAlign w:val="center"/>
          </w:tcPr>
          <w:p w14:paraId="2D5AB494">
            <w:pPr>
              <w:pStyle w:val="195"/>
              <w:widowControl w:val="0"/>
              <w:wordWrap w:val="0"/>
              <w:topLinePunct/>
              <w:adjustRightInd w:val="0"/>
              <w:snapToGrid w:val="0"/>
              <w:spacing w:before="68" w:line="222" w:lineRule="auto"/>
              <w:jc w:val="center"/>
              <w:textAlignment w:val="baseline"/>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非甲烷总烃</w:t>
            </w:r>
          </w:p>
        </w:tc>
        <w:tc>
          <w:tcPr>
            <w:tcW w:w="1083" w:type="dxa"/>
            <w:tcBorders>
              <w:tl2br w:val="nil"/>
              <w:tr2bl w:val="nil"/>
            </w:tcBorders>
            <w:vAlign w:val="center"/>
          </w:tcPr>
          <w:p w14:paraId="17FEEAB5">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509765B9">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1432" w:type="dxa"/>
            <w:tcBorders>
              <w:tl2br w:val="nil"/>
              <w:tr2bl w:val="nil"/>
            </w:tcBorders>
            <w:vAlign w:val="center"/>
          </w:tcPr>
          <w:p w14:paraId="092DE5E6">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0.32-0.38</w:t>
            </w:r>
          </w:p>
        </w:tc>
        <w:tc>
          <w:tcPr>
            <w:tcW w:w="699" w:type="dxa"/>
            <w:tcBorders>
              <w:tl2br w:val="nil"/>
              <w:tr2bl w:val="nil"/>
            </w:tcBorders>
            <w:vAlign w:val="center"/>
          </w:tcPr>
          <w:p w14:paraId="57D8D3B9">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19.0</w:t>
            </w:r>
          </w:p>
        </w:tc>
        <w:tc>
          <w:tcPr>
            <w:tcW w:w="598" w:type="dxa"/>
            <w:tcBorders>
              <w:tl2br w:val="nil"/>
              <w:tr2bl w:val="nil"/>
            </w:tcBorders>
            <w:vAlign w:val="center"/>
          </w:tcPr>
          <w:p w14:paraId="21D13E26">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326A55F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6F220783">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0.07</w:t>
            </w:r>
          </w:p>
        </w:tc>
      </w:tr>
      <w:tr w14:paraId="001E9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continue"/>
            <w:tcBorders>
              <w:tl2br w:val="nil"/>
              <w:tr2bl w:val="nil"/>
            </w:tcBorders>
            <w:vAlign w:val="center"/>
          </w:tcPr>
          <w:p w14:paraId="5F514918">
            <w:pPr>
              <w:jc w:val="center"/>
              <w:rPr>
                <w:rFonts w:ascii="Times New Roman" w:hAnsi="Times New Roman" w:eastAsia="宋体" w:cs="Times New Roman"/>
                <w:caps w:val="0"/>
                <w:smallCaps w:val="0"/>
                <w:color w:val="auto"/>
                <w:spacing w:val="0"/>
                <w:sz w:val="21"/>
                <w:highlight w:val="none"/>
              </w:rPr>
            </w:pPr>
          </w:p>
        </w:tc>
        <w:tc>
          <w:tcPr>
            <w:tcW w:w="507" w:type="dxa"/>
            <w:vMerge w:val="continue"/>
            <w:tcBorders>
              <w:tl2br w:val="nil"/>
              <w:tr2bl w:val="nil"/>
            </w:tcBorders>
            <w:vAlign w:val="center"/>
          </w:tcPr>
          <w:p w14:paraId="2DF98B94">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5C53B9D4">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3B2C9A1F">
            <w:pPr>
              <w:pStyle w:val="195"/>
              <w:widowControl w:val="0"/>
              <w:wordWrap w:val="0"/>
              <w:topLinePunct/>
              <w:adjustRightInd w:val="0"/>
              <w:snapToGrid w:val="0"/>
              <w:spacing w:before="69" w:line="221" w:lineRule="auto"/>
              <w:jc w:val="center"/>
              <w:textAlignment w:val="baseline"/>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氮氧化物</w:t>
            </w:r>
          </w:p>
        </w:tc>
        <w:tc>
          <w:tcPr>
            <w:tcW w:w="1083" w:type="dxa"/>
            <w:tcBorders>
              <w:tl2br w:val="nil"/>
              <w:tr2bl w:val="nil"/>
            </w:tcBorders>
            <w:vAlign w:val="center"/>
          </w:tcPr>
          <w:p w14:paraId="588869FD">
            <w:pPr>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24</w:t>
            </w:r>
            <w:r>
              <w:rPr>
                <w:rFonts w:ascii="Times New Roman" w:hAnsi="Times New Roman" w:eastAsia="宋体" w:cs="Times New Roman"/>
                <w:caps w:val="0"/>
                <w:smallCaps w:val="0"/>
                <w:color w:val="auto"/>
                <w:spacing w:val="0"/>
                <w:sz w:val="21"/>
                <w:highlight w:val="none"/>
              </w:rPr>
              <w:t>h平均</w:t>
            </w:r>
          </w:p>
        </w:tc>
        <w:tc>
          <w:tcPr>
            <w:tcW w:w="970" w:type="dxa"/>
            <w:tcBorders>
              <w:tl2br w:val="nil"/>
              <w:tr2bl w:val="nil"/>
            </w:tcBorders>
            <w:vAlign w:val="center"/>
          </w:tcPr>
          <w:p w14:paraId="7C18CE03">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w:t>
            </w:r>
          </w:p>
        </w:tc>
        <w:tc>
          <w:tcPr>
            <w:tcW w:w="1432" w:type="dxa"/>
            <w:tcBorders>
              <w:tl2br w:val="nil"/>
              <w:tr2bl w:val="nil"/>
            </w:tcBorders>
            <w:vAlign w:val="center"/>
          </w:tcPr>
          <w:p w14:paraId="518EC6B7">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0.010-0.011</w:t>
            </w:r>
          </w:p>
        </w:tc>
        <w:tc>
          <w:tcPr>
            <w:tcW w:w="699" w:type="dxa"/>
            <w:tcBorders>
              <w:tl2br w:val="nil"/>
              <w:tr2bl w:val="nil"/>
            </w:tcBorders>
            <w:vAlign w:val="center"/>
          </w:tcPr>
          <w:p w14:paraId="241E8636">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11.0</w:t>
            </w:r>
          </w:p>
        </w:tc>
        <w:tc>
          <w:tcPr>
            <w:tcW w:w="598" w:type="dxa"/>
            <w:tcBorders>
              <w:tl2br w:val="nil"/>
              <w:tr2bl w:val="nil"/>
            </w:tcBorders>
            <w:vAlign w:val="center"/>
          </w:tcPr>
          <w:p w14:paraId="11BD3A3E">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5F6C9BD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5A26FDAC">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0.005</w:t>
            </w:r>
          </w:p>
        </w:tc>
      </w:tr>
      <w:tr w14:paraId="1BCBA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42" w:type="dxa"/>
            <w:vMerge w:val="continue"/>
            <w:tcBorders>
              <w:tl2br w:val="nil"/>
              <w:tr2bl w:val="nil"/>
            </w:tcBorders>
            <w:vAlign w:val="center"/>
          </w:tcPr>
          <w:p w14:paraId="61B6DF76">
            <w:pPr>
              <w:jc w:val="center"/>
              <w:rPr>
                <w:rFonts w:ascii="Times New Roman" w:hAnsi="Times New Roman" w:eastAsia="宋体" w:cs="Times New Roman"/>
                <w:caps w:val="0"/>
                <w:smallCaps w:val="0"/>
                <w:color w:val="auto"/>
                <w:spacing w:val="0"/>
                <w:sz w:val="21"/>
                <w:highlight w:val="none"/>
              </w:rPr>
            </w:pPr>
          </w:p>
        </w:tc>
        <w:tc>
          <w:tcPr>
            <w:tcW w:w="507" w:type="dxa"/>
            <w:vMerge w:val="continue"/>
            <w:tcBorders>
              <w:tl2br w:val="nil"/>
              <w:tr2bl w:val="nil"/>
            </w:tcBorders>
            <w:vAlign w:val="center"/>
          </w:tcPr>
          <w:p w14:paraId="108666E2">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2353CFAC">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7BDCBC7D">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镉及其化合物</w:t>
            </w:r>
          </w:p>
        </w:tc>
        <w:tc>
          <w:tcPr>
            <w:tcW w:w="1083" w:type="dxa"/>
            <w:tcBorders>
              <w:tl2br w:val="nil"/>
              <w:tr2bl w:val="nil"/>
            </w:tcBorders>
            <w:vAlign w:val="center"/>
          </w:tcPr>
          <w:p w14:paraId="016B4B35">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49BFD2F0">
            <w:pPr>
              <w:widowControl w:val="0"/>
              <w:adjustRightInd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432" w:type="dxa"/>
            <w:tcBorders>
              <w:tl2br w:val="nil"/>
              <w:tr2bl w:val="nil"/>
            </w:tcBorders>
            <w:vAlign w:val="center"/>
          </w:tcPr>
          <w:p w14:paraId="7A6C0A11">
            <w:pPr>
              <w:widowControl w:val="0"/>
              <w:adjustRightInd w:val="0"/>
              <w:snapToGrid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rPr>
              <w:t>未检出</w:t>
            </w:r>
          </w:p>
        </w:tc>
        <w:tc>
          <w:tcPr>
            <w:tcW w:w="699" w:type="dxa"/>
            <w:tcBorders>
              <w:tl2br w:val="nil"/>
              <w:tr2bl w:val="nil"/>
            </w:tcBorders>
            <w:vAlign w:val="center"/>
          </w:tcPr>
          <w:p w14:paraId="43E39E4F">
            <w:pPr>
              <w:widowControl w:val="0"/>
              <w:adjustRightInd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598" w:type="dxa"/>
            <w:tcBorders>
              <w:tl2br w:val="nil"/>
              <w:tr2bl w:val="nil"/>
            </w:tcBorders>
            <w:vAlign w:val="center"/>
          </w:tcPr>
          <w:p w14:paraId="1518EF42">
            <w:pPr>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609" w:type="dxa"/>
            <w:tcBorders>
              <w:tl2br w:val="nil"/>
              <w:tr2bl w:val="nil"/>
            </w:tcBorders>
            <w:vAlign w:val="center"/>
          </w:tcPr>
          <w:p w14:paraId="0800475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2196E60D">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3.0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r>
      <w:tr w14:paraId="1889B1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42" w:type="dxa"/>
            <w:vMerge w:val="continue"/>
            <w:tcBorders>
              <w:tl2br w:val="nil"/>
              <w:tr2bl w:val="nil"/>
            </w:tcBorders>
            <w:vAlign w:val="center"/>
          </w:tcPr>
          <w:p w14:paraId="4B391F4B">
            <w:pPr>
              <w:jc w:val="center"/>
              <w:rPr>
                <w:rFonts w:ascii="Times New Roman" w:hAnsi="Times New Roman" w:eastAsia="宋体" w:cs="Times New Roman"/>
                <w:caps w:val="0"/>
                <w:smallCaps w:val="0"/>
                <w:color w:val="auto"/>
                <w:spacing w:val="0"/>
                <w:sz w:val="21"/>
                <w:highlight w:val="none"/>
              </w:rPr>
            </w:pPr>
          </w:p>
        </w:tc>
        <w:tc>
          <w:tcPr>
            <w:tcW w:w="507" w:type="dxa"/>
            <w:vMerge w:val="continue"/>
            <w:tcBorders>
              <w:tl2br w:val="nil"/>
              <w:tr2bl w:val="nil"/>
            </w:tcBorders>
            <w:vAlign w:val="center"/>
          </w:tcPr>
          <w:p w14:paraId="5444B7EC">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09F4D688">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6FC7480F">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氯化氢</w:t>
            </w:r>
          </w:p>
        </w:tc>
        <w:tc>
          <w:tcPr>
            <w:tcW w:w="1083" w:type="dxa"/>
            <w:tcBorders>
              <w:tl2br w:val="nil"/>
              <w:tr2bl w:val="nil"/>
            </w:tcBorders>
            <w:vAlign w:val="center"/>
          </w:tcPr>
          <w:p w14:paraId="32CB4F31">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w:t>
            </w:r>
            <w:r>
              <w:rPr>
                <w:rFonts w:ascii="Times New Roman" w:hAnsi="Times New Roman" w:eastAsia="宋体" w:cs="Times New Roman"/>
                <w:caps w:val="0"/>
                <w:smallCaps w:val="0"/>
                <w:color w:val="auto"/>
                <w:spacing w:val="0"/>
                <w:sz w:val="21"/>
                <w:highlight w:val="none"/>
              </w:rPr>
              <w:t>平均</w:t>
            </w:r>
          </w:p>
        </w:tc>
        <w:tc>
          <w:tcPr>
            <w:tcW w:w="970" w:type="dxa"/>
            <w:tcBorders>
              <w:tl2br w:val="nil"/>
              <w:tr2bl w:val="nil"/>
            </w:tcBorders>
            <w:vAlign w:val="center"/>
          </w:tcPr>
          <w:p w14:paraId="37D00C55">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0.05</w:t>
            </w:r>
          </w:p>
        </w:tc>
        <w:tc>
          <w:tcPr>
            <w:tcW w:w="1432" w:type="dxa"/>
            <w:tcBorders>
              <w:tl2br w:val="nil"/>
              <w:tr2bl w:val="nil"/>
            </w:tcBorders>
            <w:vAlign w:val="center"/>
          </w:tcPr>
          <w:p w14:paraId="6FF72DAF">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未检出（参照检出限一半0.01计算）</w:t>
            </w:r>
          </w:p>
        </w:tc>
        <w:tc>
          <w:tcPr>
            <w:tcW w:w="699" w:type="dxa"/>
            <w:tcBorders>
              <w:tl2br w:val="nil"/>
              <w:tr2bl w:val="nil"/>
            </w:tcBorders>
            <w:vAlign w:val="center"/>
          </w:tcPr>
          <w:p w14:paraId="44DE69F9">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20</w:t>
            </w:r>
          </w:p>
        </w:tc>
        <w:tc>
          <w:tcPr>
            <w:tcW w:w="598" w:type="dxa"/>
            <w:tcBorders>
              <w:tl2br w:val="nil"/>
              <w:tr2bl w:val="nil"/>
            </w:tcBorders>
            <w:vAlign w:val="center"/>
          </w:tcPr>
          <w:p w14:paraId="3C7A5149">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5C7DFF1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6F3C7A2D">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0.02</w:t>
            </w:r>
          </w:p>
        </w:tc>
      </w:tr>
      <w:tr w14:paraId="61E5B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restart"/>
            <w:tcBorders>
              <w:tl2br w:val="nil"/>
              <w:tr2bl w:val="nil"/>
            </w:tcBorders>
            <w:vAlign w:val="center"/>
          </w:tcPr>
          <w:p w14:paraId="7F9E12BF">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厂界下风向</w:t>
            </w:r>
          </w:p>
        </w:tc>
        <w:tc>
          <w:tcPr>
            <w:tcW w:w="507" w:type="dxa"/>
            <w:vMerge w:val="restart"/>
            <w:tcBorders>
              <w:tl2br w:val="nil"/>
              <w:tr2bl w:val="nil"/>
            </w:tcBorders>
            <w:vAlign w:val="center"/>
          </w:tcPr>
          <w:p w14:paraId="5F8658F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130.47438248</w:t>
            </w:r>
          </w:p>
        </w:tc>
        <w:tc>
          <w:tcPr>
            <w:tcW w:w="587" w:type="dxa"/>
            <w:vMerge w:val="restart"/>
            <w:tcBorders>
              <w:tl2br w:val="nil"/>
              <w:tr2bl w:val="nil"/>
            </w:tcBorders>
            <w:vAlign w:val="center"/>
          </w:tcPr>
          <w:p w14:paraId="277CBB8C">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46.82864708</w:t>
            </w:r>
          </w:p>
        </w:tc>
        <w:tc>
          <w:tcPr>
            <w:tcW w:w="1150" w:type="dxa"/>
            <w:tcBorders>
              <w:tl2br w:val="nil"/>
              <w:tr2bl w:val="nil"/>
            </w:tcBorders>
            <w:vAlign w:val="center"/>
          </w:tcPr>
          <w:p w14:paraId="5AC3B614">
            <w:pPr>
              <w:pStyle w:val="195"/>
              <w:widowControl w:val="0"/>
              <w:wordWrap w:val="0"/>
              <w:topLinePunct/>
              <w:adjustRightInd w:val="0"/>
              <w:snapToGrid w:val="0"/>
              <w:spacing w:before="68" w:line="222" w:lineRule="auto"/>
              <w:jc w:val="center"/>
              <w:textAlignment w:val="baseline"/>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非甲烷总烃</w:t>
            </w:r>
          </w:p>
        </w:tc>
        <w:tc>
          <w:tcPr>
            <w:tcW w:w="1083" w:type="dxa"/>
            <w:tcBorders>
              <w:tl2br w:val="nil"/>
              <w:tr2bl w:val="nil"/>
            </w:tcBorders>
            <w:vAlign w:val="center"/>
          </w:tcPr>
          <w:p w14:paraId="4692869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101B41E5">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1432" w:type="dxa"/>
            <w:tcBorders>
              <w:tl2br w:val="nil"/>
              <w:tr2bl w:val="nil"/>
            </w:tcBorders>
            <w:vAlign w:val="center"/>
          </w:tcPr>
          <w:p w14:paraId="41F8CB16">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0.42-0.46</w:t>
            </w:r>
          </w:p>
        </w:tc>
        <w:tc>
          <w:tcPr>
            <w:tcW w:w="699" w:type="dxa"/>
            <w:tcBorders>
              <w:tl2br w:val="nil"/>
              <w:tr2bl w:val="nil"/>
            </w:tcBorders>
            <w:vAlign w:val="center"/>
          </w:tcPr>
          <w:p w14:paraId="5C6632CA">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23.0</w:t>
            </w:r>
          </w:p>
        </w:tc>
        <w:tc>
          <w:tcPr>
            <w:tcW w:w="598" w:type="dxa"/>
            <w:tcBorders>
              <w:tl2br w:val="nil"/>
              <w:tr2bl w:val="nil"/>
            </w:tcBorders>
            <w:vAlign w:val="center"/>
          </w:tcPr>
          <w:p w14:paraId="6D706E2C">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54E15B5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3B6E1B77">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0.07</w:t>
            </w:r>
          </w:p>
        </w:tc>
      </w:tr>
      <w:tr w14:paraId="29EF5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84" w:hRule="atLeast"/>
        </w:trPr>
        <w:tc>
          <w:tcPr>
            <w:tcW w:w="642" w:type="dxa"/>
            <w:vMerge w:val="continue"/>
            <w:tcBorders>
              <w:tl2br w:val="nil"/>
              <w:tr2bl w:val="nil"/>
            </w:tcBorders>
            <w:vAlign w:val="center"/>
          </w:tcPr>
          <w:p w14:paraId="7593915C">
            <w:pPr>
              <w:jc w:val="center"/>
              <w:rPr>
                <w:rFonts w:ascii="Times New Roman" w:hAnsi="Times New Roman" w:eastAsia="宋体" w:cs="Times New Roman"/>
                <w:caps w:val="0"/>
                <w:smallCaps w:val="0"/>
                <w:color w:val="auto"/>
                <w:spacing w:val="0"/>
                <w:sz w:val="21"/>
                <w:highlight w:val="none"/>
              </w:rPr>
            </w:pPr>
          </w:p>
        </w:tc>
        <w:tc>
          <w:tcPr>
            <w:tcW w:w="507" w:type="dxa"/>
            <w:vMerge w:val="continue"/>
            <w:tcBorders>
              <w:tl2br w:val="nil"/>
              <w:tr2bl w:val="nil"/>
            </w:tcBorders>
            <w:vAlign w:val="center"/>
          </w:tcPr>
          <w:p w14:paraId="2A90C1DC">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55133429">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560651E8">
            <w:pPr>
              <w:pStyle w:val="195"/>
              <w:widowControl w:val="0"/>
              <w:wordWrap w:val="0"/>
              <w:topLinePunct/>
              <w:adjustRightInd w:val="0"/>
              <w:snapToGrid w:val="0"/>
              <w:spacing w:before="69" w:line="221" w:lineRule="auto"/>
              <w:jc w:val="center"/>
              <w:textAlignment w:val="baseline"/>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氮氧化物</w:t>
            </w:r>
          </w:p>
        </w:tc>
        <w:tc>
          <w:tcPr>
            <w:tcW w:w="1083" w:type="dxa"/>
            <w:tcBorders>
              <w:tl2br w:val="nil"/>
              <w:tr2bl w:val="nil"/>
            </w:tcBorders>
            <w:vAlign w:val="center"/>
          </w:tcPr>
          <w:p w14:paraId="2468E0DB">
            <w:pPr>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24</w:t>
            </w:r>
            <w:r>
              <w:rPr>
                <w:rFonts w:ascii="Times New Roman" w:hAnsi="Times New Roman" w:eastAsia="宋体" w:cs="Times New Roman"/>
                <w:caps w:val="0"/>
                <w:smallCaps w:val="0"/>
                <w:color w:val="auto"/>
                <w:spacing w:val="0"/>
                <w:sz w:val="21"/>
                <w:highlight w:val="none"/>
              </w:rPr>
              <w:t>h平均</w:t>
            </w:r>
          </w:p>
        </w:tc>
        <w:tc>
          <w:tcPr>
            <w:tcW w:w="970" w:type="dxa"/>
            <w:tcBorders>
              <w:tl2br w:val="nil"/>
              <w:tr2bl w:val="nil"/>
            </w:tcBorders>
            <w:vAlign w:val="center"/>
          </w:tcPr>
          <w:p w14:paraId="725A2B81">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w:t>
            </w:r>
          </w:p>
        </w:tc>
        <w:tc>
          <w:tcPr>
            <w:tcW w:w="1432" w:type="dxa"/>
            <w:tcBorders>
              <w:tl2br w:val="nil"/>
              <w:tr2bl w:val="nil"/>
            </w:tcBorders>
            <w:vAlign w:val="center"/>
          </w:tcPr>
          <w:p w14:paraId="11AB84D1">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0.014-0.018</w:t>
            </w:r>
          </w:p>
        </w:tc>
        <w:tc>
          <w:tcPr>
            <w:tcW w:w="699" w:type="dxa"/>
            <w:tcBorders>
              <w:tl2br w:val="nil"/>
              <w:tr2bl w:val="nil"/>
            </w:tcBorders>
            <w:vAlign w:val="center"/>
          </w:tcPr>
          <w:p w14:paraId="129E0924">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18.0</w:t>
            </w:r>
          </w:p>
        </w:tc>
        <w:tc>
          <w:tcPr>
            <w:tcW w:w="598" w:type="dxa"/>
            <w:tcBorders>
              <w:tl2br w:val="nil"/>
              <w:tr2bl w:val="nil"/>
            </w:tcBorders>
            <w:vAlign w:val="center"/>
          </w:tcPr>
          <w:p w14:paraId="3F23710B">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24D6DBE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068AFD72">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0.005</w:t>
            </w:r>
          </w:p>
        </w:tc>
      </w:tr>
      <w:tr w14:paraId="26DDB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84" w:hRule="atLeast"/>
        </w:trPr>
        <w:tc>
          <w:tcPr>
            <w:tcW w:w="642" w:type="dxa"/>
            <w:vMerge w:val="continue"/>
            <w:tcBorders>
              <w:tl2br w:val="nil"/>
              <w:tr2bl w:val="nil"/>
            </w:tcBorders>
            <w:vAlign w:val="center"/>
          </w:tcPr>
          <w:p w14:paraId="30EDE186">
            <w:pPr>
              <w:jc w:val="center"/>
              <w:rPr>
                <w:rFonts w:ascii="Times New Roman" w:hAnsi="Times New Roman" w:eastAsia="宋体" w:cs="Times New Roman"/>
                <w:caps w:val="0"/>
                <w:smallCaps w:val="0"/>
                <w:color w:val="auto"/>
                <w:spacing w:val="0"/>
                <w:sz w:val="21"/>
                <w:highlight w:val="none"/>
              </w:rPr>
            </w:pPr>
          </w:p>
        </w:tc>
        <w:tc>
          <w:tcPr>
            <w:tcW w:w="507" w:type="dxa"/>
            <w:vMerge w:val="continue"/>
            <w:tcBorders>
              <w:tl2br w:val="nil"/>
              <w:tr2bl w:val="nil"/>
            </w:tcBorders>
            <w:vAlign w:val="center"/>
          </w:tcPr>
          <w:p w14:paraId="54B6223F">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06FA4319">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15D16F60">
            <w:pPr>
              <w:pStyle w:val="195"/>
              <w:widowControl w:val="0"/>
              <w:wordWrap w:val="0"/>
              <w:topLinePunct/>
              <w:adjustRightInd w:val="0"/>
              <w:snapToGrid w:val="0"/>
              <w:jc w:val="center"/>
              <w:textAlignment w:val="baseline"/>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镉及其化合物</w:t>
            </w:r>
          </w:p>
        </w:tc>
        <w:tc>
          <w:tcPr>
            <w:tcW w:w="1083" w:type="dxa"/>
            <w:tcBorders>
              <w:tl2br w:val="nil"/>
              <w:tr2bl w:val="nil"/>
            </w:tcBorders>
            <w:vAlign w:val="center"/>
          </w:tcPr>
          <w:p w14:paraId="11316D4D">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565F6DEF">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1432" w:type="dxa"/>
            <w:tcBorders>
              <w:tl2br w:val="nil"/>
              <w:tr2bl w:val="nil"/>
            </w:tcBorders>
            <w:vAlign w:val="center"/>
          </w:tcPr>
          <w:p w14:paraId="210CEB79">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未检出</w:t>
            </w:r>
          </w:p>
        </w:tc>
        <w:tc>
          <w:tcPr>
            <w:tcW w:w="699" w:type="dxa"/>
            <w:tcBorders>
              <w:tl2br w:val="nil"/>
              <w:tr2bl w:val="nil"/>
            </w:tcBorders>
            <w:vAlign w:val="center"/>
          </w:tcPr>
          <w:p w14:paraId="5CE0DC45">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598" w:type="dxa"/>
            <w:tcBorders>
              <w:tl2br w:val="nil"/>
              <w:tr2bl w:val="nil"/>
            </w:tcBorders>
            <w:vAlign w:val="center"/>
          </w:tcPr>
          <w:p w14:paraId="3B20AFA0">
            <w:pPr>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609" w:type="dxa"/>
            <w:tcBorders>
              <w:tl2br w:val="nil"/>
              <w:tr2bl w:val="nil"/>
            </w:tcBorders>
            <w:vAlign w:val="center"/>
          </w:tcPr>
          <w:p w14:paraId="1F3F6B5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74CC78A8">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3.0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r>
      <w:tr w14:paraId="7FA2D5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continue"/>
            <w:tcBorders>
              <w:tl2br w:val="nil"/>
              <w:tr2bl w:val="nil"/>
            </w:tcBorders>
            <w:vAlign w:val="center"/>
          </w:tcPr>
          <w:p w14:paraId="06F31885">
            <w:pPr>
              <w:jc w:val="center"/>
              <w:rPr>
                <w:rFonts w:ascii="Times New Roman" w:hAnsi="Times New Roman" w:eastAsia="宋体" w:cs="Times New Roman"/>
                <w:caps w:val="0"/>
                <w:smallCaps w:val="0"/>
                <w:color w:val="auto"/>
                <w:spacing w:val="0"/>
                <w:sz w:val="21"/>
                <w:highlight w:val="none"/>
              </w:rPr>
            </w:pPr>
          </w:p>
        </w:tc>
        <w:tc>
          <w:tcPr>
            <w:tcW w:w="507" w:type="dxa"/>
            <w:vMerge w:val="continue"/>
            <w:tcBorders>
              <w:tl2br w:val="nil"/>
              <w:tr2bl w:val="nil"/>
            </w:tcBorders>
            <w:vAlign w:val="center"/>
          </w:tcPr>
          <w:p w14:paraId="44CF08C6">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5B46AFA2">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7719305F">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氯化氢</w:t>
            </w:r>
          </w:p>
        </w:tc>
        <w:tc>
          <w:tcPr>
            <w:tcW w:w="1083" w:type="dxa"/>
            <w:tcBorders>
              <w:tl2br w:val="nil"/>
              <w:tr2bl w:val="nil"/>
            </w:tcBorders>
            <w:vAlign w:val="center"/>
          </w:tcPr>
          <w:p w14:paraId="4D33A615">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w:t>
            </w:r>
            <w:r>
              <w:rPr>
                <w:rFonts w:ascii="Times New Roman" w:hAnsi="Times New Roman" w:eastAsia="宋体" w:cs="Times New Roman"/>
                <w:caps w:val="0"/>
                <w:smallCaps w:val="0"/>
                <w:color w:val="auto"/>
                <w:spacing w:val="0"/>
                <w:sz w:val="21"/>
                <w:highlight w:val="none"/>
              </w:rPr>
              <w:t>平均</w:t>
            </w:r>
          </w:p>
        </w:tc>
        <w:tc>
          <w:tcPr>
            <w:tcW w:w="970" w:type="dxa"/>
            <w:tcBorders>
              <w:tl2br w:val="nil"/>
              <w:tr2bl w:val="nil"/>
            </w:tcBorders>
            <w:vAlign w:val="center"/>
          </w:tcPr>
          <w:p w14:paraId="29BBE604">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0.05</w:t>
            </w:r>
          </w:p>
        </w:tc>
        <w:tc>
          <w:tcPr>
            <w:tcW w:w="1432" w:type="dxa"/>
            <w:tcBorders>
              <w:tl2br w:val="nil"/>
              <w:tr2bl w:val="nil"/>
            </w:tcBorders>
            <w:vAlign w:val="center"/>
          </w:tcPr>
          <w:p w14:paraId="502016E0">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未检出（参照检出限一半0.01计算）</w:t>
            </w:r>
          </w:p>
        </w:tc>
        <w:tc>
          <w:tcPr>
            <w:tcW w:w="699" w:type="dxa"/>
            <w:tcBorders>
              <w:tl2br w:val="nil"/>
              <w:tr2bl w:val="nil"/>
            </w:tcBorders>
            <w:vAlign w:val="center"/>
          </w:tcPr>
          <w:p w14:paraId="28894DE9">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20</w:t>
            </w:r>
          </w:p>
        </w:tc>
        <w:tc>
          <w:tcPr>
            <w:tcW w:w="598" w:type="dxa"/>
            <w:tcBorders>
              <w:tl2br w:val="nil"/>
              <w:tr2bl w:val="nil"/>
            </w:tcBorders>
            <w:vAlign w:val="center"/>
          </w:tcPr>
          <w:p w14:paraId="69B5037F">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3D60C89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19643DA2">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0.02</w:t>
            </w:r>
          </w:p>
        </w:tc>
      </w:tr>
      <w:tr w14:paraId="7C05F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restart"/>
            <w:tcBorders>
              <w:tl2br w:val="nil"/>
              <w:tr2bl w:val="nil"/>
            </w:tcBorders>
            <w:vAlign w:val="center"/>
          </w:tcPr>
          <w:p w14:paraId="17EDDF32">
            <w:pPr>
              <w:jc w:val="center"/>
              <w:rPr>
                <w:rFonts w:ascii="Times New Roman" w:hAnsi="Times New Roman" w:eastAsia="宋体" w:cs="Times New Roman"/>
                <w:caps w:val="0"/>
                <w:smallCaps w:val="0"/>
                <w:color w:val="auto"/>
                <w:spacing w:val="0"/>
                <w:sz w:val="21"/>
                <w:highlight w:val="none"/>
              </w:rPr>
            </w:pPr>
            <w:r>
              <w:rPr>
                <w:rFonts w:hint="default" w:ascii="Times New Roman" w:hAnsi="Times New Roman" w:cs="Times New Roman"/>
                <w:color w:val="auto"/>
                <w:sz w:val="21"/>
                <w:szCs w:val="21"/>
                <w:highlight w:val="none"/>
                <w:u w:val="none"/>
                <w:lang w:eastAsia="zh-CN"/>
              </w:rPr>
              <w:t>各点位平均值中最大值</w:t>
            </w:r>
          </w:p>
        </w:tc>
        <w:tc>
          <w:tcPr>
            <w:tcW w:w="507" w:type="dxa"/>
            <w:vMerge w:val="restart"/>
            <w:tcBorders>
              <w:tl2br w:val="nil"/>
              <w:tr2bl w:val="nil"/>
            </w:tcBorders>
            <w:vAlign w:val="center"/>
          </w:tcPr>
          <w:p w14:paraId="0A1EC581">
            <w:pPr>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587" w:type="dxa"/>
            <w:vMerge w:val="restart"/>
            <w:tcBorders>
              <w:tl2br w:val="nil"/>
              <w:tr2bl w:val="nil"/>
            </w:tcBorders>
            <w:vAlign w:val="center"/>
          </w:tcPr>
          <w:p w14:paraId="0B97AE05">
            <w:pPr>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150" w:type="dxa"/>
            <w:tcBorders>
              <w:tl2br w:val="nil"/>
              <w:tr2bl w:val="nil"/>
            </w:tcBorders>
            <w:vAlign w:val="center"/>
          </w:tcPr>
          <w:p w14:paraId="2C1591BB">
            <w:pPr>
              <w:pStyle w:val="195"/>
              <w:widowControl w:val="0"/>
              <w:wordWrap w:val="0"/>
              <w:topLinePunct/>
              <w:adjustRightInd w:val="0"/>
              <w:snapToGrid w:val="0"/>
              <w:spacing w:before="68" w:line="222" w:lineRule="auto"/>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zh-CN"/>
              </w:rPr>
              <w:t>非甲烷总烃</w:t>
            </w:r>
          </w:p>
        </w:tc>
        <w:tc>
          <w:tcPr>
            <w:tcW w:w="1083" w:type="dxa"/>
            <w:tcBorders>
              <w:tl2br w:val="nil"/>
              <w:tr2bl w:val="nil"/>
            </w:tcBorders>
            <w:vAlign w:val="center"/>
          </w:tcPr>
          <w:p w14:paraId="7AF7FA1E">
            <w:pPr>
              <w:jc w:val="center"/>
              <w:rPr>
                <w:rFonts w:hint="eastAsia"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2CC2E83C">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1432" w:type="dxa"/>
            <w:tcBorders>
              <w:tl2br w:val="nil"/>
              <w:tr2bl w:val="nil"/>
            </w:tcBorders>
            <w:vAlign w:val="center"/>
          </w:tcPr>
          <w:p w14:paraId="61C3C9FB">
            <w:pPr>
              <w:widowControl w:val="0"/>
              <w:adjustRightInd w:val="0"/>
              <w:snapToGrid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0.44</w:t>
            </w:r>
          </w:p>
        </w:tc>
        <w:tc>
          <w:tcPr>
            <w:tcW w:w="699" w:type="dxa"/>
            <w:tcBorders>
              <w:tl2br w:val="nil"/>
              <w:tr2bl w:val="nil"/>
            </w:tcBorders>
            <w:vAlign w:val="center"/>
          </w:tcPr>
          <w:p w14:paraId="31767768">
            <w:pPr>
              <w:widowControl w:val="0"/>
              <w:adjustRightInd w:val="0"/>
              <w:snapToGrid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22</w:t>
            </w:r>
          </w:p>
        </w:tc>
        <w:tc>
          <w:tcPr>
            <w:tcW w:w="598" w:type="dxa"/>
            <w:tcBorders>
              <w:tl2br w:val="nil"/>
              <w:tr2bl w:val="nil"/>
            </w:tcBorders>
            <w:vAlign w:val="center"/>
          </w:tcPr>
          <w:p w14:paraId="73C7BA99">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5DDB7AC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3810CDD6">
            <w:pPr>
              <w:widowControl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0.07</w:t>
            </w:r>
          </w:p>
        </w:tc>
      </w:tr>
      <w:tr w14:paraId="27ECBD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continue"/>
            <w:tcBorders>
              <w:tl2br w:val="nil"/>
              <w:tr2bl w:val="nil"/>
            </w:tcBorders>
            <w:vAlign w:val="center"/>
          </w:tcPr>
          <w:p w14:paraId="4D06CBBA">
            <w:pPr>
              <w:jc w:val="center"/>
              <w:rPr>
                <w:rFonts w:hint="default" w:ascii="Times New Roman" w:hAnsi="Times New Roman" w:cs="Times New Roman"/>
                <w:color w:val="auto"/>
                <w:sz w:val="21"/>
                <w:szCs w:val="21"/>
                <w:highlight w:val="none"/>
                <w:u w:val="none"/>
                <w:lang w:eastAsia="zh-CN"/>
              </w:rPr>
            </w:pPr>
          </w:p>
        </w:tc>
        <w:tc>
          <w:tcPr>
            <w:tcW w:w="507" w:type="dxa"/>
            <w:vMerge w:val="continue"/>
            <w:tcBorders>
              <w:tl2br w:val="nil"/>
              <w:tr2bl w:val="nil"/>
            </w:tcBorders>
            <w:vAlign w:val="center"/>
          </w:tcPr>
          <w:p w14:paraId="07E4F0B1">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6CD67BB5">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3A1B6C0D">
            <w:pPr>
              <w:pStyle w:val="195"/>
              <w:widowControl w:val="0"/>
              <w:wordWrap w:val="0"/>
              <w:topLinePunct/>
              <w:adjustRightInd w:val="0"/>
              <w:snapToGrid w:val="0"/>
              <w:spacing w:before="69" w:line="221" w:lineRule="auto"/>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zh-CN"/>
              </w:rPr>
              <w:t>氮氧化物</w:t>
            </w:r>
          </w:p>
        </w:tc>
        <w:tc>
          <w:tcPr>
            <w:tcW w:w="1083" w:type="dxa"/>
            <w:tcBorders>
              <w:tl2br w:val="nil"/>
              <w:tr2bl w:val="nil"/>
            </w:tcBorders>
            <w:vAlign w:val="center"/>
          </w:tcPr>
          <w:p w14:paraId="4858B33C">
            <w:pPr>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24</w:t>
            </w:r>
            <w:r>
              <w:rPr>
                <w:rFonts w:ascii="Times New Roman" w:hAnsi="Times New Roman" w:eastAsia="宋体" w:cs="Times New Roman"/>
                <w:caps w:val="0"/>
                <w:smallCaps w:val="0"/>
                <w:color w:val="auto"/>
                <w:spacing w:val="0"/>
                <w:sz w:val="21"/>
                <w:highlight w:val="none"/>
              </w:rPr>
              <w:t>h平均</w:t>
            </w:r>
          </w:p>
        </w:tc>
        <w:tc>
          <w:tcPr>
            <w:tcW w:w="970" w:type="dxa"/>
            <w:tcBorders>
              <w:tl2br w:val="nil"/>
              <w:tr2bl w:val="nil"/>
            </w:tcBorders>
            <w:vAlign w:val="center"/>
          </w:tcPr>
          <w:p w14:paraId="5371BE5C">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0.1</w:t>
            </w:r>
          </w:p>
        </w:tc>
        <w:tc>
          <w:tcPr>
            <w:tcW w:w="1432" w:type="dxa"/>
            <w:tcBorders>
              <w:tl2br w:val="nil"/>
              <w:tr2bl w:val="nil"/>
            </w:tcBorders>
            <w:vAlign w:val="center"/>
          </w:tcPr>
          <w:p w14:paraId="0D9B90D9">
            <w:pPr>
              <w:widowControl w:val="0"/>
              <w:adjustRightInd w:val="0"/>
              <w:snapToGrid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0.017</w:t>
            </w:r>
          </w:p>
        </w:tc>
        <w:tc>
          <w:tcPr>
            <w:tcW w:w="699" w:type="dxa"/>
            <w:tcBorders>
              <w:tl2br w:val="nil"/>
              <w:tr2bl w:val="nil"/>
            </w:tcBorders>
            <w:vAlign w:val="center"/>
          </w:tcPr>
          <w:p w14:paraId="595A9D04">
            <w:pPr>
              <w:widowControl w:val="0"/>
              <w:adjustRightInd w:val="0"/>
              <w:snapToGrid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17.0</w:t>
            </w:r>
          </w:p>
        </w:tc>
        <w:tc>
          <w:tcPr>
            <w:tcW w:w="598" w:type="dxa"/>
            <w:tcBorders>
              <w:tl2br w:val="nil"/>
              <w:tr2bl w:val="nil"/>
            </w:tcBorders>
            <w:vAlign w:val="center"/>
          </w:tcPr>
          <w:p w14:paraId="52F47183">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23A2582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708C5E3D">
            <w:pPr>
              <w:widowControl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0.005</w:t>
            </w:r>
          </w:p>
        </w:tc>
      </w:tr>
      <w:tr w14:paraId="4C2318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continue"/>
            <w:tcBorders>
              <w:tl2br w:val="nil"/>
              <w:tr2bl w:val="nil"/>
            </w:tcBorders>
            <w:vAlign w:val="center"/>
          </w:tcPr>
          <w:p w14:paraId="7B4496B7">
            <w:pPr>
              <w:jc w:val="center"/>
              <w:rPr>
                <w:rFonts w:hint="default" w:ascii="Times New Roman" w:hAnsi="Times New Roman" w:cs="Times New Roman"/>
                <w:color w:val="auto"/>
                <w:sz w:val="21"/>
                <w:szCs w:val="21"/>
                <w:highlight w:val="none"/>
                <w:u w:val="none"/>
                <w:lang w:eastAsia="zh-CN"/>
              </w:rPr>
            </w:pPr>
          </w:p>
        </w:tc>
        <w:tc>
          <w:tcPr>
            <w:tcW w:w="507" w:type="dxa"/>
            <w:vMerge w:val="continue"/>
            <w:tcBorders>
              <w:tl2br w:val="nil"/>
              <w:tr2bl w:val="nil"/>
            </w:tcBorders>
            <w:vAlign w:val="center"/>
          </w:tcPr>
          <w:p w14:paraId="2DE58B78">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2001C6EC">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733C8CFF">
            <w:pPr>
              <w:pStyle w:val="195"/>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zh-CN"/>
              </w:rPr>
              <w:t>镉及其化合物</w:t>
            </w:r>
          </w:p>
        </w:tc>
        <w:tc>
          <w:tcPr>
            <w:tcW w:w="1083" w:type="dxa"/>
            <w:tcBorders>
              <w:tl2br w:val="nil"/>
              <w:tr2bl w:val="nil"/>
            </w:tcBorders>
            <w:vAlign w:val="center"/>
          </w:tcPr>
          <w:p w14:paraId="08BC64D9">
            <w:pPr>
              <w:jc w:val="center"/>
              <w:rPr>
                <w:rFonts w:hint="eastAsia"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74049932">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1432" w:type="dxa"/>
            <w:tcBorders>
              <w:tl2br w:val="nil"/>
              <w:tr2bl w:val="nil"/>
            </w:tcBorders>
            <w:vAlign w:val="center"/>
          </w:tcPr>
          <w:p w14:paraId="2ED088AD">
            <w:pPr>
              <w:widowControl w:val="0"/>
              <w:adjustRightInd w:val="0"/>
              <w:snapToGrid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未检出</w:t>
            </w:r>
          </w:p>
        </w:tc>
        <w:tc>
          <w:tcPr>
            <w:tcW w:w="699" w:type="dxa"/>
            <w:tcBorders>
              <w:tl2br w:val="nil"/>
              <w:tr2bl w:val="nil"/>
            </w:tcBorders>
            <w:vAlign w:val="center"/>
          </w:tcPr>
          <w:p w14:paraId="206F0523">
            <w:pPr>
              <w:widowControl w:val="0"/>
              <w:adjustRightInd w:val="0"/>
              <w:snapToGrid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598" w:type="dxa"/>
            <w:tcBorders>
              <w:tl2br w:val="nil"/>
              <w:tr2bl w:val="nil"/>
            </w:tcBorders>
            <w:vAlign w:val="center"/>
          </w:tcPr>
          <w:p w14:paraId="5E31B297">
            <w:pPr>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609" w:type="dxa"/>
            <w:tcBorders>
              <w:tl2br w:val="nil"/>
              <w:tr2bl w:val="nil"/>
            </w:tcBorders>
            <w:vAlign w:val="center"/>
          </w:tcPr>
          <w:p w14:paraId="5445451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01327075">
            <w:pPr>
              <w:widowControl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3.0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r>
      <w:tr w14:paraId="253C47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5" w:hRule="atLeast"/>
        </w:trPr>
        <w:tc>
          <w:tcPr>
            <w:tcW w:w="642" w:type="dxa"/>
            <w:vMerge w:val="continue"/>
            <w:tcBorders>
              <w:tl2br w:val="nil"/>
              <w:tr2bl w:val="nil"/>
            </w:tcBorders>
            <w:vAlign w:val="center"/>
          </w:tcPr>
          <w:p w14:paraId="34E727A8">
            <w:pPr>
              <w:jc w:val="center"/>
              <w:rPr>
                <w:rFonts w:hint="default" w:ascii="Times New Roman" w:hAnsi="Times New Roman" w:cs="Times New Roman"/>
                <w:color w:val="auto"/>
                <w:sz w:val="21"/>
                <w:szCs w:val="21"/>
                <w:highlight w:val="none"/>
                <w:u w:val="none"/>
                <w:lang w:eastAsia="zh-CN"/>
              </w:rPr>
            </w:pPr>
          </w:p>
        </w:tc>
        <w:tc>
          <w:tcPr>
            <w:tcW w:w="507" w:type="dxa"/>
            <w:vMerge w:val="continue"/>
            <w:tcBorders>
              <w:tl2br w:val="nil"/>
              <w:tr2bl w:val="nil"/>
            </w:tcBorders>
            <w:vAlign w:val="center"/>
          </w:tcPr>
          <w:p w14:paraId="608441B5">
            <w:pPr>
              <w:jc w:val="center"/>
              <w:rPr>
                <w:rFonts w:ascii="Times New Roman" w:hAnsi="Times New Roman" w:eastAsia="宋体" w:cs="Times New Roman"/>
                <w:caps w:val="0"/>
                <w:smallCaps w:val="0"/>
                <w:color w:val="auto"/>
                <w:spacing w:val="0"/>
                <w:sz w:val="21"/>
                <w:highlight w:val="none"/>
              </w:rPr>
            </w:pPr>
          </w:p>
        </w:tc>
        <w:tc>
          <w:tcPr>
            <w:tcW w:w="587" w:type="dxa"/>
            <w:vMerge w:val="continue"/>
            <w:tcBorders>
              <w:tl2br w:val="nil"/>
              <w:tr2bl w:val="nil"/>
            </w:tcBorders>
            <w:vAlign w:val="center"/>
          </w:tcPr>
          <w:p w14:paraId="34DC092C">
            <w:pPr>
              <w:jc w:val="center"/>
              <w:rPr>
                <w:rFonts w:ascii="Times New Roman" w:hAnsi="Times New Roman" w:eastAsia="宋体" w:cs="Times New Roman"/>
                <w:caps w:val="0"/>
                <w:smallCaps w:val="0"/>
                <w:color w:val="auto"/>
                <w:spacing w:val="0"/>
                <w:sz w:val="21"/>
                <w:highlight w:val="none"/>
              </w:rPr>
            </w:pPr>
          </w:p>
        </w:tc>
        <w:tc>
          <w:tcPr>
            <w:tcW w:w="1150" w:type="dxa"/>
            <w:tcBorders>
              <w:tl2br w:val="nil"/>
              <w:tr2bl w:val="nil"/>
            </w:tcBorders>
            <w:vAlign w:val="center"/>
          </w:tcPr>
          <w:p w14:paraId="74DC5C6E">
            <w:pPr>
              <w:widowControl w:val="0"/>
              <w:wordWrap w:val="0"/>
              <w:topLinePunct/>
              <w:adjustRightInd w:val="0"/>
              <w:snapToGrid w:val="0"/>
              <w:jc w:val="center"/>
              <w:textAlignment w:val="baseline"/>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氯化氢</w:t>
            </w:r>
          </w:p>
        </w:tc>
        <w:tc>
          <w:tcPr>
            <w:tcW w:w="1083" w:type="dxa"/>
            <w:tcBorders>
              <w:tl2br w:val="nil"/>
              <w:tr2bl w:val="nil"/>
            </w:tcBorders>
            <w:vAlign w:val="center"/>
          </w:tcPr>
          <w:p w14:paraId="22D7D586">
            <w:pPr>
              <w:jc w:val="center"/>
              <w:rPr>
                <w:rFonts w:hint="eastAsia"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1h平均</w:t>
            </w:r>
          </w:p>
        </w:tc>
        <w:tc>
          <w:tcPr>
            <w:tcW w:w="970" w:type="dxa"/>
            <w:tcBorders>
              <w:tl2br w:val="nil"/>
              <w:tr2bl w:val="nil"/>
            </w:tcBorders>
            <w:vAlign w:val="center"/>
          </w:tcPr>
          <w:p w14:paraId="5BDB6B1F">
            <w:pPr>
              <w:widowControl w:val="0"/>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0.05</w:t>
            </w:r>
          </w:p>
        </w:tc>
        <w:tc>
          <w:tcPr>
            <w:tcW w:w="1432" w:type="dxa"/>
            <w:tcBorders>
              <w:tl2br w:val="nil"/>
              <w:tr2bl w:val="nil"/>
            </w:tcBorders>
            <w:vAlign w:val="center"/>
          </w:tcPr>
          <w:p w14:paraId="2021CCE9">
            <w:pPr>
              <w:widowControl w:val="0"/>
              <w:adjustRightInd w:val="0"/>
              <w:snapToGrid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未检出（参照检出限一半0.01计算）</w:t>
            </w:r>
          </w:p>
        </w:tc>
        <w:tc>
          <w:tcPr>
            <w:tcW w:w="699" w:type="dxa"/>
            <w:tcBorders>
              <w:tl2br w:val="nil"/>
              <w:tr2bl w:val="nil"/>
            </w:tcBorders>
            <w:vAlign w:val="center"/>
          </w:tcPr>
          <w:p w14:paraId="5F0BACAD">
            <w:pPr>
              <w:widowControl w:val="0"/>
              <w:adjustRightInd w:val="0"/>
              <w:snapToGrid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20</w:t>
            </w:r>
          </w:p>
        </w:tc>
        <w:tc>
          <w:tcPr>
            <w:tcW w:w="598" w:type="dxa"/>
            <w:tcBorders>
              <w:tl2br w:val="nil"/>
              <w:tr2bl w:val="nil"/>
            </w:tcBorders>
            <w:vAlign w:val="center"/>
          </w:tcPr>
          <w:p w14:paraId="2383F875">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p>
        </w:tc>
        <w:tc>
          <w:tcPr>
            <w:tcW w:w="609" w:type="dxa"/>
            <w:tcBorders>
              <w:tl2br w:val="nil"/>
              <w:tr2bl w:val="nil"/>
            </w:tcBorders>
            <w:vAlign w:val="center"/>
          </w:tcPr>
          <w:p w14:paraId="6843133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达标</w:t>
            </w:r>
          </w:p>
        </w:tc>
        <w:tc>
          <w:tcPr>
            <w:tcW w:w="930" w:type="dxa"/>
            <w:tcBorders>
              <w:tl2br w:val="nil"/>
              <w:tr2bl w:val="nil"/>
            </w:tcBorders>
            <w:vAlign w:val="center"/>
          </w:tcPr>
          <w:p w14:paraId="2D24CE8C">
            <w:pPr>
              <w:widowControl w:val="0"/>
              <w:jc w:val="center"/>
              <w:rPr>
                <w:rFonts w:hint="eastAsia"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0.02</w:t>
            </w:r>
          </w:p>
        </w:tc>
      </w:tr>
    </w:tbl>
    <w:p w14:paraId="4984D511">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评价结果表明，评价区内各污染物占标百分比均无大于100%情况出现，均能够满足浓度限值要求。</w:t>
      </w:r>
    </w:p>
    <w:p w14:paraId="277927B1">
      <w:pPr>
        <w:pStyle w:val="114"/>
        <w:rPr>
          <w:rFonts w:ascii="Times New Roman" w:hAnsi="Times New Roman" w:cs="Times New Roman"/>
          <w:caps w:val="0"/>
          <w:smallCaps w:val="0"/>
          <w:color w:val="auto"/>
          <w:spacing w:val="0"/>
          <w:sz w:val="28"/>
          <w:szCs w:val="28"/>
          <w:highlight w:val="none"/>
        </w:rPr>
      </w:pPr>
      <w:bookmarkStart w:id="136" w:name="_Toc504745784"/>
      <w:bookmarkStart w:id="137" w:name="_Toc486865328"/>
      <w:bookmarkStart w:id="138" w:name="_Toc505951155"/>
      <w:bookmarkStart w:id="139" w:name="_Toc491703406"/>
      <w:bookmarkStart w:id="140" w:name="_Toc477951971"/>
      <w:r>
        <w:rPr>
          <w:rFonts w:ascii="Times New Roman" w:hAnsi="Times New Roman" w:cs="Times New Roman"/>
          <w:caps w:val="0"/>
          <w:smallCaps w:val="0"/>
          <w:color w:val="auto"/>
          <w:spacing w:val="0"/>
          <w:sz w:val="28"/>
          <w:szCs w:val="28"/>
          <w:highlight w:val="none"/>
        </w:rPr>
        <w:t>4.4.2.3现状评价及结论</w:t>
      </w:r>
      <w:bookmarkEnd w:id="136"/>
      <w:bookmarkEnd w:id="137"/>
      <w:bookmarkEnd w:id="138"/>
      <w:bookmarkEnd w:id="139"/>
    </w:p>
    <w:p w14:paraId="0F5F57C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w:t>
      </w:r>
      <w:r>
        <w:rPr>
          <w:rFonts w:ascii="Times New Roman" w:hAnsi="Times New Roman" w:eastAsia="宋体" w:cs="Times New Roman"/>
          <w:caps w:val="0"/>
          <w:smallCaps w:val="0"/>
          <w:color w:val="auto"/>
          <w:spacing w:val="0"/>
          <w:kern w:val="0"/>
          <w:szCs w:val="24"/>
          <w:highlight w:val="none"/>
        </w:rPr>
        <w:t>《2024年黑龙江省生态环境质量状况》可知</w:t>
      </w:r>
      <w:r>
        <w:rPr>
          <w:rFonts w:ascii="Times New Roman" w:hAnsi="Times New Roman" w:eastAsia="宋体" w:cs="Times New Roman"/>
          <w:caps w:val="0"/>
          <w:smallCaps w:val="0"/>
          <w:color w:val="auto"/>
          <w:spacing w:val="0"/>
          <w:highlight w:val="none"/>
        </w:rPr>
        <w:t>佳木斯市2024年环境空气质量达标区判定结果，项目所在区为达标区，空气环境质量总体良好。</w:t>
      </w:r>
    </w:p>
    <w:p w14:paraId="26C9418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补充监测期间监测点</w:t>
      </w:r>
      <w:r>
        <w:rPr>
          <w:rFonts w:hint="eastAsia" w:ascii="Times New Roman" w:hAnsi="Times New Roman" w:cs="Times New Roman"/>
          <w:caps w:val="0"/>
          <w:smallCaps w:val="0"/>
          <w:color w:val="auto"/>
          <w:spacing w:val="0"/>
          <w:szCs w:val="24"/>
          <w:highlight w:val="none"/>
        </w:rPr>
        <w:t>氮氧化物满足</w:t>
      </w:r>
      <w:r>
        <w:rPr>
          <w:rFonts w:ascii="Times New Roman" w:hAnsi="Times New Roman" w:eastAsia="宋体" w:cs="Times New Roman"/>
          <w:caps w:val="0"/>
          <w:smallCaps w:val="0"/>
          <w:color w:val="auto"/>
          <w:spacing w:val="0"/>
          <w:szCs w:val="24"/>
          <w:highlight w:val="none"/>
        </w:rPr>
        <w:t>《环境空气质量标准》（GB3095－2012）</w:t>
      </w:r>
      <w:r>
        <w:rPr>
          <w:rFonts w:hint="eastAsia" w:ascii="Times New Roman" w:hAnsi="Times New Roman" w:eastAsia="宋体" w:cs="Times New Roman"/>
          <w:caps w:val="0"/>
          <w:smallCaps w:val="0"/>
          <w:color w:val="auto"/>
          <w:spacing w:val="0"/>
          <w:szCs w:val="24"/>
          <w:highlight w:val="none"/>
        </w:rPr>
        <w:t>表2中二级标准24小时平均浓度限值；</w:t>
      </w:r>
      <w:r>
        <w:rPr>
          <w:rFonts w:ascii="Times New Roman" w:hAnsi="Times New Roman" w:eastAsia="宋体" w:cs="Times New Roman"/>
          <w:caps w:val="0"/>
          <w:smallCaps w:val="0"/>
          <w:color w:val="auto"/>
          <w:spacing w:val="0"/>
          <w:szCs w:val="24"/>
          <w:highlight w:val="none"/>
        </w:rPr>
        <w:t>HCl</w:t>
      </w:r>
      <w:r>
        <w:rPr>
          <w:rFonts w:hint="eastAsia" w:ascii="Times New Roman" w:hAnsi="Times New Roman" w:eastAsia="宋体" w:cs="Times New Roman"/>
          <w:caps w:val="0"/>
          <w:smallCaps w:val="0"/>
          <w:color w:val="auto"/>
          <w:spacing w:val="0"/>
          <w:szCs w:val="24"/>
          <w:highlight w:val="none"/>
        </w:rPr>
        <w:t>满足</w:t>
      </w:r>
      <w:r>
        <w:rPr>
          <w:rFonts w:ascii="Times New Roman" w:hAnsi="Times New Roman" w:eastAsia="宋体" w:cs="Times New Roman"/>
          <w:caps w:val="0"/>
          <w:smallCaps w:val="0"/>
          <w:color w:val="auto"/>
          <w:spacing w:val="0"/>
          <w:szCs w:val="24"/>
          <w:highlight w:val="none"/>
        </w:rPr>
        <w:t>《环境影响评价技术导则大气环境》附录D</w:t>
      </w:r>
      <w:r>
        <w:rPr>
          <w:rFonts w:ascii="Times New Roman" w:hAnsi="Times New Roman" w:eastAsia="宋体" w:cs="Times New Roman"/>
          <w:caps w:val="0"/>
          <w:smallCaps w:val="0"/>
          <w:color w:val="auto"/>
          <w:spacing w:val="0"/>
          <w:highlight w:val="none"/>
        </w:rPr>
        <w:t>中1h平均</w:t>
      </w:r>
      <w:r>
        <w:rPr>
          <w:rFonts w:ascii="Times New Roman" w:hAnsi="Times New Roman" w:eastAsia="宋体" w:cs="Times New Roman"/>
          <w:caps w:val="0"/>
          <w:smallCaps w:val="0"/>
          <w:color w:val="auto"/>
          <w:spacing w:val="0"/>
          <w:szCs w:val="24"/>
          <w:highlight w:val="none"/>
        </w:rPr>
        <w:t>浓度限值</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highlight w:val="none"/>
        </w:rPr>
        <w:t>非甲烷总烃均满足《大气污染物综合排放标准》（GB16297--1996）中浓度限值要求。</w:t>
      </w:r>
    </w:p>
    <w:bookmarkEnd w:id="140"/>
    <w:p w14:paraId="265602FC">
      <w:pPr>
        <w:pStyle w:val="5"/>
        <w:widowControl w:val="0"/>
        <w:rPr>
          <w:rFonts w:eastAsia="宋体"/>
          <w:caps w:val="0"/>
          <w:smallCaps w:val="0"/>
          <w:color w:val="auto"/>
          <w:spacing w:val="0"/>
          <w:sz w:val="30"/>
          <w:szCs w:val="30"/>
          <w:highlight w:val="none"/>
        </w:rPr>
      </w:pPr>
      <w:bookmarkStart w:id="141" w:name="_Toc314566073"/>
      <w:bookmarkStart w:id="142" w:name="_Toc477951973"/>
      <w:bookmarkStart w:id="143" w:name="_Toc316543951"/>
      <w:bookmarkStart w:id="144" w:name="_Toc417023525"/>
      <w:bookmarkStart w:id="145" w:name="_Toc26790"/>
      <w:r>
        <w:rPr>
          <w:rFonts w:eastAsia="宋体"/>
          <w:caps w:val="0"/>
          <w:smallCaps w:val="0"/>
          <w:color w:val="auto"/>
          <w:spacing w:val="0"/>
          <w:sz w:val="30"/>
          <w:szCs w:val="30"/>
          <w:highlight w:val="none"/>
        </w:rPr>
        <w:t>4.4.3声环境质量现状评价</w:t>
      </w:r>
      <w:bookmarkEnd w:id="141"/>
      <w:bookmarkEnd w:id="142"/>
      <w:bookmarkEnd w:id="143"/>
      <w:bookmarkEnd w:id="144"/>
      <w:bookmarkEnd w:id="145"/>
    </w:p>
    <w:p w14:paraId="278D49FA">
      <w:pPr>
        <w:widowControl w:val="0"/>
        <w:autoSpaceDE w:val="0"/>
        <w:autoSpaceDN w:val="0"/>
        <w:adjustRightInd w:val="0"/>
        <w:spacing w:line="360" w:lineRule="auto"/>
        <w:ind w:firstLine="480" w:firstLineChars="200"/>
        <w:textAlignment w:val="bottom"/>
        <w:rPr>
          <w:rFonts w:ascii="Times New Roman" w:hAnsi="Times New Roman" w:eastAsia="宋体" w:cs="Times New Roman"/>
          <w:caps w:val="0"/>
          <w:smallCaps w:val="0"/>
          <w:color w:val="auto"/>
          <w:spacing w:val="0"/>
          <w:highlight w:val="none"/>
          <w:lang w:val="zh-CN"/>
        </w:rPr>
      </w:pPr>
      <w:r>
        <w:rPr>
          <w:rFonts w:ascii="Times New Roman" w:hAnsi="Times New Roman" w:eastAsia="宋体" w:cs="Times New Roman"/>
          <w:bCs/>
          <w:iCs/>
          <w:caps w:val="0"/>
          <w:smallCaps w:val="0"/>
          <w:color w:val="auto"/>
          <w:spacing w:val="0"/>
          <w:kern w:val="0"/>
          <w:highlight w:val="none"/>
        </w:rPr>
        <w:t>项目所在区域为《佳木斯市声功能区划》中的3类区，环境噪声执行《声环境质量标准》（GB3096－2008）中</w:t>
      </w:r>
      <w:r>
        <w:rPr>
          <w:rFonts w:ascii="Times New Roman" w:hAnsi="Times New Roman" w:eastAsia="宋体" w:cs="Times New Roman"/>
          <w:bCs/>
          <w:iCs/>
          <w:caps w:val="0"/>
          <w:smallCaps w:val="0"/>
          <w:color w:val="auto"/>
          <w:spacing w:val="0"/>
          <w:kern w:val="0"/>
          <w:highlight w:val="none"/>
        </w:rPr>
        <w:t>3类</w:t>
      </w:r>
      <w:r>
        <w:rPr>
          <w:rFonts w:hint="eastAsia" w:ascii="Times New Roman" w:hAnsi="Times New Roman" w:eastAsia="宋体" w:cs="Times New Roman"/>
          <w:bCs/>
          <w:iCs/>
          <w:caps w:val="0"/>
          <w:smallCaps w:val="0"/>
          <w:color w:val="auto"/>
          <w:spacing w:val="0"/>
          <w:kern w:val="0"/>
          <w:highlight w:val="none"/>
          <w:lang w:val="en-US" w:eastAsia="zh-CN"/>
        </w:rPr>
        <w:t>和4a类</w:t>
      </w:r>
      <w:r>
        <w:rPr>
          <w:rFonts w:ascii="Times New Roman" w:hAnsi="Times New Roman" w:eastAsia="宋体" w:cs="Times New Roman"/>
          <w:bCs/>
          <w:iCs/>
          <w:caps w:val="0"/>
          <w:smallCaps w:val="0"/>
          <w:color w:val="auto"/>
          <w:spacing w:val="0"/>
          <w:kern w:val="0"/>
          <w:highlight w:val="none"/>
        </w:rPr>
        <w:t>标准</w:t>
      </w:r>
      <w:r>
        <w:rPr>
          <w:rFonts w:ascii="Times New Roman" w:hAnsi="Times New Roman" w:eastAsia="宋体" w:cs="Times New Roman"/>
          <w:bCs/>
          <w:iCs/>
          <w:caps w:val="0"/>
          <w:smallCaps w:val="0"/>
          <w:color w:val="auto"/>
          <w:spacing w:val="0"/>
          <w:highlight w:val="none"/>
        </w:rPr>
        <w:t>。</w:t>
      </w:r>
    </w:p>
    <w:p w14:paraId="50F413CE">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（1）监测内容</w:t>
      </w:r>
    </w:p>
    <w:p w14:paraId="2C5602F4">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厂址四周厂界的噪声值，Leq[dB(A)]。</w:t>
      </w:r>
    </w:p>
    <w:p w14:paraId="62115685">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（2）监测点布设</w:t>
      </w:r>
    </w:p>
    <w:p w14:paraId="13E7EEA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在厂界周边东、南、西、北四个方向布设4个监测点位。具体监测点位详见图4.4-2。</w:t>
      </w:r>
    </w:p>
    <w:p w14:paraId="471C25D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mc:AlternateContent>
          <mc:Choice Requires="wps">
            <w:drawing>
              <wp:anchor distT="0" distB="0" distL="114300" distR="114300" simplePos="0" relativeHeight="251670528" behindDoc="0" locked="0" layoutInCell="1" allowOverlap="1">
                <wp:simplePos x="0" y="0"/>
                <wp:positionH relativeFrom="column">
                  <wp:posOffset>4695190</wp:posOffset>
                </wp:positionH>
                <wp:positionV relativeFrom="paragraph">
                  <wp:posOffset>2962275</wp:posOffset>
                </wp:positionV>
                <wp:extent cx="148590" cy="127000"/>
                <wp:effectExtent l="12700" t="12700" r="29210" b="12700"/>
                <wp:wrapNone/>
                <wp:docPr id="47" name="等腰三角形 47"/>
                <wp:cNvGraphicFramePr/>
                <a:graphic xmlns:a="http://schemas.openxmlformats.org/drawingml/2006/main">
                  <a:graphicData uri="http://schemas.microsoft.com/office/word/2010/wordprocessingShape">
                    <wps:wsp>
                      <wps:cNvSpPr/>
                      <wps:spPr>
                        <a:xfrm>
                          <a:off x="5558155" y="6026150"/>
                          <a:ext cx="148590" cy="127000"/>
                        </a:xfrm>
                        <a:prstGeom prst="triangl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69.7pt;margin-top:233.25pt;height:10pt;width:11.7pt;z-index:251670528;v-text-anchor:middle;mso-width-relative:page;mso-height-relative:page;" filled="f" stroked="t" coordsize="21600,21600" o:gfxdata="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WqyvRNkAAAALAQAADwAAAAAAAAAB&#10;ACAAAAAiAAAAZHJzL2Rvd25yZXYueG1sUEsBAhQAFAAAAAgAh07iQIltzcCBAgAAzgQAAA4AAAAA&#10;AAAAAQAgAAAAKAEAAGRycy9lMm9Eb2MueG1sUEsFBgAAAAAGAAYAWQEAABsGAAAAAA==&#10;" adj="10800">
                <v:fill on="f" focussize="0,0"/>
                <v:stroke weight="2pt" color="#FF0000 [2404]" joinstyle="round"/>
                <v:imagedata o:title=""/>
                <o:lock v:ext="edit" aspectratio="f"/>
              </v:shape>
            </w:pict>
          </mc:Fallback>
        </mc:AlternateContent>
      </w:r>
      <w:r>
        <w:rPr>
          <w:rFonts w:eastAsia="宋体"/>
          <w:caps w:val="0"/>
          <w:smallCaps w:val="0"/>
          <w:color w:val="auto"/>
          <w:spacing w:val="0"/>
          <w:highlight w:val="none"/>
        </w:rPr>
        <mc:AlternateContent>
          <mc:Choice Requires="wps">
            <w:drawing>
              <wp:anchor distT="0" distB="0" distL="114300" distR="114300" simplePos="0" relativeHeight="251669504" behindDoc="0" locked="0" layoutInCell="1" allowOverlap="1">
                <wp:simplePos x="0" y="0"/>
                <wp:positionH relativeFrom="column">
                  <wp:posOffset>4687570</wp:posOffset>
                </wp:positionH>
                <wp:positionV relativeFrom="paragraph">
                  <wp:posOffset>2761615</wp:posOffset>
                </wp:positionV>
                <wp:extent cx="208280" cy="96520"/>
                <wp:effectExtent l="12700" t="12700" r="26670" b="24130"/>
                <wp:wrapNone/>
                <wp:docPr id="35" name="矩形 35"/>
                <wp:cNvGraphicFramePr/>
                <a:graphic xmlns:a="http://schemas.openxmlformats.org/drawingml/2006/main">
                  <a:graphicData uri="http://schemas.microsoft.com/office/word/2010/wordprocessingShape">
                    <wps:wsp>
                      <wps:cNvSpPr/>
                      <wps:spPr>
                        <a:xfrm>
                          <a:off x="5588000" y="5810885"/>
                          <a:ext cx="208280" cy="9652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9.1pt;margin-top:217.45pt;height:7.6pt;width:16.4pt;z-index:251669504;v-text-anchor:middle;mso-width-relative:page;mso-height-relative:page;" filled="f" stroked="t" coordsize="21600,21600" o:gfxdata="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O45aXaAAAACwEAAA8AAAAAAAAAAQAgAAAAIgAAAGRycy9kb3ducmV2Lnht&#10;bFBLAQIUABQAAAAIAIdO4kADMxWPaQIAAMAEAAAOAAAAAAAAAAEAIAAAACkBAABkcnMvZTJvRG9j&#10;LnhtbFBLBQYAAAAABgAGAFkBAAAEBgAAAAA=&#10;">
                <v:fill on="f" focussize="0,0"/>
                <v:stroke weight="2pt" color="#FF0000 [2404]" joinstyle="round"/>
                <v:imagedata o:title=""/>
                <o:lock v:ext="edit" aspectratio="f"/>
              </v:rect>
            </w:pict>
          </mc:Fallback>
        </mc:AlternateContent>
      </w:r>
      <w:r>
        <w:rPr>
          <w:rFonts w:eastAsia="宋体"/>
          <w:caps w:val="0"/>
          <w:smallCaps w:val="0"/>
          <w:color w:val="auto"/>
          <w:spacing w:val="0"/>
          <w:highlight w:val="none"/>
        </w:rPr>
        <mc:AlternateContent>
          <mc:Choice Requires="wps">
            <w:drawing>
              <wp:anchor distT="0" distB="0" distL="114300" distR="114300" simplePos="0" relativeHeight="251668480" behindDoc="0" locked="0" layoutInCell="1" allowOverlap="1">
                <wp:simplePos x="0" y="0"/>
                <wp:positionH relativeFrom="column">
                  <wp:posOffset>4572635</wp:posOffset>
                </wp:positionH>
                <wp:positionV relativeFrom="paragraph">
                  <wp:posOffset>2535555</wp:posOffset>
                </wp:positionV>
                <wp:extent cx="886460" cy="608965"/>
                <wp:effectExtent l="5080" t="4445" r="22860" b="15240"/>
                <wp:wrapNone/>
                <wp:docPr id="34" name="文本框 34"/>
                <wp:cNvGraphicFramePr/>
                <a:graphic xmlns:a="http://schemas.openxmlformats.org/drawingml/2006/main">
                  <a:graphicData uri="http://schemas.microsoft.com/office/word/2010/wordprocessingShape">
                    <wps:wsp>
                      <wps:cNvSpPr txBox="1"/>
                      <wps:spPr>
                        <a:xfrm>
                          <a:off x="0" y="0"/>
                          <a:ext cx="886460" cy="6089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4D0F8F6">
                            <w:pPr>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图例</w:t>
                            </w:r>
                          </w:p>
                          <w:p w14:paraId="35BA69AA">
                            <w:pPr>
                              <w:pStyle w:val="13"/>
                              <w:spacing w:after="0" w:line="360" w:lineRule="auto"/>
                              <w:ind w:firstLine="360" w:firstLineChars="200"/>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项目边</w:t>
                            </w:r>
                            <w:r>
                              <w:rPr>
                                <w:rFonts w:ascii="Times New Roman" w:hAnsi="Times New Roman" w:cs="Times New Roman" w:eastAsiaTheme="minorEastAsia"/>
                                <w:sz w:val="18"/>
                                <w:szCs w:val="18"/>
                              </w:rPr>
                              <w:t>界</w:t>
                            </w:r>
                          </w:p>
                          <w:p w14:paraId="2A7CAE87">
                            <w:pPr>
                              <w:spacing w:line="360" w:lineRule="auto"/>
                              <w:ind w:firstLine="360" w:firstLineChars="200"/>
                              <w:rPr>
                                <w:rFonts w:ascii="Times New Roman" w:hAnsi="Times New Roman" w:cs="Times New Roman" w:eastAsiaTheme="minorEastAsia"/>
                                <w:sz w:val="18"/>
                                <w:szCs w:val="18"/>
                              </w:rPr>
                            </w:pPr>
                            <w:r>
                              <w:rPr>
                                <w:rFonts w:ascii="Times New Roman" w:hAnsi="Times New Roman" w:cs="Times New Roman" w:eastAsiaTheme="minorEastAsia"/>
                                <w:sz w:val="18"/>
                                <w:szCs w:val="18"/>
                              </w:rPr>
                              <w:t>监测点</w:t>
                            </w:r>
                            <w:r>
                              <w:rPr>
                                <w:rFonts w:hint="eastAsia" w:ascii="Times New Roman" w:hAnsi="Times New Roman" w:cs="Times New Roman" w:eastAsiaTheme="minorEastAsia"/>
                                <w:sz w:val="18"/>
                                <w:szCs w:val="18"/>
                              </w:rPr>
                              <w:t>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05pt;margin-top:199.65pt;height:47.95pt;width:69.8pt;z-index:251668480;mso-width-relative:page;mso-height-relative:page;" fillcolor="#FFFFFF [3201]" filled="t" stroked="t" coordsize="21600,21600" o:gfxdata="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ulnudkA&#10;AAALAQAADwAAAAAAAAABACAAAAAiAAAAZHJzL2Rvd25yZXYueG1sUEsBAhQAFAAAAAgAh07iQM8H&#10;dNtXAgAAuAQAAA4AAAAAAAAAAQAgAAAAKAEAAGRycy9lMm9Eb2MueG1sUEsFBgAAAAAGAAYAWQEA&#10;APEFAAAAAA==&#10;">
                <v:fill on="t" focussize="0,0"/>
                <v:stroke weight="0.5pt" color="#000000 [3204]" joinstyle="round"/>
                <v:imagedata o:title=""/>
                <o:lock v:ext="edit" aspectratio="f"/>
                <v:textbox>
                  <w:txbxContent>
                    <w:p w14:paraId="44D0F8F6">
                      <w:pPr>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图例</w:t>
                      </w:r>
                    </w:p>
                    <w:p w14:paraId="35BA69AA">
                      <w:pPr>
                        <w:pStyle w:val="13"/>
                        <w:spacing w:after="0" w:line="360" w:lineRule="auto"/>
                        <w:ind w:firstLine="360" w:firstLineChars="200"/>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项目边</w:t>
                      </w:r>
                      <w:r>
                        <w:rPr>
                          <w:rFonts w:ascii="Times New Roman" w:hAnsi="Times New Roman" w:cs="Times New Roman" w:eastAsiaTheme="minorEastAsia"/>
                          <w:sz w:val="18"/>
                          <w:szCs w:val="18"/>
                        </w:rPr>
                        <w:t>界</w:t>
                      </w:r>
                    </w:p>
                    <w:p w14:paraId="2A7CAE87">
                      <w:pPr>
                        <w:spacing w:line="360" w:lineRule="auto"/>
                        <w:ind w:firstLine="360" w:firstLineChars="200"/>
                        <w:rPr>
                          <w:rFonts w:ascii="Times New Roman" w:hAnsi="Times New Roman" w:cs="Times New Roman" w:eastAsiaTheme="minorEastAsia"/>
                          <w:sz w:val="18"/>
                          <w:szCs w:val="18"/>
                        </w:rPr>
                      </w:pPr>
                      <w:r>
                        <w:rPr>
                          <w:rFonts w:ascii="Times New Roman" w:hAnsi="Times New Roman" w:cs="Times New Roman" w:eastAsiaTheme="minorEastAsia"/>
                          <w:sz w:val="18"/>
                          <w:szCs w:val="18"/>
                        </w:rPr>
                        <w:t>监测点</w:t>
                      </w:r>
                      <w:r>
                        <w:rPr>
                          <w:rFonts w:hint="eastAsia" w:ascii="Times New Roman" w:hAnsi="Times New Roman" w:cs="Times New Roman" w:eastAsiaTheme="minorEastAsia"/>
                          <w:sz w:val="18"/>
                          <w:szCs w:val="18"/>
                        </w:rPr>
                        <w:t>位</w:t>
                      </w:r>
                    </w:p>
                  </w:txbxContent>
                </v:textbox>
              </v:shape>
            </w:pict>
          </mc:Fallback>
        </mc:AlternateContent>
      </w:r>
      <w:r>
        <w:rPr>
          <w:rFonts w:eastAsia="宋体"/>
          <w:caps w:val="0"/>
          <w:smallCaps w:val="0"/>
          <w:color w:val="auto"/>
          <w:spacing w:val="0"/>
          <w:highlight w:val="none"/>
        </w:rPr>
        <w:drawing>
          <wp:anchor distT="0" distB="0" distL="114300" distR="114300" simplePos="0" relativeHeight="251664384" behindDoc="0" locked="0" layoutInCell="1" allowOverlap="1">
            <wp:simplePos x="0" y="0"/>
            <wp:positionH relativeFrom="column">
              <wp:posOffset>4812030</wp:posOffset>
            </wp:positionH>
            <wp:positionV relativeFrom="paragraph">
              <wp:posOffset>32385</wp:posOffset>
            </wp:positionV>
            <wp:extent cx="621665" cy="647065"/>
            <wp:effectExtent l="0" t="0" r="6985" b="635"/>
            <wp:wrapNone/>
            <wp:docPr id="9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21665" cy="647065"/>
                    </a:xfrm>
                    <a:prstGeom prst="rect">
                      <a:avLst/>
                    </a:prstGeom>
                    <a:noFill/>
                    <a:ln>
                      <a:noFill/>
                    </a:ln>
                  </pic:spPr>
                </pic:pic>
              </a:graphicData>
            </a:graphic>
          </wp:anchor>
        </w:drawing>
      </w:r>
      <w:r>
        <w:rPr>
          <w:rFonts w:eastAsia="宋体"/>
          <w:caps w:val="0"/>
          <w:smallCaps w:val="0"/>
          <w:color w:val="auto"/>
          <w:spacing w:val="0"/>
          <w:highlight w:val="none"/>
        </w:rPr>
        <w:drawing>
          <wp:inline distT="0" distB="0" distL="114300" distR="114300">
            <wp:extent cx="5170805" cy="3154680"/>
            <wp:effectExtent l="0" t="0" r="10795" b="762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7"/>
                    <a:stretch>
                      <a:fillRect/>
                    </a:stretch>
                  </pic:blipFill>
                  <pic:spPr>
                    <a:xfrm>
                      <a:off x="0" y="0"/>
                      <a:ext cx="5170805" cy="3154680"/>
                    </a:xfrm>
                    <a:prstGeom prst="rect">
                      <a:avLst/>
                    </a:prstGeom>
                    <a:noFill/>
                    <a:ln>
                      <a:noFill/>
                    </a:ln>
                  </pic:spPr>
                </pic:pic>
              </a:graphicData>
            </a:graphic>
          </wp:inline>
        </w:drawing>
      </w:r>
    </w:p>
    <w:p w14:paraId="2E29C8F9">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iCs/>
          <w:caps w:val="0"/>
          <w:smallCaps w:val="0"/>
          <w:color w:val="auto"/>
          <w:spacing w:val="0"/>
          <w:szCs w:val="24"/>
          <w:highlight w:val="none"/>
        </w:rPr>
        <w:t>图4.4-2噪声监测布点图</w:t>
      </w:r>
    </w:p>
    <w:p w14:paraId="1FEC0EA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（3）监测方法</w:t>
      </w:r>
    </w:p>
    <w:p w14:paraId="194A49FF">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按照《声环境质量标准》（GB3096-2008）中的有关规定执行。</w:t>
      </w:r>
    </w:p>
    <w:p w14:paraId="55348442">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（4）监测时间</w:t>
      </w:r>
    </w:p>
    <w:p w14:paraId="48AB1C30">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监测时间为2025年7月14日-2025年7月15日，监测2天，分昼、夜两个时段进行监测。</w:t>
      </w:r>
    </w:p>
    <w:p w14:paraId="4299FBD7">
      <w:pPr>
        <w:pStyle w:val="65"/>
        <w:widowControl w:val="0"/>
        <w:ind w:firstLine="480"/>
        <w:rPr>
          <w:rFonts w:eastAsia="宋体"/>
          <w:b/>
          <w:bCs/>
          <w:iCs/>
          <w:caps w:val="0"/>
          <w:smallCaps w:val="0"/>
          <w:color w:val="auto"/>
          <w:spacing w:val="0"/>
          <w:highlight w:val="none"/>
        </w:rPr>
      </w:pPr>
      <w:r>
        <w:rPr>
          <w:rFonts w:eastAsia="宋体"/>
          <w:caps w:val="0"/>
          <w:smallCaps w:val="0"/>
          <w:color w:val="auto"/>
          <w:spacing w:val="0"/>
          <w:highlight w:val="none"/>
        </w:rPr>
        <w:t>（5）监测结果</w:t>
      </w:r>
    </w:p>
    <w:p w14:paraId="35C601F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监测结果见表4.4-6。</w:t>
      </w:r>
    </w:p>
    <w:p w14:paraId="4C4CDF2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highlight w:val="none"/>
        </w:rPr>
        <w:t>表4.4-6噪声监测结果</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77"/>
        <w:gridCol w:w="1779"/>
        <w:gridCol w:w="1488"/>
        <w:gridCol w:w="1637"/>
        <w:gridCol w:w="1505"/>
      </w:tblGrid>
      <w:tr w14:paraId="36129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7" w:type="dxa"/>
            <w:vMerge w:val="restart"/>
            <w:tcBorders>
              <w:tl2br w:val="nil"/>
              <w:tr2bl w:val="nil"/>
            </w:tcBorders>
            <w:vAlign w:val="center"/>
          </w:tcPr>
          <w:p w14:paraId="673F9306">
            <w:pPr>
              <w:widowControl w:val="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时间</w:t>
            </w:r>
          </w:p>
          <w:p w14:paraId="19BCDB0F">
            <w:pPr>
              <w:widowControl w:val="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点位</w:t>
            </w:r>
          </w:p>
        </w:tc>
        <w:tc>
          <w:tcPr>
            <w:tcW w:w="3267" w:type="dxa"/>
            <w:gridSpan w:val="2"/>
            <w:tcBorders>
              <w:tl2br w:val="nil"/>
              <w:tr2bl w:val="nil"/>
            </w:tcBorders>
            <w:vAlign w:val="center"/>
          </w:tcPr>
          <w:p w14:paraId="71F69563">
            <w:pPr>
              <w:widowControl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2025年7月14日</w:t>
            </w:r>
          </w:p>
        </w:tc>
        <w:tc>
          <w:tcPr>
            <w:tcW w:w="3142" w:type="dxa"/>
            <w:gridSpan w:val="2"/>
            <w:tcBorders>
              <w:tl2br w:val="nil"/>
              <w:tr2bl w:val="nil"/>
            </w:tcBorders>
            <w:vAlign w:val="center"/>
          </w:tcPr>
          <w:p w14:paraId="554A44AA">
            <w:pPr>
              <w:widowControl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2025年7月15日</w:t>
            </w:r>
          </w:p>
        </w:tc>
      </w:tr>
      <w:tr w14:paraId="4681D2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7" w:type="dxa"/>
            <w:vMerge w:val="continue"/>
            <w:tcBorders>
              <w:tl2br w:val="nil"/>
              <w:tr2bl w:val="nil"/>
            </w:tcBorders>
            <w:vAlign w:val="center"/>
          </w:tcPr>
          <w:p w14:paraId="7BA78DC8">
            <w:pPr>
              <w:widowControl w:val="0"/>
              <w:jc w:val="center"/>
              <w:rPr>
                <w:rFonts w:ascii="Times New Roman" w:hAnsi="Times New Roman" w:eastAsia="宋体" w:cs="Times New Roman"/>
                <w:b/>
                <w:caps w:val="0"/>
                <w:smallCaps w:val="0"/>
                <w:color w:val="auto"/>
                <w:spacing w:val="0"/>
                <w:sz w:val="21"/>
                <w:highlight w:val="none"/>
              </w:rPr>
            </w:pPr>
          </w:p>
        </w:tc>
        <w:tc>
          <w:tcPr>
            <w:tcW w:w="1779" w:type="dxa"/>
            <w:tcBorders>
              <w:tl2br w:val="nil"/>
              <w:tr2bl w:val="nil"/>
            </w:tcBorders>
            <w:vAlign w:val="center"/>
          </w:tcPr>
          <w:p w14:paraId="5FBC6950">
            <w:pPr>
              <w:widowControl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昼间dB(A)</w:t>
            </w:r>
          </w:p>
        </w:tc>
        <w:tc>
          <w:tcPr>
            <w:tcW w:w="1488" w:type="dxa"/>
            <w:tcBorders>
              <w:tl2br w:val="nil"/>
              <w:tr2bl w:val="nil"/>
            </w:tcBorders>
            <w:vAlign w:val="center"/>
          </w:tcPr>
          <w:p w14:paraId="6DC6BD5F">
            <w:pPr>
              <w:widowControl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夜间dB(A)</w:t>
            </w:r>
          </w:p>
        </w:tc>
        <w:tc>
          <w:tcPr>
            <w:tcW w:w="1637" w:type="dxa"/>
            <w:tcBorders>
              <w:tl2br w:val="nil"/>
              <w:tr2bl w:val="nil"/>
            </w:tcBorders>
            <w:vAlign w:val="center"/>
          </w:tcPr>
          <w:p w14:paraId="4CEF8362">
            <w:pPr>
              <w:widowControl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昼间dB(A)</w:t>
            </w:r>
          </w:p>
        </w:tc>
        <w:tc>
          <w:tcPr>
            <w:tcW w:w="1505" w:type="dxa"/>
            <w:tcBorders>
              <w:tl2br w:val="nil"/>
              <w:tr2bl w:val="nil"/>
            </w:tcBorders>
            <w:vAlign w:val="center"/>
          </w:tcPr>
          <w:p w14:paraId="5D7B1F6A">
            <w:pPr>
              <w:widowControl w:val="0"/>
              <w:spacing w:before="48" w:beforeLines="20" w:after="48" w:afterLines="20"/>
              <w:jc w:val="center"/>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夜间dB(A)</w:t>
            </w:r>
          </w:p>
        </w:tc>
      </w:tr>
      <w:tr w14:paraId="018651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7" w:type="dxa"/>
            <w:tcBorders>
              <w:tl2br w:val="nil"/>
              <w:tr2bl w:val="nil"/>
            </w:tcBorders>
            <w:vAlign w:val="center"/>
          </w:tcPr>
          <w:p w14:paraId="0425CB5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东厂界</w:t>
            </w:r>
          </w:p>
        </w:tc>
        <w:tc>
          <w:tcPr>
            <w:tcW w:w="1779" w:type="dxa"/>
            <w:tcBorders>
              <w:tl2br w:val="nil"/>
              <w:tr2bl w:val="nil"/>
            </w:tcBorders>
            <w:vAlign w:val="center"/>
          </w:tcPr>
          <w:p w14:paraId="364D72ED">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54</w:t>
            </w:r>
          </w:p>
        </w:tc>
        <w:tc>
          <w:tcPr>
            <w:tcW w:w="1488" w:type="dxa"/>
            <w:tcBorders>
              <w:tl2br w:val="nil"/>
              <w:tr2bl w:val="nil"/>
            </w:tcBorders>
            <w:vAlign w:val="center"/>
          </w:tcPr>
          <w:p w14:paraId="0D650913">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44</w:t>
            </w:r>
          </w:p>
        </w:tc>
        <w:tc>
          <w:tcPr>
            <w:tcW w:w="1637" w:type="dxa"/>
            <w:tcBorders>
              <w:tl2br w:val="nil"/>
              <w:tr2bl w:val="nil"/>
            </w:tcBorders>
            <w:vAlign w:val="center"/>
          </w:tcPr>
          <w:p w14:paraId="5D06A534">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51</w:t>
            </w:r>
          </w:p>
        </w:tc>
        <w:tc>
          <w:tcPr>
            <w:tcW w:w="1505" w:type="dxa"/>
            <w:tcBorders>
              <w:tl2br w:val="nil"/>
              <w:tr2bl w:val="nil"/>
            </w:tcBorders>
            <w:vAlign w:val="center"/>
          </w:tcPr>
          <w:p w14:paraId="3CC50C2C">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44</w:t>
            </w:r>
          </w:p>
        </w:tc>
      </w:tr>
      <w:tr w14:paraId="3D851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7" w:type="dxa"/>
            <w:tcBorders>
              <w:tl2br w:val="nil"/>
              <w:tr2bl w:val="nil"/>
            </w:tcBorders>
            <w:vAlign w:val="center"/>
          </w:tcPr>
          <w:p w14:paraId="586DDC7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南厂界</w:t>
            </w:r>
          </w:p>
        </w:tc>
        <w:tc>
          <w:tcPr>
            <w:tcW w:w="1779" w:type="dxa"/>
            <w:tcBorders>
              <w:tl2br w:val="nil"/>
              <w:tr2bl w:val="nil"/>
            </w:tcBorders>
            <w:vAlign w:val="center"/>
          </w:tcPr>
          <w:p w14:paraId="30D28EDE">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51</w:t>
            </w:r>
          </w:p>
        </w:tc>
        <w:tc>
          <w:tcPr>
            <w:tcW w:w="1488" w:type="dxa"/>
            <w:tcBorders>
              <w:tl2br w:val="nil"/>
              <w:tr2bl w:val="nil"/>
            </w:tcBorders>
            <w:vAlign w:val="center"/>
          </w:tcPr>
          <w:p w14:paraId="1A9E62C2">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w:t>
            </w:r>
          </w:p>
        </w:tc>
        <w:tc>
          <w:tcPr>
            <w:tcW w:w="1637" w:type="dxa"/>
            <w:tcBorders>
              <w:tl2br w:val="nil"/>
              <w:tr2bl w:val="nil"/>
            </w:tcBorders>
            <w:vAlign w:val="center"/>
          </w:tcPr>
          <w:p w14:paraId="4CAE9FED">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52</w:t>
            </w:r>
          </w:p>
        </w:tc>
        <w:tc>
          <w:tcPr>
            <w:tcW w:w="1505" w:type="dxa"/>
            <w:tcBorders>
              <w:tl2br w:val="nil"/>
              <w:tr2bl w:val="nil"/>
            </w:tcBorders>
            <w:vAlign w:val="center"/>
          </w:tcPr>
          <w:p w14:paraId="4C4F3F87">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43</w:t>
            </w:r>
          </w:p>
        </w:tc>
      </w:tr>
      <w:tr w14:paraId="59010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7" w:type="dxa"/>
            <w:tcBorders>
              <w:tl2br w:val="nil"/>
              <w:tr2bl w:val="nil"/>
            </w:tcBorders>
            <w:vAlign w:val="center"/>
          </w:tcPr>
          <w:p w14:paraId="1126EEB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西厂界</w:t>
            </w:r>
          </w:p>
        </w:tc>
        <w:tc>
          <w:tcPr>
            <w:tcW w:w="1779" w:type="dxa"/>
            <w:tcBorders>
              <w:tl2br w:val="nil"/>
              <w:tr2bl w:val="nil"/>
            </w:tcBorders>
            <w:vAlign w:val="center"/>
          </w:tcPr>
          <w:p w14:paraId="0BEF7B09">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53</w:t>
            </w:r>
          </w:p>
        </w:tc>
        <w:tc>
          <w:tcPr>
            <w:tcW w:w="1488" w:type="dxa"/>
            <w:tcBorders>
              <w:tl2br w:val="nil"/>
              <w:tr2bl w:val="nil"/>
            </w:tcBorders>
            <w:vAlign w:val="center"/>
          </w:tcPr>
          <w:p w14:paraId="293E1D5C">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w:t>
            </w:r>
          </w:p>
        </w:tc>
        <w:tc>
          <w:tcPr>
            <w:tcW w:w="1637" w:type="dxa"/>
            <w:tcBorders>
              <w:tl2br w:val="nil"/>
              <w:tr2bl w:val="nil"/>
            </w:tcBorders>
            <w:vAlign w:val="center"/>
          </w:tcPr>
          <w:p w14:paraId="1F228D2A">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53</w:t>
            </w:r>
          </w:p>
        </w:tc>
        <w:tc>
          <w:tcPr>
            <w:tcW w:w="1505" w:type="dxa"/>
            <w:tcBorders>
              <w:tl2br w:val="nil"/>
              <w:tr2bl w:val="nil"/>
            </w:tcBorders>
            <w:vAlign w:val="center"/>
          </w:tcPr>
          <w:p w14:paraId="0EF9E5A9">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w:t>
            </w:r>
          </w:p>
        </w:tc>
      </w:tr>
      <w:tr w14:paraId="546FB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7" w:type="dxa"/>
            <w:tcBorders>
              <w:tl2br w:val="nil"/>
              <w:tr2bl w:val="nil"/>
            </w:tcBorders>
            <w:vAlign w:val="center"/>
          </w:tcPr>
          <w:p w14:paraId="2F71376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北厂界</w:t>
            </w:r>
          </w:p>
        </w:tc>
        <w:tc>
          <w:tcPr>
            <w:tcW w:w="1779" w:type="dxa"/>
            <w:tcBorders>
              <w:tl2br w:val="nil"/>
              <w:tr2bl w:val="nil"/>
            </w:tcBorders>
            <w:vAlign w:val="center"/>
          </w:tcPr>
          <w:p w14:paraId="7052C507">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52</w:t>
            </w:r>
          </w:p>
        </w:tc>
        <w:tc>
          <w:tcPr>
            <w:tcW w:w="1488" w:type="dxa"/>
            <w:tcBorders>
              <w:tl2br w:val="nil"/>
              <w:tr2bl w:val="nil"/>
            </w:tcBorders>
            <w:vAlign w:val="center"/>
          </w:tcPr>
          <w:p w14:paraId="47D8C658">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41</w:t>
            </w:r>
          </w:p>
        </w:tc>
        <w:tc>
          <w:tcPr>
            <w:tcW w:w="1637" w:type="dxa"/>
            <w:tcBorders>
              <w:tl2br w:val="nil"/>
              <w:tr2bl w:val="nil"/>
            </w:tcBorders>
            <w:vAlign w:val="center"/>
          </w:tcPr>
          <w:p w14:paraId="642D2A47">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52</w:t>
            </w:r>
          </w:p>
        </w:tc>
        <w:tc>
          <w:tcPr>
            <w:tcW w:w="1505" w:type="dxa"/>
            <w:tcBorders>
              <w:tl2br w:val="nil"/>
              <w:tr2bl w:val="nil"/>
            </w:tcBorders>
            <w:vAlign w:val="center"/>
          </w:tcPr>
          <w:p w14:paraId="57445D57">
            <w:pPr>
              <w:widowControl w:val="0"/>
              <w:tabs>
                <w:tab w:val="left" w:pos="583"/>
              </w:tabs>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w:t>
            </w:r>
          </w:p>
        </w:tc>
      </w:tr>
    </w:tbl>
    <w:p w14:paraId="313F5E56">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6、评价标准</w:t>
      </w:r>
    </w:p>
    <w:p w14:paraId="68BE85D1">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现状评价采用《声环境质量标准》（GB3096-2008）</w:t>
      </w:r>
      <w:r>
        <w:rPr>
          <w:rFonts w:eastAsia="宋体"/>
          <w:caps w:val="0"/>
          <w:smallCaps w:val="0"/>
          <w:color w:val="auto"/>
          <w:spacing w:val="0"/>
          <w:highlight w:val="none"/>
        </w:rPr>
        <w:t>3类</w:t>
      </w:r>
      <w:r>
        <w:rPr>
          <w:rFonts w:hint="eastAsia" w:eastAsia="宋体"/>
          <w:caps w:val="0"/>
          <w:smallCaps w:val="0"/>
          <w:color w:val="auto"/>
          <w:spacing w:val="0"/>
          <w:highlight w:val="none"/>
          <w:lang w:val="en-US" w:eastAsia="zh-CN"/>
        </w:rPr>
        <w:t>和4a</w:t>
      </w:r>
      <w:r>
        <w:rPr>
          <w:rFonts w:eastAsia="宋体"/>
          <w:caps w:val="0"/>
          <w:smallCaps w:val="0"/>
          <w:color w:val="auto"/>
          <w:spacing w:val="0"/>
          <w:highlight w:val="none"/>
        </w:rPr>
        <w:t>区标准，标准见表4.4-7。</w:t>
      </w:r>
    </w:p>
    <w:p w14:paraId="1DD270CE">
      <w:pPr>
        <w:widowControl w:val="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表4.4-7声环境质量标准</w:t>
      </w:r>
    </w:p>
    <w:tbl>
      <w:tblPr>
        <w:tblStyle w:val="37"/>
        <w:tblW w:w="895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48"/>
        <w:gridCol w:w="2234"/>
        <w:gridCol w:w="2234"/>
        <w:gridCol w:w="1535"/>
      </w:tblGrid>
      <w:tr w14:paraId="6DA8C0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48" w:type="dxa"/>
            <w:tcBorders>
              <w:tl2br w:val="nil"/>
              <w:tr2bl w:val="nil"/>
            </w:tcBorders>
            <w:vAlign w:val="center"/>
          </w:tcPr>
          <w:p w14:paraId="474AD862">
            <w:pPr>
              <w:pStyle w:val="65"/>
              <w:widowControl w:val="0"/>
              <w:spacing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时段</w:t>
            </w:r>
          </w:p>
          <w:p w14:paraId="4FE7B154">
            <w:pPr>
              <w:pStyle w:val="65"/>
              <w:widowControl w:val="0"/>
              <w:spacing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声环境功能区类别</w:t>
            </w:r>
          </w:p>
        </w:tc>
        <w:tc>
          <w:tcPr>
            <w:tcW w:w="2234" w:type="dxa"/>
            <w:tcBorders>
              <w:tl2br w:val="nil"/>
              <w:tr2bl w:val="nil"/>
            </w:tcBorders>
            <w:vAlign w:val="center"/>
          </w:tcPr>
          <w:p w14:paraId="1C33F793">
            <w:pPr>
              <w:pStyle w:val="65"/>
              <w:widowControl w:val="0"/>
              <w:spacing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昼间</w:t>
            </w:r>
          </w:p>
        </w:tc>
        <w:tc>
          <w:tcPr>
            <w:tcW w:w="2234" w:type="dxa"/>
            <w:tcBorders>
              <w:tl2br w:val="nil"/>
              <w:tr2bl w:val="nil"/>
            </w:tcBorders>
            <w:vAlign w:val="center"/>
          </w:tcPr>
          <w:p w14:paraId="65D58D45">
            <w:pPr>
              <w:pStyle w:val="65"/>
              <w:widowControl w:val="0"/>
              <w:spacing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夜间</w:t>
            </w:r>
          </w:p>
        </w:tc>
        <w:tc>
          <w:tcPr>
            <w:tcW w:w="1535" w:type="dxa"/>
            <w:tcBorders>
              <w:tl2br w:val="nil"/>
              <w:tr2bl w:val="nil"/>
            </w:tcBorders>
            <w:vAlign w:val="center"/>
          </w:tcPr>
          <w:p w14:paraId="2FC0CAF1">
            <w:pPr>
              <w:pStyle w:val="65"/>
              <w:widowControl w:val="0"/>
              <w:spacing w:line="240" w:lineRule="auto"/>
              <w:ind w:firstLine="0" w:firstLineChars="0"/>
              <w:jc w:val="center"/>
              <w:rPr>
                <w:rFonts w:eastAsia="宋体"/>
                <w:b/>
                <w:bCs/>
                <w:caps w:val="0"/>
                <w:smallCaps w:val="0"/>
                <w:color w:val="auto"/>
                <w:spacing w:val="0"/>
                <w:sz w:val="21"/>
                <w:highlight w:val="none"/>
              </w:rPr>
            </w:pPr>
            <w:r>
              <w:rPr>
                <w:rFonts w:eastAsia="宋体"/>
                <w:b/>
                <w:bCs/>
                <w:caps w:val="0"/>
                <w:smallCaps w:val="0"/>
                <w:color w:val="auto"/>
                <w:spacing w:val="0"/>
                <w:sz w:val="21"/>
                <w:highlight w:val="none"/>
              </w:rPr>
              <w:t>备注</w:t>
            </w:r>
          </w:p>
        </w:tc>
      </w:tr>
      <w:tr w14:paraId="1E98E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48" w:type="dxa"/>
            <w:tcBorders>
              <w:tl2br w:val="nil"/>
              <w:tr2bl w:val="nil"/>
            </w:tcBorders>
            <w:vAlign w:val="center"/>
          </w:tcPr>
          <w:p w14:paraId="3108158C">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3类</w:t>
            </w:r>
          </w:p>
        </w:tc>
        <w:tc>
          <w:tcPr>
            <w:tcW w:w="2234" w:type="dxa"/>
            <w:tcBorders>
              <w:tl2br w:val="nil"/>
              <w:tr2bl w:val="nil"/>
            </w:tcBorders>
            <w:vAlign w:val="center"/>
          </w:tcPr>
          <w:p w14:paraId="1CB46615">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65dB(A)</w:t>
            </w:r>
          </w:p>
        </w:tc>
        <w:tc>
          <w:tcPr>
            <w:tcW w:w="2234" w:type="dxa"/>
            <w:tcBorders>
              <w:tl2br w:val="nil"/>
              <w:tr2bl w:val="nil"/>
            </w:tcBorders>
            <w:vAlign w:val="center"/>
          </w:tcPr>
          <w:p w14:paraId="584F13BE">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55dB(A)</w:t>
            </w:r>
          </w:p>
        </w:tc>
        <w:tc>
          <w:tcPr>
            <w:tcW w:w="1535" w:type="dxa"/>
            <w:tcBorders>
              <w:tl2br w:val="nil"/>
              <w:tr2bl w:val="nil"/>
            </w:tcBorders>
            <w:vAlign w:val="center"/>
          </w:tcPr>
          <w:p w14:paraId="1B28011D">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p>
        </w:tc>
      </w:tr>
      <w:tr w14:paraId="75029E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48" w:type="dxa"/>
            <w:tcBorders>
              <w:tl2br w:val="nil"/>
              <w:tr2bl w:val="nil"/>
            </w:tcBorders>
            <w:vAlign w:val="center"/>
          </w:tcPr>
          <w:p w14:paraId="739CA88C">
            <w:pPr>
              <w:pStyle w:val="65"/>
              <w:widowControl w:val="0"/>
              <w:spacing w:before="48" w:beforeLines="20" w:after="48" w:afterLines="20" w:line="240" w:lineRule="auto"/>
              <w:ind w:firstLine="0" w:firstLineChars="0"/>
              <w:jc w:val="center"/>
              <w:rPr>
                <w:rFonts w:hint="default" w:eastAsia="宋体"/>
                <w:caps w:val="0"/>
                <w:smallCaps w:val="0"/>
                <w:color w:val="auto"/>
                <w:spacing w:val="0"/>
                <w:sz w:val="21"/>
                <w:highlight w:val="none"/>
                <w:lang w:val="en-US" w:eastAsia="zh-CN"/>
              </w:rPr>
            </w:pPr>
            <w:r>
              <w:rPr>
                <w:rFonts w:hint="eastAsia" w:eastAsia="宋体"/>
                <w:caps w:val="0"/>
                <w:smallCaps w:val="0"/>
                <w:color w:val="auto"/>
                <w:spacing w:val="0"/>
                <w:sz w:val="21"/>
                <w:highlight w:val="none"/>
                <w:lang w:val="en-US" w:eastAsia="zh-CN"/>
              </w:rPr>
              <w:t>4a类</w:t>
            </w:r>
          </w:p>
        </w:tc>
        <w:tc>
          <w:tcPr>
            <w:tcW w:w="2234" w:type="dxa"/>
            <w:tcBorders>
              <w:tl2br w:val="nil"/>
              <w:tr2bl w:val="nil"/>
            </w:tcBorders>
            <w:vAlign w:val="center"/>
          </w:tcPr>
          <w:p w14:paraId="747481B8">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hint="eastAsia" w:eastAsia="宋体"/>
                <w:caps w:val="0"/>
                <w:smallCaps w:val="0"/>
                <w:color w:val="auto"/>
                <w:spacing w:val="0"/>
                <w:sz w:val="21"/>
                <w:highlight w:val="none"/>
                <w:lang w:val="en-US" w:eastAsia="zh-CN"/>
              </w:rPr>
              <w:t>70</w:t>
            </w:r>
            <w:r>
              <w:rPr>
                <w:rFonts w:eastAsia="宋体"/>
                <w:caps w:val="0"/>
                <w:smallCaps w:val="0"/>
                <w:color w:val="auto"/>
                <w:spacing w:val="0"/>
                <w:sz w:val="21"/>
                <w:highlight w:val="none"/>
              </w:rPr>
              <w:t>dB(A)</w:t>
            </w:r>
          </w:p>
        </w:tc>
        <w:tc>
          <w:tcPr>
            <w:tcW w:w="2234" w:type="dxa"/>
            <w:tcBorders>
              <w:tl2br w:val="nil"/>
              <w:tr2bl w:val="nil"/>
            </w:tcBorders>
            <w:vAlign w:val="center"/>
          </w:tcPr>
          <w:p w14:paraId="121AE584">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55dB(A)</w:t>
            </w:r>
          </w:p>
        </w:tc>
        <w:tc>
          <w:tcPr>
            <w:tcW w:w="1535" w:type="dxa"/>
            <w:tcBorders>
              <w:tl2br w:val="nil"/>
              <w:tr2bl w:val="nil"/>
            </w:tcBorders>
            <w:vAlign w:val="center"/>
          </w:tcPr>
          <w:p w14:paraId="1D3F62D7">
            <w:pPr>
              <w:pStyle w:val="65"/>
              <w:widowControl w:val="0"/>
              <w:spacing w:before="48" w:beforeLines="20" w:after="48" w:afterLines="20" w:line="240" w:lineRule="auto"/>
              <w:ind w:firstLine="0" w:firstLineChars="0"/>
              <w:jc w:val="center"/>
              <w:rPr>
                <w:rFonts w:eastAsia="宋体"/>
                <w:caps w:val="0"/>
                <w:smallCaps w:val="0"/>
                <w:color w:val="auto"/>
                <w:spacing w:val="0"/>
                <w:sz w:val="21"/>
                <w:highlight w:val="none"/>
              </w:rPr>
            </w:pPr>
          </w:p>
        </w:tc>
      </w:tr>
    </w:tbl>
    <w:p w14:paraId="3AE9891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（7）声环境现状评价结论</w:t>
      </w:r>
    </w:p>
    <w:p w14:paraId="5D869FDB">
      <w:pPr>
        <w:pStyle w:val="117"/>
        <w:spacing w:line="360" w:lineRule="auto"/>
        <w:ind w:firstLine="468"/>
        <w:rPr>
          <w:rFonts w:ascii="Times New Roman" w:hAnsi="Times New Roman" w:cs="Times New Roman"/>
          <w:caps w:val="0"/>
          <w:smallCaps w:val="0"/>
          <w:color w:val="auto"/>
          <w:spacing w:val="0"/>
          <w:szCs w:val="24"/>
          <w:highlight w:val="none"/>
        </w:rPr>
      </w:pPr>
      <w:bookmarkStart w:id="146" w:name="_Toc477951974"/>
      <w:r>
        <w:rPr>
          <w:rFonts w:ascii="Times New Roman" w:hAnsi="Times New Roman" w:cs="Times New Roman"/>
          <w:caps w:val="0"/>
          <w:smallCaps w:val="0"/>
          <w:color w:val="auto"/>
          <w:spacing w:val="0"/>
          <w:szCs w:val="24"/>
          <w:highlight w:val="none"/>
        </w:rPr>
        <w:t>监测结果表明，项目厂界昼间环境噪声值在51dB(A)-54dB(A)之间，夜间声环境值在41dB(A)-44dB(A)之间，各监测点昼夜噪声值均满足《声环境质量标准》（GB3096-2008）中3类</w:t>
      </w:r>
      <w:r>
        <w:rPr>
          <w:rFonts w:hint="eastAsia" w:ascii="Times New Roman" w:hAnsi="Times New Roman" w:cs="Times New Roman"/>
          <w:caps w:val="0"/>
          <w:smallCaps w:val="0"/>
          <w:color w:val="auto"/>
          <w:spacing w:val="0"/>
          <w:szCs w:val="24"/>
          <w:highlight w:val="none"/>
          <w:lang w:val="en-US" w:eastAsia="zh-CN"/>
        </w:rPr>
        <w:t>和</w:t>
      </w:r>
      <w:r>
        <w:rPr>
          <w:rFonts w:hint="eastAsia" w:ascii="Times New Roman" w:hAnsi="Times New Roman" w:cs="Times New Roman"/>
          <w:caps w:val="0"/>
          <w:smallCaps w:val="0"/>
          <w:color w:val="auto"/>
          <w:spacing w:val="0"/>
          <w:szCs w:val="24"/>
          <w:highlight w:val="none"/>
          <w:lang w:val="en-US" w:eastAsia="zh-CN"/>
        </w:rPr>
        <w:t>4a类</w:t>
      </w:r>
      <w:r>
        <w:rPr>
          <w:rFonts w:ascii="Times New Roman" w:hAnsi="Times New Roman" w:cs="Times New Roman"/>
          <w:caps w:val="0"/>
          <w:smallCaps w:val="0"/>
          <w:color w:val="auto"/>
          <w:spacing w:val="0"/>
          <w:szCs w:val="24"/>
          <w:highlight w:val="none"/>
        </w:rPr>
        <w:t>区标准要求，区域声环境质量较好。</w:t>
      </w:r>
    </w:p>
    <w:p w14:paraId="6E357A3E">
      <w:pPr>
        <w:pStyle w:val="5"/>
        <w:widowControl w:val="0"/>
        <w:rPr>
          <w:rFonts w:eastAsia="宋体"/>
          <w:caps w:val="0"/>
          <w:smallCaps w:val="0"/>
          <w:color w:val="auto"/>
          <w:spacing w:val="0"/>
          <w:sz w:val="30"/>
          <w:szCs w:val="30"/>
          <w:highlight w:val="none"/>
        </w:rPr>
      </w:pPr>
      <w:bookmarkStart w:id="147" w:name="_Toc3176"/>
      <w:r>
        <w:rPr>
          <w:rFonts w:eastAsia="宋体"/>
          <w:caps w:val="0"/>
          <w:smallCaps w:val="0"/>
          <w:color w:val="auto"/>
          <w:spacing w:val="0"/>
          <w:sz w:val="30"/>
          <w:szCs w:val="30"/>
          <w:highlight w:val="none"/>
        </w:rPr>
        <w:t>4.4.4地下水环境质量现状评价</w:t>
      </w:r>
      <w:bookmarkEnd w:id="147"/>
    </w:p>
    <w:p w14:paraId="230E946F">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4.4.4.1地下水环境质量现状</w:t>
      </w:r>
      <w:r>
        <w:rPr>
          <w:rFonts w:hint="eastAsia" w:ascii="Times New Roman" w:hAnsi="Times New Roman" w:cs="Times New Roman"/>
          <w:caps w:val="0"/>
          <w:smallCaps w:val="0"/>
          <w:color w:val="auto"/>
          <w:spacing w:val="0"/>
          <w:sz w:val="28"/>
          <w:szCs w:val="28"/>
          <w:highlight w:val="none"/>
        </w:rPr>
        <w:t>监测</w:t>
      </w:r>
    </w:p>
    <w:p w14:paraId="5177EA7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（1）地下水监测点位</w:t>
      </w:r>
    </w:p>
    <w:p w14:paraId="1ADEFF5C">
      <w:pPr>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为了全面反映评价区地下水环境质量，结合项目选址及其周围环境敏感点、地下水污染源、主要现状环境水文地质问题以及对于确定边界条件有控制意义的地点，根据《环境影响评价技术导则地下水环境》（HJ610－2016），</w:t>
      </w:r>
      <w:r>
        <w:rPr>
          <w:rFonts w:ascii="Times New Roman" w:hAnsi="Times New Roman" w:eastAsia="宋体" w:cs="Times New Roman"/>
          <w:caps w:val="0"/>
          <w:smallCaps w:val="0"/>
          <w:color w:val="auto"/>
          <w:spacing w:val="0"/>
          <w:szCs w:val="24"/>
          <w:highlight w:val="none"/>
        </w:rPr>
        <w:t>确定地下水环境监测点，</w:t>
      </w:r>
      <w:r>
        <w:rPr>
          <w:rFonts w:hint="eastAsia" w:ascii="Times New Roman" w:hAnsi="Times New Roman" w:eastAsia="宋体" w:cs="Times New Roman"/>
          <w:caps w:val="0"/>
          <w:smallCaps w:val="0"/>
          <w:color w:val="auto"/>
          <w:spacing w:val="0"/>
          <w:szCs w:val="24"/>
          <w:highlight w:val="none"/>
        </w:rPr>
        <w:t>本项目地下水评价等级为三级，三级评价项目潜水含水层水质监测点应不少于3个，可能受建设项目影响且具有饮用水开发利用价值的含水层1-2个。原则上建设项目场地上游及下游影响区的地下水水质监测点各不得少于1个。一般情况下，地下水水位监测点数以不小于相应评价级别地下水水质监测点数的2倍为宜。因此</w:t>
      </w:r>
      <w:r>
        <w:rPr>
          <w:rFonts w:ascii="Times New Roman" w:hAnsi="Times New Roman" w:eastAsia="宋体" w:cs="Times New Roman"/>
          <w:caps w:val="0"/>
          <w:smallCaps w:val="0"/>
          <w:color w:val="auto"/>
          <w:spacing w:val="0"/>
          <w:szCs w:val="24"/>
          <w:highlight w:val="none"/>
        </w:rPr>
        <w:t>本次评价工作设置</w:t>
      </w:r>
      <w:r>
        <w:rPr>
          <w:rFonts w:hint="eastAsia" w:ascii="Times New Roman" w:hAnsi="Times New Roman" w:eastAsia="宋体" w:cs="Times New Roman"/>
          <w:caps w:val="0"/>
          <w:smallCaps w:val="0"/>
          <w:color w:val="auto"/>
          <w:spacing w:val="0"/>
          <w:szCs w:val="24"/>
          <w:highlight w:val="none"/>
        </w:rPr>
        <w:t>3</w:t>
      </w:r>
      <w:r>
        <w:rPr>
          <w:rFonts w:ascii="Times New Roman" w:hAnsi="Times New Roman" w:eastAsia="宋体" w:cs="Times New Roman"/>
          <w:caps w:val="0"/>
          <w:smallCaps w:val="0"/>
          <w:color w:val="auto"/>
          <w:spacing w:val="0"/>
          <w:szCs w:val="24"/>
          <w:highlight w:val="none"/>
        </w:rPr>
        <w:t>个地下水水质监测点位，3个地下水水位监测点位，</w:t>
      </w:r>
      <w:r>
        <w:rPr>
          <w:rFonts w:ascii="Times New Roman" w:hAnsi="Times New Roman" w:eastAsia="宋体" w:cs="Times New Roman"/>
          <w:caps w:val="0"/>
          <w:smallCaps w:val="0"/>
          <w:color w:val="auto"/>
          <w:spacing w:val="0"/>
          <w:szCs w:val="24"/>
          <w:highlight w:val="none"/>
        </w:rPr>
        <w:t>地下水环境监测点位情况见下表4.4-8及图4.4-3。</w:t>
      </w:r>
    </w:p>
    <w:p w14:paraId="6A566490">
      <w:pPr>
        <w:widowControl w:val="0"/>
        <w:wordWrap w:val="0"/>
        <w:topLinePunct/>
        <w:adjustRightInd w:val="0"/>
        <w:snapToGrid w:val="0"/>
        <w:spacing w:line="212" w:lineRule="auto"/>
        <w:ind w:left="2315"/>
        <w:textAlignment w:val="baseline"/>
        <w:rPr>
          <w:rFonts w:ascii="Times New Roman" w:hAnsi="Times New Roman" w:eastAsia="宋体" w:cs="Times New Roman"/>
          <w:b/>
          <w:bCs/>
          <w:caps w:val="0"/>
          <w:smallCaps w:val="0"/>
          <w:snapToGrid w:val="0"/>
          <w:color w:val="auto"/>
          <w:spacing w:val="0"/>
          <w:kern w:val="0"/>
          <w:szCs w:val="24"/>
          <w:highlight w:val="none"/>
        </w:rPr>
      </w:pPr>
      <w:r>
        <w:rPr>
          <w:rFonts w:ascii="Times New Roman" w:hAnsi="Times New Roman" w:eastAsia="宋体" w:cs="Times New Roman"/>
          <w:b/>
          <w:bCs/>
          <w:caps w:val="0"/>
          <w:smallCaps w:val="0"/>
          <w:color w:val="auto"/>
          <w:spacing w:val="0"/>
          <w:szCs w:val="24"/>
          <w:highlight w:val="none"/>
        </w:rPr>
        <w:t>表4.4-8地下水水质、水位监测点布设情况</w:t>
      </w:r>
    </w:p>
    <w:tbl>
      <w:tblPr>
        <w:tblStyle w:val="3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7"/>
        <w:gridCol w:w="914"/>
        <w:gridCol w:w="1658"/>
        <w:gridCol w:w="1795"/>
        <w:gridCol w:w="1262"/>
        <w:gridCol w:w="1011"/>
        <w:gridCol w:w="946"/>
        <w:gridCol w:w="1076"/>
      </w:tblGrid>
      <w:tr w14:paraId="502F12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39CBABE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编号</w:t>
            </w:r>
          </w:p>
        </w:tc>
        <w:tc>
          <w:tcPr>
            <w:tcW w:w="492" w:type="pct"/>
            <w:tcBorders>
              <w:tl2br w:val="nil"/>
              <w:tr2bl w:val="nil"/>
            </w:tcBorders>
            <w:shd w:val="clear" w:color="auto" w:fill="auto"/>
            <w:vAlign w:val="center"/>
          </w:tcPr>
          <w:p w14:paraId="5DFFB3F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监测类型</w:t>
            </w:r>
          </w:p>
        </w:tc>
        <w:tc>
          <w:tcPr>
            <w:tcW w:w="892" w:type="pct"/>
            <w:tcBorders>
              <w:tl2br w:val="nil"/>
              <w:tr2bl w:val="nil"/>
            </w:tcBorders>
            <w:shd w:val="clear" w:color="auto" w:fill="auto"/>
            <w:vAlign w:val="center"/>
          </w:tcPr>
          <w:p w14:paraId="5468C9FB">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坐标</w:t>
            </w:r>
          </w:p>
        </w:tc>
        <w:tc>
          <w:tcPr>
            <w:tcW w:w="966" w:type="pct"/>
            <w:tcBorders>
              <w:tl2br w:val="nil"/>
              <w:tr2bl w:val="nil"/>
            </w:tcBorders>
            <w:shd w:val="clear" w:color="auto" w:fill="auto"/>
            <w:vAlign w:val="center"/>
          </w:tcPr>
          <w:p w14:paraId="3A560A83">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与本项目位置</w:t>
            </w:r>
          </w:p>
        </w:tc>
        <w:tc>
          <w:tcPr>
            <w:tcW w:w="679" w:type="pct"/>
            <w:tcBorders>
              <w:tl2br w:val="nil"/>
              <w:tr2bl w:val="nil"/>
            </w:tcBorders>
            <w:shd w:val="clear" w:color="auto" w:fill="auto"/>
            <w:vAlign w:val="center"/>
          </w:tcPr>
          <w:p w14:paraId="551608A1">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功能</w:t>
            </w:r>
          </w:p>
        </w:tc>
        <w:tc>
          <w:tcPr>
            <w:tcW w:w="545" w:type="pct"/>
            <w:tcBorders>
              <w:tl2br w:val="nil"/>
              <w:tr2bl w:val="nil"/>
            </w:tcBorders>
            <w:shd w:val="clear" w:color="auto" w:fill="auto"/>
            <w:vAlign w:val="center"/>
          </w:tcPr>
          <w:p w14:paraId="16B5666D">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含水层性质</w:t>
            </w:r>
          </w:p>
        </w:tc>
        <w:tc>
          <w:tcPr>
            <w:tcW w:w="510" w:type="pct"/>
            <w:tcBorders>
              <w:tl2br w:val="nil"/>
              <w:tr2bl w:val="nil"/>
            </w:tcBorders>
            <w:shd w:val="clear" w:color="auto" w:fill="auto"/>
            <w:vAlign w:val="center"/>
          </w:tcPr>
          <w:p w14:paraId="0CFF4538">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井深</w:t>
            </w:r>
          </w:p>
        </w:tc>
        <w:tc>
          <w:tcPr>
            <w:tcW w:w="580" w:type="pct"/>
            <w:tcBorders>
              <w:tl2br w:val="nil"/>
              <w:tr2bl w:val="nil"/>
            </w:tcBorders>
            <w:shd w:val="clear" w:color="auto" w:fill="auto"/>
            <w:vAlign w:val="center"/>
          </w:tcPr>
          <w:p w14:paraId="18F10D75">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水位标高</w:t>
            </w:r>
          </w:p>
        </w:tc>
      </w:tr>
      <w:tr w14:paraId="1F44DA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0EBD0A1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492" w:type="pct"/>
            <w:tcBorders>
              <w:tl2br w:val="nil"/>
              <w:tr2bl w:val="nil"/>
            </w:tcBorders>
            <w:shd w:val="clear" w:color="auto" w:fill="auto"/>
            <w:vAlign w:val="center"/>
          </w:tcPr>
          <w:p w14:paraId="16EC78C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水质、水位</w:t>
            </w:r>
          </w:p>
        </w:tc>
        <w:tc>
          <w:tcPr>
            <w:tcW w:w="892" w:type="pct"/>
            <w:tcBorders>
              <w:tl2br w:val="nil"/>
              <w:tr2bl w:val="nil"/>
            </w:tcBorders>
            <w:shd w:val="clear" w:color="auto" w:fill="auto"/>
            <w:vAlign w:val="center"/>
          </w:tcPr>
          <w:p w14:paraId="2D35906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g130.47693753,46.82974214</w:t>
            </w:r>
          </w:p>
        </w:tc>
        <w:tc>
          <w:tcPr>
            <w:tcW w:w="966" w:type="pct"/>
            <w:tcBorders>
              <w:tl2br w:val="nil"/>
              <w:tr2bl w:val="nil"/>
            </w:tcBorders>
            <w:shd w:val="clear" w:color="auto" w:fill="auto"/>
            <w:vAlign w:val="center"/>
          </w:tcPr>
          <w:p w14:paraId="2E73CCA3">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东北侧1.3km</w:t>
            </w:r>
          </w:p>
        </w:tc>
        <w:tc>
          <w:tcPr>
            <w:tcW w:w="679" w:type="pct"/>
            <w:tcBorders>
              <w:tl2br w:val="nil"/>
              <w:tr2bl w:val="nil"/>
            </w:tcBorders>
            <w:shd w:val="clear" w:color="auto" w:fill="auto"/>
            <w:vAlign w:val="center"/>
          </w:tcPr>
          <w:p w14:paraId="51190D8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宏伟村水井</w:t>
            </w:r>
          </w:p>
        </w:tc>
        <w:tc>
          <w:tcPr>
            <w:tcW w:w="545" w:type="pct"/>
            <w:tcBorders>
              <w:tl2br w:val="nil"/>
              <w:tr2bl w:val="nil"/>
            </w:tcBorders>
            <w:shd w:val="clear" w:color="auto" w:fill="auto"/>
            <w:vAlign w:val="center"/>
          </w:tcPr>
          <w:p w14:paraId="508FACBF">
            <w:pPr>
              <w:widowControl w:val="0"/>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潜水</w:t>
            </w:r>
          </w:p>
        </w:tc>
        <w:tc>
          <w:tcPr>
            <w:tcW w:w="510" w:type="pct"/>
            <w:tcBorders>
              <w:tl2br w:val="nil"/>
              <w:tr2bl w:val="nil"/>
            </w:tcBorders>
            <w:shd w:val="clear" w:color="auto" w:fill="auto"/>
            <w:vAlign w:val="center"/>
          </w:tcPr>
          <w:p w14:paraId="26330903">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30</w:t>
            </w:r>
          </w:p>
        </w:tc>
        <w:tc>
          <w:tcPr>
            <w:tcW w:w="580" w:type="pct"/>
            <w:tcBorders>
              <w:tl2br w:val="nil"/>
              <w:tr2bl w:val="nil"/>
            </w:tcBorders>
            <w:shd w:val="clear" w:color="auto" w:fill="auto"/>
            <w:vAlign w:val="center"/>
          </w:tcPr>
          <w:p w14:paraId="0E462509">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75.4</w:t>
            </w:r>
          </w:p>
        </w:tc>
      </w:tr>
      <w:tr w14:paraId="34154C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67B889F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w:t>
            </w:r>
          </w:p>
        </w:tc>
        <w:tc>
          <w:tcPr>
            <w:tcW w:w="492" w:type="pct"/>
            <w:tcBorders>
              <w:tl2br w:val="nil"/>
              <w:tr2bl w:val="nil"/>
            </w:tcBorders>
            <w:shd w:val="clear" w:color="auto" w:fill="auto"/>
            <w:vAlign w:val="center"/>
          </w:tcPr>
          <w:p w14:paraId="3B29088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水位</w:t>
            </w:r>
          </w:p>
        </w:tc>
        <w:tc>
          <w:tcPr>
            <w:tcW w:w="892" w:type="pct"/>
            <w:tcBorders>
              <w:tl2br w:val="nil"/>
              <w:tr2bl w:val="nil"/>
            </w:tcBorders>
            <w:shd w:val="clear" w:color="auto" w:fill="auto"/>
            <w:vAlign w:val="center"/>
          </w:tcPr>
          <w:p w14:paraId="29A3ED2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g130.48819727,46.81990241</w:t>
            </w:r>
          </w:p>
        </w:tc>
        <w:tc>
          <w:tcPr>
            <w:tcW w:w="966" w:type="pct"/>
            <w:tcBorders>
              <w:tl2br w:val="nil"/>
              <w:tr2bl w:val="nil"/>
            </w:tcBorders>
            <w:shd w:val="clear" w:color="auto" w:fill="auto"/>
            <w:vAlign w:val="center"/>
          </w:tcPr>
          <w:p w14:paraId="71719114">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东南1.0km</w:t>
            </w:r>
          </w:p>
        </w:tc>
        <w:tc>
          <w:tcPr>
            <w:tcW w:w="679" w:type="pct"/>
            <w:tcBorders>
              <w:tl2br w:val="nil"/>
              <w:tr2bl w:val="nil"/>
            </w:tcBorders>
            <w:shd w:val="clear" w:color="auto" w:fill="auto"/>
            <w:vAlign w:val="center"/>
          </w:tcPr>
          <w:p w14:paraId="674EF1A2">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闲置水井</w:t>
            </w:r>
          </w:p>
        </w:tc>
        <w:tc>
          <w:tcPr>
            <w:tcW w:w="545" w:type="pct"/>
            <w:tcBorders>
              <w:tl2br w:val="nil"/>
              <w:tr2bl w:val="nil"/>
            </w:tcBorders>
            <w:shd w:val="clear" w:color="auto" w:fill="auto"/>
            <w:vAlign w:val="center"/>
          </w:tcPr>
          <w:p w14:paraId="1D5CE56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潜水</w:t>
            </w:r>
          </w:p>
        </w:tc>
        <w:tc>
          <w:tcPr>
            <w:tcW w:w="510" w:type="pct"/>
            <w:tcBorders>
              <w:tl2br w:val="nil"/>
              <w:tr2bl w:val="nil"/>
            </w:tcBorders>
            <w:shd w:val="clear" w:color="auto" w:fill="auto"/>
            <w:vAlign w:val="center"/>
          </w:tcPr>
          <w:p w14:paraId="67AB8760">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33</w:t>
            </w:r>
          </w:p>
        </w:tc>
        <w:tc>
          <w:tcPr>
            <w:tcW w:w="580" w:type="pct"/>
            <w:tcBorders>
              <w:tl2br w:val="nil"/>
              <w:tr2bl w:val="nil"/>
            </w:tcBorders>
            <w:shd w:val="clear" w:color="auto" w:fill="auto"/>
            <w:vAlign w:val="center"/>
          </w:tcPr>
          <w:p w14:paraId="4DF8C9CB">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73.3</w:t>
            </w:r>
          </w:p>
        </w:tc>
      </w:tr>
      <w:tr w14:paraId="1A7BA0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1078CDC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w:t>
            </w:r>
          </w:p>
        </w:tc>
        <w:tc>
          <w:tcPr>
            <w:tcW w:w="492" w:type="pct"/>
            <w:tcBorders>
              <w:tl2br w:val="nil"/>
              <w:tr2bl w:val="nil"/>
            </w:tcBorders>
            <w:shd w:val="clear" w:color="auto" w:fill="auto"/>
            <w:vAlign w:val="center"/>
          </w:tcPr>
          <w:p w14:paraId="4ADA5F9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水质、水位</w:t>
            </w:r>
          </w:p>
        </w:tc>
        <w:tc>
          <w:tcPr>
            <w:tcW w:w="892" w:type="pct"/>
            <w:tcBorders>
              <w:tl2br w:val="nil"/>
              <w:tr2bl w:val="nil"/>
            </w:tcBorders>
            <w:shd w:val="clear" w:color="auto" w:fill="auto"/>
            <w:vAlign w:val="center"/>
          </w:tcPr>
          <w:p w14:paraId="57137AA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g130.46746960,46.81828740</w:t>
            </w:r>
          </w:p>
        </w:tc>
        <w:tc>
          <w:tcPr>
            <w:tcW w:w="966" w:type="pct"/>
            <w:tcBorders>
              <w:tl2br w:val="nil"/>
              <w:tr2bl w:val="nil"/>
            </w:tcBorders>
            <w:shd w:val="clear" w:color="auto" w:fill="auto"/>
            <w:vAlign w:val="center"/>
          </w:tcPr>
          <w:p w14:paraId="6EB1F94B">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本项目厂区</w:t>
            </w:r>
          </w:p>
        </w:tc>
        <w:tc>
          <w:tcPr>
            <w:tcW w:w="679" w:type="pct"/>
            <w:tcBorders>
              <w:tl2br w:val="nil"/>
              <w:tr2bl w:val="nil"/>
            </w:tcBorders>
            <w:shd w:val="clear" w:color="auto" w:fill="auto"/>
            <w:vAlign w:val="center"/>
          </w:tcPr>
          <w:p w14:paraId="17BEB95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厂区内跟踪监测井</w:t>
            </w:r>
          </w:p>
        </w:tc>
        <w:tc>
          <w:tcPr>
            <w:tcW w:w="545" w:type="pct"/>
            <w:tcBorders>
              <w:tl2br w:val="nil"/>
              <w:tr2bl w:val="nil"/>
            </w:tcBorders>
            <w:shd w:val="clear" w:color="auto" w:fill="auto"/>
            <w:vAlign w:val="center"/>
          </w:tcPr>
          <w:p w14:paraId="78658F20">
            <w:pPr>
              <w:widowControl w:val="0"/>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潜水</w:t>
            </w:r>
          </w:p>
        </w:tc>
        <w:tc>
          <w:tcPr>
            <w:tcW w:w="510" w:type="pct"/>
            <w:tcBorders>
              <w:tl2br w:val="nil"/>
              <w:tr2bl w:val="nil"/>
            </w:tcBorders>
            <w:shd w:val="clear" w:color="auto" w:fill="auto"/>
            <w:vAlign w:val="center"/>
          </w:tcPr>
          <w:p w14:paraId="5879A80B">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28</w:t>
            </w:r>
          </w:p>
        </w:tc>
        <w:tc>
          <w:tcPr>
            <w:tcW w:w="580" w:type="pct"/>
            <w:tcBorders>
              <w:tl2br w:val="nil"/>
              <w:tr2bl w:val="nil"/>
            </w:tcBorders>
            <w:shd w:val="clear" w:color="auto" w:fill="auto"/>
            <w:vAlign w:val="center"/>
          </w:tcPr>
          <w:p w14:paraId="5FBC0B4A">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74.0</w:t>
            </w:r>
          </w:p>
        </w:tc>
      </w:tr>
      <w:tr w14:paraId="66E2D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2402F991">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w:t>
            </w:r>
          </w:p>
        </w:tc>
        <w:tc>
          <w:tcPr>
            <w:tcW w:w="492" w:type="pct"/>
            <w:tcBorders>
              <w:tl2br w:val="nil"/>
              <w:tr2bl w:val="nil"/>
            </w:tcBorders>
            <w:shd w:val="clear" w:color="auto" w:fill="auto"/>
            <w:vAlign w:val="center"/>
          </w:tcPr>
          <w:p w14:paraId="60D6EE1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水位</w:t>
            </w:r>
          </w:p>
        </w:tc>
        <w:tc>
          <w:tcPr>
            <w:tcW w:w="892" w:type="pct"/>
            <w:tcBorders>
              <w:tl2br w:val="nil"/>
              <w:tr2bl w:val="nil"/>
            </w:tcBorders>
            <w:shd w:val="clear" w:color="auto" w:fill="auto"/>
            <w:vAlign w:val="center"/>
          </w:tcPr>
          <w:p w14:paraId="1998CCB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g130.46438376,46.82153566</w:t>
            </w:r>
          </w:p>
        </w:tc>
        <w:tc>
          <w:tcPr>
            <w:tcW w:w="966" w:type="pct"/>
            <w:tcBorders>
              <w:tl2br w:val="nil"/>
              <w:tr2bl w:val="nil"/>
            </w:tcBorders>
            <w:shd w:val="clear" w:color="auto" w:fill="auto"/>
            <w:vAlign w:val="center"/>
          </w:tcPr>
          <w:p w14:paraId="2C6F2E18">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北侧0.34km</w:t>
            </w:r>
          </w:p>
        </w:tc>
        <w:tc>
          <w:tcPr>
            <w:tcW w:w="679" w:type="pct"/>
            <w:tcBorders>
              <w:tl2br w:val="nil"/>
              <w:tr2bl w:val="nil"/>
            </w:tcBorders>
            <w:shd w:val="clear" w:color="auto" w:fill="auto"/>
            <w:vAlign w:val="center"/>
          </w:tcPr>
          <w:p w14:paraId="61B47727">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监测井</w:t>
            </w:r>
          </w:p>
        </w:tc>
        <w:tc>
          <w:tcPr>
            <w:tcW w:w="545" w:type="pct"/>
            <w:tcBorders>
              <w:tl2br w:val="nil"/>
              <w:tr2bl w:val="nil"/>
            </w:tcBorders>
            <w:shd w:val="clear" w:color="auto" w:fill="auto"/>
            <w:vAlign w:val="center"/>
          </w:tcPr>
          <w:p w14:paraId="7E93302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潜水</w:t>
            </w:r>
          </w:p>
        </w:tc>
        <w:tc>
          <w:tcPr>
            <w:tcW w:w="510" w:type="pct"/>
            <w:tcBorders>
              <w:tl2br w:val="nil"/>
              <w:tr2bl w:val="nil"/>
            </w:tcBorders>
            <w:shd w:val="clear" w:color="auto" w:fill="auto"/>
            <w:vAlign w:val="center"/>
          </w:tcPr>
          <w:p w14:paraId="5203B48D">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33</w:t>
            </w:r>
          </w:p>
        </w:tc>
        <w:tc>
          <w:tcPr>
            <w:tcW w:w="580" w:type="pct"/>
            <w:tcBorders>
              <w:tl2br w:val="nil"/>
              <w:tr2bl w:val="nil"/>
            </w:tcBorders>
            <w:shd w:val="clear" w:color="auto" w:fill="auto"/>
            <w:vAlign w:val="center"/>
          </w:tcPr>
          <w:p w14:paraId="53848400">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75.1</w:t>
            </w:r>
          </w:p>
        </w:tc>
      </w:tr>
      <w:tr w14:paraId="555F01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069A09F4">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w:t>
            </w:r>
          </w:p>
        </w:tc>
        <w:tc>
          <w:tcPr>
            <w:tcW w:w="492" w:type="pct"/>
            <w:tcBorders>
              <w:tl2br w:val="nil"/>
              <w:tr2bl w:val="nil"/>
            </w:tcBorders>
            <w:shd w:val="clear" w:color="auto" w:fill="auto"/>
            <w:vAlign w:val="center"/>
          </w:tcPr>
          <w:p w14:paraId="1266C27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水质</w:t>
            </w:r>
            <w:r>
              <w:rPr>
                <w:rFonts w:hint="eastAsia" w:ascii="Times New Roman" w:hAnsi="Times New Roman" w:eastAsia="宋体" w:cs="Times New Roman"/>
                <w:caps w:val="0"/>
                <w:smallCaps w:val="0"/>
                <w:color w:val="auto"/>
                <w:spacing w:val="0"/>
                <w:sz w:val="21"/>
                <w:highlight w:val="none"/>
              </w:rPr>
              <w:t>、</w:t>
            </w:r>
            <w:r>
              <w:rPr>
                <w:rFonts w:ascii="Times New Roman" w:hAnsi="Times New Roman" w:eastAsia="宋体" w:cs="Times New Roman"/>
                <w:caps w:val="0"/>
                <w:smallCaps w:val="0"/>
                <w:color w:val="auto"/>
                <w:spacing w:val="0"/>
                <w:sz w:val="21"/>
                <w:highlight w:val="none"/>
              </w:rPr>
              <w:t>水位</w:t>
            </w:r>
          </w:p>
        </w:tc>
        <w:tc>
          <w:tcPr>
            <w:tcW w:w="892" w:type="pct"/>
            <w:tcBorders>
              <w:tl2br w:val="nil"/>
              <w:tr2bl w:val="nil"/>
            </w:tcBorders>
            <w:shd w:val="clear" w:color="auto" w:fill="auto"/>
            <w:vAlign w:val="center"/>
          </w:tcPr>
          <w:p w14:paraId="2F6EA3A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g130.47109035,46.80562989</w:t>
            </w:r>
          </w:p>
        </w:tc>
        <w:tc>
          <w:tcPr>
            <w:tcW w:w="966" w:type="pct"/>
            <w:tcBorders>
              <w:tl2br w:val="nil"/>
              <w:tr2bl w:val="nil"/>
            </w:tcBorders>
            <w:shd w:val="clear" w:color="auto" w:fill="auto"/>
            <w:vAlign w:val="center"/>
          </w:tcPr>
          <w:p w14:paraId="406AD6C6">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西南侧0.13km</w:t>
            </w:r>
          </w:p>
        </w:tc>
        <w:tc>
          <w:tcPr>
            <w:tcW w:w="679" w:type="pct"/>
            <w:tcBorders>
              <w:tl2br w:val="nil"/>
              <w:tr2bl w:val="nil"/>
            </w:tcBorders>
            <w:shd w:val="clear" w:color="auto" w:fill="auto"/>
            <w:vAlign w:val="center"/>
          </w:tcPr>
          <w:p w14:paraId="633D2618">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生产闲置水井</w:t>
            </w:r>
          </w:p>
        </w:tc>
        <w:tc>
          <w:tcPr>
            <w:tcW w:w="545" w:type="pct"/>
            <w:tcBorders>
              <w:tl2br w:val="nil"/>
              <w:tr2bl w:val="nil"/>
            </w:tcBorders>
            <w:shd w:val="clear" w:color="auto" w:fill="auto"/>
            <w:vAlign w:val="center"/>
          </w:tcPr>
          <w:p w14:paraId="501C2A0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潜水</w:t>
            </w:r>
          </w:p>
        </w:tc>
        <w:tc>
          <w:tcPr>
            <w:tcW w:w="510" w:type="pct"/>
            <w:tcBorders>
              <w:tl2br w:val="nil"/>
              <w:tr2bl w:val="nil"/>
            </w:tcBorders>
            <w:shd w:val="clear" w:color="auto" w:fill="auto"/>
            <w:vAlign w:val="center"/>
          </w:tcPr>
          <w:p w14:paraId="404968CE">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25</w:t>
            </w:r>
          </w:p>
        </w:tc>
        <w:tc>
          <w:tcPr>
            <w:tcW w:w="580" w:type="pct"/>
            <w:tcBorders>
              <w:tl2br w:val="nil"/>
              <w:tr2bl w:val="nil"/>
            </w:tcBorders>
            <w:shd w:val="clear" w:color="auto" w:fill="auto"/>
            <w:vAlign w:val="center"/>
          </w:tcPr>
          <w:p w14:paraId="5D304888">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73.9</w:t>
            </w:r>
          </w:p>
        </w:tc>
      </w:tr>
      <w:tr w14:paraId="35E67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pct"/>
            <w:tcBorders>
              <w:tl2br w:val="nil"/>
              <w:tr2bl w:val="nil"/>
            </w:tcBorders>
            <w:shd w:val="clear" w:color="auto" w:fill="auto"/>
            <w:vAlign w:val="center"/>
          </w:tcPr>
          <w:p w14:paraId="33B13180">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w:t>
            </w:r>
          </w:p>
        </w:tc>
        <w:tc>
          <w:tcPr>
            <w:tcW w:w="492" w:type="pct"/>
            <w:tcBorders>
              <w:tl2br w:val="nil"/>
              <w:tr2bl w:val="nil"/>
            </w:tcBorders>
            <w:shd w:val="clear" w:color="auto" w:fill="auto"/>
            <w:vAlign w:val="center"/>
          </w:tcPr>
          <w:p w14:paraId="3A25374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水位</w:t>
            </w:r>
          </w:p>
        </w:tc>
        <w:tc>
          <w:tcPr>
            <w:tcW w:w="892" w:type="pct"/>
            <w:tcBorders>
              <w:tl2br w:val="nil"/>
              <w:tr2bl w:val="nil"/>
            </w:tcBorders>
            <w:shd w:val="clear" w:color="auto" w:fill="auto"/>
            <w:vAlign w:val="center"/>
          </w:tcPr>
          <w:p w14:paraId="6747F81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g130.45234759,46.81579020</w:t>
            </w:r>
          </w:p>
        </w:tc>
        <w:tc>
          <w:tcPr>
            <w:tcW w:w="966" w:type="pct"/>
            <w:tcBorders>
              <w:tl2br w:val="nil"/>
              <w:tr2bl w:val="nil"/>
            </w:tcBorders>
            <w:shd w:val="clear" w:color="auto" w:fill="auto"/>
            <w:vAlign w:val="center"/>
          </w:tcPr>
          <w:p w14:paraId="35AF3FE4">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西北侧1.8km</w:t>
            </w:r>
          </w:p>
        </w:tc>
        <w:tc>
          <w:tcPr>
            <w:tcW w:w="679" w:type="pct"/>
            <w:tcBorders>
              <w:tl2br w:val="nil"/>
              <w:tr2bl w:val="nil"/>
            </w:tcBorders>
            <w:shd w:val="clear" w:color="auto" w:fill="auto"/>
            <w:vAlign w:val="center"/>
          </w:tcPr>
          <w:p w14:paraId="36EC501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新立村村水井</w:t>
            </w:r>
          </w:p>
        </w:tc>
        <w:tc>
          <w:tcPr>
            <w:tcW w:w="545" w:type="pct"/>
            <w:tcBorders>
              <w:tl2br w:val="nil"/>
              <w:tr2bl w:val="nil"/>
            </w:tcBorders>
            <w:shd w:val="clear" w:color="auto" w:fill="auto"/>
            <w:vAlign w:val="center"/>
          </w:tcPr>
          <w:p w14:paraId="3AC5EFE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潜水</w:t>
            </w:r>
          </w:p>
        </w:tc>
        <w:tc>
          <w:tcPr>
            <w:tcW w:w="510" w:type="pct"/>
            <w:tcBorders>
              <w:tl2br w:val="nil"/>
              <w:tr2bl w:val="nil"/>
            </w:tcBorders>
            <w:shd w:val="clear" w:color="auto" w:fill="auto"/>
            <w:vAlign w:val="center"/>
          </w:tcPr>
          <w:p w14:paraId="291A4B00">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35</w:t>
            </w:r>
          </w:p>
        </w:tc>
        <w:tc>
          <w:tcPr>
            <w:tcW w:w="580" w:type="pct"/>
            <w:tcBorders>
              <w:tl2br w:val="nil"/>
              <w:tr2bl w:val="nil"/>
            </w:tcBorders>
            <w:shd w:val="clear" w:color="auto" w:fill="auto"/>
            <w:vAlign w:val="center"/>
          </w:tcPr>
          <w:p w14:paraId="6F1A0E5D">
            <w:pPr>
              <w:widowControl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74.8</w:t>
            </w:r>
          </w:p>
        </w:tc>
      </w:tr>
    </w:tbl>
    <w:p w14:paraId="486C9C6F">
      <w:pPr>
        <w:widowControl w:val="0"/>
        <w:spacing w:before="120" w:line="360" w:lineRule="auto"/>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mc:AlternateContent>
          <mc:Choice Requires="wps">
            <w:drawing>
              <wp:anchor distT="0" distB="0" distL="114300" distR="114300" simplePos="0" relativeHeight="251699200" behindDoc="0" locked="0" layoutInCell="1" allowOverlap="1">
                <wp:simplePos x="0" y="0"/>
                <wp:positionH relativeFrom="column">
                  <wp:posOffset>2783205</wp:posOffset>
                </wp:positionH>
                <wp:positionV relativeFrom="paragraph">
                  <wp:posOffset>869950</wp:posOffset>
                </wp:positionV>
                <wp:extent cx="1171575" cy="281940"/>
                <wp:effectExtent l="0" t="0" r="0" b="0"/>
                <wp:wrapNone/>
                <wp:docPr id="120" name="文本框 120"/>
                <wp:cNvGraphicFramePr/>
                <a:graphic xmlns:a="http://schemas.openxmlformats.org/drawingml/2006/main">
                  <a:graphicData uri="http://schemas.microsoft.com/office/word/2010/wordprocessingShape">
                    <wps:wsp>
                      <wps:cNvSpPr txBox="1"/>
                      <wps:spPr>
                        <a:xfrm rot="21000000">
                          <a:off x="3523615" y="2762250"/>
                          <a:ext cx="1171575" cy="281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C3BE7">
                            <w:pPr>
                              <w:rPr>
                                <w:color w:val="FF0000"/>
                              </w:rPr>
                            </w:pPr>
                            <w:r>
                              <w:rPr>
                                <w:rFonts w:hint="eastAsia"/>
                                <w:color w:val="FF0000"/>
                              </w:rPr>
                              <w:t>地下水方向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9.15pt;margin-top:68.5pt;height:22.2pt;width:92.25pt;rotation:-655360f;z-index:251699200;mso-width-relative:page;mso-height-relative:page;" filled="f" stroked="f" coordsize="21600,21600" o:gfxdata="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QGsLp2QAAAAsBAAAPAAAA&#10;AAAAAAEAIAAAACIAAABkcnMvZG93bnJldi54bWxQSwECFAAUAAAACACHTuJA15Yh200CAACFBAAA&#10;DgAAAAAAAAABACAAAAAoAQAAZHJzL2Uyb0RvYy54bWxQSwUGAAAAAAYABgBZAQAA5wUAAAAA&#10;">
                <v:fill on="f" focussize="0,0"/>
                <v:stroke on="f" weight="0.5pt"/>
                <v:imagedata o:title=""/>
                <o:lock v:ext="edit" aspectratio="f"/>
                <v:textbox>
                  <w:txbxContent>
                    <w:p w14:paraId="281C3BE7">
                      <w:pPr>
                        <w:rPr>
                          <w:color w:val="FF0000"/>
                        </w:rPr>
                      </w:pPr>
                      <w:r>
                        <w:rPr>
                          <w:rFonts w:hint="eastAsia"/>
                          <w:color w:val="FF0000"/>
                        </w:rPr>
                        <w:t>地下水方向</w:t>
                      </w:r>
                    </w:p>
                  </w:txbxContent>
                </v:textbox>
              </v:shape>
            </w:pict>
          </mc:Fallback>
        </mc:AlternateContent>
      </w:r>
      <w:r>
        <w:rPr>
          <w:caps w:val="0"/>
          <w:smallCaps w:val="0"/>
          <w:color w:val="auto"/>
          <w:spacing w:val="0"/>
          <w:highlight w:val="none"/>
        </w:rPr>
        <mc:AlternateContent>
          <mc:Choice Requires="wps">
            <w:drawing>
              <wp:anchor distT="0" distB="0" distL="114300" distR="114300" simplePos="0" relativeHeight="251698176" behindDoc="0" locked="0" layoutInCell="1" allowOverlap="1">
                <wp:simplePos x="0" y="0"/>
                <wp:positionH relativeFrom="column">
                  <wp:posOffset>2376805</wp:posOffset>
                </wp:positionH>
                <wp:positionV relativeFrom="paragraph">
                  <wp:posOffset>1229995</wp:posOffset>
                </wp:positionV>
                <wp:extent cx="753110" cy="346075"/>
                <wp:effectExtent l="5080" t="10795" r="3810" b="24130"/>
                <wp:wrapNone/>
                <wp:docPr id="45" name="直接箭头连接符 45"/>
                <wp:cNvGraphicFramePr/>
                <a:graphic xmlns:a="http://schemas.openxmlformats.org/drawingml/2006/main">
                  <a:graphicData uri="http://schemas.microsoft.com/office/word/2010/wordprocessingShape">
                    <wps:wsp>
                      <wps:cNvCnPr/>
                      <wps:spPr>
                        <a:xfrm flipV="1">
                          <a:off x="2564130" y="2902585"/>
                          <a:ext cx="753110" cy="34607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87.15pt;margin-top:96.85pt;height:27.25pt;width:59.3pt;z-index:251698176;mso-width-relative:page;mso-height-relative:page;" filled="f" stroked="t" coordsize="21600,21600" o:gfxdata="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XnmkC3AAAAAsBAAAP&#10;AAAAAAAAAAEAIAAAACIAAABkcnMvZG93bnJldi54bWxQSwECFAAUAAAACACHTuJAboTIrBQCAADk&#10;AwAADgAAAAAAAAABACAAAAArAQAAZHJzL2Uyb0RvYy54bWxQSwUGAAAAAAYABgBZAQAAsQUAAAAA&#10;">
                <v:fill on="f" focussize="0,0"/>
                <v:stroke weight="2pt" color="#4F81BD [3204]" joinstyle="round" endarrow="open"/>
                <v:imagedata o:title=""/>
                <o:lock v:ext="edit" aspectratio="f"/>
              </v:shape>
            </w:pict>
          </mc:Fallback>
        </mc:AlternateContent>
      </w:r>
      <w:r>
        <w:rPr>
          <w:rFonts w:ascii="Times New Roman" w:hAnsi="Times New Roman" w:eastAsia="宋体" w:cs="Times New Roman"/>
          <w:caps w:val="0"/>
          <w:smallCaps w:val="0"/>
          <w:color w:val="auto"/>
          <w:spacing w:val="0"/>
          <w:highlight w:val="none"/>
        </w:rPr>
        <w:drawing>
          <wp:anchor distT="0" distB="0" distL="114300" distR="114300" simplePos="0" relativeHeight="251671552" behindDoc="0" locked="0" layoutInCell="1" allowOverlap="1">
            <wp:simplePos x="0" y="0"/>
            <wp:positionH relativeFrom="column">
              <wp:posOffset>5048250</wp:posOffset>
            </wp:positionH>
            <wp:positionV relativeFrom="paragraph">
              <wp:posOffset>70485</wp:posOffset>
            </wp:positionV>
            <wp:extent cx="621665" cy="647065"/>
            <wp:effectExtent l="0" t="0" r="6985" b="635"/>
            <wp:wrapNone/>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21665" cy="647065"/>
                    </a:xfrm>
                    <a:prstGeom prst="rect">
                      <a:avLst/>
                    </a:prstGeom>
                    <a:noFill/>
                    <a:ln>
                      <a:noFill/>
                    </a:ln>
                  </pic:spPr>
                </pic:pic>
              </a:graphicData>
            </a:graphic>
          </wp:anchor>
        </w:drawing>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73600" behindDoc="0" locked="0" layoutInCell="1" allowOverlap="1">
                <wp:simplePos x="0" y="0"/>
                <wp:positionH relativeFrom="column">
                  <wp:posOffset>4578350</wp:posOffset>
                </wp:positionH>
                <wp:positionV relativeFrom="paragraph">
                  <wp:posOffset>3201035</wp:posOffset>
                </wp:positionV>
                <wp:extent cx="208915" cy="97790"/>
                <wp:effectExtent l="12700" t="12700" r="26035" b="22860"/>
                <wp:wrapNone/>
                <wp:docPr id="145" name="矩形 145"/>
                <wp:cNvGraphicFramePr/>
                <a:graphic xmlns:a="http://schemas.openxmlformats.org/drawingml/2006/main">
                  <a:graphicData uri="http://schemas.microsoft.com/office/word/2010/wordprocessingShape">
                    <wps:wsp>
                      <wps:cNvSpPr/>
                      <wps:spPr>
                        <a:xfrm>
                          <a:off x="4987290" y="3393440"/>
                          <a:ext cx="208915" cy="9779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5pt;margin-top:252.05pt;height:7.7pt;width:16.45pt;z-index:251673600;v-text-anchor:middle;mso-width-relative:page;mso-height-relative:page;" filled="f" stroked="t" coordsize="21600,21600" o:gfxdata="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BP089dsAAAALAQAADwAAAAAAAAABACAAAAAiAAAAZHJzL2Rvd25yZXYu&#10;eG1sUEsBAhQAFAAAAAgAh07iQE7OtGhqAgAAwgQAAA4AAAAAAAAAAQAgAAAAKgEAAGRycy9lMm9E&#10;b2MueG1sUEsFBgAAAAAGAAYAWQEAAAYGAAAAAA==&#10;">
                <v:fill on="f" focussize="0,0"/>
                <v:stroke weight="2pt" color="#FF0000 [2404]" joinstyle="round"/>
                <v:imagedata o:title=""/>
                <o:lock v:ext="edit" aspectratio="f"/>
              </v:rect>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74624" behindDoc="0" locked="0" layoutInCell="1" allowOverlap="1">
                <wp:simplePos x="0" y="0"/>
                <wp:positionH relativeFrom="column">
                  <wp:posOffset>4568190</wp:posOffset>
                </wp:positionH>
                <wp:positionV relativeFrom="paragraph">
                  <wp:posOffset>3393440</wp:posOffset>
                </wp:positionV>
                <wp:extent cx="208915" cy="97790"/>
                <wp:effectExtent l="12700" t="12700" r="26035" b="22860"/>
                <wp:wrapNone/>
                <wp:docPr id="146" name="矩形 146"/>
                <wp:cNvGraphicFramePr/>
                <a:graphic xmlns:a="http://schemas.openxmlformats.org/drawingml/2006/main">
                  <a:graphicData uri="http://schemas.microsoft.com/office/word/2010/wordprocessingShape">
                    <wps:wsp>
                      <wps:cNvSpPr/>
                      <wps:spPr>
                        <a:xfrm>
                          <a:off x="0" y="0"/>
                          <a:ext cx="208915" cy="97790"/>
                        </a:xfrm>
                        <a:prstGeom prst="rect">
                          <a:avLst/>
                        </a:prstGeom>
                        <a:noFill/>
                        <a:ln>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9.7pt;margin-top:267.2pt;height:7.7pt;width:16.45pt;z-index:251674624;v-text-anchor:middle;mso-width-relative:page;mso-height-relative:page;" filled="f" stroked="t" coordsize="21600,21600" o:gfxdata="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WwmT7YAAAACwEAAA8AAAAAAAAAAQAgAAAAIgAAAGRycy9kb3ducmV2LnhtbFBLAQIUABQAAAAI&#10;AIdO4kAhsJOvXwIAALYEAAAOAAAAAAAAAAEAIAAAACcBAABkcnMvZTJvRG9jLnhtbFBLBQYAAAAA&#10;BgAGAFkBAAD4BQAAAAA=&#10;">
                <v:fill on="f" focussize="0,0"/>
                <v:stroke weight="2pt" color="#92D050 [2404]" joinstyle="round"/>
                <v:imagedata o:title=""/>
                <o:lock v:ext="edit" aspectratio="f"/>
              </v:rect>
            </w:pict>
          </mc:Fallback>
        </mc:AlternateContent>
      </w:r>
      <w:r>
        <w:rPr>
          <w:rFonts w:ascii="Times New Roman" w:hAnsi="Times New Roman" w:eastAsia="宋体" w:cs="Times New Roman"/>
          <w:caps w:val="0"/>
          <w:smallCaps w:val="0"/>
          <w:color w:val="auto"/>
          <w:spacing w:val="0"/>
          <w:highlight w:val="none"/>
        </w:rPr>
        <w:drawing>
          <wp:anchor distT="0" distB="0" distL="114300" distR="114300" simplePos="0" relativeHeight="251687936" behindDoc="0" locked="0" layoutInCell="1" allowOverlap="1">
            <wp:simplePos x="0" y="0"/>
            <wp:positionH relativeFrom="column">
              <wp:posOffset>4542790</wp:posOffset>
            </wp:positionH>
            <wp:positionV relativeFrom="paragraph">
              <wp:posOffset>3564890</wp:posOffset>
            </wp:positionV>
            <wp:extent cx="200660" cy="235585"/>
            <wp:effectExtent l="0" t="0" r="8890" b="12065"/>
            <wp:wrapNone/>
            <wp:docPr id="10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9"/>
                    <pic:cNvPicPr>
                      <a:picLocks noChangeAspect="1"/>
                    </pic:cNvPicPr>
                  </pic:nvPicPr>
                  <pic:blipFill>
                    <a:blip r:embed="rId68"/>
                    <a:stretch>
                      <a:fillRect/>
                    </a:stretch>
                  </pic:blipFill>
                  <pic:spPr>
                    <a:xfrm>
                      <a:off x="0" y="0"/>
                      <a:ext cx="200660" cy="235585"/>
                    </a:xfrm>
                    <a:prstGeom prst="rect">
                      <a:avLst/>
                    </a:prstGeom>
                    <a:noFill/>
                    <a:ln>
                      <a:noFill/>
                    </a:ln>
                  </pic:spPr>
                </pic:pic>
              </a:graphicData>
            </a:graphic>
          </wp:anchor>
        </w:drawing>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72576" behindDoc="0" locked="0" layoutInCell="1" allowOverlap="1">
                <wp:simplePos x="0" y="0"/>
                <wp:positionH relativeFrom="column">
                  <wp:posOffset>4470400</wp:posOffset>
                </wp:positionH>
                <wp:positionV relativeFrom="paragraph">
                  <wp:posOffset>2904490</wp:posOffset>
                </wp:positionV>
                <wp:extent cx="1220470" cy="952500"/>
                <wp:effectExtent l="4445" t="4445" r="13335" b="14605"/>
                <wp:wrapNone/>
                <wp:docPr id="141" name="文本框 141"/>
                <wp:cNvGraphicFramePr/>
                <a:graphic xmlns:a="http://schemas.openxmlformats.org/drawingml/2006/main">
                  <a:graphicData uri="http://schemas.microsoft.com/office/word/2010/wordprocessingShape">
                    <wps:wsp>
                      <wps:cNvSpPr txBox="1"/>
                      <wps:spPr>
                        <a:xfrm>
                          <a:off x="5091430" y="3237230"/>
                          <a:ext cx="1220470" cy="95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142AE83">
                            <w:pPr>
                              <w:spacing w:line="360" w:lineRule="auto"/>
                              <w:rPr>
                                <w:sz w:val="18"/>
                                <w:szCs w:val="18"/>
                              </w:rPr>
                            </w:pPr>
                            <w:r>
                              <w:rPr>
                                <w:rFonts w:hint="eastAsia"/>
                                <w:sz w:val="18"/>
                                <w:szCs w:val="18"/>
                              </w:rPr>
                              <w:t>图例</w:t>
                            </w:r>
                          </w:p>
                          <w:p w14:paraId="2715DD5C">
                            <w:pPr>
                              <w:pStyle w:val="13"/>
                              <w:spacing w:after="0" w:line="360" w:lineRule="auto"/>
                              <w:ind w:firstLine="360" w:firstLineChars="200"/>
                              <w:rPr>
                                <w:sz w:val="18"/>
                                <w:szCs w:val="18"/>
                              </w:rPr>
                            </w:pPr>
                            <w:r>
                              <w:rPr>
                                <w:rFonts w:hint="eastAsia"/>
                                <w:sz w:val="18"/>
                                <w:szCs w:val="18"/>
                              </w:rPr>
                              <w:t>本项目厂界</w:t>
                            </w:r>
                          </w:p>
                          <w:p w14:paraId="095E8432">
                            <w:pPr>
                              <w:spacing w:line="360" w:lineRule="auto"/>
                              <w:ind w:firstLine="360" w:firstLineChars="200"/>
                              <w:rPr>
                                <w:sz w:val="18"/>
                                <w:szCs w:val="18"/>
                              </w:rPr>
                            </w:pPr>
                            <w:r>
                              <w:rPr>
                                <w:rFonts w:hint="eastAsia"/>
                                <w:sz w:val="18"/>
                                <w:szCs w:val="18"/>
                              </w:rPr>
                              <w:t>地下水评价范围</w:t>
                            </w:r>
                          </w:p>
                          <w:p w14:paraId="75F09279">
                            <w:pPr>
                              <w:pStyle w:val="13"/>
                              <w:spacing w:line="360" w:lineRule="auto"/>
                              <w:ind w:firstLine="360" w:firstLineChars="200"/>
                            </w:pPr>
                            <w:r>
                              <w:rPr>
                                <w:rFonts w:hint="eastAsia"/>
                                <w:sz w:val="18"/>
                                <w:szCs w:val="18"/>
                              </w:rPr>
                              <w:t>监测点位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pt;margin-top:228.7pt;height:75pt;width:96.1pt;z-index:251672576;mso-width-relative:page;mso-height-relative:page;" fillcolor="#FFFFFF [3201]" filled="t" stroked="t" coordsize="21600,21600" o:gfxdata="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vYviNgAAAALAQAADwAAAAAAAAABACAAAAAiAAAAZHJzL2Rvd25yZXYueG1sUEsBAhQA&#10;FAAAAAgAh07iQLy3iHFkAgAAxwQAAA4AAAAAAAAAAQAgAAAAJwEAAGRycy9lMm9Eb2MueG1sUEsF&#10;BgAAAAAGAAYAWQEAAP0FAAAAAA==&#10;">
                <v:fill on="t" focussize="0,0"/>
                <v:stroke weight="0.5pt" color="#000000 [3204]" joinstyle="round"/>
                <v:imagedata o:title=""/>
                <o:lock v:ext="edit" aspectratio="f"/>
                <v:textbox>
                  <w:txbxContent>
                    <w:p w14:paraId="3142AE83">
                      <w:pPr>
                        <w:spacing w:line="360" w:lineRule="auto"/>
                        <w:rPr>
                          <w:sz w:val="18"/>
                          <w:szCs w:val="18"/>
                        </w:rPr>
                      </w:pPr>
                      <w:r>
                        <w:rPr>
                          <w:rFonts w:hint="eastAsia"/>
                          <w:sz w:val="18"/>
                          <w:szCs w:val="18"/>
                        </w:rPr>
                        <w:t>图例</w:t>
                      </w:r>
                    </w:p>
                    <w:p w14:paraId="2715DD5C">
                      <w:pPr>
                        <w:pStyle w:val="13"/>
                        <w:spacing w:after="0" w:line="360" w:lineRule="auto"/>
                        <w:ind w:firstLine="360" w:firstLineChars="200"/>
                        <w:rPr>
                          <w:sz w:val="18"/>
                          <w:szCs w:val="18"/>
                        </w:rPr>
                      </w:pPr>
                      <w:r>
                        <w:rPr>
                          <w:rFonts w:hint="eastAsia"/>
                          <w:sz w:val="18"/>
                          <w:szCs w:val="18"/>
                        </w:rPr>
                        <w:t>本项目厂界</w:t>
                      </w:r>
                    </w:p>
                    <w:p w14:paraId="095E8432">
                      <w:pPr>
                        <w:spacing w:line="360" w:lineRule="auto"/>
                        <w:ind w:firstLine="360" w:firstLineChars="200"/>
                        <w:rPr>
                          <w:sz w:val="18"/>
                          <w:szCs w:val="18"/>
                        </w:rPr>
                      </w:pPr>
                      <w:r>
                        <w:rPr>
                          <w:rFonts w:hint="eastAsia"/>
                          <w:sz w:val="18"/>
                          <w:szCs w:val="18"/>
                        </w:rPr>
                        <w:t>地下水评价范围</w:t>
                      </w:r>
                    </w:p>
                    <w:p w14:paraId="75F09279">
                      <w:pPr>
                        <w:pStyle w:val="13"/>
                        <w:spacing w:line="360" w:lineRule="auto"/>
                        <w:ind w:firstLine="360" w:firstLineChars="200"/>
                      </w:pPr>
                      <w:r>
                        <w:rPr>
                          <w:rFonts w:hint="eastAsia"/>
                          <w:sz w:val="18"/>
                          <w:szCs w:val="18"/>
                        </w:rPr>
                        <w:t>监测点位</w:t>
                      </w:r>
                    </w:p>
                  </w:txbxContent>
                </v:textbox>
              </v:shape>
            </w:pict>
          </mc:Fallback>
        </mc:AlternateContent>
      </w:r>
      <w:r>
        <w:rPr>
          <w:color w:val="auto"/>
          <w:highlight w:val="none"/>
        </w:rPr>
        <w:drawing>
          <wp:inline distT="0" distB="0" distL="114300" distR="114300">
            <wp:extent cx="5600700" cy="3780155"/>
            <wp:effectExtent l="0" t="0" r="0" b="10795"/>
            <wp:docPr id="1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5"/>
                    <pic:cNvPicPr>
                      <a:picLocks noChangeAspect="1"/>
                    </pic:cNvPicPr>
                  </pic:nvPicPr>
                  <pic:blipFill>
                    <a:blip r:embed="rId28"/>
                    <a:stretch>
                      <a:fillRect/>
                    </a:stretch>
                  </pic:blipFill>
                  <pic:spPr>
                    <a:xfrm>
                      <a:off x="0" y="0"/>
                      <a:ext cx="5600700" cy="3780155"/>
                    </a:xfrm>
                    <a:prstGeom prst="rect">
                      <a:avLst/>
                    </a:prstGeom>
                    <a:noFill/>
                    <a:ln>
                      <a:noFill/>
                    </a:ln>
                  </pic:spPr>
                </pic:pic>
              </a:graphicData>
            </a:graphic>
          </wp:inline>
        </w:drawing>
      </w:r>
    </w:p>
    <w:p w14:paraId="649008AA">
      <w:pPr>
        <w:widowControl w:val="0"/>
        <w:spacing w:line="36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图4.4-3地下水监测点位图</w:t>
      </w:r>
    </w:p>
    <w:p w14:paraId="28C9C254">
      <w:pPr>
        <w:widowControl w:val="0"/>
        <w:wordWrap w:val="0"/>
        <w:topLinePunct/>
        <w:adjustRightInd w:val="0"/>
        <w:snapToGrid w:val="0"/>
        <w:spacing w:line="360" w:lineRule="auto"/>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（2）监测时间及频率</w:t>
      </w:r>
    </w:p>
    <w:p w14:paraId="48D0C579">
      <w:pPr>
        <w:widowControl w:val="0"/>
        <w:wordWrap w:val="0"/>
        <w:topLinePunct/>
        <w:adjustRightInd w:val="0"/>
        <w:snapToGrid w:val="0"/>
        <w:spacing w:line="360" w:lineRule="auto"/>
        <w:ind w:left="484"/>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监测点于2025年7月14</w:t>
      </w:r>
      <w:r>
        <w:rPr>
          <w:rFonts w:ascii="Times New Roman" w:hAnsi="Times New Roman" w:eastAsia="宋体" w:cs="Times New Roman"/>
          <w:caps w:val="0"/>
          <w:smallCaps w:val="0"/>
          <w:color w:val="auto"/>
          <w:spacing w:val="0"/>
          <w:highlight w:val="none"/>
        </w:rPr>
        <w:t>日</w:t>
      </w:r>
      <w:r>
        <w:rPr>
          <w:rFonts w:ascii="Times New Roman" w:hAnsi="Times New Roman" w:eastAsia="宋体" w:cs="Times New Roman"/>
          <w:caps w:val="0"/>
          <w:smallCaps w:val="0"/>
          <w:color w:val="auto"/>
          <w:spacing w:val="0"/>
          <w:szCs w:val="24"/>
          <w:highlight w:val="none"/>
        </w:rPr>
        <w:t>监测，监测频率为一次。</w:t>
      </w:r>
    </w:p>
    <w:p w14:paraId="77AC940F">
      <w:pPr>
        <w:widowControl w:val="0"/>
        <w:wordWrap w:val="0"/>
        <w:topLinePunct/>
        <w:adjustRightInd w:val="0"/>
        <w:snapToGrid w:val="0"/>
        <w:spacing w:line="360" w:lineRule="auto"/>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（3）监测项目及分析方法</w:t>
      </w:r>
    </w:p>
    <w:p w14:paraId="40A4C027">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检测项目为pH、氨氮、硝酸盐、亚硝酸盐、挥发性酚类、氰化物、砷、汞、铬（六价）、总硬度、铅、氟、镉、铁、锰、溶解性总固体、高锰酸盐指数、硫酸盐、氯化物、总大肠菌群、细菌总数、K</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rPr>
        <w:t>、Na</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rPr>
        <w:t>、Ca</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、Mg</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、CO</w:t>
      </w:r>
      <w:r>
        <w:rPr>
          <w:rFonts w:ascii="Times New Roman" w:hAnsi="Times New Roman" w:eastAsia="宋体" w:cs="Times New Roman"/>
          <w:caps w:val="0"/>
          <w:smallCaps w:val="0"/>
          <w:color w:val="auto"/>
          <w:spacing w:val="0"/>
          <w:szCs w:val="24"/>
          <w:highlight w:val="none"/>
          <w:vertAlign w:val="subscript"/>
        </w:rPr>
        <w:t>3</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、HCO</w:t>
      </w:r>
      <w:r>
        <w:rPr>
          <w:rFonts w:ascii="Times New Roman" w:hAnsi="Times New Roman" w:eastAsia="宋体" w:cs="Times New Roman"/>
          <w:caps w:val="0"/>
          <w:smallCaps w:val="0"/>
          <w:color w:val="auto"/>
          <w:spacing w:val="0"/>
          <w:szCs w:val="24"/>
          <w:highlight w:val="none"/>
          <w:vertAlign w:val="subscript"/>
        </w:rPr>
        <w:t>3</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rPr>
        <w:t>、Cl</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rPr>
        <w:t>、SO</w:t>
      </w:r>
      <w:r>
        <w:rPr>
          <w:rFonts w:ascii="Times New Roman" w:hAnsi="Times New Roman" w:eastAsia="宋体" w:cs="Times New Roman"/>
          <w:caps w:val="0"/>
          <w:smallCaps w:val="0"/>
          <w:color w:val="auto"/>
          <w:spacing w:val="0"/>
          <w:szCs w:val="24"/>
          <w:highlight w:val="none"/>
          <w:vertAlign w:val="subscript"/>
        </w:rPr>
        <w:t>4</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共29项，以及特征因子石油类、硅、锡、钼、锌、硒、铝共9项。</w:t>
      </w:r>
    </w:p>
    <w:p w14:paraId="608E91D6">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表4.4-</w:t>
      </w:r>
      <w:r>
        <w:rPr>
          <w:rFonts w:hint="eastAsia" w:ascii="Times New Roman" w:hAnsi="Times New Roman" w:eastAsia="宋体" w:cs="Times New Roman"/>
          <w:b/>
          <w:bCs/>
          <w:caps w:val="0"/>
          <w:smallCaps w:val="0"/>
          <w:color w:val="auto"/>
          <w:spacing w:val="0"/>
          <w:szCs w:val="24"/>
          <w:highlight w:val="none"/>
          <w:lang w:val="en-US" w:eastAsia="zh-CN"/>
        </w:rPr>
        <w:t>9</w:t>
      </w:r>
      <w:r>
        <w:rPr>
          <w:rFonts w:ascii="Times New Roman" w:hAnsi="Times New Roman" w:eastAsia="宋体" w:cs="Times New Roman"/>
          <w:b/>
          <w:bCs/>
          <w:caps w:val="0"/>
          <w:smallCaps w:val="0"/>
          <w:color w:val="auto"/>
          <w:spacing w:val="0"/>
          <w:szCs w:val="24"/>
          <w:highlight w:val="none"/>
        </w:rPr>
        <w:t>检测方法及仪器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3128"/>
        <w:gridCol w:w="1933"/>
        <w:gridCol w:w="1356"/>
        <w:gridCol w:w="1497"/>
      </w:tblGrid>
      <w:tr w14:paraId="2FB41E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377358B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3128" w:type="dxa"/>
            <w:tcBorders>
              <w:tl2br w:val="nil"/>
              <w:tr2bl w:val="nil"/>
            </w:tcBorders>
            <w:shd w:val="clear" w:color="auto" w:fill="auto"/>
            <w:vAlign w:val="center"/>
          </w:tcPr>
          <w:p w14:paraId="4F158AE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分析方法及标准、代号</w:t>
            </w:r>
          </w:p>
        </w:tc>
        <w:tc>
          <w:tcPr>
            <w:tcW w:w="1933" w:type="dxa"/>
            <w:tcBorders>
              <w:tl2br w:val="nil"/>
              <w:tr2bl w:val="nil"/>
            </w:tcBorders>
            <w:shd w:val="clear" w:color="auto" w:fill="auto"/>
            <w:vAlign w:val="center"/>
          </w:tcPr>
          <w:p w14:paraId="2069F40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仪器名称</w:t>
            </w:r>
          </w:p>
        </w:tc>
        <w:tc>
          <w:tcPr>
            <w:tcW w:w="1356" w:type="dxa"/>
            <w:tcBorders>
              <w:tl2br w:val="nil"/>
              <w:tr2bl w:val="nil"/>
            </w:tcBorders>
            <w:shd w:val="clear" w:color="auto" w:fill="auto"/>
            <w:vAlign w:val="center"/>
          </w:tcPr>
          <w:p w14:paraId="445F57A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仪器型号</w:t>
            </w:r>
          </w:p>
        </w:tc>
        <w:tc>
          <w:tcPr>
            <w:tcW w:w="1497" w:type="dxa"/>
            <w:tcBorders>
              <w:tl2br w:val="nil"/>
              <w:tr2bl w:val="nil"/>
            </w:tcBorders>
            <w:shd w:val="clear" w:color="auto" w:fill="auto"/>
            <w:vAlign w:val="center"/>
          </w:tcPr>
          <w:p w14:paraId="6449C58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仪器编号</w:t>
            </w:r>
          </w:p>
        </w:tc>
      </w:tr>
      <w:tr w14:paraId="6F66FF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4ACFFDE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K</w:t>
            </w:r>
            <w:r>
              <w:rPr>
                <w:rFonts w:ascii="Times New Roman" w:hAnsi="Times New Roman" w:eastAsia="宋体" w:cs="Times New Roman"/>
                <w:caps w:val="0"/>
                <w:smallCaps w:val="0"/>
                <w:color w:val="auto"/>
                <w:spacing w:val="0"/>
                <w:sz w:val="21"/>
                <w:highlight w:val="none"/>
                <w:vertAlign w:val="superscript"/>
              </w:rPr>
              <w:t>+</w:t>
            </w:r>
          </w:p>
        </w:tc>
        <w:tc>
          <w:tcPr>
            <w:tcW w:w="3128" w:type="dxa"/>
            <w:tcBorders>
              <w:tl2br w:val="nil"/>
              <w:tr2bl w:val="nil"/>
            </w:tcBorders>
            <w:shd w:val="clear" w:color="auto" w:fill="auto"/>
            <w:vAlign w:val="center"/>
          </w:tcPr>
          <w:p w14:paraId="64D0CFE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水质钾和钠的测定火焰原子吸收分光光度法（GB11904-89）</w:t>
            </w:r>
          </w:p>
        </w:tc>
        <w:tc>
          <w:tcPr>
            <w:tcW w:w="1933" w:type="dxa"/>
            <w:tcBorders>
              <w:tl2br w:val="nil"/>
              <w:tr2bl w:val="nil"/>
            </w:tcBorders>
            <w:shd w:val="clear" w:color="auto" w:fill="auto"/>
            <w:vAlign w:val="center"/>
          </w:tcPr>
          <w:p w14:paraId="6B3D5DD6">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736827FF">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4E39D1E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521C27B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1C5BB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102DBF7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Na</w:t>
            </w:r>
            <w:r>
              <w:rPr>
                <w:rFonts w:ascii="Times New Roman" w:hAnsi="Times New Roman" w:eastAsia="宋体" w:cs="Times New Roman"/>
                <w:caps w:val="0"/>
                <w:smallCaps w:val="0"/>
                <w:color w:val="auto"/>
                <w:spacing w:val="0"/>
                <w:sz w:val="21"/>
                <w:highlight w:val="none"/>
                <w:vertAlign w:val="superscript"/>
              </w:rPr>
              <w:t>+</w:t>
            </w:r>
          </w:p>
        </w:tc>
        <w:tc>
          <w:tcPr>
            <w:tcW w:w="3128" w:type="dxa"/>
            <w:tcBorders>
              <w:tl2br w:val="nil"/>
              <w:tr2bl w:val="nil"/>
            </w:tcBorders>
            <w:shd w:val="clear" w:color="auto" w:fill="auto"/>
            <w:vAlign w:val="center"/>
          </w:tcPr>
          <w:p w14:paraId="5AF6A37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水质钾和钠的测定火焰原子吸收分光光度法（GB11904-89）</w:t>
            </w:r>
          </w:p>
        </w:tc>
        <w:tc>
          <w:tcPr>
            <w:tcW w:w="1933" w:type="dxa"/>
            <w:tcBorders>
              <w:tl2br w:val="nil"/>
              <w:tr2bl w:val="nil"/>
            </w:tcBorders>
            <w:shd w:val="clear" w:color="auto" w:fill="auto"/>
            <w:vAlign w:val="center"/>
          </w:tcPr>
          <w:p w14:paraId="752C8F42">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A34C0B2">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715FD35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3A3351C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7FE1D0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5444F4C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Ca</w:t>
            </w:r>
            <w:r>
              <w:rPr>
                <w:rFonts w:ascii="Times New Roman" w:hAnsi="Times New Roman" w:eastAsia="宋体" w:cs="Times New Roman"/>
                <w:caps w:val="0"/>
                <w:smallCaps w:val="0"/>
                <w:color w:val="auto"/>
                <w:spacing w:val="0"/>
                <w:sz w:val="21"/>
                <w:highlight w:val="none"/>
                <w:vertAlign w:val="superscript"/>
              </w:rPr>
              <w:t>2+</w:t>
            </w:r>
          </w:p>
        </w:tc>
        <w:tc>
          <w:tcPr>
            <w:tcW w:w="3128" w:type="dxa"/>
            <w:tcBorders>
              <w:tl2br w:val="nil"/>
              <w:tr2bl w:val="nil"/>
            </w:tcBorders>
            <w:shd w:val="clear" w:color="auto" w:fill="auto"/>
            <w:vAlign w:val="center"/>
          </w:tcPr>
          <w:p w14:paraId="78B907C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水质钙和镁的测定原子吸收分光光度法（GB11905-89）</w:t>
            </w:r>
          </w:p>
        </w:tc>
        <w:tc>
          <w:tcPr>
            <w:tcW w:w="1933" w:type="dxa"/>
            <w:tcBorders>
              <w:tl2br w:val="nil"/>
              <w:tr2bl w:val="nil"/>
            </w:tcBorders>
            <w:shd w:val="clear" w:color="auto" w:fill="auto"/>
            <w:vAlign w:val="center"/>
          </w:tcPr>
          <w:p w14:paraId="3FE755E5">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A474353">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32806C9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32FA419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03409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0930DBB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Mg</w:t>
            </w:r>
            <w:r>
              <w:rPr>
                <w:rFonts w:ascii="Times New Roman" w:hAnsi="Times New Roman" w:eastAsia="宋体" w:cs="Times New Roman"/>
                <w:caps w:val="0"/>
                <w:smallCaps w:val="0"/>
                <w:color w:val="auto"/>
                <w:spacing w:val="0"/>
                <w:sz w:val="21"/>
                <w:highlight w:val="none"/>
                <w:vertAlign w:val="superscript"/>
              </w:rPr>
              <w:t>2+</w:t>
            </w:r>
          </w:p>
        </w:tc>
        <w:tc>
          <w:tcPr>
            <w:tcW w:w="3128" w:type="dxa"/>
            <w:tcBorders>
              <w:tl2br w:val="nil"/>
              <w:tr2bl w:val="nil"/>
            </w:tcBorders>
            <w:shd w:val="clear" w:color="auto" w:fill="auto"/>
            <w:vAlign w:val="center"/>
          </w:tcPr>
          <w:p w14:paraId="588A900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水质钙和镁的测定原子吸收分光光度法（GB11905-89）</w:t>
            </w:r>
          </w:p>
        </w:tc>
        <w:tc>
          <w:tcPr>
            <w:tcW w:w="1933" w:type="dxa"/>
            <w:tcBorders>
              <w:tl2br w:val="nil"/>
              <w:tr2bl w:val="nil"/>
            </w:tcBorders>
            <w:shd w:val="clear" w:color="auto" w:fill="auto"/>
            <w:vAlign w:val="center"/>
          </w:tcPr>
          <w:p w14:paraId="7E52529A">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0DCEF8B2">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007EFD7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0BA5F56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4196E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5CBF264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w:t>
            </w:r>
            <w:r>
              <w:rPr>
                <w:rFonts w:ascii="Times New Roman" w:hAnsi="Times New Roman" w:eastAsia="宋体" w:cs="Times New Roman"/>
                <w:caps w:val="0"/>
                <w:smallCaps w:val="0"/>
                <w:color w:val="auto"/>
                <w:spacing w:val="0"/>
                <w:sz w:val="21"/>
                <w:highlight w:val="none"/>
                <w:vertAlign w:val="subscript"/>
              </w:rPr>
              <w:t>3</w:t>
            </w:r>
            <w:r>
              <w:rPr>
                <w:rFonts w:ascii="Times New Roman" w:hAnsi="Times New Roman" w:eastAsia="宋体" w:cs="Times New Roman"/>
                <w:caps w:val="0"/>
                <w:smallCaps w:val="0"/>
                <w:color w:val="auto"/>
                <w:spacing w:val="0"/>
                <w:sz w:val="21"/>
                <w:highlight w:val="none"/>
                <w:vertAlign w:val="superscript"/>
              </w:rPr>
              <w:t>2-</w:t>
            </w:r>
          </w:p>
        </w:tc>
        <w:tc>
          <w:tcPr>
            <w:tcW w:w="3128" w:type="dxa"/>
            <w:tcBorders>
              <w:tl2br w:val="nil"/>
              <w:tr2bl w:val="nil"/>
            </w:tcBorders>
            <w:shd w:val="clear" w:color="auto" w:fill="auto"/>
            <w:vAlign w:val="center"/>
          </w:tcPr>
          <w:p w14:paraId="493C71F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《水和废水监测分析方法》碱度酸碱指示剂滴定法国家环境保护总局（第四版，2002年）</w:t>
            </w:r>
          </w:p>
        </w:tc>
        <w:tc>
          <w:tcPr>
            <w:tcW w:w="1933" w:type="dxa"/>
            <w:tcBorders>
              <w:tl2br w:val="nil"/>
              <w:tr2bl w:val="nil"/>
            </w:tcBorders>
            <w:shd w:val="clear" w:color="auto" w:fill="auto"/>
            <w:vAlign w:val="center"/>
          </w:tcPr>
          <w:p w14:paraId="062B5FD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滴定管</w:t>
            </w:r>
          </w:p>
        </w:tc>
        <w:tc>
          <w:tcPr>
            <w:tcW w:w="1356" w:type="dxa"/>
            <w:tcBorders>
              <w:tl2br w:val="nil"/>
              <w:tr2bl w:val="nil"/>
            </w:tcBorders>
            <w:shd w:val="clear" w:color="auto" w:fill="auto"/>
            <w:vAlign w:val="center"/>
          </w:tcPr>
          <w:p w14:paraId="48C97C7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25ml</w:t>
            </w:r>
          </w:p>
        </w:tc>
        <w:tc>
          <w:tcPr>
            <w:tcW w:w="1497" w:type="dxa"/>
            <w:tcBorders>
              <w:tl2br w:val="nil"/>
              <w:tr2bl w:val="nil"/>
            </w:tcBorders>
            <w:shd w:val="clear" w:color="auto" w:fill="auto"/>
            <w:vAlign w:val="center"/>
          </w:tcPr>
          <w:p w14:paraId="1D25737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32E7C3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11BDA2C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HCO</w:t>
            </w:r>
            <w:r>
              <w:rPr>
                <w:rFonts w:ascii="Times New Roman" w:hAnsi="Times New Roman" w:eastAsia="宋体" w:cs="Times New Roman"/>
                <w:caps w:val="0"/>
                <w:smallCaps w:val="0"/>
                <w:color w:val="auto"/>
                <w:spacing w:val="0"/>
                <w:sz w:val="21"/>
                <w:highlight w:val="none"/>
                <w:vertAlign w:val="subscript"/>
              </w:rPr>
              <w:t>3</w:t>
            </w:r>
            <w:r>
              <w:rPr>
                <w:rFonts w:ascii="Times New Roman" w:hAnsi="Times New Roman" w:eastAsia="宋体" w:cs="Times New Roman"/>
                <w:caps w:val="0"/>
                <w:smallCaps w:val="0"/>
                <w:color w:val="auto"/>
                <w:spacing w:val="0"/>
                <w:sz w:val="21"/>
                <w:highlight w:val="none"/>
                <w:vertAlign w:val="superscript"/>
              </w:rPr>
              <w:t>-</w:t>
            </w:r>
          </w:p>
        </w:tc>
        <w:tc>
          <w:tcPr>
            <w:tcW w:w="3128" w:type="dxa"/>
            <w:tcBorders>
              <w:tl2br w:val="nil"/>
              <w:tr2bl w:val="nil"/>
            </w:tcBorders>
            <w:shd w:val="clear" w:color="auto" w:fill="auto"/>
            <w:vAlign w:val="center"/>
          </w:tcPr>
          <w:p w14:paraId="59620C2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《水和废水监测分析方法》碱度酸碱指示剂滴定法国家环境保护总局（第四版，2002年）</w:t>
            </w:r>
          </w:p>
        </w:tc>
        <w:tc>
          <w:tcPr>
            <w:tcW w:w="1933" w:type="dxa"/>
            <w:tcBorders>
              <w:tl2br w:val="nil"/>
              <w:tr2bl w:val="nil"/>
            </w:tcBorders>
            <w:shd w:val="clear" w:color="auto" w:fill="auto"/>
            <w:vAlign w:val="center"/>
          </w:tcPr>
          <w:p w14:paraId="051FEEF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滴定管</w:t>
            </w:r>
          </w:p>
        </w:tc>
        <w:tc>
          <w:tcPr>
            <w:tcW w:w="1356" w:type="dxa"/>
            <w:tcBorders>
              <w:tl2br w:val="nil"/>
              <w:tr2bl w:val="nil"/>
            </w:tcBorders>
            <w:shd w:val="clear" w:color="auto" w:fill="auto"/>
            <w:vAlign w:val="center"/>
          </w:tcPr>
          <w:p w14:paraId="7F710E3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25ml</w:t>
            </w:r>
          </w:p>
        </w:tc>
        <w:tc>
          <w:tcPr>
            <w:tcW w:w="1497" w:type="dxa"/>
            <w:tcBorders>
              <w:tl2br w:val="nil"/>
              <w:tr2bl w:val="nil"/>
            </w:tcBorders>
            <w:shd w:val="clear" w:color="auto" w:fill="auto"/>
            <w:vAlign w:val="center"/>
          </w:tcPr>
          <w:p w14:paraId="0375920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C6FB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3B3A29D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Cl</w:t>
            </w:r>
            <w:r>
              <w:rPr>
                <w:rFonts w:ascii="Times New Roman" w:hAnsi="Times New Roman" w:eastAsia="宋体" w:cs="Times New Roman"/>
                <w:caps w:val="0"/>
                <w:smallCaps w:val="0"/>
                <w:color w:val="auto"/>
                <w:spacing w:val="0"/>
                <w:sz w:val="21"/>
                <w:highlight w:val="none"/>
                <w:vertAlign w:val="superscript"/>
              </w:rPr>
              <w:t>-</w:t>
            </w:r>
          </w:p>
        </w:tc>
        <w:tc>
          <w:tcPr>
            <w:tcW w:w="3128" w:type="dxa"/>
            <w:tcBorders>
              <w:tl2br w:val="nil"/>
              <w:tr2bl w:val="nil"/>
            </w:tcBorders>
            <w:shd w:val="clear" w:color="auto" w:fill="auto"/>
            <w:vAlign w:val="center"/>
          </w:tcPr>
          <w:p w14:paraId="43296B5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w:t>
            </w:r>
          </w:p>
          <w:p w14:paraId="0DFBDCF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第5部分：无机非金属指标</w:t>
            </w:r>
          </w:p>
          <w:p w14:paraId="012E83C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5.1硝酸银容量法（GB/T5750.5-2023）</w:t>
            </w:r>
          </w:p>
        </w:tc>
        <w:tc>
          <w:tcPr>
            <w:tcW w:w="1933" w:type="dxa"/>
            <w:tcBorders>
              <w:tl2br w:val="nil"/>
              <w:tr2bl w:val="nil"/>
            </w:tcBorders>
            <w:shd w:val="clear" w:color="auto" w:fill="auto"/>
            <w:vAlign w:val="center"/>
          </w:tcPr>
          <w:p w14:paraId="53C49E5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滴定管</w:t>
            </w:r>
          </w:p>
        </w:tc>
        <w:tc>
          <w:tcPr>
            <w:tcW w:w="1356" w:type="dxa"/>
            <w:tcBorders>
              <w:tl2br w:val="nil"/>
              <w:tr2bl w:val="nil"/>
            </w:tcBorders>
            <w:shd w:val="clear" w:color="auto" w:fill="auto"/>
            <w:vAlign w:val="center"/>
          </w:tcPr>
          <w:p w14:paraId="2E2F59D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25ml</w:t>
            </w:r>
          </w:p>
        </w:tc>
        <w:tc>
          <w:tcPr>
            <w:tcW w:w="1497" w:type="dxa"/>
            <w:tcBorders>
              <w:tl2br w:val="nil"/>
              <w:tr2bl w:val="nil"/>
            </w:tcBorders>
            <w:shd w:val="clear" w:color="auto" w:fill="auto"/>
            <w:vAlign w:val="center"/>
          </w:tcPr>
          <w:p w14:paraId="43D210A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98332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7F62179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4</w:t>
            </w:r>
            <w:r>
              <w:rPr>
                <w:rFonts w:ascii="Times New Roman" w:hAnsi="Times New Roman" w:eastAsia="宋体" w:cs="Times New Roman"/>
                <w:caps w:val="0"/>
                <w:smallCaps w:val="0"/>
                <w:color w:val="auto"/>
                <w:spacing w:val="0"/>
                <w:sz w:val="21"/>
                <w:highlight w:val="none"/>
                <w:vertAlign w:val="superscript"/>
              </w:rPr>
              <w:t>2-</w:t>
            </w:r>
          </w:p>
        </w:tc>
        <w:tc>
          <w:tcPr>
            <w:tcW w:w="3128" w:type="dxa"/>
            <w:tcBorders>
              <w:tl2br w:val="nil"/>
              <w:tr2bl w:val="nil"/>
            </w:tcBorders>
            <w:shd w:val="clear" w:color="auto" w:fill="auto"/>
            <w:vAlign w:val="center"/>
          </w:tcPr>
          <w:p w14:paraId="021D7D5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水质硫酸盐的测定铬酸钡分光光度法（试行）（HJ/T342-2007）</w:t>
            </w:r>
          </w:p>
        </w:tc>
        <w:tc>
          <w:tcPr>
            <w:tcW w:w="1933" w:type="dxa"/>
            <w:tcBorders>
              <w:tl2br w:val="nil"/>
              <w:tr2bl w:val="nil"/>
            </w:tcBorders>
            <w:shd w:val="clear" w:color="auto" w:fill="auto"/>
            <w:vAlign w:val="center"/>
          </w:tcPr>
          <w:p w14:paraId="4086E55C">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6FB0E1F5">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6543073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2794861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213276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18B9DF7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水位</w:t>
            </w:r>
          </w:p>
        </w:tc>
        <w:tc>
          <w:tcPr>
            <w:tcW w:w="3128" w:type="dxa"/>
            <w:tcBorders>
              <w:tl2br w:val="nil"/>
              <w:tr2bl w:val="nil"/>
            </w:tcBorders>
            <w:shd w:val="clear" w:color="auto" w:fill="auto"/>
            <w:vAlign w:val="center"/>
          </w:tcPr>
          <w:p w14:paraId="169E2D2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地下水监测规范（SL183-2005）</w:t>
            </w:r>
          </w:p>
        </w:tc>
        <w:tc>
          <w:tcPr>
            <w:tcW w:w="1933" w:type="dxa"/>
            <w:tcBorders>
              <w:tl2br w:val="nil"/>
              <w:tr2bl w:val="nil"/>
            </w:tcBorders>
            <w:shd w:val="clear" w:color="auto" w:fill="auto"/>
            <w:vAlign w:val="center"/>
          </w:tcPr>
          <w:p w14:paraId="52E69B5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水位计</w:t>
            </w:r>
          </w:p>
        </w:tc>
        <w:tc>
          <w:tcPr>
            <w:tcW w:w="1356" w:type="dxa"/>
            <w:tcBorders>
              <w:tl2br w:val="nil"/>
              <w:tr2bl w:val="nil"/>
            </w:tcBorders>
            <w:shd w:val="clear" w:color="auto" w:fill="auto"/>
            <w:vAlign w:val="center"/>
          </w:tcPr>
          <w:p w14:paraId="3133BD2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1497" w:type="dxa"/>
            <w:tcBorders>
              <w:tl2br w:val="nil"/>
              <w:tr2bl w:val="nil"/>
            </w:tcBorders>
            <w:shd w:val="clear" w:color="auto" w:fill="auto"/>
            <w:vAlign w:val="center"/>
          </w:tcPr>
          <w:p w14:paraId="4EC9AF9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ZYJC-YQ-081</w:t>
            </w:r>
          </w:p>
        </w:tc>
      </w:tr>
      <w:tr w14:paraId="1D9CBB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343D06D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pH值</w:t>
            </w:r>
          </w:p>
        </w:tc>
        <w:tc>
          <w:tcPr>
            <w:tcW w:w="3128" w:type="dxa"/>
            <w:tcBorders>
              <w:tl2br w:val="nil"/>
              <w:tr2bl w:val="nil"/>
            </w:tcBorders>
            <w:shd w:val="clear" w:color="auto" w:fill="auto"/>
            <w:vAlign w:val="center"/>
          </w:tcPr>
          <w:p w14:paraId="1371238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水质pH值的测定电极法</w:t>
            </w:r>
          </w:p>
          <w:p w14:paraId="515BBC0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（HJ1147-2020）</w:t>
            </w:r>
          </w:p>
        </w:tc>
        <w:tc>
          <w:tcPr>
            <w:tcW w:w="1933" w:type="dxa"/>
            <w:tcBorders>
              <w:tl2br w:val="nil"/>
              <w:tr2bl w:val="nil"/>
            </w:tcBorders>
            <w:shd w:val="clear" w:color="auto" w:fill="auto"/>
            <w:vAlign w:val="center"/>
          </w:tcPr>
          <w:p w14:paraId="51C8FB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便携式pH计</w:t>
            </w:r>
          </w:p>
        </w:tc>
        <w:tc>
          <w:tcPr>
            <w:tcW w:w="1356" w:type="dxa"/>
            <w:tcBorders>
              <w:tl2br w:val="nil"/>
              <w:tr2bl w:val="nil"/>
            </w:tcBorders>
            <w:shd w:val="clear" w:color="auto" w:fill="auto"/>
            <w:vAlign w:val="center"/>
          </w:tcPr>
          <w:p w14:paraId="68227EB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pHB-4</w:t>
            </w:r>
          </w:p>
        </w:tc>
        <w:tc>
          <w:tcPr>
            <w:tcW w:w="1497" w:type="dxa"/>
            <w:tcBorders>
              <w:tl2br w:val="nil"/>
              <w:tr2bl w:val="nil"/>
            </w:tcBorders>
            <w:shd w:val="clear" w:color="auto" w:fill="auto"/>
            <w:vAlign w:val="center"/>
          </w:tcPr>
          <w:p w14:paraId="715E515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ZYJC-YQ-120</w:t>
            </w:r>
          </w:p>
        </w:tc>
      </w:tr>
      <w:tr w14:paraId="47530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73A4D3DF">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总硬度</w:t>
            </w:r>
          </w:p>
        </w:tc>
        <w:tc>
          <w:tcPr>
            <w:tcW w:w="3128" w:type="dxa"/>
            <w:tcBorders>
              <w:tl2br w:val="nil"/>
              <w:tr2bl w:val="nil"/>
            </w:tcBorders>
            <w:shd w:val="clear" w:color="auto" w:fill="auto"/>
            <w:vAlign w:val="center"/>
          </w:tcPr>
          <w:p w14:paraId="43F398D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水质钙和镁总量的测定</w:t>
            </w:r>
          </w:p>
          <w:p w14:paraId="081D817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EDTA滴定法（GB7477-87）</w:t>
            </w:r>
          </w:p>
        </w:tc>
        <w:tc>
          <w:tcPr>
            <w:tcW w:w="1933" w:type="dxa"/>
            <w:tcBorders>
              <w:tl2br w:val="nil"/>
              <w:tr2bl w:val="nil"/>
            </w:tcBorders>
            <w:shd w:val="clear" w:color="auto" w:fill="auto"/>
            <w:vAlign w:val="center"/>
          </w:tcPr>
          <w:p w14:paraId="0476404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滴定管</w:t>
            </w:r>
          </w:p>
        </w:tc>
        <w:tc>
          <w:tcPr>
            <w:tcW w:w="1356" w:type="dxa"/>
            <w:tcBorders>
              <w:tl2br w:val="nil"/>
              <w:tr2bl w:val="nil"/>
            </w:tcBorders>
            <w:shd w:val="clear" w:color="auto" w:fill="auto"/>
            <w:vAlign w:val="center"/>
          </w:tcPr>
          <w:p w14:paraId="17C44A3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50ml</w:t>
            </w:r>
          </w:p>
        </w:tc>
        <w:tc>
          <w:tcPr>
            <w:tcW w:w="1497" w:type="dxa"/>
            <w:tcBorders>
              <w:tl2br w:val="nil"/>
              <w:tr2bl w:val="nil"/>
            </w:tcBorders>
            <w:shd w:val="clear" w:color="auto" w:fill="auto"/>
            <w:vAlign w:val="center"/>
          </w:tcPr>
          <w:p w14:paraId="3B1C05F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242B16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667CC3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氨氮</w:t>
            </w:r>
          </w:p>
        </w:tc>
        <w:tc>
          <w:tcPr>
            <w:tcW w:w="3128" w:type="dxa"/>
            <w:tcBorders>
              <w:tl2br w:val="nil"/>
              <w:tr2bl w:val="nil"/>
            </w:tcBorders>
            <w:shd w:val="clear" w:color="auto" w:fill="auto"/>
            <w:vAlign w:val="center"/>
          </w:tcPr>
          <w:p w14:paraId="3AC458D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水质氨氮的测定纳氏试剂分光光度法（HJ535-2009）</w:t>
            </w:r>
          </w:p>
        </w:tc>
        <w:tc>
          <w:tcPr>
            <w:tcW w:w="1933" w:type="dxa"/>
            <w:tcBorders>
              <w:tl2br w:val="nil"/>
              <w:tr2bl w:val="nil"/>
            </w:tcBorders>
            <w:shd w:val="clear" w:color="auto" w:fill="auto"/>
            <w:vAlign w:val="center"/>
          </w:tcPr>
          <w:p w14:paraId="75A21214">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73532428">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光光度计</w:t>
            </w:r>
          </w:p>
        </w:tc>
        <w:tc>
          <w:tcPr>
            <w:tcW w:w="1356" w:type="dxa"/>
            <w:tcBorders>
              <w:tl2br w:val="nil"/>
              <w:tr2bl w:val="nil"/>
            </w:tcBorders>
            <w:shd w:val="clear" w:color="auto" w:fill="auto"/>
            <w:vAlign w:val="center"/>
          </w:tcPr>
          <w:p w14:paraId="32A71D6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6AE8A59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1E998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3091C129">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氰化物</w:t>
            </w:r>
          </w:p>
        </w:tc>
        <w:tc>
          <w:tcPr>
            <w:tcW w:w="3128" w:type="dxa"/>
            <w:tcBorders>
              <w:tl2br w:val="nil"/>
              <w:tr2bl w:val="nil"/>
            </w:tcBorders>
            <w:shd w:val="clear" w:color="auto" w:fill="auto"/>
            <w:vAlign w:val="center"/>
          </w:tcPr>
          <w:p w14:paraId="540842E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w:t>
            </w:r>
          </w:p>
          <w:p w14:paraId="6415F94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第5部分：无机非金属指标</w:t>
            </w:r>
          </w:p>
          <w:p w14:paraId="74904E6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7.1异烟酸-吡唑啉酮分光光度法（GB/T5750.5-2023）</w:t>
            </w:r>
          </w:p>
        </w:tc>
        <w:tc>
          <w:tcPr>
            <w:tcW w:w="1933" w:type="dxa"/>
            <w:tcBorders>
              <w:tl2br w:val="nil"/>
              <w:tr2bl w:val="nil"/>
            </w:tcBorders>
            <w:shd w:val="clear" w:color="auto" w:fill="auto"/>
            <w:vAlign w:val="center"/>
          </w:tcPr>
          <w:p w14:paraId="3437288E">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11B00A0D">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4F5357D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1A3111E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0BA244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6D7580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挥发酚</w:t>
            </w:r>
          </w:p>
        </w:tc>
        <w:tc>
          <w:tcPr>
            <w:tcW w:w="3128" w:type="dxa"/>
            <w:tcBorders>
              <w:tl2br w:val="nil"/>
              <w:tr2bl w:val="nil"/>
            </w:tcBorders>
            <w:shd w:val="clear" w:color="auto" w:fill="auto"/>
            <w:vAlign w:val="center"/>
          </w:tcPr>
          <w:p w14:paraId="1B4C041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水质挥发酚的测定</w:t>
            </w:r>
          </w:p>
          <w:p w14:paraId="09CF07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4-氨基安替比林分光光度法</w:t>
            </w:r>
          </w:p>
          <w:p w14:paraId="7C93768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（HJ503-2009）</w:t>
            </w:r>
          </w:p>
        </w:tc>
        <w:tc>
          <w:tcPr>
            <w:tcW w:w="1933" w:type="dxa"/>
            <w:tcBorders>
              <w:tl2br w:val="nil"/>
              <w:tr2bl w:val="nil"/>
            </w:tcBorders>
            <w:shd w:val="clear" w:color="auto" w:fill="auto"/>
            <w:vAlign w:val="center"/>
          </w:tcPr>
          <w:p w14:paraId="00DA5C92">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319BD299">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35F33A5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55F5323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06F4E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08EDB928">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Style w:val="156"/>
                <w:rFonts w:eastAsia="宋体"/>
                <w:caps w:val="0"/>
                <w:smallCaps w:val="0"/>
                <w:color w:val="auto"/>
                <w:spacing w:val="0"/>
                <w:highlight w:val="none"/>
                <w:lang w:bidi="ar"/>
              </w:rPr>
              <w:t>高锰酸盐指数</w:t>
            </w:r>
            <w:r>
              <w:rPr>
                <w:rStyle w:val="157"/>
                <w:rFonts w:eastAsia="宋体"/>
                <w:caps w:val="0"/>
                <w:smallCaps w:val="0"/>
                <w:color w:val="auto"/>
                <w:spacing w:val="0"/>
                <w:highlight w:val="none"/>
                <w:lang w:bidi="ar"/>
              </w:rPr>
              <w:t>（</w:t>
            </w:r>
            <w:r>
              <w:rPr>
                <w:rFonts w:ascii="Times New Roman" w:hAnsi="Times New Roman" w:eastAsia="宋体" w:cs="Times New Roman"/>
                <w:caps w:val="0"/>
                <w:smallCaps w:val="0"/>
                <w:color w:val="auto"/>
                <w:spacing w:val="0"/>
                <w:kern w:val="0"/>
                <w:sz w:val="21"/>
                <w:highlight w:val="none"/>
              </w:rPr>
              <w:t>以O</w:t>
            </w:r>
            <w:r>
              <w:rPr>
                <w:rFonts w:ascii="Times New Roman" w:hAnsi="Times New Roman" w:eastAsia="宋体" w:cs="Times New Roman"/>
                <w:caps w:val="0"/>
                <w:smallCaps w:val="0"/>
                <w:color w:val="auto"/>
                <w:spacing w:val="0"/>
                <w:kern w:val="0"/>
                <w:sz w:val="21"/>
                <w:highlight w:val="none"/>
                <w:vertAlign w:val="subscript"/>
              </w:rPr>
              <w:t>2</w:t>
            </w:r>
            <w:r>
              <w:rPr>
                <w:rFonts w:ascii="Times New Roman" w:hAnsi="Times New Roman" w:eastAsia="宋体" w:cs="Times New Roman"/>
                <w:caps w:val="0"/>
                <w:smallCaps w:val="0"/>
                <w:color w:val="auto"/>
                <w:spacing w:val="0"/>
                <w:kern w:val="0"/>
                <w:sz w:val="21"/>
                <w:highlight w:val="none"/>
              </w:rPr>
              <w:t>计）</w:t>
            </w:r>
          </w:p>
        </w:tc>
        <w:tc>
          <w:tcPr>
            <w:tcW w:w="3128" w:type="dxa"/>
            <w:tcBorders>
              <w:tl2br w:val="nil"/>
              <w:tr2bl w:val="nil"/>
            </w:tcBorders>
            <w:shd w:val="clear" w:color="auto" w:fill="auto"/>
            <w:vAlign w:val="center"/>
          </w:tcPr>
          <w:p w14:paraId="509F0A8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水质高锰酸盐指数的测定</w:t>
            </w:r>
          </w:p>
          <w:p w14:paraId="7E4F4B0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（GB11892-89）</w:t>
            </w:r>
          </w:p>
        </w:tc>
        <w:tc>
          <w:tcPr>
            <w:tcW w:w="1933" w:type="dxa"/>
            <w:tcBorders>
              <w:tl2br w:val="nil"/>
              <w:tr2bl w:val="nil"/>
            </w:tcBorders>
            <w:shd w:val="clear" w:color="auto" w:fill="auto"/>
            <w:vAlign w:val="center"/>
          </w:tcPr>
          <w:p w14:paraId="27B380A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恒温数显水浴锅</w:t>
            </w:r>
          </w:p>
        </w:tc>
        <w:tc>
          <w:tcPr>
            <w:tcW w:w="1356" w:type="dxa"/>
            <w:tcBorders>
              <w:tl2br w:val="nil"/>
              <w:tr2bl w:val="nil"/>
            </w:tcBorders>
            <w:shd w:val="clear" w:color="auto" w:fill="auto"/>
            <w:vAlign w:val="center"/>
          </w:tcPr>
          <w:p w14:paraId="4D12873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HH-8</w:t>
            </w:r>
          </w:p>
        </w:tc>
        <w:tc>
          <w:tcPr>
            <w:tcW w:w="1497" w:type="dxa"/>
            <w:tcBorders>
              <w:tl2br w:val="nil"/>
              <w:tr2bl w:val="nil"/>
            </w:tcBorders>
            <w:shd w:val="clear" w:color="auto" w:fill="auto"/>
            <w:vAlign w:val="center"/>
          </w:tcPr>
          <w:p w14:paraId="3EC1C11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ZYJC-YQ-006</w:t>
            </w:r>
          </w:p>
        </w:tc>
      </w:tr>
      <w:tr w14:paraId="3A4D1D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48FB1810">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氟化物</w:t>
            </w:r>
          </w:p>
        </w:tc>
        <w:tc>
          <w:tcPr>
            <w:tcW w:w="3128" w:type="dxa"/>
            <w:tcBorders>
              <w:tl2br w:val="nil"/>
              <w:tr2bl w:val="nil"/>
            </w:tcBorders>
            <w:shd w:val="clear" w:color="auto" w:fill="auto"/>
            <w:vAlign w:val="center"/>
          </w:tcPr>
          <w:p w14:paraId="5D54B66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水质氟化物的测定氟试剂分光光度法（HJ488-2009）</w:t>
            </w:r>
          </w:p>
        </w:tc>
        <w:tc>
          <w:tcPr>
            <w:tcW w:w="1933" w:type="dxa"/>
            <w:tcBorders>
              <w:tl2br w:val="nil"/>
              <w:tr2bl w:val="nil"/>
            </w:tcBorders>
            <w:shd w:val="clear" w:color="auto" w:fill="auto"/>
            <w:vAlign w:val="center"/>
          </w:tcPr>
          <w:p w14:paraId="00DA6FEA">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227967BE">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2E01537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6F71EE1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706A1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7F69B45D">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砷</w:t>
            </w:r>
          </w:p>
        </w:tc>
        <w:tc>
          <w:tcPr>
            <w:tcW w:w="3128" w:type="dxa"/>
            <w:tcBorders>
              <w:tl2br w:val="nil"/>
              <w:tr2bl w:val="nil"/>
            </w:tcBorders>
            <w:shd w:val="clear" w:color="auto" w:fill="auto"/>
            <w:vAlign w:val="center"/>
          </w:tcPr>
          <w:p w14:paraId="33A10AE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水质汞、砷、硒、铋和锑的测定原子荧光法（HJ694-2014）</w:t>
            </w:r>
          </w:p>
        </w:tc>
        <w:tc>
          <w:tcPr>
            <w:tcW w:w="1933" w:type="dxa"/>
            <w:tcBorders>
              <w:tl2br w:val="nil"/>
              <w:tr2bl w:val="nil"/>
            </w:tcBorders>
            <w:shd w:val="clear" w:color="auto" w:fill="auto"/>
            <w:vAlign w:val="center"/>
          </w:tcPr>
          <w:p w14:paraId="6563B8C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原子荧光光度计</w:t>
            </w:r>
          </w:p>
        </w:tc>
        <w:tc>
          <w:tcPr>
            <w:tcW w:w="1356" w:type="dxa"/>
            <w:tcBorders>
              <w:tl2br w:val="nil"/>
              <w:tr2bl w:val="nil"/>
            </w:tcBorders>
            <w:shd w:val="clear" w:color="auto" w:fill="auto"/>
            <w:vAlign w:val="center"/>
          </w:tcPr>
          <w:p w14:paraId="329FB84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AFS-8220</w:t>
            </w:r>
          </w:p>
        </w:tc>
        <w:tc>
          <w:tcPr>
            <w:tcW w:w="1497" w:type="dxa"/>
            <w:tcBorders>
              <w:tl2br w:val="nil"/>
              <w:tr2bl w:val="nil"/>
            </w:tcBorders>
            <w:shd w:val="clear" w:color="auto" w:fill="auto"/>
            <w:vAlign w:val="center"/>
          </w:tcPr>
          <w:p w14:paraId="1098C03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ZYJC-YQ-005</w:t>
            </w:r>
          </w:p>
        </w:tc>
      </w:tr>
      <w:tr w14:paraId="0FED5C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0D3C3455">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汞</w:t>
            </w:r>
          </w:p>
        </w:tc>
        <w:tc>
          <w:tcPr>
            <w:tcW w:w="3128" w:type="dxa"/>
            <w:tcBorders>
              <w:tl2br w:val="nil"/>
              <w:tr2bl w:val="nil"/>
            </w:tcBorders>
            <w:shd w:val="clear" w:color="auto" w:fill="auto"/>
            <w:vAlign w:val="center"/>
          </w:tcPr>
          <w:p w14:paraId="70C4F1C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水质汞、砷、硒、铋和锑的测定原子荧光法（HJ694-2014）</w:t>
            </w:r>
          </w:p>
        </w:tc>
        <w:tc>
          <w:tcPr>
            <w:tcW w:w="1933" w:type="dxa"/>
            <w:tcBorders>
              <w:tl2br w:val="nil"/>
              <w:tr2bl w:val="nil"/>
            </w:tcBorders>
            <w:shd w:val="clear" w:color="auto" w:fill="auto"/>
            <w:vAlign w:val="center"/>
          </w:tcPr>
          <w:p w14:paraId="7359226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原子荧光光度计</w:t>
            </w:r>
          </w:p>
        </w:tc>
        <w:tc>
          <w:tcPr>
            <w:tcW w:w="1356" w:type="dxa"/>
            <w:tcBorders>
              <w:tl2br w:val="nil"/>
              <w:tr2bl w:val="nil"/>
            </w:tcBorders>
            <w:shd w:val="clear" w:color="auto" w:fill="auto"/>
            <w:vAlign w:val="center"/>
          </w:tcPr>
          <w:p w14:paraId="692E1A6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AFS-8220</w:t>
            </w:r>
          </w:p>
        </w:tc>
        <w:tc>
          <w:tcPr>
            <w:tcW w:w="1497" w:type="dxa"/>
            <w:tcBorders>
              <w:tl2br w:val="nil"/>
              <w:tr2bl w:val="nil"/>
            </w:tcBorders>
            <w:shd w:val="clear" w:color="auto" w:fill="auto"/>
            <w:vAlign w:val="center"/>
          </w:tcPr>
          <w:p w14:paraId="325536F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ZYJC-YQ-005</w:t>
            </w:r>
          </w:p>
        </w:tc>
      </w:tr>
      <w:tr w14:paraId="46C61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2C8A8680">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镉</w:t>
            </w:r>
          </w:p>
        </w:tc>
        <w:tc>
          <w:tcPr>
            <w:tcW w:w="3128" w:type="dxa"/>
            <w:tcBorders>
              <w:tl2br w:val="nil"/>
              <w:tr2bl w:val="nil"/>
            </w:tcBorders>
            <w:shd w:val="clear" w:color="auto" w:fill="auto"/>
            <w:vAlign w:val="center"/>
          </w:tcPr>
          <w:p w14:paraId="19C879C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水质铜、锌、铅、镉的测定</w:t>
            </w:r>
          </w:p>
          <w:p w14:paraId="38EBA87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原子吸收分光光度法</w:t>
            </w:r>
          </w:p>
          <w:p w14:paraId="648BC5C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（GB7475-87）</w:t>
            </w:r>
          </w:p>
        </w:tc>
        <w:tc>
          <w:tcPr>
            <w:tcW w:w="1933" w:type="dxa"/>
            <w:tcBorders>
              <w:tl2br w:val="nil"/>
              <w:tr2bl w:val="nil"/>
            </w:tcBorders>
            <w:shd w:val="clear" w:color="auto" w:fill="auto"/>
            <w:vAlign w:val="center"/>
          </w:tcPr>
          <w:p w14:paraId="4A492D65">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682C7EF0">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53B5B0F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767C7EF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0805DE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20DBFAE">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六价铬</w:t>
            </w:r>
          </w:p>
        </w:tc>
        <w:tc>
          <w:tcPr>
            <w:tcW w:w="3128" w:type="dxa"/>
            <w:tcBorders>
              <w:tl2br w:val="nil"/>
              <w:tr2bl w:val="nil"/>
            </w:tcBorders>
            <w:shd w:val="clear" w:color="auto" w:fill="auto"/>
            <w:vAlign w:val="center"/>
          </w:tcPr>
          <w:p w14:paraId="123E67D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w:t>
            </w:r>
          </w:p>
          <w:p w14:paraId="67F6A4B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第6部分：金属和类金属指标13.1二苯碳酰二肼分光光度法（GB/T5750.6-2023）</w:t>
            </w:r>
          </w:p>
        </w:tc>
        <w:tc>
          <w:tcPr>
            <w:tcW w:w="1933" w:type="dxa"/>
            <w:tcBorders>
              <w:tl2br w:val="nil"/>
              <w:tr2bl w:val="nil"/>
            </w:tcBorders>
            <w:shd w:val="clear" w:color="auto" w:fill="auto"/>
            <w:vAlign w:val="center"/>
          </w:tcPr>
          <w:p w14:paraId="71A6E24C">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47E5BA79">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58DD4FC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6625C5D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7C03C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666EB8E">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铁</w:t>
            </w:r>
          </w:p>
        </w:tc>
        <w:tc>
          <w:tcPr>
            <w:tcW w:w="3128" w:type="dxa"/>
            <w:tcBorders>
              <w:tl2br w:val="nil"/>
              <w:tr2bl w:val="nil"/>
            </w:tcBorders>
            <w:shd w:val="clear" w:color="auto" w:fill="auto"/>
            <w:vAlign w:val="center"/>
          </w:tcPr>
          <w:p w14:paraId="1C0AB93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水质铁、锰的测定原子吸收分光光度法（GB11911-89）</w:t>
            </w:r>
          </w:p>
        </w:tc>
        <w:tc>
          <w:tcPr>
            <w:tcW w:w="1933" w:type="dxa"/>
            <w:tcBorders>
              <w:tl2br w:val="nil"/>
              <w:tr2bl w:val="nil"/>
            </w:tcBorders>
            <w:shd w:val="clear" w:color="auto" w:fill="auto"/>
            <w:vAlign w:val="center"/>
          </w:tcPr>
          <w:p w14:paraId="158D7FF6">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A471550">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591B534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52D37C2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7C620A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73C47B7E">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锰</w:t>
            </w:r>
          </w:p>
        </w:tc>
        <w:tc>
          <w:tcPr>
            <w:tcW w:w="3128" w:type="dxa"/>
            <w:tcBorders>
              <w:tl2br w:val="nil"/>
              <w:tr2bl w:val="nil"/>
            </w:tcBorders>
            <w:shd w:val="clear" w:color="auto" w:fill="auto"/>
            <w:vAlign w:val="center"/>
          </w:tcPr>
          <w:p w14:paraId="3C3D810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水质铁、锰的测定原子吸收分光光度法（GB11911-89）</w:t>
            </w:r>
          </w:p>
        </w:tc>
        <w:tc>
          <w:tcPr>
            <w:tcW w:w="1933" w:type="dxa"/>
            <w:tcBorders>
              <w:tl2br w:val="nil"/>
              <w:tr2bl w:val="nil"/>
            </w:tcBorders>
            <w:shd w:val="clear" w:color="auto" w:fill="auto"/>
            <w:vAlign w:val="center"/>
          </w:tcPr>
          <w:p w14:paraId="71B71386">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1407022">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231EA7B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37AC2A4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3A6236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287C50EE">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铅</w:t>
            </w:r>
          </w:p>
        </w:tc>
        <w:tc>
          <w:tcPr>
            <w:tcW w:w="3128" w:type="dxa"/>
            <w:tcBorders>
              <w:tl2br w:val="nil"/>
              <w:tr2bl w:val="nil"/>
            </w:tcBorders>
            <w:shd w:val="clear" w:color="auto" w:fill="auto"/>
            <w:vAlign w:val="center"/>
          </w:tcPr>
          <w:p w14:paraId="7817471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生活饮用水标准检验方法第6部分：金属和类金属指标14.1无火焰原子吸收分光光度法（GB/T5750.6-2023）</w:t>
            </w:r>
          </w:p>
        </w:tc>
        <w:tc>
          <w:tcPr>
            <w:tcW w:w="1933" w:type="dxa"/>
            <w:tcBorders>
              <w:tl2br w:val="nil"/>
              <w:tr2bl w:val="nil"/>
            </w:tcBorders>
            <w:shd w:val="clear" w:color="auto" w:fill="auto"/>
            <w:vAlign w:val="center"/>
          </w:tcPr>
          <w:p w14:paraId="3DDA67D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5AEDA12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6DB94AE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21625C9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2D4E54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4053BFEC">
            <w:pPr>
              <w:widowControl w:val="0"/>
              <w:spacing w:line="240" w:lineRule="auto"/>
              <w:jc w:val="center"/>
              <w:rPr>
                <w:rStyle w:val="156"/>
                <w:rFonts w:eastAsia="宋体"/>
                <w:caps w:val="0"/>
                <w:smallCaps w:val="0"/>
                <w:color w:val="auto"/>
                <w:spacing w:val="0"/>
                <w:highlight w:val="none"/>
                <w:lang w:bidi="ar"/>
              </w:rPr>
            </w:pPr>
            <w:r>
              <w:rPr>
                <w:rStyle w:val="156"/>
                <w:rFonts w:eastAsia="宋体"/>
                <w:caps w:val="0"/>
                <w:smallCaps w:val="0"/>
                <w:color w:val="auto"/>
                <w:spacing w:val="0"/>
                <w:highlight w:val="none"/>
                <w:lang w:bidi="ar"/>
              </w:rPr>
              <w:t>亚硝酸盐（氮）</w:t>
            </w:r>
          </w:p>
          <w:p w14:paraId="0BE99866">
            <w:pPr>
              <w:widowControl w:val="0"/>
              <w:spacing w:line="240" w:lineRule="auto"/>
              <w:jc w:val="both"/>
              <w:rPr>
                <w:rFonts w:ascii="Times New Roman" w:hAnsi="Times New Roman" w:eastAsia="宋体" w:cs="Times New Roman"/>
                <w:caps w:val="0"/>
                <w:smallCaps w:val="0"/>
                <w:color w:val="auto"/>
                <w:spacing w:val="0"/>
                <w:sz w:val="21"/>
                <w:highlight w:val="none"/>
              </w:rPr>
            </w:pPr>
            <w:r>
              <w:rPr>
                <w:rStyle w:val="156"/>
                <w:rFonts w:eastAsia="宋体"/>
                <w:caps w:val="0"/>
                <w:smallCaps w:val="0"/>
                <w:color w:val="auto"/>
                <w:spacing w:val="0"/>
                <w:highlight w:val="none"/>
                <w:lang w:bidi="ar"/>
              </w:rPr>
              <w:t>（以</w:t>
            </w:r>
            <w:r>
              <w:rPr>
                <w:rStyle w:val="158"/>
                <w:rFonts w:hint="default" w:ascii="Times New Roman" w:hAnsi="Times New Roman" w:cs="Times New Roman"/>
                <w:caps w:val="0"/>
                <w:smallCaps w:val="0"/>
                <w:color w:val="auto"/>
                <w:spacing w:val="0"/>
                <w:highlight w:val="none"/>
                <w:lang w:bidi="ar"/>
              </w:rPr>
              <w:t>N</w:t>
            </w:r>
            <w:r>
              <w:rPr>
                <w:rStyle w:val="156"/>
                <w:rFonts w:eastAsia="宋体"/>
                <w:caps w:val="0"/>
                <w:smallCaps w:val="0"/>
                <w:color w:val="auto"/>
                <w:spacing w:val="0"/>
                <w:highlight w:val="none"/>
                <w:lang w:bidi="ar"/>
              </w:rPr>
              <w:t>计）</w:t>
            </w:r>
          </w:p>
        </w:tc>
        <w:tc>
          <w:tcPr>
            <w:tcW w:w="3128" w:type="dxa"/>
            <w:tcBorders>
              <w:tl2br w:val="nil"/>
              <w:tr2bl w:val="nil"/>
            </w:tcBorders>
            <w:shd w:val="clear" w:color="auto" w:fill="auto"/>
            <w:vAlign w:val="center"/>
          </w:tcPr>
          <w:p w14:paraId="7F08DC1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水质亚硝酸盐的测定</w:t>
            </w:r>
          </w:p>
          <w:p w14:paraId="5B3E44A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分光光度法（GB7493-87）</w:t>
            </w:r>
          </w:p>
        </w:tc>
        <w:tc>
          <w:tcPr>
            <w:tcW w:w="1933" w:type="dxa"/>
            <w:tcBorders>
              <w:tl2br w:val="nil"/>
              <w:tr2bl w:val="nil"/>
            </w:tcBorders>
            <w:shd w:val="clear" w:color="auto" w:fill="auto"/>
            <w:vAlign w:val="center"/>
          </w:tcPr>
          <w:p w14:paraId="7D2D5E92">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0798CD2B">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5180D96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326C7BC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6CA3A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1AAEE7CC">
            <w:pPr>
              <w:widowControl w:val="0"/>
              <w:spacing w:line="240" w:lineRule="auto"/>
              <w:jc w:val="center"/>
              <w:rPr>
                <w:rStyle w:val="156"/>
                <w:rFonts w:eastAsia="宋体"/>
                <w:caps w:val="0"/>
                <w:smallCaps w:val="0"/>
                <w:color w:val="auto"/>
                <w:spacing w:val="0"/>
                <w:highlight w:val="none"/>
                <w:lang w:bidi="ar"/>
              </w:rPr>
            </w:pPr>
            <w:r>
              <w:rPr>
                <w:rStyle w:val="156"/>
                <w:rFonts w:eastAsia="宋体"/>
                <w:caps w:val="0"/>
                <w:smallCaps w:val="0"/>
                <w:color w:val="auto"/>
                <w:spacing w:val="0"/>
                <w:highlight w:val="none"/>
                <w:lang w:bidi="ar"/>
              </w:rPr>
              <w:t>硝酸盐（氮）</w:t>
            </w:r>
          </w:p>
          <w:p w14:paraId="7FF74FD8">
            <w:pPr>
              <w:widowControl w:val="0"/>
              <w:spacing w:line="240" w:lineRule="auto"/>
              <w:jc w:val="center"/>
              <w:rPr>
                <w:rFonts w:ascii="Times New Roman" w:hAnsi="Times New Roman" w:eastAsia="宋体" w:cs="Times New Roman"/>
                <w:caps w:val="0"/>
                <w:smallCaps w:val="0"/>
                <w:color w:val="auto"/>
                <w:spacing w:val="0"/>
                <w:sz w:val="21"/>
                <w:highlight w:val="none"/>
              </w:rPr>
            </w:pPr>
            <w:r>
              <w:rPr>
                <w:rStyle w:val="156"/>
                <w:rFonts w:eastAsia="宋体"/>
                <w:caps w:val="0"/>
                <w:smallCaps w:val="0"/>
                <w:color w:val="auto"/>
                <w:spacing w:val="0"/>
                <w:highlight w:val="none"/>
                <w:lang w:bidi="ar"/>
              </w:rPr>
              <w:t>（以</w:t>
            </w:r>
            <w:r>
              <w:rPr>
                <w:rStyle w:val="158"/>
                <w:rFonts w:hint="default" w:ascii="Times New Roman" w:hAnsi="Times New Roman" w:cs="Times New Roman"/>
                <w:caps w:val="0"/>
                <w:smallCaps w:val="0"/>
                <w:color w:val="auto"/>
                <w:spacing w:val="0"/>
                <w:highlight w:val="none"/>
                <w:lang w:bidi="ar"/>
              </w:rPr>
              <w:t>N</w:t>
            </w:r>
            <w:r>
              <w:rPr>
                <w:rStyle w:val="156"/>
                <w:rFonts w:eastAsia="宋体"/>
                <w:caps w:val="0"/>
                <w:smallCaps w:val="0"/>
                <w:color w:val="auto"/>
                <w:spacing w:val="0"/>
                <w:highlight w:val="none"/>
                <w:lang w:bidi="ar"/>
              </w:rPr>
              <w:t>计）</w:t>
            </w:r>
          </w:p>
        </w:tc>
        <w:tc>
          <w:tcPr>
            <w:tcW w:w="3128" w:type="dxa"/>
            <w:tcBorders>
              <w:tl2br w:val="nil"/>
              <w:tr2bl w:val="nil"/>
            </w:tcBorders>
            <w:shd w:val="clear" w:color="auto" w:fill="auto"/>
            <w:vAlign w:val="center"/>
          </w:tcPr>
          <w:p w14:paraId="089EBD2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水质硝酸盐的测定</w:t>
            </w:r>
          </w:p>
          <w:p w14:paraId="563CD0B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紫外分光光度法（试行）</w:t>
            </w:r>
          </w:p>
          <w:p w14:paraId="69CC1B0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（HJ/T346-2007）</w:t>
            </w:r>
          </w:p>
        </w:tc>
        <w:tc>
          <w:tcPr>
            <w:tcW w:w="1933" w:type="dxa"/>
            <w:tcBorders>
              <w:tl2br w:val="nil"/>
              <w:tr2bl w:val="nil"/>
            </w:tcBorders>
            <w:shd w:val="clear" w:color="auto" w:fill="auto"/>
            <w:vAlign w:val="center"/>
          </w:tcPr>
          <w:p w14:paraId="5623EEEA">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45592D66">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5EB8D2F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4E8F704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4E937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71D47D4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硫酸盐</w:t>
            </w:r>
          </w:p>
        </w:tc>
        <w:tc>
          <w:tcPr>
            <w:tcW w:w="3128" w:type="dxa"/>
            <w:tcBorders>
              <w:tl2br w:val="nil"/>
              <w:tr2bl w:val="nil"/>
            </w:tcBorders>
            <w:shd w:val="clear" w:color="auto" w:fill="auto"/>
            <w:vAlign w:val="center"/>
          </w:tcPr>
          <w:p w14:paraId="1090B10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水质硫酸盐的测定</w:t>
            </w:r>
          </w:p>
          <w:p w14:paraId="5D53E56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铬酸钡分光光度法（试行）</w:t>
            </w:r>
          </w:p>
          <w:p w14:paraId="6278CE2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（HJ/T342-2007）</w:t>
            </w:r>
          </w:p>
        </w:tc>
        <w:tc>
          <w:tcPr>
            <w:tcW w:w="1933" w:type="dxa"/>
            <w:tcBorders>
              <w:tl2br w:val="nil"/>
              <w:tr2bl w:val="nil"/>
            </w:tcBorders>
            <w:shd w:val="clear" w:color="auto" w:fill="auto"/>
            <w:vAlign w:val="center"/>
          </w:tcPr>
          <w:p w14:paraId="76E4A6AF">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1367CAC1">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41A8790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5569530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74F19C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9196C7A">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溶解性总固体</w:t>
            </w:r>
          </w:p>
        </w:tc>
        <w:tc>
          <w:tcPr>
            <w:tcW w:w="3128" w:type="dxa"/>
            <w:tcBorders>
              <w:tl2br w:val="nil"/>
              <w:tr2bl w:val="nil"/>
            </w:tcBorders>
            <w:shd w:val="clear" w:color="auto" w:fill="auto"/>
            <w:vAlign w:val="center"/>
          </w:tcPr>
          <w:p w14:paraId="7E9BDC0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w:t>
            </w:r>
          </w:p>
          <w:p w14:paraId="06E77DF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第4部分：感官性状和物理指标11.1称量法(GB/T5750.4-2023)</w:t>
            </w:r>
          </w:p>
        </w:tc>
        <w:tc>
          <w:tcPr>
            <w:tcW w:w="1933" w:type="dxa"/>
            <w:tcBorders>
              <w:tl2br w:val="nil"/>
              <w:tr2bl w:val="nil"/>
            </w:tcBorders>
            <w:shd w:val="clear" w:color="auto" w:fill="auto"/>
            <w:vAlign w:val="center"/>
          </w:tcPr>
          <w:p w14:paraId="1B5A672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电子天平</w:t>
            </w:r>
          </w:p>
        </w:tc>
        <w:tc>
          <w:tcPr>
            <w:tcW w:w="1356" w:type="dxa"/>
            <w:tcBorders>
              <w:tl2br w:val="nil"/>
              <w:tr2bl w:val="nil"/>
            </w:tcBorders>
            <w:shd w:val="clear" w:color="auto" w:fill="auto"/>
            <w:vAlign w:val="center"/>
          </w:tcPr>
          <w:p w14:paraId="791B1D1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XS105DU</w:t>
            </w:r>
          </w:p>
        </w:tc>
        <w:tc>
          <w:tcPr>
            <w:tcW w:w="1497" w:type="dxa"/>
            <w:tcBorders>
              <w:tl2br w:val="nil"/>
              <w:tr2bl w:val="nil"/>
            </w:tcBorders>
            <w:shd w:val="clear" w:color="auto" w:fill="auto"/>
            <w:vAlign w:val="center"/>
          </w:tcPr>
          <w:p w14:paraId="43D969C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ZYJC-YQ-032</w:t>
            </w:r>
          </w:p>
        </w:tc>
      </w:tr>
      <w:tr w14:paraId="46910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4AD8AB01">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氯化物</w:t>
            </w:r>
          </w:p>
        </w:tc>
        <w:tc>
          <w:tcPr>
            <w:tcW w:w="3128" w:type="dxa"/>
            <w:tcBorders>
              <w:tl2br w:val="nil"/>
              <w:tr2bl w:val="nil"/>
            </w:tcBorders>
            <w:shd w:val="clear" w:color="auto" w:fill="auto"/>
            <w:vAlign w:val="center"/>
          </w:tcPr>
          <w:p w14:paraId="5906A4F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生活饮用水标准检验方法第5部分：无机非金属指标5.1硝酸银容量法（GB/T5750.5-2023）</w:t>
            </w:r>
          </w:p>
        </w:tc>
        <w:tc>
          <w:tcPr>
            <w:tcW w:w="1933" w:type="dxa"/>
            <w:tcBorders>
              <w:tl2br w:val="nil"/>
              <w:tr2bl w:val="nil"/>
            </w:tcBorders>
            <w:shd w:val="clear" w:color="auto" w:fill="auto"/>
            <w:vAlign w:val="center"/>
          </w:tcPr>
          <w:p w14:paraId="057D531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滴定管</w:t>
            </w:r>
          </w:p>
        </w:tc>
        <w:tc>
          <w:tcPr>
            <w:tcW w:w="1356" w:type="dxa"/>
            <w:tcBorders>
              <w:tl2br w:val="nil"/>
              <w:tr2bl w:val="nil"/>
            </w:tcBorders>
            <w:shd w:val="clear" w:color="auto" w:fill="auto"/>
            <w:vAlign w:val="center"/>
          </w:tcPr>
          <w:p w14:paraId="73934FA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25ml</w:t>
            </w:r>
          </w:p>
        </w:tc>
        <w:tc>
          <w:tcPr>
            <w:tcW w:w="1497" w:type="dxa"/>
            <w:tcBorders>
              <w:tl2br w:val="nil"/>
              <w:tr2bl w:val="nil"/>
            </w:tcBorders>
            <w:shd w:val="clear" w:color="auto" w:fill="auto"/>
            <w:vAlign w:val="center"/>
          </w:tcPr>
          <w:p w14:paraId="6206036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A7FE5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B3B054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总大肠菌群</w:t>
            </w:r>
          </w:p>
        </w:tc>
        <w:tc>
          <w:tcPr>
            <w:tcW w:w="3128" w:type="dxa"/>
            <w:tcBorders>
              <w:tl2br w:val="nil"/>
              <w:tr2bl w:val="nil"/>
            </w:tcBorders>
            <w:shd w:val="clear" w:color="auto" w:fill="auto"/>
            <w:vAlign w:val="center"/>
          </w:tcPr>
          <w:p w14:paraId="173AAB8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生活饮用水标准检验方法</w:t>
            </w:r>
          </w:p>
          <w:p w14:paraId="596144A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第12部分：微生物指标</w:t>
            </w:r>
          </w:p>
          <w:p w14:paraId="198C755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5.1总大肠菌群多管发酵法（GB/T5750.12-2023）</w:t>
            </w:r>
          </w:p>
        </w:tc>
        <w:tc>
          <w:tcPr>
            <w:tcW w:w="1933" w:type="dxa"/>
            <w:tcBorders>
              <w:tl2br w:val="nil"/>
              <w:tr2bl w:val="nil"/>
            </w:tcBorders>
            <w:shd w:val="clear" w:color="auto" w:fill="auto"/>
            <w:vAlign w:val="center"/>
          </w:tcPr>
          <w:p w14:paraId="4FF6C1E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电热恒</w:t>
            </w:r>
          </w:p>
          <w:p w14:paraId="4B07113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温培养箱</w:t>
            </w:r>
          </w:p>
        </w:tc>
        <w:tc>
          <w:tcPr>
            <w:tcW w:w="1356" w:type="dxa"/>
            <w:tcBorders>
              <w:tl2br w:val="nil"/>
              <w:tr2bl w:val="nil"/>
            </w:tcBorders>
            <w:shd w:val="clear" w:color="auto" w:fill="auto"/>
            <w:vAlign w:val="center"/>
          </w:tcPr>
          <w:p w14:paraId="762C307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DH360AS13</w:t>
            </w:r>
          </w:p>
        </w:tc>
        <w:tc>
          <w:tcPr>
            <w:tcW w:w="1497" w:type="dxa"/>
            <w:tcBorders>
              <w:tl2br w:val="nil"/>
              <w:tr2bl w:val="nil"/>
            </w:tcBorders>
            <w:shd w:val="clear" w:color="auto" w:fill="auto"/>
            <w:vAlign w:val="center"/>
          </w:tcPr>
          <w:p w14:paraId="4C6B80E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ZYJC-YQ-014</w:t>
            </w:r>
          </w:p>
        </w:tc>
      </w:tr>
      <w:tr w14:paraId="1D53C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3D086B1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菌落总数</w:t>
            </w:r>
          </w:p>
        </w:tc>
        <w:tc>
          <w:tcPr>
            <w:tcW w:w="3128" w:type="dxa"/>
            <w:tcBorders>
              <w:tl2br w:val="nil"/>
              <w:tr2bl w:val="nil"/>
            </w:tcBorders>
            <w:shd w:val="clear" w:color="auto" w:fill="auto"/>
            <w:vAlign w:val="center"/>
          </w:tcPr>
          <w:p w14:paraId="4502109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水质细菌总数的测定</w:t>
            </w:r>
          </w:p>
          <w:p w14:paraId="073787C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平皿计数法（HJ1000-2018）</w:t>
            </w:r>
          </w:p>
        </w:tc>
        <w:tc>
          <w:tcPr>
            <w:tcW w:w="1933" w:type="dxa"/>
            <w:tcBorders>
              <w:tl2br w:val="nil"/>
              <w:tr2bl w:val="nil"/>
            </w:tcBorders>
            <w:shd w:val="clear" w:color="auto" w:fill="auto"/>
            <w:vAlign w:val="center"/>
          </w:tcPr>
          <w:p w14:paraId="5D4BE07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电热恒</w:t>
            </w:r>
          </w:p>
          <w:p w14:paraId="65961D6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温培养箱</w:t>
            </w:r>
          </w:p>
        </w:tc>
        <w:tc>
          <w:tcPr>
            <w:tcW w:w="1356" w:type="dxa"/>
            <w:tcBorders>
              <w:tl2br w:val="nil"/>
              <w:tr2bl w:val="nil"/>
            </w:tcBorders>
            <w:shd w:val="clear" w:color="auto" w:fill="auto"/>
            <w:vAlign w:val="center"/>
          </w:tcPr>
          <w:p w14:paraId="61BC7EF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DH360AS13</w:t>
            </w:r>
          </w:p>
        </w:tc>
        <w:tc>
          <w:tcPr>
            <w:tcW w:w="1497" w:type="dxa"/>
            <w:tcBorders>
              <w:tl2br w:val="nil"/>
              <w:tr2bl w:val="nil"/>
            </w:tcBorders>
            <w:shd w:val="clear" w:color="auto" w:fill="auto"/>
            <w:vAlign w:val="center"/>
          </w:tcPr>
          <w:p w14:paraId="0F3A01C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ZYJC-YQ-014</w:t>
            </w:r>
          </w:p>
        </w:tc>
      </w:tr>
      <w:tr w14:paraId="3D861E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4BDBBEE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石油类</w:t>
            </w:r>
          </w:p>
        </w:tc>
        <w:tc>
          <w:tcPr>
            <w:tcW w:w="3128" w:type="dxa"/>
            <w:tcBorders>
              <w:tl2br w:val="nil"/>
              <w:tr2bl w:val="nil"/>
            </w:tcBorders>
            <w:shd w:val="clear" w:color="auto" w:fill="auto"/>
            <w:vAlign w:val="center"/>
          </w:tcPr>
          <w:p w14:paraId="26409A0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水质石油类的测定紫外分光光度法（试行）（HJ970-2018）</w:t>
            </w:r>
          </w:p>
        </w:tc>
        <w:tc>
          <w:tcPr>
            <w:tcW w:w="1933" w:type="dxa"/>
            <w:tcBorders>
              <w:tl2br w:val="nil"/>
              <w:tr2bl w:val="nil"/>
            </w:tcBorders>
            <w:shd w:val="clear" w:color="auto" w:fill="auto"/>
            <w:vAlign w:val="center"/>
          </w:tcPr>
          <w:p w14:paraId="496089AD">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紫外可见</w:t>
            </w:r>
          </w:p>
          <w:p w14:paraId="6D3A7C4C">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605620A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UV1800</w:t>
            </w:r>
          </w:p>
        </w:tc>
        <w:tc>
          <w:tcPr>
            <w:tcW w:w="1497" w:type="dxa"/>
            <w:tcBorders>
              <w:tl2br w:val="nil"/>
              <w:tr2bl w:val="nil"/>
            </w:tcBorders>
            <w:shd w:val="clear" w:color="auto" w:fill="auto"/>
            <w:vAlign w:val="center"/>
          </w:tcPr>
          <w:p w14:paraId="7A85931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ZYJC-YQ-040</w:t>
            </w:r>
          </w:p>
        </w:tc>
      </w:tr>
      <w:tr w14:paraId="578EB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4B7D181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锌</w:t>
            </w:r>
          </w:p>
        </w:tc>
        <w:tc>
          <w:tcPr>
            <w:tcW w:w="3128" w:type="dxa"/>
            <w:tcBorders>
              <w:tl2br w:val="nil"/>
              <w:tr2bl w:val="nil"/>
            </w:tcBorders>
            <w:shd w:val="clear" w:color="auto" w:fill="auto"/>
            <w:vAlign w:val="center"/>
          </w:tcPr>
          <w:p w14:paraId="24F332F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水质铜、锌、铅、镉的测定原子吸收分光光度法（GB7475-87）</w:t>
            </w:r>
          </w:p>
        </w:tc>
        <w:tc>
          <w:tcPr>
            <w:tcW w:w="1933" w:type="dxa"/>
            <w:tcBorders>
              <w:tl2br w:val="nil"/>
              <w:tr2bl w:val="nil"/>
            </w:tcBorders>
            <w:shd w:val="clear" w:color="auto" w:fill="auto"/>
            <w:vAlign w:val="center"/>
          </w:tcPr>
          <w:p w14:paraId="7FF263C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7AD0B55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356" w:type="dxa"/>
            <w:tcBorders>
              <w:tl2br w:val="nil"/>
              <w:tr2bl w:val="nil"/>
            </w:tcBorders>
            <w:shd w:val="clear" w:color="auto" w:fill="auto"/>
            <w:vAlign w:val="center"/>
          </w:tcPr>
          <w:p w14:paraId="02F7D5C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497" w:type="dxa"/>
            <w:tcBorders>
              <w:tl2br w:val="nil"/>
              <w:tr2bl w:val="nil"/>
            </w:tcBorders>
            <w:shd w:val="clear" w:color="auto" w:fill="auto"/>
            <w:vAlign w:val="center"/>
          </w:tcPr>
          <w:p w14:paraId="6C3528E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506C3E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2365016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硒</w:t>
            </w:r>
          </w:p>
        </w:tc>
        <w:tc>
          <w:tcPr>
            <w:tcW w:w="3128" w:type="dxa"/>
            <w:tcBorders>
              <w:tl2br w:val="nil"/>
              <w:tr2bl w:val="nil"/>
            </w:tcBorders>
            <w:shd w:val="clear" w:color="auto" w:fill="auto"/>
            <w:vAlign w:val="center"/>
          </w:tcPr>
          <w:p w14:paraId="7203813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水质汞、砷、硒、铋和锑的测定原子荧光法（HJ694-2014）</w:t>
            </w:r>
          </w:p>
        </w:tc>
        <w:tc>
          <w:tcPr>
            <w:tcW w:w="1933" w:type="dxa"/>
            <w:tcBorders>
              <w:tl2br w:val="nil"/>
              <w:tr2bl w:val="nil"/>
            </w:tcBorders>
            <w:shd w:val="clear" w:color="auto" w:fill="auto"/>
            <w:vAlign w:val="center"/>
          </w:tcPr>
          <w:p w14:paraId="1579FC2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原子荧光光度计</w:t>
            </w:r>
          </w:p>
        </w:tc>
        <w:tc>
          <w:tcPr>
            <w:tcW w:w="1356" w:type="dxa"/>
            <w:tcBorders>
              <w:tl2br w:val="nil"/>
              <w:tr2bl w:val="nil"/>
            </w:tcBorders>
            <w:shd w:val="clear" w:color="auto" w:fill="auto"/>
            <w:vAlign w:val="center"/>
          </w:tcPr>
          <w:p w14:paraId="1C6D2CF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AFS-8220</w:t>
            </w:r>
          </w:p>
        </w:tc>
        <w:tc>
          <w:tcPr>
            <w:tcW w:w="1497" w:type="dxa"/>
            <w:tcBorders>
              <w:tl2br w:val="nil"/>
              <w:tr2bl w:val="nil"/>
            </w:tcBorders>
            <w:shd w:val="clear" w:color="auto" w:fill="auto"/>
            <w:vAlign w:val="center"/>
          </w:tcPr>
          <w:p w14:paraId="03B3914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ZYJC-YQ-005</w:t>
            </w:r>
          </w:p>
        </w:tc>
      </w:tr>
      <w:tr w14:paraId="13110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7D00155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硅</w:t>
            </w:r>
          </w:p>
        </w:tc>
        <w:tc>
          <w:tcPr>
            <w:tcW w:w="3128" w:type="dxa"/>
            <w:tcBorders>
              <w:tl2br w:val="nil"/>
              <w:tr2bl w:val="nil"/>
            </w:tcBorders>
            <w:shd w:val="clear" w:color="auto" w:fill="auto"/>
            <w:vAlign w:val="center"/>
          </w:tcPr>
          <w:p w14:paraId="0802E1D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水质32种元素的测定电感耦合等离子发射光谱（HJ776-2015）</w:t>
            </w:r>
          </w:p>
        </w:tc>
        <w:tc>
          <w:tcPr>
            <w:tcW w:w="1933" w:type="dxa"/>
            <w:tcBorders>
              <w:tl2br w:val="nil"/>
              <w:tr2bl w:val="nil"/>
            </w:tcBorders>
            <w:shd w:val="clear" w:color="auto" w:fill="auto"/>
            <w:vAlign w:val="center"/>
          </w:tcPr>
          <w:p w14:paraId="52DCDBC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2242247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离子体发射光谱仪</w:t>
            </w:r>
          </w:p>
        </w:tc>
        <w:tc>
          <w:tcPr>
            <w:tcW w:w="1356" w:type="dxa"/>
            <w:tcBorders>
              <w:tl2br w:val="nil"/>
              <w:tr2bl w:val="nil"/>
            </w:tcBorders>
            <w:shd w:val="clear" w:color="auto" w:fill="auto"/>
            <w:vAlign w:val="center"/>
          </w:tcPr>
          <w:p w14:paraId="4AD7D47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ICP-5000</w:t>
            </w:r>
            <w:r>
              <w:rPr>
                <w:rFonts w:ascii="Times New Roman" w:hAnsi="Times New Roman" w:eastAsia="宋体" w:cs="Times New Roman"/>
                <w:caps w:val="0"/>
                <w:smallCaps w:val="0"/>
                <w:color w:val="auto"/>
                <w:spacing w:val="0"/>
                <w:kern w:val="0"/>
                <w:sz w:val="21"/>
                <w:highlight w:val="none"/>
              </w:rPr>
              <w:tab/>
            </w:r>
          </w:p>
        </w:tc>
        <w:tc>
          <w:tcPr>
            <w:tcW w:w="1497" w:type="dxa"/>
            <w:tcBorders>
              <w:tl2br w:val="nil"/>
              <w:tr2bl w:val="nil"/>
            </w:tcBorders>
            <w:shd w:val="clear" w:color="auto" w:fill="auto"/>
            <w:vAlign w:val="center"/>
          </w:tcPr>
          <w:p w14:paraId="04A6184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YQ/01C224</w:t>
            </w:r>
          </w:p>
        </w:tc>
      </w:tr>
      <w:tr w14:paraId="5614F0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34C9014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锡</w:t>
            </w:r>
          </w:p>
        </w:tc>
        <w:tc>
          <w:tcPr>
            <w:tcW w:w="3128" w:type="dxa"/>
            <w:tcBorders>
              <w:tl2br w:val="nil"/>
              <w:tr2bl w:val="nil"/>
            </w:tcBorders>
            <w:shd w:val="clear" w:color="auto" w:fill="auto"/>
            <w:vAlign w:val="center"/>
          </w:tcPr>
          <w:p w14:paraId="023A3DC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水质32种元素的测定电感耦合等离子发射光谱（HJ776-2015）</w:t>
            </w:r>
          </w:p>
        </w:tc>
        <w:tc>
          <w:tcPr>
            <w:tcW w:w="1933" w:type="dxa"/>
            <w:tcBorders>
              <w:tl2br w:val="nil"/>
              <w:tr2bl w:val="nil"/>
            </w:tcBorders>
            <w:shd w:val="clear" w:color="auto" w:fill="auto"/>
            <w:vAlign w:val="center"/>
          </w:tcPr>
          <w:p w14:paraId="333984A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3620274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离子体发射光谱仪</w:t>
            </w:r>
          </w:p>
        </w:tc>
        <w:tc>
          <w:tcPr>
            <w:tcW w:w="1356" w:type="dxa"/>
            <w:tcBorders>
              <w:tl2br w:val="nil"/>
              <w:tr2bl w:val="nil"/>
            </w:tcBorders>
            <w:shd w:val="clear" w:color="auto" w:fill="auto"/>
            <w:vAlign w:val="center"/>
          </w:tcPr>
          <w:p w14:paraId="5892676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ICP-5000</w:t>
            </w:r>
            <w:r>
              <w:rPr>
                <w:rFonts w:ascii="Times New Roman" w:hAnsi="Times New Roman" w:eastAsia="宋体" w:cs="Times New Roman"/>
                <w:caps w:val="0"/>
                <w:smallCaps w:val="0"/>
                <w:color w:val="auto"/>
                <w:spacing w:val="0"/>
                <w:kern w:val="0"/>
                <w:sz w:val="21"/>
                <w:highlight w:val="none"/>
              </w:rPr>
              <w:tab/>
            </w:r>
          </w:p>
        </w:tc>
        <w:tc>
          <w:tcPr>
            <w:tcW w:w="1497" w:type="dxa"/>
            <w:tcBorders>
              <w:tl2br w:val="nil"/>
              <w:tr2bl w:val="nil"/>
            </w:tcBorders>
            <w:shd w:val="clear" w:color="auto" w:fill="auto"/>
            <w:vAlign w:val="center"/>
          </w:tcPr>
          <w:p w14:paraId="4BC72BB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YQ/01C224</w:t>
            </w:r>
          </w:p>
        </w:tc>
      </w:tr>
      <w:tr w14:paraId="773D78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034924E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钼</w:t>
            </w:r>
          </w:p>
        </w:tc>
        <w:tc>
          <w:tcPr>
            <w:tcW w:w="3128" w:type="dxa"/>
            <w:tcBorders>
              <w:tl2br w:val="nil"/>
              <w:tr2bl w:val="nil"/>
            </w:tcBorders>
            <w:shd w:val="clear" w:color="auto" w:fill="auto"/>
            <w:vAlign w:val="center"/>
          </w:tcPr>
          <w:p w14:paraId="731AF51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水质32种元素的测定电感耦合等离子发射光谱（HJ776-2015）</w:t>
            </w:r>
          </w:p>
        </w:tc>
        <w:tc>
          <w:tcPr>
            <w:tcW w:w="1933" w:type="dxa"/>
            <w:tcBorders>
              <w:tl2br w:val="nil"/>
              <w:tr2bl w:val="nil"/>
            </w:tcBorders>
            <w:shd w:val="clear" w:color="auto" w:fill="auto"/>
            <w:vAlign w:val="center"/>
          </w:tcPr>
          <w:p w14:paraId="068B5C3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0C3C8A9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离子体发射光谱仪</w:t>
            </w:r>
          </w:p>
        </w:tc>
        <w:tc>
          <w:tcPr>
            <w:tcW w:w="1356" w:type="dxa"/>
            <w:tcBorders>
              <w:tl2br w:val="nil"/>
              <w:tr2bl w:val="nil"/>
            </w:tcBorders>
            <w:shd w:val="clear" w:color="auto" w:fill="auto"/>
            <w:vAlign w:val="center"/>
          </w:tcPr>
          <w:p w14:paraId="37E5DB4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ICP-5000</w:t>
            </w:r>
            <w:r>
              <w:rPr>
                <w:rFonts w:ascii="Times New Roman" w:hAnsi="Times New Roman" w:eastAsia="宋体" w:cs="Times New Roman"/>
                <w:caps w:val="0"/>
                <w:smallCaps w:val="0"/>
                <w:color w:val="auto"/>
                <w:spacing w:val="0"/>
                <w:kern w:val="0"/>
                <w:sz w:val="21"/>
                <w:highlight w:val="none"/>
              </w:rPr>
              <w:tab/>
            </w:r>
          </w:p>
        </w:tc>
        <w:tc>
          <w:tcPr>
            <w:tcW w:w="1497" w:type="dxa"/>
            <w:tcBorders>
              <w:tl2br w:val="nil"/>
              <w:tr2bl w:val="nil"/>
            </w:tcBorders>
            <w:shd w:val="clear" w:color="auto" w:fill="auto"/>
            <w:vAlign w:val="center"/>
          </w:tcPr>
          <w:p w14:paraId="05A5ECB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YQ/01C224</w:t>
            </w:r>
          </w:p>
        </w:tc>
      </w:tr>
      <w:tr w14:paraId="74F69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2" w:type="dxa"/>
            <w:tcBorders>
              <w:tl2br w:val="nil"/>
              <w:tr2bl w:val="nil"/>
            </w:tcBorders>
            <w:shd w:val="clear" w:color="auto" w:fill="auto"/>
            <w:vAlign w:val="center"/>
          </w:tcPr>
          <w:p w14:paraId="6F40E7F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铝</w:t>
            </w:r>
          </w:p>
        </w:tc>
        <w:tc>
          <w:tcPr>
            <w:tcW w:w="3128" w:type="dxa"/>
            <w:tcBorders>
              <w:tl2br w:val="nil"/>
              <w:tr2bl w:val="nil"/>
            </w:tcBorders>
            <w:shd w:val="clear" w:color="auto" w:fill="auto"/>
            <w:vAlign w:val="center"/>
          </w:tcPr>
          <w:p w14:paraId="2D6E496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水质32种元素的测定电感耦合等离子发射光谱（HJ776-2015）</w:t>
            </w:r>
          </w:p>
        </w:tc>
        <w:tc>
          <w:tcPr>
            <w:tcW w:w="1933" w:type="dxa"/>
            <w:tcBorders>
              <w:tl2br w:val="nil"/>
              <w:tr2bl w:val="nil"/>
            </w:tcBorders>
            <w:shd w:val="clear" w:color="auto" w:fill="auto"/>
            <w:vAlign w:val="center"/>
          </w:tcPr>
          <w:p w14:paraId="01046F9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5D67B9E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离子体发射光谱仪</w:t>
            </w:r>
          </w:p>
        </w:tc>
        <w:tc>
          <w:tcPr>
            <w:tcW w:w="1356" w:type="dxa"/>
            <w:tcBorders>
              <w:tl2br w:val="nil"/>
              <w:tr2bl w:val="nil"/>
            </w:tcBorders>
            <w:shd w:val="clear" w:color="auto" w:fill="auto"/>
            <w:vAlign w:val="center"/>
          </w:tcPr>
          <w:p w14:paraId="40C328B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ICP-5000</w:t>
            </w:r>
            <w:r>
              <w:rPr>
                <w:rFonts w:ascii="Times New Roman" w:hAnsi="Times New Roman" w:eastAsia="宋体" w:cs="Times New Roman"/>
                <w:caps w:val="0"/>
                <w:smallCaps w:val="0"/>
                <w:color w:val="auto"/>
                <w:spacing w:val="0"/>
                <w:kern w:val="0"/>
                <w:sz w:val="21"/>
                <w:highlight w:val="none"/>
              </w:rPr>
              <w:tab/>
            </w:r>
          </w:p>
        </w:tc>
        <w:tc>
          <w:tcPr>
            <w:tcW w:w="1497" w:type="dxa"/>
            <w:tcBorders>
              <w:tl2br w:val="nil"/>
              <w:tr2bl w:val="nil"/>
            </w:tcBorders>
            <w:shd w:val="clear" w:color="auto" w:fill="auto"/>
            <w:vAlign w:val="center"/>
          </w:tcPr>
          <w:p w14:paraId="1D98063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YQ/01C224</w:t>
            </w:r>
          </w:p>
        </w:tc>
      </w:tr>
    </w:tbl>
    <w:p w14:paraId="27E96397">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4.4.4.2地下水环境现状评价</w:t>
      </w:r>
    </w:p>
    <w:p w14:paraId="1F28D5DC">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（1）评价标准</w:t>
      </w:r>
    </w:p>
    <w:p w14:paraId="551AB7E1">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项目区域地下水环境质量现状评价执行《地下水质量标准》（GB/T14848-2017）中的Ⅲ类标准，评价标准限值见表4.4-</w:t>
      </w:r>
      <w:r>
        <w:rPr>
          <w:rFonts w:hint="eastAsia" w:ascii="Times New Roman" w:hAnsi="Times New Roman" w:eastAsia="宋体" w:cs="Times New Roman"/>
          <w:caps w:val="0"/>
          <w:smallCaps w:val="0"/>
          <w:color w:val="auto"/>
          <w:spacing w:val="0"/>
          <w:szCs w:val="24"/>
          <w:highlight w:val="none"/>
          <w:lang w:val="en-US" w:eastAsia="zh-CN"/>
        </w:rPr>
        <w:t>10</w:t>
      </w:r>
      <w:r>
        <w:rPr>
          <w:rFonts w:ascii="Times New Roman" w:hAnsi="Times New Roman" w:eastAsia="宋体" w:cs="Times New Roman"/>
          <w:caps w:val="0"/>
          <w:smallCaps w:val="0"/>
          <w:color w:val="auto"/>
          <w:spacing w:val="0"/>
          <w:szCs w:val="24"/>
          <w:highlight w:val="none"/>
        </w:rPr>
        <w:t>。</w:t>
      </w:r>
    </w:p>
    <w:p w14:paraId="0C7060D3">
      <w:pPr>
        <w:widowControl w:val="0"/>
        <w:wordWrap w:val="0"/>
        <w:topLinePunct/>
        <w:adjustRightInd w:val="0"/>
        <w:snapToGrid w:val="0"/>
        <w:spacing w:line="212" w:lineRule="auto"/>
        <w:ind w:left="2315"/>
        <w:textAlignment w:val="baseline"/>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表4.4-</w:t>
      </w:r>
      <w:r>
        <w:rPr>
          <w:rFonts w:hint="eastAsia" w:ascii="Times New Roman" w:hAnsi="Times New Roman" w:eastAsia="宋体" w:cs="Times New Roman"/>
          <w:b/>
          <w:bCs/>
          <w:caps w:val="0"/>
          <w:smallCaps w:val="0"/>
          <w:color w:val="auto"/>
          <w:spacing w:val="0"/>
          <w:szCs w:val="24"/>
          <w:highlight w:val="none"/>
          <w:lang w:val="en-US" w:eastAsia="zh-CN"/>
        </w:rPr>
        <w:t>10</w:t>
      </w:r>
      <w:r>
        <w:rPr>
          <w:rFonts w:ascii="Times New Roman" w:hAnsi="Times New Roman" w:eastAsia="宋体" w:cs="Times New Roman"/>
          <w:b/>
          <w:bCs/>
          <w:caps w:val="0"/>
          <w:smallCaps w:val="0"/>
          <w:color w:val="auto"/>
          <w:spacing w:val="0"/>
          <w:szCs w:val="24"/>
          <w:highlight w:val="none"/>
        </w:rPr>
        <w:t>地下水评价因子及执行标准</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93"/>
        <w:gridCol w:w="4193"/>
      </w:tblGrid>
      <w:tr w14:paraId="5E814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2742" w:type="pct"/>
            <w:tcBorders>
              <w:tl2br w:val="nil"/>
              <w:tr2bl w:val="nil"/>
            </w:tcBorders>
            <w:shd w:val="clear" w:color="auto" w:fill="auto"/>
            <w:vAlign w:val="center"/>
          </w:tcPr>
          <w:p w14:paraId="68658E21">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评价因子</w:t>
            </w:r>
          </w:p>
        </w:tc>
        <w:tc>
          <w:tcPr>
            <w:tcW w:w="2257" w:type="pct"/>
            <w:tcBorders>
              <w:tl2br w:val="nil"/>
              <w:tr2bl w:val="nil"/>
            </w:tcBorders>
            <w:shd w:val="clear" w:color="auto" w:fill="auto"/>
            <w:vAlign w:val="center"/>
          </w:tcPr>
          <w:p w14:paraId="5303F6F5">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水质类别</w:t>
            </w:r>
            <w:r>
              <w:rPr>
                <w:caps w:val="0"/>
                <w:smallCaps w:val="0"/>
                <w:snapToGrid w:val="0"/>
                <w:color w:val="auto"/>
                <w:spacing w:val="0"/>
                <w:szCs w:val="21"/>
                <w:highlight w:val="none"/>
              </w:rPr>
              <w:fldChar w:fldCharType="begin"/>
            </w:r>
            <w:r>
              <w:rPr>
                <w:caps w:val="0"/>
                <w:smallCaps w:val="0"/>
                <w:snapToGrid w:val="0"/>
                <w:color w:val="auto"/>
                <w:spacing w:val="0"/>
                <w:szCs w:val="21"/>
                <w:highlight w:val="none"/>
              </w:rPr>
              <w:instrText xml:space="preserve"> = 3 \* ROMAN </w:instrText>
            </w:r>
            <w:r>
              <w:rPr>
                <w:caps w:val="0"/>
                <w:smallCaps w:val="0"/>
                <w:snapToGrid w:val="0"/>
                <w:color w:val="auto"/>
                <w:spacing w:val="0"/>
                <w:szCs w:val="21"/>
                <w:highlight w:val="none"/>
              </w:rPr>
              <w:fldChar w:fldCharType="separate"/>
            </w:r>
            <w:r>
              <w:rPr>
                <w:caps w:val="0"/>
                <w:smallCaps w:val="0"/>
                <w:snapToGrid w:val="0"/>
                <w:color w:val="auto"/>
                <w:spacing w:val="0"/>
                <w:szCs w:val="21"/>
                <w:highlight w:val="none"/>
              </w:rPr>
              <w:t>Ⅲ</w:t>
            </w:r>
            <w:r>
              <w:rPr>
                <w:caps w:val="0"/>
                <w:smallCaps w:val="0"/>
                <w:snapToGrid w:val="0"/>
                <w:color w:val="auto"/>
                <w:spacing w:val="0"/>
                <w:szCs w:val="21"/>
                <w:highlight w:val="none"/>
              </w:rPr>
              <w:fldChar w:fldCharType="end"/>
            </w:r>
            <w:r>
              <w:rPr>
                <w:caps w:val="0"/>
                <w:smallCaps w:val="0"/>
                <w:snapToGrid w:val="0"/>
                <w:color w:val="auto"/>
                <w:spacing w:val="0"/>
                <w:szCs w:val="21"/>
                <w:highlight w:val="none"/>
              </w:rPr>
              <w:t>类</w:t>
            </w:r>
          </w:p>
        </w:tc>
      </w:tr>
      <w:tr w14:paraId="6E9C2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45EA3B05">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pH</w:t>
            </w:r>
          </w:p>
        </w:tc>
        <w:tc>
          <w:tcPr>
            <w:tcW w:w="2257" w:type="pct"/>
            <w:tcBorders>
              <w:tl2br w:val="nil"/>
              <w:tr2bl w:val="nil"/>
            </w:tcBorders>
            <w:shd w:val="clear" w:color="auto" w:fill="auto"/>
            <w:vAlign w:val="center"/>
          </w:tcPr>
          <w:p w14:paraId="7D071299">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6.5～8.5</w:t>
            </w:r>
          </w:p>
        </w:tc>
      </w:tr>
      <w:tr w14:paraId="670459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5756F68F">
            <w:pPr>
              <w:pStyle w:val="77"/>
              <w:widowControl w:val="0"/>
              <w:rPr>
                <w:caps w:val="0"/>
                <w:smallCaps w:val="0"/>
                <w:snapToGrid w:val="0"/>
                <w:color w:val="auto"/>
                <w:spacing w:val="0"/>
                <w:szCs w:val="21"/>
                <w:highlight w:val="none"/>
              </w:rPr>
            </w:pPr>
            <w:r>
              <w:rPr>
                <w:caps w:val="0"/>
                <w:smallCaps w:val="0"/>
                <w:color w:val="auto"/>
                <w:spacing w:val="0"/>
                <w:szCs w:val="21"/>
                <w:highlight w:val="none"/>
              </w:rPr>
              <w:t>耗氧量（COD</w:t>
            </w:r>
            <w:r>
              <w:rPr>
                <w:caps w:val="0"/>
                <w:smallCaps w:val="0"/>
                <w:color w:val="auto"/>
                <w:spacing w:val="0"/>
                <w:szCs w:val="21"/>
                <w:highlight w:val="none"/>
                <w:vertAlign w:val="subscript"/>
              </w:rPr>
              <w:t>Mn</w:t>
            </w:r>
            <w:r>
              <w:rPr>
                <w:caps w:val="0"/>
                <w:smallCaps w:val="0"/>
                <w:color w:val="auto"/>
                <w:spacing w:val="0"/>
                <w:szCs w:val="21"/>
                <w:highlight w:val="none"/>
              </w:rPr>
              <w:t>法，以O</w:t>
            </w:r>
            <w:r>
              <w:rPr>
                <w:caps w:val="0"/>
                <w:smallCaps w:val="0"/>
                <w:color w:val="auto"/>
                <w:spacing w:val="0"/>
                <w:szCs w:val="21"/>
                <w:highlight w:val="none"/>
                <w:vertAlign w:val="subscript"/>
              </w:rPr>
              <w:t>2</w:t>
            </w:r>
            <w:r>
              <w:rPr>
                <w:caps w:val="0"/>
                <w:smallCaps w:val="0"/>
                <w:color w:val="auto"/>
                <w:spacing w:val="0"/>
                <w:szCs w:val="21"/>
                <w:highlight w:val="none"/>
              </w:rPr>
              <w:t>计）</w:t>
            </w:r>
            <w:r>
              <w:rPr>
                <w:caps w:val="0"/>
                <w:smallCaps w:val="0"/>
                <w:snapToGrid w:val="0"/>
                <w:color w:val="auto"/>
                <w:spacing w:val="0"/>
                <w:szCs w:val="21"/>
                <w:highlight w:val="none"/>
              </w:rPr>
              <w:t>，mg/L</w:t>
            </w:r>
          </w:p>
        </w:tc>
        <w:tc>
          <w:tcPr>
            <w:tcW w:w="2257" w:type="pct"/>
            <w:tcBorders>
              <w:tl2br w:val="nil"/>
              <w:tr2bl w:val="nil"/>
            </w:tcBorders>
            <w:shd w:val="clear" w:color="auto" w:fill="auto"/>
            <w:vAlign w:val="center"/>
          </w:tcPr>
          <w:p w14:paraId="4558ED3D">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≤3.0</w:t>
            </w:r>
          </w:p>
        </w:tc>
      </w:tr>
      <w:tr w14:paraId="2E45DF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1D71ECF2">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氨氮（以N计），mg/L</w:t>
            </w:r>
          </w:p>
        </w:tc>
        <w:tc>
          <w:tcPr>
            <w:tcW w:w="2257" w:type="pct"/>
            <w:tcBorders>
              <w:tl2br w:val="nil"/>
              <w:tr2bl w:val="nil"/>
            </w:tcBorders>
            <w:shd w:val="clear" w:color="auto" w:fill="auto"/>
            <w:vAlign w:val="center"/>
          </w:tcPr>
          <w:p w14:paraId="4B2C90B7">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≤0.5</w:t>
            </w:r>
          </w:p>
        </w:tc>
      </w:tr>
      <w:tr w14:paraId="0FE847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534D2F85">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铁，mg/L</w:t>
            </w:r>
          </w:p>
        </w:tc>
        <w:tc>
          <w:tcPr>
            <w:tcW w:w="2257" w:type="pct"/>
            <w:tcBorders>
              <w:tl2br w:val="nil"/>
              <w:tr2bl w:val="nil"/>
            </w:tcBorders>
            <w:shd w:val="clear" w:color="auto" w:fill="auto"/>
            <w:vAlign w:val="center"/>
          </w:tcPr>
          <w:p w14:paraId="47D61CA3">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≤0.3</w:t>
            </w:r>
          </w:p>
        </w:tc>
      </w:tr>
      <w:tr w14:paraId="3898E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10B3FB5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锰，mg/L</w:t>
            </w:r>
          </w:p>
        </w:tc>
        <w:tc>
          <w:tcPr>
            <w:tcW w:w="2257" w:type="pct"/>
            <w:tcBorders>
              <w:tl2br w:val="nil"/>
              <w:tr2bl w:val="nil"/>
            </w:tcBorders>
            <w:shd w:val="clear" w:color="auto" w:fill="auto"/>
            <w:vAlign w:val="center"/>
          </w:tcPr>
          <w:p w14:paraId="381ADBBB">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≤0.1</w:t>
            </w:r>
          </w:p>
        </w:tc>
      </w:tr>
      <w:tr w14:paraId="33C42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590506AC">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六价铬，mg/L</w:t>
            </w:r>
          </w:p>
        </w:tc>
        <w:tc>
          <w:tcPr>
            <w:tcW w:w="2257" w:type="pct"/>
            <w:tcBorders>
              <w:tl2br w:val="nil"/>
              <w:tr2bl w:val="nil"/>
            </w:tcBorders>
            <w:shd w:val="clear" w:color="auto" w:fill="auto"/>
            <w:vAlign w:val="center"/>
          </w:tcPr>
          <w:p w14:paraId="219FC91A">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≤0.05</w:t>
            </w:r>
          </w:p>
        </w:tc>
      </w:tr>
      <w:tr w14:paraId="6658CC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74A58F6B">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挥发性酚类，mg/L</w:t>
            </w:r>
          </w:p>
        </w:tc>
        <w:tc>
          <w:tcPr>
            <w:tcW w:w="2257" w:type="pct"/>
            <w:tcBorders>
              <w:tl2br w:val="nil"/>
              <w:tr2bl w:val="nil"/>
            </w:tcBorders>
            <w:shd w:val="clear" w:color="auto" w:fill="auto"/>
            <w:vAlign w:val="center"/>
          </w:tcPr>
          <w:p w14:paraId="77CEAD4E">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≤0.002</w:t>
            </w:r>
          </w:p>
        </w:tc>
      </w:tr>
      <w:tr w14:paraId="1D12C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0106E3C3">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总硬度（以CaCO</w:t>
            </w:r>
            <w:r>
              <w:rPr>
                <w:caps w:val="0"/>
                <w:smallCaps w:val="0"/>
                <w:snapToGrid w:val="0"/>
                <w:color w:val="auto"/>
                <w:spacing w:val="0"/>
                <w:szCs w:val="21"/>
                <w:highlight w:val="none"/>
                <w:vertAlign w:val="subscript"/>
              </w:rPr>
              <w:t>3</w:t>
            </w:r>
            <w:r>
              <w:rPr>
                <w:caps w:val="0"/>
                <w:smallCaps w:val="0"/>
                <w:snapToGrid w:val="0"/>
                <w:color w:val="auto"/>
                <w:spacing w:val="0"/>
                <w:szCs w:val="21"/>
                <w:highlight w:val="none"/>
              </w:rPr>
              <w:t>计），mg/L</w:t>
            </w:r>
          </w:p>
        </w:tc>
        <w:tc>
          <w:tcPr>
            <w:tcW w:w="2257" w:type="pct"/>
            <w:tcBorders>
              <w:tl2br w:val="nil"/>
              <w:tr2bl w:val="nil"/>
            </w:tcBorders>
            <w:shd w:val="clear" w:color="auto" w:fill="auto"/>
            <w:vAlign w:val="center"/>
          </w:tcPr>
          <w:p w14:paraId="17A8D0D2">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≤450</w:t>
            </w:r>
          </w:p>
        </w:tc>
      </w:tr>
      <w:tr w14:paraId="7FF7D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4A9CB7A0">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亚硝酸盐（以N计），mg/L</w:t>
            </w:r>
          </w:p>
        </w:tc>
        <w:tc>
          <w:tcPr>
            <w:tcW w:w="2257" w:type="pct"/>
            <w:tcBorders>
              <w:tl2br w:val="nil"/>
              <w:tr2bl w:val="nil"/>
            </w:tcBorders>
            <w:shd w:val="clear" w:color="auto" w:fill="auto"/>
            <w:vAlign w:val="center"/>
          </w:tcPr>
          <w:p w14:paraId="4940103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≤1.0</w:t>
            </w:r>
          </w:p>
        </w:tc>
      </w:tr>
      <w:tr w14:paraId="752B68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45DFEF1C">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氰化物，mg/L</w:t>
            </w:r>
          </w:p>
        </w:tc>
        <w:tc>
          <w:tcPr>
            <w:tcW w:w="2257" w:type="pct"/>
            <w:tcBorders>
              <w:tl2br w:val="nil"/>
              <w:tr2bl w:val="nil"/>
            </w:tcBorders>
            <w:shd w:val="clear" w:color="auto" w:fill="auto"/>
            <w:vAlign w:val="center"/>
          </w:tcPr>
          <w:p w14:paraId="52C314BD">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≤0.05</w:t>
            </w:r>
          </w:p>
        </w:tc>
      </w:tr>
      <w:tr w14:paraId="711C92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4C294618">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氟化物</w:t>
            </w:r>
          </w:p>
        </w:tc>
        <w:tc>
          <w:tcPr>
            <w:tcW w:w="2257" w:type="pct"/>
            <w:tcBorders>
              <w:tl2br w:val="nil"/>
              <w:tr2bl w:val="nil"/>
            </w:tcBorders>
            <w:shd w:val="clear" w:color="auto" w:fill="auto"/>
            <w:vAlign w:val="center"/>
          </w:tcPr>
          <w:p w14:paraId="35FFBF71">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≤1.0</w:t>
            </w:r>
          </w:p>
        </w:tc>
      </w:tr>
      <w:tr w14:paraId="0155E3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0D28E3E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硝酸盐（以N计），mg/L</w:t>
            </w:r>
          </w:p>
        </w:tc>
        <w:tc>
          <w:tcPr>
            <w:tcW w:w="2257" w:type="pct"/>
            <w:tcBorders>
              <w:tl2br w:val="nil"/>
              <w:tr2bl w:val="nil"/>
            </w:tcBorders>
            <w:shd w:val="clear" w:color="auto" w:fill="auto"/>
            <w:vAlign w:val="center"/>
          </w:tcPr>
          <w:p w14:paraId="127F0203">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≤20</w:t>
            </w:r>
          </w:p>
        </w:tc>
      </w:tr>
      <w:tr w14:paraId="0C3638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3842CECB">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溶解性总固体，mg/L</w:t>
            </w:r>
          </w:p>
        </w:tc>
        <w:tc>
          <w:tcPr>
            <w:tcW w:w="2257" w:type="pct"/>
            <w:tcBorders>
              <w:tl2br w:val="nil"/>
              <w:tr2bl w:val="nil"/>
            </w:tcBorders>
            <w:shd w:val="clear" w:color="auto" w:fill="auto"/>
            <w:vAlign w:val="center"/>
          </w:tcPr>
          <w:p w14:paraId="1A97A4C8">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≤1000</w:t>
            </w:r>
          </w:p>
        </w:tc>
      </w:tr>
      <w:tr w14:paraId="56C711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2D2F95E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铅，mg/L</w:t>
            </w:r>
          </w:p>
        </w:tc>
        <w:tc>
          <w:tcPr>
            <w:tcW w:w="2257" w:type="pct"/>
            <w:tcBorders>
              <w:tl2br w:val="nil"/>
              <w:tr2bl w:val="nil"/>
            </w:tcBorders>
            <w:shd w:val="clear" w:color="auto" w:fill="auto"/>
            <w:vAlign w:val="center"/>
          </w:tcPr>
          <w:p w14:paraId="00B64D68">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≤0.05</w:t>
            </w:r>
          </w:p>
        </w:tc>
      </w:tr>
      <w:tr w14:paraId="41EE4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4324109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氯化物，mg/L</w:t>
            </w:r>
          </w:p>
        </w:tc>
        <w:tc>
          <w:tcPr>
            <w:tcW w:w="2257" w:type="pct"/>
            <w:tcBorders>
              <w:tl2br w:val="nil"/>
              <w:tr2bl w:val="nil"/>
            </w:tcBorders>
            <w:shd w:val="clear" w:color="auto" w:fill="auto"/>
            <w:vAlign w:val="center"/>
          </w:tcPr>
          <w:p w14:paraId="428620E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≤250</w:t>
            </w:r>
          </w:p>
        </w:tc>
      </w:tr>
      <w:tr w14:paraId="607C6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23A23FAE">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硫酸盐，mg/L</w:t>
            </w:r>
          </w:p>
        </w:tc>
        <w:tc>
          <w:tcPr>
            <w:tcW w:w="2257" w:type="pct"/>
            <w:tcBorders>
              <w:tl2br w:val="nil"/>
              <w:tr2bl w:val="nil"/>
            </w:tcBorders>
            <w:shd w:val="clear" w:color="auto" w:fill="auto"/>
            <w:vAlign w:val="center"/>
          </w:tcPr>
          <w:p w14:paraId="127C9F31">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≤250</w:t>
            </w:r>
          </w:p>
        </w:tc>
      </w:tr>
      <w:tr w14:paraId="6EC15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7895DB84">
            <w:pPr>
              <w:pStyle w:val="77"/>
              <w:widowControl w:val="0"/>
              <w:rPr>
                <w:caps w:val="0"/>
                <w:smallCaps w:val="0"/>
                <w:snapToGrid w:val="0"/>
                <w:color w:val="auto"/>
                <w:spacing w:val="0"/>
                <w:szCs w:val="21"/>
                <w:highlight w:val="none"/>
              </w:rPr>
            </w:pPr>
            <w:r>
              <w:rPr>
                <w:caps w:val="0"/>
                <w:smallCaps w:val="0"/>
                <w:color w:val="auto"/>
                <w:spacing w:val="0"/>
                <w:szCs w:val="21"/>
                <w:highlight w:val="none"/>
              </w:rPr>
              <w:t>菌落总数</w:t>
            </w:r>
            <w:r>
              <w:rPr>
                <w:caps w:val="0"/>
                <w:smallCaps w:val="0"/>
                <w:snapToGrid w:val="0"/>
                <w:color w:val="auto"/>
                <w:spacing w:val="0"/>
                <w:szCs w:val="21"/>
                <w:highlight w:val="none"/>
              </w:rPr>
              <w:t>，CFU/L（个/mL）</w:t>
            </w:r>
          </w:p>
        </w:tc>
        <w:tc>
          <w:tcPr>
            <w:tcW w:w="2257" w:type="pct"/>
            <w:tcBorders>
              <w:tl2br w:val="nil"/>
              <w:tr2bl w:val="nil"/>
            </w:tcBorders>
            <w:shd w:val="clear" w:color="auto" w:fill="auto"/>
            <w:vAlign w:val="center"/>
          </w:tcPr>
          <w:p w14:paraId="31E7589F">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≤100</w:t>
            </w:r>
          </w:p>
        </w:tc>
      </w:tr>
      <w:tr w14:paraId="6B4ECC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03A0E55B">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砷，mg/L</w:t>
            </w:r>
          </w:p>
        </w:tc>
        <w:tc>
          <w:tcPr>
            <w:tcW w:w="2257" w:type="pct"/>
            <w:tcBorders>
              <w:tl2br w:val="nil"/>
              <w:tr2bl w:val="nil"/>
            </w:tcBorders>
            <w:shd w:val="clear" w:color="auto" w:fill="auto"/>
            <w:vAlign w:val="center"/>
          </w:tcPr>
          <w:p w14:paraId="191FD1A1">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≤0.01</w:t>
            </w:r>
          </w:p>
        </w:tc>
      </w:tr>
      <w:tr w14:paraId="7C8EA1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14268ADC">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汞，mg/L</w:t>
            </w:r>
          </w:p>
        </w:tc>
        <w:tc>
          <w:tcPr>
            <w:tcW w:w="2257" w:type="pct"/>
            <w:tcBorders>
              <w:tl2br w:val="nil"/>
              <w:tr2bl w:val="nil"/>
            </w:tcBorders>
            <w:shd w:val="clear" w:color="auto" w:fill="auto"/>
            <w:vAlign w:val="center"/>
          </w:tcPr>
          <w:p w14:paraId="348E4DEA">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≤0.001</w:t>
            </w:r>
          </w:p>
        </w:tc>
      </w:tr>
      <w:tr w14:paraId="010FD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2FBC1E45">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镉，mg/L</w:t>
            </w:r>
          </w:p>
        </w:tc>
        <w:tc>
          <w:tcPr>
            <w:tcW w:w="2257" w:type="pct"/>
            <w:tcBorders>
              <w:tl2br w:val="nil"/>
              <w:tr2bl w:val="nil"/>
            </w:tcBorders>
            <w:shd w:val="clear" w:color="auto" w:fill="auto"/>
            <w:vAlign w:val="center"/>
          </w:tcPr>
          <w:p w14:paraId="67736F58">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≤0.005</w:t>
            </w:r>
          </w:p>
        </w:tc>
      </w:tr>
      <w:tr w14:paraId="6B550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2742" w:type="pct"/>
            <w:tcBorders>
              <w:tl2br w:val="nil"/>
              <w:tr2bl w:val="nil"/>
            </w:tcBorders>
            <w:shd w:val="clear" w:color="auto" w:fill="auto"/>
            <w:vAlign w:val="center"/>
          </w:tcPr>
          <w:p w14:paraId="422CFFE6">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总大肠菌群，MPN/100mL</w:t>
            </w:r>
          </w:p>
        </w:tc>
        <w:tc>
          <w:tcPr>
            <w:tcW w:w="2257" w:type="pct"/>
            <w:tcBorders>
              <w:tl2br w:val="nil"/>
              <w:tr2bl w:val="nil"/>
            </w:tcBorders>
            <w:shd w:val="clear" w:color="auto" w:fill="auto"/>
            <w:vAlign w:val="center"/>
          </w:tcPr>
          <w:p w14:paraId="111CDE2A">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≤3.0</w:t>
            </w:r>
          </w:p>
        </w:tc>
      </w:tr>
      <w:tr w14:paraId="56DDE7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42" w:type="pct"/>
            <w:tcBorders>
              <w:tl2br w:val="nil"/>
              <w:tr2bl w:val="nil"/>
            </w:tcBorders>
            <w:shd w:val="clear" w:color="auto" w:fill="auto"/>
            <w:vAlign w:val="center"/>
          </w:tcPr>
          <w:p w14:paraId="77AD40BA">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Na</w:t>
            </w:r>
            <w:r>
              <w:rPr>
                <w:caps w:val="0"/>
                <w:smallCaps w:val="0"/>
                <w:snapToGrid w:val="0"/>
                <w:color w:val="auto"/>
                <w:spacing w:val="0"/>
                <w:szCs w:val="21"/>
                <w:highlight w:val="none"/>
                <w:vertAlign w:val="superscript"/>
              </w:rPr>
              <w:t>+</w:t>
            </w:r>
          </w:p>
        </w:tc>
        <w:tc>
          <w:tcPr>
            <w:tcW w:w="2257" w:type="pct"/>
            <w:tcBorders>
              <w:tl2br w:val="nil"/>
              <w:tr2bl w:val="nil"/>
            </w:tcBorders>
            <w:shd w:val="clear" w:color="auto" w:fill="auto"/>
            <w:vAlign w:val="center"/>
          </w:tcPr>
          <w:p w14:paraId="28A1C5AE">
            <w:pPr>
              <w:pStyle w:val="77"/>
              <w:widowControl w:val="0"/>
              <w:rPr>
                <w:caps w:val="0"/>
                <w:smallCaps w:val="0"/>
                <w:snapToGrid w:val="0"/>
                <w:color w:val="auto"/>
                <w:spacing w:val="0"/>
                <w:szCs w:val="21"/>
                <w:highlight w:val="none"/>
              </w:rPr>
            </w:pPr>
            <w:r>
              <w:rPr>
                <w:caps w:val="0"/>
                <w:smallCaps w:val="0"/>
                <w:snapToGrid w:val="0"/>
                <w:color w:val="auto"/>
                <w:spacing w:val="0"/>
                <w:szCs w:val="21"/>
                <w:highlight w:val="none"/>
              </w:rPr>
              <w:t>≤200</w:t>
            </w:r>
          </w:p>
        </w:tc>
      </w:tr>
    </w:tbl>
    <w:p w14:paraId="73B6C165">
      <w:pPr>
        <w:pStyle w:val="13"/>
        <w:widowControl w:val="0"/>
        <w:wordWrap w:val="0"/>
        <w:topLinePunct/>
        <w:adjustRightInd w:val="0"/>
        <w:snapToGrid w:val="0"/>
        <w:spacing w:after="0" w:line="360" w:lineRule="auto"/>
        <w:ind w:left="480" w:leftChars="200"/>
        <w:textAlignment w:val="baseline"/>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（2）现状监测结果</w:t>
      </w:r>
    </w:p>
    <w:p w14:paraId="5F5143DB">
      <w:pPr>
        <w:widowControl w:val="0"/>
        <w:ind w:left="480" w:left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地下水检测结果见表4.4-1</w:t>
      </w:r>
      <w:r>
        <w:rPr>
          <w:rFonts w:hint="eastAsia" w:ascii="Times New Roman" w:hAnsi="Times New Roman" w:eastAsia="宋体" w:cs="Times New Roman"/>
          <w:caps w:val="0"/>
          <w:smallCaps w:val="0"/>
          <w:color w:val="auto"/>
          <w:spacing w:val="0"/>
          <w:highlight w:val="none"/>
          <w:lang w:val="en-US" w:eastAsia="zh-CN"/>
        </w:rPr>
        <w:t>1</w:t>
      </w:r>
      <w:r>
        <w:rPr>
          <w:rFonts w:ascii="Times New Roman" w:hAnsi="Times New Roman" w:eastAsia="宋体" w:cs="Times New Roman"/>
          <w:caps w:val="0"/>
          <w:smallCaps w:val="0"/>
          <w:color w:val="auto"/>
          <w:spacing w:val="0"/>
          <w:highlight w:val="none"/>
        </w:rPr>
        <w:t>。</w:t>
      </w:r>
    </w:p>
    <w:p w14:paraId="6C526421">
      <w:pPr>
        <w:widowControl w:val="0"/>
        <w:wordWrap w:val="0"/>
        <w:topLinePunct/>
        <w:adjustRightInd w:val="0"/>
        <w:snapToGrid w:val="0"/>
        <w:jc w:val="center"/>
        <w:textAlignment w:val="baseline"/>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表4.4-1</w:t>
      </w:r>
      <w:r>
        <w:rPr>
          <w:rFonts w:hint="eastAsia" w:ascii="Times New Roman" w:hAnsi="Times New Roman" w:eastAsia="宋体" w:cs="Times New Roman"/>
          <w:b/>
          <w:bCs/>
          <w:caps w:val="0"/>
          <w:smallCaps w:val="0"/>
          <w:color w:val="auto"/>
          <w:spacing w:val="0"/>
          <w:szCs w:val="24"/>
          <w:highlight w:val="none"/>
          <w:lang w:val="en-US" w:eastAsia="zh-CN"/>
        </w:rPr>
        <w:t>1</w:t>
      </w:r>
      <w:r>
        <w:rPr>
          <w:rFonts w:ascii="Times New Roman" w:hAnsi="Times New Roman" w:eastAsia="宋体" w:cs="Times New Roman"/>
          <w:b/>
          <w:bCs/>
          <w:caps w:val="0"/>
          <w:smallCaps w:val="0"/>
          <w:color w:val="auto"/>
          <w:spacing w:val="0"/>
          <w:szCs w:val="24"/>
          <w:highlight w:val="none"/>
        </w:rPr>
        <w:t>地下水现状监测结果统计表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2211"/>
        <w:gridCol w:w="2200"/>
        <w:gridCol w:w="2125"/>
        <w:gridCol w:w="1156"/>
      </w:tblGrid>
      <w:tr w14:paraId="43A3B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op w:val="single" w:color="auto" w:sz="8" w:space="0"/>
              <w:bottom w:val="single" w:color="auto" w:sz="4" w:space="0"/>
              <w:tl2br w:val="nil"/>
              <w:tr2bl w:val="nil"/>
            </w:tcBorders>
            <w:vAlign w:val="center"/>
          </w:tcPr>
          <w:p w14:paraId="278D3666">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采样点位</w:t>
            </w:r>
          </w:p>
        </w:tc>
        <w:tc>
          <w:tcPr>
            <w:tcW w:w="2211" w:type="dxa"/>
            <w:tcBorders>
              <w:top w:val="single" w:color="auto" w:sz="8" w:space="0"/>
              <w:bottom w:val="single" w:color="auto" w:sz="4" w:space="0"/>
              <w:tl2br w:val="nil"/>
              <w:tr2bl w:val="nil"/>
            </w:tcBorders>
            <w:vAlign w:val="center"/>
          </w:tcPr>
          <w:p w14:paraId="321E7153">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highlight w:val="none"/>
              </w:rPr>
              <w:t>水质水位监测点1#</w:t>
            </w:r>
          </w:p>
        </w:tc>
        <w:tc>
          <w:tcPr>
            <w:tcW w:w="2200" w:type="dxa"/>
            <w:tcBorders>
              <w:top w:val="single" w:color="auto" w:sz="8" w:space="0"/>
              <w:bottom w:val="single" w:color="auto" w:sz="4" w:space="0"/>
              <w:tl2br w:val="nil"/>
              <w:tr2bl w:val="nil"/>
            </w:tcBorders>
            <w:vAlign w:val="center"/>
          </w:tcPr>
          <w:p w14:paraId="140FC3B7">
            <w:pPr>
              <w:widowControl w:val="0"/>
              <w:snapToGrid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水质水位监测3#</w:t>
            </w:r>
          </w:p>
        </w:tc>
        <w:tc>
          <w:tcPr>
            <w:tcW w:w="2125" w:type="dxa"/>
            <w:tcBorders>
              <w:top w:val="single" w:color="auto" w:sz="8" w:space="0"/>
              <w:bottom w:val="single" w:color="auto" w:sz="4" w:space="0"/>
              <w:tl2br w:val="nil"/>
              <w:tr2bl w:val="nil"/>
            </w:tcBorders>
            <w:vAlign w:val="center"/>
          </w:tcPr>
          <w:p w14:paraId="3C089220">
            <w:pPr>
              <w:widowControl w:val="0"/>
              <w:snapToGrid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水质水位监测</w:t>
            </w:r>
            <w:r>
              <w:rPr>
                <w:rFonts w:hint="eastAsia" w:ascii="Times New Roman" w:hAnsi="Times New Roman" w:eastAsia="宋体" w:cs="Times New Roman"/>
                <w:b/>
                <w:bCs/>
                <w:caps w:val="0"/>
                <w:smallCaps w:val="0"/>
                <w:color w:val="auto"/>
                <w:spacing w:val="0"/>
                <w:highlight w:val="none"/>
              </w:rPr>
              <w:t>5</w:t>
            </w:r>
            <w:r>
              <w:rPr>
                <w:rFonts w:ascii="Times New Roman" w:hAnsi="Times New Roman" w:eastAsia="宋体" w:cs="Times New Roman"/>
                <w:b/>
                <w:bCs/>
                <w:caps w:val="0"/>
                <w:smallCaps w:val="0"/>
                <w:color w:val="auto"/>
                <w:spacing w:val="0"/>
                <w:highlight w:val="none"/>
              </w:rPr>
              <w:t>#</w:t>
            </w:r>
          </w:p>
        </w:tc>
        <w:tc>
          <w:tcPr>
            <w:tcW w:w="1156" w:type="dxa"/>
            <w:vMerge w:val="restart"/>
            <w:tcBorders>
              <w:top w:val="single" w:color="auto" w:sz="8" w:space="0"/>
              <w:bottom w:val="single" w:color="auto" w:sz="8" w:space="0"/>
              <w:tl2br w:val="nil"/>
              <w:tr2bl w:val="nil"/>
            </w:tcBorders>
            <w:vAlign w:val="center"/>
          </w:tcPr>
          <w:p w14:paraId="1D0BAEB8">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单位</w:t>
            </w:r>
          </w:p>
        </w:tc>
      </w:tr>
      <w:tr w14:paraId="1D3B0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op w:val="single" w:color="auto" w:sz="4" w:space="0"/>
              <w:bottom w:val="single" w:color="auto" w:sz="8" w:space="0"/>
              <w:tl2br w:val="nil"/>
              <w:tr2bl w:val="nil"/>
            </w:tcBorders>
            <w:shd w:val="clear" w:color="auto" w:fill="auto"/>
            <w:vAlign w:val="center"/>
          </w:tcPr>
          <w:p w14:paraId="789C8A8A">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2211" w:type="dxa"/>
            <w:tcBorders>
              <w:top w:val="single" w:color="auto" w:sz="4" w:space="0"/>
              <w:bottom w:val="single" w:color="auto" w:sz="8" w:space="0"/>
              <w:tl2br w:val="nil"/>
              <w:tr2bl w:val="nil"/>
            </w:tcBorders>
            <w:shd w:val="clear" w:color="auto" w:fill="auto"/>
            <w:vAlign w:val="center"/>
          </w:tcPr>
          <w:p w14:paraId="2D90AE47">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rPr>
              <w:t>DXS2506046-01-01</w:t>
            </w:r>
          </w:p>
        </w:tc>
        <w:tc>
          <w:tcPr>
            <w:tcW w:w="2200" w:type="dxa"/>
            <w:tcBorders>
              <w:top w:val="single" w:color="auto" w:sz="4" w:space="0"/>
              <w:bottom w:val="single" w:color="auto" w:sz="8" w:space="0"/>
              <w:tl2br w:val="nil"/>
              <w:tr2bl w:val="nil"/>
            </w:tcBorders>
            <w:shd w:val="clear" w:color="auto" w:fill="auto"/>
            <w:vAlign w:val="center"/>
          </w:tcPr>
          <w:p w14:paraId="1649EC10">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kern w:val="0"/>
                <w:sz w:val="21"/>
                <w:highlight w:val="none"/>
              </w:rPr>
              <w:t>DXS2506046-02-01</w:t>
            </w:r>
          </w:p>
        </w:tc>
        <w:tc>
          <w:tcPr>
            <w:tcW w:w="2125" w:type="dxa"/>
            <w:tcBorders>
              <w:top w:val="single" w:color="auto" w:sz="4" w:space="0"/>
              <w:bottom w:val="single" w:color="auto" w:sz="8" w:space="0"/>
              <w:tl2br w:val="nil"/>
              <w:tr2bl w:val="nil"/>
            </w:tcBorders>
            <w:shd w:val="clear" w:color="auto" w:fill="auto"/>
            <w:vAlign w:val="center"/>
          </w:tcPr>
          <w:p w14:paraId="20796F72">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DXS2506046-03-01</w:t>
            </w:r>
          </w:p>
        </w:tc>
        <w:tc>
          <w:tcPr>
            <w:tcW w:w="1156" w:type="dxa"/>
            <w:vMerge w:val="continue"/>
            <w:tcBorders>
              <w:top w:val="single" w:color="auto" w:sz="8" w:space="0"/>
              <w:bottom w:val="single" w:color="auto" w:sz="8" w:space="0"/>
              <w:tl2br w:val="nil"/>
              <w:tr2bl w:val="nil"/>
            </w:tcBorders>
            <w:vAlign w:val="center"/>
          </w:tcPr>
          <w:p w14:paraId="3E93F9AE">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p>
        </w:tc>
      </w:tr>
      <w:tr w14:paraId="74A74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op w:val="single" w:color="auto" w:sz="8" w:space="0"/>
              <w:tl2br w:val="nil"/>
              <w:tr2bl w:val="nil"/>
            </w:tcBorders>
            <w:shd w:val="clear" w:color="auto" w:fill="auto"/>
            <w:vAlign w:val="center"/>
          </w:tcPr>
          <w:p w14:paraId="063E8B40">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K</w:t>
            </w:r>
            <w:r>
              <w:rPr>
                <w:rFonts w:ascii="Times New Roman" w:hAnsi="Times New Roman" w:eastAsia="宋体" w:cs="Times New Roman"/>
                <w:caps w:val="0"/>
                <w:smallCaps w:val="0"/>
                <w:color w:val="auto"/>
                <w:spacing w:val="0"/>
                <w:kern w:val="0"/>
                <w:sz w:val="21"/>
                <w:highlight w:val="none"/>
                <w:vertAlign w:val="superscript"/>
              </w:rPr>
              <w:t>+</w:t>
            </w:r>
          </w:p>
        </w:tc>
        <w:tc>
          <w:tcPr>
            <w:tcW w:w="2211" w:type="dxa"/>
            <w:tcBorders>
              <w:top w:val="single" w:color="auto" w:sz="8" w:space="0"/>
              <w:tl2br w:val="nil"/>
              <w:tr2bl w:val="nil"/>
            </w:tcBorders>
            <w:vAlign w:val="center"/>
          </w:tcPr>
          <w:p w14:paraId="7514B4C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4.15</w:t>
            </w:r>
          </w:p>
        </w:tc>
        <w:tc>
          <w:tcPr>
            <w:tcW w:w="2200" w:type="dxa"/>
            <w:tcBorders>
              <w:top w:val="single" w:color="auto" w:sz="8" w:space="0"/>
              <w:tl2br w:val="nil"/>
              <w:tr2bl w:val="nil"/>
            </w:tcBorders>
            <w:vAlign w:val="center"/>
          </w:tcPr>
          <w:p w14:paraId="7721A3E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3.88</w:t>
            </w:r>
          </w:p>
        </w:tc>
        <w:tc>
          <w:tcPr>
            <w:tcW w:w="2125" w:type="dxa"/>
            <w:tcBorders>
              <w:top w:val="single" w:color="auto" w:sz="8" w:space="0"/>
              <w:tl2br w:val="nil"/>
              <w:tr2bl w:val="nil"/>
            </w:tcBorders>
            <w:vAlign w:val="center"/>
          </w:tcPr>
          <w:p w14:paraId="2DAF3D7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3.95</w:t>
            </w:r>
          </w:p>
        </w:tc>
        <w:tc>
          <w:tcPr>
            <w:tcW w:w="1156" w:type="dxa"/>
            <w:tcBorders>
              <w:top w:val="single" w:color="auto" w:sz="8" w:space="0"/>
              <w:tl2br w:val="nil"/>
              <w:tr2bl w:val="nil"/>
            </w:tcBorders>
            <w:vAlign w:val="center"/>
          </w:tcPr>
          <w:p w14:paraId="7F51241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1B0775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574742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Na</w:t>
            </w:r>
            <w:r>
              <w:rPr>
                <w:rFonts w:ascii="Times New Roman" w:hAnsi="Times New Roman" w:eastAsia="宋体" w:cs="Times New Roman"/>
                <w:caps w:val="0"/>
                <w:smallCaps w:val="0"/>
                <w:color w:val="auto"/>
                <w:spacing w:val="0"/>
                <w:kern w:val="0"/>
                <w:sz w:val="21"/>
                <w:highlight w:val="none"/>
                <w:vertAlign w:val="superscript"/>
              </w:rPr>
              <w:t>+</w:t>
            </w:r>
          </w:p>
        </w:tc>
        <w:tc>
          <w:tcPr>
            <w:tcW w:w="2211" w:type="dxa"/>
            <w:tcBorders>
              <w:tl2br w:val="nil"/>
              <w:tr2bl w:val="nil"/>
            </w:tcBorders>
            <w:vAlign w:val="center"/>
          </w:tcPr>
          <w:p w14:paraId="5003C01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6.60</w:t>
            </w:r>
          </w:p>
        </w:tc>
        <w:tc>
          <w:tcPr>
            <w:tcW w:w="2200" w:type="dxa"/>
            <w:tcBorders>
              <w:tl2br w:val="nil"/>
              <w:tr2bl w:val="nil"/>
            </w:tcBorders>
            <w:vAlign w:val="center"/>
          </w:tcPr>
          <w:p w14:paraId="09FB4CB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6.85</w:t>
            </w:r>
          </w:p>
        </w:tc>
        <w:tc>
          <w:tcPr>
            <w:tcW w:w="2125" w:type="dxa"/>
            <w:tcBorders>
              <w:tl2br w:val="nil"/>
              <w:tr2bl w:val="nil"/>
            </w:tcBorders>
            <w:vAlign w:val="center"/>
          </w:tcPr>
          <w:p w14:paraId="6A8F69B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7.35</w:t>
            </w:r>
          </w:p>
        </w:tc>
        <w:tc>
          <w:tcPr>
            <w:tcW w:w="1156" w:type="dxa"/>
            <w:tcBorders>
              <w:tl2br w:val="nil"/>
              <w:tr2bl w:val="nil"/>
            </w:tcBorders>
            <w:vAlign w:val="center"/>
          </w:tcPr>
          <w:p w14:paraId="4A69EBC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0F3DB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685C684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Style w:val="156"/>
                <w:rFonts w:eastAsia="宋体"/>
                <w:caps w:val="0"/>
                <w:smallCaps w:val="0"/>
                <w:color w:val="auto"/>
                <w:spacing w:val="0"/>
                <w:highlight w:val="none"/>
                <w:lang w:bidi="ar"/>
              </w:rPr>
              <w:t>Ca</w:t>
            </w:r>
            <w:r>
              <w:rPr>
                <w:rStyle w:val="156"/>
                <w:rFonts w:eastAsia="宋体"/>
                <w:caps w:val="0"/>
                <w:smallCaps w:val="0"/>
                <w:color w:val="auto"/>
                <w:spacing w:val="0"/>
                <w:highlight w:val="none"/>
                <w:vertAlign w:val="superscript"/>
                <w:lang w:bidi="ar"/>
              </w:rPr>
              <w:t>2+</w:t>
            </w:r>
          </w:p>
        </w:tc>
        <w:tc>
          <w:tcPr>
            <w:tcW w:w="2211" w:type="dxa"/>
            <w:tcBorders>
              <w:tl2br w:val="nil"/>
              <w:tr2bl w:val="nil"/>
            </w:tcBorders>
            <w:vAlign w:val="center"/>
          </w:tcPr>
          <w:p w14:paraId="6BB7C0F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29.1</w:t>
            </w:r>
          </w:p>
        </w:tc>
        <w:tc>
          <w:tcPr>
            <w:tcW w:w="2200" w:type="dxa"/>
            <w:tcBorders>
              <w:tl2br w:val="nil"/>
              <w:tr2bl w:val="nil"/>
            </w:tcBorders>
            <w:vAlign w:val="center"/>
          </w:tcPr>
          <w:p w14:paraId="06A0FFB5">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34.8</w:t>
            </w:r>
          </w:p>
        </w:tc>
        <w:tc>
          <w:tcPr>
            <w:tcW w:w="2125" w:type="dxa"/>
            <w:tcBorders>
              <w:tl2br w:val="nil"/>
              <w:tr2bl w:val="nil"/>
            </w:tcBorders>
            <w:vAlign w:val="center"/>
          </w:tcPr>
          <w:p w14:paraId="77E91FA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33.2</w:t>
            </w:r>
          </w:p>
        </w:tc>
        <w:tc>
          <w:tcPr>
            <w:tcW w:w="1156" w:type="dxa"/>
            <w:tcBorders>
              <w:tl2br w:val="nil"/>
              <w:tr2bl w:val="nil"/>
            </w:tcBorders>
            <w:vAlign w:val="center"/>
          </w:tcPr>
          <w:p w14:paraId="5FAA2F2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6FCAF8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EDBAD5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Style w:val="156"/>
                <w:rFonts w:eastAsia="宋体"/>
                <w:caps w:val="0"/>
                <w:smallCaps w:val="0"/>
                <w:color w:val="auto"/>
                <w:spacing w:val="0"/>
                <w:highlight w:val="none"/>
                <w:lang w:bidi="ar"/>
              </w:rPr>
              <w:t>Mg</w:t>
            </w:r>
            <w:r>
              <w:rPr>
                <w:rStyle w:val="156"/>
                <w:rFonts w:eastAsia="宋体"/>
                <w:caps w:val="0"/>
                <w:smallCaps w:val="0"/>
                <w:color w:val="auto"/>
                <w:spacing w:val="0"/>
                <w:highlight w:val="none"/>
                <w:vertAlign w:val="superscript"/>
                <w:lang w:bidi="ar"/>
              </w:rPr>
              <w:t>2+</w:t>
            </w:r>
          </w:p>
        </w:tc>
        <w:tc>
          <w:tcPr>
            <w:tcW w:w="2211" w:type="dxa"/>
            <w:tcBorders>
              <w:tl2br w:val="nil"/>
              <w:tr2bl w:val="nil"/>
            </w:tcBorders>
            <w:vAlign w:val="center"/>
          </w:tcPr>
          <w:p w14:paraId="5A39100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17.3</w:t>
            </w:r>
          </w:p>
        </w:tc>
        <w:tc>
          <w:tcPr>
            <w:tcW w:w="2200" w:type="dxa"/>
            <w:tcBorders>
              <w:tl2br w:val="nil"/>
              <w:tr2bl w:val="nil"/>
            </w:tcBorders>
            <w:vAlign w:val="center"/>
          </w:tcPr>
          <w:p w14:paraId="0FD6963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27.4</w:t>
            </w:r>
          </w:p>
        </w:tc>
        <w:tc>
          <w:tcPr>
            <w:tcW w:w="2125" w:type="dxa"/>
            <w:tcBorders>
              <w:tl2br w:val="nil"/>
              <w:tr2bl w:val="nil"/>
            </w:tcBorders>
            <w:vAlign w:val="center"/>
          </w:tcPr>
          <w:p w14:paraId="4F747BE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20.0</w:t>
            </w:r>
          </w:p>
        </w:tc>
        <w:tc>
          <w:tcPr>
            <w:tcW w:w="1156" w:type="dxa"/>
            <w:tcBorders>
              <w:tl2br w:val="nil"/>
              <w:tr2bl w:val="nil"/>
            </w:tcBorders>
            <w:vAlign w:val="center"/>
          </w:tcPr>
          <w:p w14:paraId="3F2CDC2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09737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67F39AA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CO</w:t>
            </w:r>
            <w:r>
              <w:rPr>
                <w:rFonts w:ascii="Times New Roman" w:hAnsi="Times New Roman" w:eastAsia="宋体" w:cs="Times New Roman"/>
                <w:caps w:val="0"/>
                <w:smallCaps w:val="0"/>
                <w:color w:val="auto"/>
                <w:spacing w:val="0"/>
                <w:sz w:val="21"/>
                <w:highlight w:val="none"/>
                <w:vertAlign w:val="subscript"/>
              </w:rPr>
              <w:t>3</w:t>
            </w:r>
            <w:r>
              <w:rPr>
                <w:rFonts w:ascii="Times New Roman" w:hAnsi="Times New Roman" w:eastAsia="宋体" w:cs="Times New Roman"/>
                <w:caps w:val="0"/>
                <w:smallCaps w:val="0"/>
                <w:color w:val="auto"/>
                <w:spacing w:val="0"/>
                <w:sz w:val="21"/>
                <w:highlight w:val="none"/>
                <w:vertAlign w:val="superscript"/>
              </w:rPr>
              <w:t>2-</w:t>
            </w:r>
          </w:p>
        </w:tc>
        <w:tc>
          <w:tcPr>
            <w:tcW w:w="2211" w:type="dxa"/>
            <w:tcBorders>
              <w:tl2br w:val="nil"/>
              <w:tr2bl w:val="nil"/>
            </w:tcBorders>
            <w:vAlign w:val="center"/>
          </w:tcPr>
          <w:p w14:paraId="31CB1E3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w:t>
            </w:r>
          </w:p>
        </w:tc>
        <w:tc>
          <w:tcPr>
            <w:tcW w:w="2200" w:type="dxa"/>
            <w:tcBorders>
              <w:tl2br w:val="nil"/>
              <w:tr2bl w:val="nil"/>
            </w:tcBorders>
            <w:vAlign w:val="center"/>
          </w:tcPr>
          <w:p w14:paraId="116ECB4E">
            <w:pPr>
              <w:widowControl w:val="0"/>
              <w:snapToGrid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rPr>
              <w:t>0.00</w:t>
            </w:r>
          </w:p>
        </w:tc>
        <w:tc>
          <w:tcPr>
            <w:tcW w:w="2125" w:type="dxa"/>
            <w:tcBorders>
              <w:tl2br w:val="nil"/>
              <w:tr2bl w:val="nil"/>
            </w:tcBorders>
            <w:vAlign w:val="center"/>
          </w:tcPr>
          <w:p w14:paraId="65E6BDEB">
            <w:pPr>
              <w:widowControl w:val="0"/>
              <w:snapToGrid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rPr>
              <w:t>0.00</w:t>
            </w:r>
          </w:p>
        </w:tc>
        <w:tc>
          <w:tcPr>
            <w:tcW w:w="1156" w:type="dxa"/>
            <w:tcBorders>
              <w:tl2br w:val="nil"/>
              <w:tr2bl w:val="nil"/>
            </w:tcBorders>
            <w:vAlign w:val="center"/>
          </w:tcPr>
          <w:p w14:paraId="16CCD83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312C9B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28E7842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HCO</w:t>
            </w:r>
            <w:r>
              <w:rPr>
                <w:rFonts w:ascii="Times New Roman" w:hAnsi="Times New Roman" w:eastAsia="宋体" w:cs="Times New Roman"/>
                <w:caps w:val="0"/>
                <w:smallCaps w:val="0"/>
                <w:color w:val="auto"/>
                <w:spacing w:val="0"/>
                <w:sz w:val="21"/>
                <w:highlight w:val="none"/>
                <w:vertAlign w:val="subscript"/>
              </w:rPr>
              <w:t>3</w:t>
            </w:r>
            <w:r>
              <w:rPr>
                <w:rFonts w:ascii="Times New Roman" w:hAnsi="Times New Roman" w:eastAsia="宋体" w:cs="Times New Roman"/>
                <w:caps w:val="0"/>
                <w:smallCaps w:val="0"/>
                <w:color w:val="auto"/>
                <w:spacing w:val="0"/>
                <w:sz w:val="21"/>
                <w:highlight w:val="none"/>
                <w:vertAlign w:val="superscript"/>
              </w:rPr>
              <w:t>-</w:t>
            </w:r>
          </w:p>
        </w:tc>
        <w:tc>
          <w:tcPr>
            <w:tcW w:w="2211" w:type="dxa"/>
            <w:tcBorders>
              <w:tl2br w:val="nil"/>
              <w:tr2bl w:val="nil"/>
            </w:tcBorders>
            <w:vAlign w:val="center"/>
          </w:tcPr>
          <w:p w14:paraId="69B49FC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143</w:t>
            </w:r>
          </w:p>
        </w:tc>
        <w:tc>
          <w:tcPr>
            <w:tcW w:w="2200" w:type="dxa"/>
            <w:tcBorders>
              <w:tl2br w:val="nil"/>
              <w:tr2bl w:val="nil"/>
            </w:tcBorders>
            <w:vAlign w:val="center"/>
          </w:tcPr>
          <w:p w14:paraId="1E48414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200</w:t>
            </w:r>
          </w:p>
        </w:tc>
        <w:tc>
          <w:tcPr>
            <w:tcW w:w="2125" w:type="dxa"/>
            <w:tcBorders>
              <w:tl2br w:val="nil"/>
              <w:tr2bl w:val="nil"/>
            </w:tcBorders>
            <w:vAlign w:val="center"/>
          </w:tcPr>
          <w:p w14:paraId="15A7832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155</w:t>
            </w:r>
          </w:p>
        </w:tc>
        <w:tc>
          <w:tcPr>
            <w:tcW w:w="1156" w:type="dxa"/>
            <w:tcBorders>
              <w:tl2br w:val="nil"/>
              <w:tr2bl w:val="nil"/>
            </w:tcBorders>
            <w:vAlign w:val="center"/>
          </w:tcPr>
          <w:p w14:paraId="60F7C38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1F518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2FFA5EB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Cl</w:t>
            </w:r>
            <w:r>
              <w:rPr>
                <w:rFonts w:ascii="Times New Roman" w:hAnsi="Times New Roman" w:eastAsia="宋体" w:cs="Times New Roman"/>
                <w:caps w:val="0"/>
                <w:smallCaps w:val="0"/>
                <w:color w:val="auto"/>
                <w:spacing w:val="0"/>
                <w:sz w:val="21"/>
                <w:highlight w:val="none"/>
                <w:vertAlign w:val="superscript"/>
              </w:rPr>
              <w:t>-</w:t>
            </w:r>
          </w:p>
        </w:tc>
        <w:tc>
          <w:tcPr>
            <w:tcW w:w="2211" w:type="dxa"/>
            <w:tcBorders>
              <w:tl2br w:val="nil"/>
              <w:tr2bl w:val="nil"/>
            </w:tcBorders>
            <w:vAlign w:val="center"/>
          </w:tcPr>
          <w:p w14:paraId="7259244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34.7</w:t>
            </w:r>
          </w:p>
        </w:tc>
        <w:tc>
          <w:tcPr>
            <w:tcW w:w="2200" w:type="dxa"/>
            <w:tcBorders>
              <w:tl2br w:val="nil"/>
              <w:tr2bl w:val="nil"/>
            </w:tcBorders>
            <w:vAlign w:val="center"/>
          </w:tcPr>
          <w:p w14:paraId="6737EAA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36.1</w:t>
            </w:r>
          </w:p>
        </w:tc>
        <w:tc>
          <w:tcPr>
            <w:tcW w:w="2125" w:type="dxa"/>
            <w:tcBorders>
              <w:tl2br w:val="nil"/>
              <w:tr2bl w:val="nil"/>
            </w:tcBorders>
            <w:vAlign w:val="center"/>
          </w:tcPr>
          <w:p w14:paraId="7F1C2AF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37.4</w:t>
            </w:r>
          </w:p>
        </w:tc>
        <w:tc>
          <w:tcPr>
            <w:tcW w:w="1156" w:type="dxa"/>
            <w:tcBorders>
              <w:tl2br w:val="nil"/>
              <w:tr2bl w:val="nil"/>
            </w:tcBorders>
            <w:vAlign w:val="center"/>
          </w:tcPr>
          <w:p w14:paraId="57E7753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626BB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DE5FC48">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4</w:t>
            </w:r>
            <w:r>
              <w:rPr>
                <w:rFonts w:ascii="Times New Roman" w:hAnsi="Times New Roman" w:eastAsia="宋体" w:cs="Times New Roman"/>
                <w:caps w:val="0"/>
                <w:smallCaps w:val="0"/>
                <w:color w:val="auto"/>
                <w:spacing w:val="0"/>
                <w:sz w:val="21"/>
                <w:highlight w:val="none"/>
                <w:vertAlign w:val="superscript"/>
              </w:rPr>
              <w:t>2-</w:t>
            </w:r>
          </w:p>
        </w:tc>
        <w:tc>
          <w:tcPr>
            <w:tcW w:w="2211" w:type="dxa"/>
            <w:tcBorders>
              <w:tl2br w:val="nil"/>
              <w:tr2bl w:val="nil"/>
            </w:tcBorders>
            <w:vAlign w:val="center"/>
          </w:tcPr>
          <w:p w14:paraId="661EAF4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35</w:t>
            </w:r>
          </w:p>
        </w:tc>
        <w:tc>
          <w:tcPr>
            <w:tcW w:w="2200" w:type="dxa"/>
            <w:tcBorders>
              <w:tl2br w:val="nil"/>
              <w:tr2bl w:val="nil"/>
            </w:tcBorders>
            <w:vAlign w:val="center"/>
          </w:tcPr>
          <w:p w14:paraId="695B8C7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13</w:t>
            </w:r>
          </w:p>
        </w:tc>
        <w:tc>
          <w:tcPr>
            <w:tcW w:w="2125" w:type="dxa"/>
            <w:tcBorders>
              <w:tl2br w:val="nil"/>
              <w:tr2bl w:val="nil"/>
            </w:tcBorders>
            <w:vAlign w:val="center"/>
          </w:tcPr>
          <w:p w14:paraId="78FB83A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39</w:t>
            </w:r>
          </w:p>
        </w:tc>
        <w:tc>
          <w:tcPr>
            <w:tcW w:w="1156" w:type="dxa"/>
            <w:tcBorders>
              <w:tl2br w:val="nil"/>
              <w:tr2bl w:val="nil"/>
            </w:tcBorders>
            <w:vAlign w:val="center"/>
          </w:tcPr>
          <w:p w14:paraId="5EC4010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1ADA0A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0CFD360A">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pH值</w:t>
            </w:r>
          </w:p>
        </w:tc>
        <w:tc>
          <w:tcPr>
            <w:tcW w:w="2211" w:type="dxa"/>
            <w:tcBorders>
              <w:tl2br w:val="nil"/>
              <w:tr2bl w:val="nil"/>
            </w:tcBorders>
            <w:vAlign w:val="center"/>
          </w:tcPr>
          <w:p w14:paraId="383E379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7.2</w:t>
            </w:r>
          </w:p>
        </w:tc>
        <w:tc>
          <w:tcPr>
            <w:tcW w:w="2200" w:type="dxa"/>
            <w:tcBorders>
              <w:tl2br w:val="nil"/>
              <w:tr2bl w:val="nil"/>
            </w:tcBorders>
            <w:vAlign w:val="center"/>
          </w:tcPr>
          <w:p w14:paraId="35BF718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6.9</w:t>
            </w:r>
          </w:p>
        </w:tc>
        <w:tc>
          <w:tcPr>
            <w:tcW w:w="2125" w:type="dxa"/>
            <w:tcBorders>
              <w:tl2br w:val="nil"/>
              <w:tr2bl w:val="nil"/>
            </w:tcBorders>
            <w:vAlign w:val="center"/>
          </w:tcPr>
          <w:p w14:paraId="702E303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7.0</w:t>
            </w:r>
          </w:p>
        </w:tc>
        <w:tc>
          <w:tcPr>
            <w:tcW w:w="1156" w:type="dxa"/>
            <w:tcBorders>
              <w:tl2br w:val="nil"/>
              <w:tr2bl w:val="nil"/>
            </w:tcBorders>
            <w:vAlign w:val="center"/>
          </w:tcPr>
          <w:p w14:paraId="699E3C2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无量纲</w:t>
            </w:r>
          </w:p>
        </w:tc>
      </w:tr>
      <w:tr w14:paraId="0BCB84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5B9F890">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水位</w:t>
            </w:r>
          </w:p>
        </w:tc>
        <w:tc>
          <w:tcPr>
            <w:tcW w:w="2211" w:type="dxa"/>
            <w:tcBorders>
              <w:tl2br w:val="nil"/>
              <w:tr2bl w:val="nil"/>
            </w:tcBorders>
            <w:vAlign w:val="center"/>
          </w:tcPr>
          <w:p w14:paraId="5AD93F1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13.9</w:t>
            </w:r>
          </w:p>
        </w:tc>
        <w:tc>
          <w:tcPr>
            <w:tcW w:w="2200" w:type="dxa"/>
            <w:tcBorders>
              <w:tl2br w:val="nil"/>
              <w:tr2bl w:val="nil"/>
            </w:tcBorders>
            <w:vAlign w:val="center"/>
          </w:tcPr>
          <w:p w14:paraId="799681D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14.5</w:t>
            </w:r>
          </w:p>
        </w:tc>
        <w:tc>
          <w:tcPr>
            <w:tcW w:w="2125" w:type="dxa"/>
            <w:tcBorders>
              <w:tl2br w:val="nil"/>
              <w:tr2bl w:val="nil"/>
            </w:tcBorders>
            <w:vAlign w:val="center"/>
          </w:tcPr>
          <w:p w14:paraId="36BDA98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14.2</w:t>
            </w:r>
          </w:p>
        </w:tc>
        <w:tc>
          <w:tcPr>
            <w:tcW w:w="1156" w:type="dxa"/>
            <w:tcBorders>
              <w:tl2br w:val="nil"/>
              <w:tr2bl w:val="nil"/>
            </w:tcBorders>
            <w:vAlign w:val="center"/>
          </w:tcPr>
          <w:p w14:paraId="375C2E8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w:t>
            </w:r>
          </w:p>
        </w:tc>
      </w:tr>
      <w:tr w14:paraId="0F9E75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3DA14259">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总硬度</w:t>
            </w:r>
          </w:p>
        </w:tc>
        <w:tc>
          <w:tcPr>
            <w:tcW w:w="2211" w:type="dxa"/>
            <w:tcBorders>
              <w:tl2br w:val="nil"/>
              <w:tr2bl w:val="nil"/>
            </w:tcBorders>
            <w:vAlign w:val="center"/>
          </w:tcPr>
          <w:p w14:paraId="722932E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242</w:t>
            </w:r>
          </w:p>
        </w:tc>
        <w:tc>
          <w:tcPr>
            <w:tcW w:w="2200" w:type="dxa"/>
            <w:tcBorders>
              <w:tl2br w:val="nil"/>
              <w:tr2bl w:val="nil"/>
            </w:tcBorders>
            <w:vAlign w:val="center"/>
          </w:tcPr>
          <w:p w14:paraId="64CAF74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304</w:t>
            </w:r>
          </w:p>
        </w:tc>
        <w:tc>
          <w:tcPr>
            <w:tcW w:w="2125" w:type="dxa"/>
            <w:tcBorders>
              <w:tl2br w:val="nil"/>
              <w:tr2bl w:val="nil"/>
            </w:tcBorders>
            <w:vAlign w:val="center"/>
          </w:tcPr>
          <w:p w14:paraId="782408A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226</w:t>
            </w:r>
          </w:p>
        </w:tc>
        <w:tc>
          <w:tcPr>
            <w:tcW w:w="1156" w:type="dxa"/>
            <w:tcBorders>
              <w:tl2br w:val="nil"/>
              <w:tr2bl w:val="nil"/>
            </w:tcBorders>
            <w:vAlign w:val="center"/>
          </w:tcPr>
          <w:p w14:paraId="0EA33FE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274B0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08CA1388">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w:t>
            </w:r>
          </w:p>
        </w:tc>
        <w:tc>
          <w:tcPr>
            <w:tcW w:w="2211" w:type="dxa"/>
            <w:tcBorders>
              <w:tl2br w:val="nil"/>
              <w:tr2bl w:val="nil"/>
            </w:tcBorders>
            <w:vAlign w:val="center"/>
          </w:tcPr>
          <w:p w14:paraId="38E81CC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0.103</w:t>
            </w:r>
          </w:p>
        </w:tc>
        <w:tc>
          <w:tcPr>
            <w:tcW w:w="2200" w:type="dxa"/>
            <w:tcBorders>
              <w:tl2br w:val="nil"/>
              <w:tr2bl w:val="nil"/>
            </w:tcBorders>
            <w:vAlign w:val="center"/>
          </w:tcPr>
          <w:p w14:paraId="7E7270E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0.080</w:t>
            </w:r>
          </w:p>
        </w:tc>
        <w:tc>
          <w:tcPr>
            <w:tcW w:w="2125" w:type="dxa"/>
            <w:tcBorders>
              <w:tl2br w:val="nil"/>
              <w:tr2bl w:val="nil"/>
            </w:tcBorders>
            <w:vAlign w:val="center"/>
          </w:tcPr>
          <w:p w14:paraId="499911B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0.063</w:t>
            </w:r>
          </w:p>
        </w:tc>
        <w:tc>
          <w:tcPr>
            <w:tcW w:w="1156" w:type="dxa"/>
            <w:tcBorders>
              <w:tl2br w:val="nil"/>
              <w:tr2bl w:val="nil"/>
            </w:tcBorders>
            <w:vAlign w:val="center"/>
          </w:tcPr>
          <w:p w14:paraId="382CF0E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3451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2332D109">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氰化物</w:t>
            </w:r>
          </w:p>
        </w:tc>
        <w:tc>
          <w:tcPr>
            <w:tcW w:w="2211" w:type="dxa"/>
            <w:tcBorders>
              <w:tl2br w:val="nil"/>
              <w:tr2bl w:val="nil"/>
            </w:tcBorders>
            <w:vAlign w:val="center"/>
          </w:tcPr>
          <w:p w14:paraId="4E7214F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0.002L</w:t>
            </w:r>
          </w:p>
        </w:tc>
        <w:tc>
          <w:tcPr>
            <w:tcW w:w="2200" w:type="dxa"/>
            <w:tcBorders>
              <w:tl2br w:val="nil"/>
              <w:tr2bl w:val="nil"/>
            </w:tcBorders>
            <w:vAlign w:val="center"/>
          </w:tcPr>
          <w:p w14:paraId="60813E7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0.002L</w:t>
            </w:r>
          </w:p>
        </w:tc>
        <w:tc>
          <w:tcPr>
            <w:tcW w:w="2125" w:type="dxa"/>
            <w:tcBorders>
              <w:tl2br w:val="nil"/>
              <w:tr2bl w:val="nil"/>
            </w:tcBorders>
            <w:vAlign w:val="center"/>
          </w:tcPr>
          <w:p w14:paraId="0ED83D4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0.002L</w:t>
            </w:r>
          </w:p>
        </w:tc>
        <w:tc>
          <w:tcPr>
            <w:tcW w:w="1156" w:type="dxa"/>
            <w:tcBorders>
              <w:tl2br w:val="nil"/>
              <w:tr2bl w:val="nil"/>
            </w:tcBorders>
            <w:vAlign w:val="center"/>
          </w:tcPr>
          <w:p w14:paraId="680B06B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68F9B9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340ED6F">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挥发酚</w:t>
            </w:r>
          </w:p>
        </w:tc>
        <w:tc>
          <w:tcPr>
            <w:tcW w:w="2211" w:type="dxa"/>
            <w:tcBorders>
              <w:tl2br w:val="nil"/>
              <w:tr2bl w:val="nil"/>
            </w:tcBorders>
            <w:vAlign w:val="center"/>
          </w:tcPr>
          <w:p w14:paraId="42032E5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0.0003L</w:t>
            </w:r>
          </w:p>
        </w:tc>
        <w:tc>
          <w:tcPr>
            <w:tcW w:w="2200" w:type="dxa"/>
            <w:tcBorders>
              <w:tl2br w:val="nil"/>
              <w:tr2bl w:val="nil"/>
            </w:tcBorders>
            <w:vAlign w:val="center"/>
          </w:tcPr>
          <w:p w14:paraId="2826E82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0.0003L</w:t>
            </w:r>
          </w:p>
        </w:tc>
        <w:tc>
          <w:tcPr>
            <w:tcW w:w="2125" w:type="dxa"/>
            <w:tcBorders>
              <w:tl2br w:val="nil"/>
              <w:tr2bl w:val="nil"/>
            </w:tcBorders>
            <w:vAlign w:val="center"/>
          </w:tcPr>
          <w:p w14:paraId="18F95B4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0.0003L</w:t>
            </w:r>
          </w:p>
        </w:tc>
        <w:tc>
          <w:tcPr>
            <w:tcW w:w="1156" w:type="dxa"/>
            <w:tcBorders>
              <w:tl2br w:val="nil"/>
              <w:tr2bl w:val="nil"/>
            </w:tcBorders>
            <w:vAlign w:val="center"/>
          </w:tcPr>
          <w:p w14:paraId="47775C9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3B7690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D422ED5">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高锰酸盐指数（以O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计）</w:t>
            </w:r>
          </w:p>
        </w:tc>
        <w:tc>
          <w:tcPr>
            <w:tcW w:w="2211" w:type="dxa"/>
            <w:tcBorders>
              <w:tl2br w:val="nil"/>
              <w:tr2bl w:val="nil"/>
            </w:tcBorders>
            <w:vAlign w:val="center"/>
          </w:tcPr>
          <w:p w14:paraId="727D7F7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w:t>
            </w:r>
          </w:p>
        </w:tc>
        <w:tc>
          <w:tcPr>
            <w:tcW w:w="2200" w:type="dxa"/>
            <w:tcBorders>
              <w:tl2br w:val="nil"/>
              <w:tr2bl w:val="nil"/>
            </w:tcBorders>
            <w:vAlign w:val="center"/>
          </w:tcPr>
          <w:p w14:paraId="3A90C6C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1.8</w:t>
            </w:r>
          </w:p>
        </w:tc>
        <w:tc>
          <w:tcPr>
            <w:tcW w:w="2125" w:type="dxa"/>
            <w:tcBorders>
              <w:tl2br w:val="nil"/>
              <w:tr2bl w:val="nil"/>
            </w:tcBorders>
            <w:vAlign w:val="center"/>
          </w:tcPr>
          <w:p w14:paraId="65EA761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0.9</w:t>
            </w:r>
          </w:p>
        </w:tc>
        <w:tc>
          <w:tcPr>
            <w:tcW w:w="1156" w:type="dxa"/>
            <w:tcBorders>
              <w:tl2br w:val="nil"/>
              <w:tr2bl w:val="nil"/>
            </w:tcBorders>
            <w:vAlign w:val="center"/>
          </w:tcPr>
          <w:p w14:paraId="7A68238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43E99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42D13725">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氟化物</w:t>
            </w:r>
          </w:p>
        </w:tc>
        <w:tc>
          <w:tcPr>
            <w:tcW w:w="2211" w:type="dxa"/>
            <w:tcBorders>
              <w:tl2br w:val="nil"/>
              <w:tr2bl w:val="nil"/>
            </w:tcBorders>
            <w:vAlign w:val="center"/>
          </w:tcPr>
          <w:p w14:paraId="3488BD4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0.52</w:t>
            </w:r>
          </w:p>
        </w:tc>
        <w:tc>
          <w:tcPr>
            <w:tcW w:w="2200" w:type="dxa"/>
            <w:tcBorders>
              <w:tl2br w:val="nil"/>
              <w:tr2bl w:val="nil"/>
            </w:tcBorders>
            <w:vAlign w:val="center"/>
          </w:tcPr>
          <w:p w14:paraId="02312F8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0.64</w:t>
            </w:r>
          </w:p>
        </w:tc>
        <w:tc>
          <w:tcPr>
            <w:tcW w:w="2125" w:type="dxa"/>
            <w:tcBorders>
              <w:tl2br w:val="nil"/>
              <w:tr2bl w:val="nil"/>
            </w:tcBorders>
            <w:vAlign w:val="center"/>
          </w:tcPr>
          <w:p w14:paraId="2E89A51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0.27</w:t>
            </w:r>
          </w:p>
        </w:tc>
        <w:tc>
          <w:tcPr>
            <w:tcW w:w="1156" w:type="dxa"/>
            <w:tcBorders>
              <w:tl2br w:val="nil"/>
              <w:tr2bl w:val="nil"/>
            </w:tcBorders>
            <w:vAlign w:val="center"/>
          </w:tcPr>
          <w:p w14:paraId="3510DD4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06A118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536437E1">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砷</w:t>
            </w:r>
          </w:p>
        </w:tc>
        <w:tc>
          <w:tcPr>
            <w:tcW w:w="2211" w:type="dxa"/>
            <w:tcBorders>
              <w:tl2br w:val="nil"/>
              <w:tr2bl w:val="nil"/>
            </w:tcBorders>
            <w:vAlign w:val="center"/>
          </w:tcPr>
          <w:p w14:paraId="7852AF4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0.0003L</w:t>
            </w:r>
          </w:p>
        </w:tc>
        <w:tc>
          <w:tcPr>
            <w:tcW w:w="2200" w:type="dxa"/>
            <w:tcBorders>
              <w:tl2br w:val="nil"/>
              <w:tr2bl w:val="nil"/>
            </w:tcBorders>
            <w:vAlign w:val="center"/>
          </w:tcPr>
          <w:p w14:paraId="78BF685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0.0003L</w:t>
            </w:r>
          </w:p>
        </w:tc>
        <w:tc>
          <w:tcPr>
            <w:tcW w:w="2125" w:type="dxa"/>
            <w:tcBorders>
              <w:tl2br w:val="nil"/>
              <w:tr2bl w:val="nil"/>
            </w:tcBorders>
            <w:vAlign w:val="center"/>
          </w:tcPr>
          <w:p w14:paraId="32B98E4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0.0003L</w:t>
            </w:r>
          </w:p>
        </w:tc>
        <w:tc>
          <w:tcPr>
            <w:tcW w:w="1156" w:type="dxa"/>
            <w:tcBorders>
              <w:tl2br w:val="nil"/>
              <w:tr2bl w:val="nil"/>
            </w:tcBorders>
            <w:vAlign w:val="center"/>
          </w:tcPr>
          <w:p w14:paraId="009A7BD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083D74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76536678">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汞</w:t>
            </w:r>
          </w:p>
        </w:tc>
        <w:tc>
          <w:tcPr>
            <w:tcW w:w="2211" w:type="dxa"/>
            <w:tcBorders>
              <w:tl2br w:val="nil"/>
              <w:tr2bl w:val="nil"/>
            </w:tcBorders>
            <w:vAlign w:val="center"/>
          </w:tcPr>
          <w:p w14:paraId="24DC3EA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0.00004L</w:t>
            </w:r>
          </w:p>
        </w:tc>
        <w:tc>
          <w:tcPr>
            <w:tcW w:w="2200" w:type="dxa"/>
            <w:tcBorders>
              <w:tl2br w:val="nil"/>
              <w:tr2bl w:val="nil"/>
            </w:tcBorders>
            <w:vAlign w:val="center"/>
          </w:tcPr>
          <w:p w14:paraId="4D4D2BB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0.00004L</w:t>
            </w:r>
          </w:p>
        </w:tc>
        <w:tc>
          <w:tcPr>
            <w:tcW w:w="2125" w:type="dxa"/>
            <w:tcBorders>
              <w:tl2br w:val="nil"/>
              <w:tr2bl w:val="nil"/>
            </w:tcBorders>
            <w:vAlign w:val="center"/>
          </w:tcPr>
          <w:p w14:paraId="2EA0D95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0.00004L</w:t>
            </w:r>
          </w:p>
        </w:tc>
        <w:tc>
          <w:tcPr>
            <w:tcW w:w="1156" w:type="dxa"/>
            <w:tcBorders>
              <w:tl2br w:val="nil"/>
              <w:tr2bl w:val="nil"/>
            </w:tcBorders>
            <w:vAlign w:val="center"/>
          </w:tcPr>
          <w:p w14:paraId="58D4332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15487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774D398D">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镉</w:t>
            </w:r>
          </w:p>
        </w:tc>
        <w:tc>
          <w:tcPr>
            <w:tcW w:w="2211" w:type="dxa"/>
            <w:tcBorders>
              <w:tl2br w:val="nil"/>
              <w:tr2bl w:val="nil"/>
            </w:tcBorders>
            <w:vAlign w:val="center"/>
          </w:tcPr>
          <w:p w14:paraId="7A9AF36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0.001L</w:t>
            </w:r>
          </w:p>
        </w:tc>
        <w:tc>
          <w:tcPr>
            <w:tcW w:w="2200" w:type="dxa"/>
            <w:tcBorders>
              <w:tl2br w:val="nil"/>
              <w:tr2bl w:val="nil"/>
            </w:tcBorders>
            <w:vAlign w:val="center"/>
          </w:tcPr>
          <w:p w14:paraId="5FBBD5C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0.001L</w:t>
            </w:r>
          </w:p>
        </w:tc>
        <w:tc>
          <w:tcPr>
            <w:tcW w:w="2125" w:type="dxa"/>
            <w:tcBorders>
              <w:tl2br w:val="nil"/>
              <w:tr2bl w:val="nil"/>
            </w:tcBorders>
            <w:vAlign w:val="center"/>
          </w:tcPr>
          <w:p w14:paraId="1F5071E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0.001L</w:t>
            </w:r>
          </w:p>
        </w:tc>
        <w:tc>
          <w:tcPr>
            <w:tcW w:w="1156" w:type="dxa"/>
            <w:tcBorders>
              <w:tl2br w:val="nil"/>
              <w:tr2bl w:val="nil"/>
            </w:tcBorders>
            <w:vAlign w:val="center"/>
          </w:tcPr>
          <w:p w14:paraId="32E05CD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49F0E0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66FD040E">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六价铬</w:t>
            </w:r>
          </w:p>
        </w:tc>
        <w:tc>
          <w:tcPr>
            <w:tcW w:w="2211" w:type="dxa"/>
            <w:tcBorders>
              <w:tl2br w:val="nil"/>
              <w:tr2bl w:val="nil"/>
            </w:tcBorders>
            <w:vAlign w:val="center"/>
          </w:tcPr>
          <w:p w14:paraId="01E06FC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0.004L</w:t>
            </w:r>
          </w:p>
        </w:tc>
        <w:tc>
          <w:tcPr>
            <w:tcW w:w="2200" w:type="dxa"/>
            <w:tcBorders>
              <w:tl2br w:val="nil"/>
              <w:tr2bl w:val="nil"/>
            </w:tcBorders>
            <w:vAlign w:val="center"/>
          </w:tcPr>
          <w:p w14:paraId="3BC8E4A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0.004L</w:t>
            </w:r>
          </w:p>
        </w:tc>
        <w:tc>
          <w:tcPr>
            <w:tcW w:w="2125" w:type="dxa"/>
            <w:tcBorders>
              <w:tl2br w:val="nil"/>
              <w:tr2bl w:val="nil"/>
            </w:tcBorders>
            <w:vAlign w:val="center"/>
          </w:tcPr>
          <w:p w14:paraId="3CA148E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0.004L</w:t>
            </w:r>
          </w:p>
        </w:tc>
        <w:tc>
          <w:tcPr>
            <w:tcW w:w="1156" w:type="dxa"/>
            <w:tcBorders>
              <w:tl2br w:val="nil"/>
              <w:tr2bl w:val="nil"/>
            </w:tcBorders>
            <w:vAlign w:val="center"/>
          </w:tcPr>
          <w:p w14:paraId="78F455B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92651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651B4B23">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铁</w:t>
            </w:r>
          </w:p>
        </w:tc>
        <w:tc>
          <w:tcPr>
            <w:tcW w:w="2211" w:type="dxa"/>
            <w:tcBorders>
              <w:tl2br w:val="nil"/>
              <w:tr2bl w:val="nil"/>
            </w:tcBorders>
            <w:vAlign w:val="center"/>
          </w:tcPr>
          <w:p w14:paraId="76541C23">
            <w:pPr>
              <w:widowControl w:val="0"/>
              <w:snapToGrid w:val="0"/>
              <w:spacing w:line="240" w:lineRule="auto"/>
              <w:jc w:val="center"/>
              <w:rPr>
                <w:rFonts w:hint="default" w:ascii="Times New Roman" w:hAnsi="Times New Roman" w:eastAsia="宋体" w:cs="Times New Roman"/>
                <w:caps w:val="0"/>
                <w:smallCaps w:val="0"/>
                <w:color w:val="auto"/>
                <w:spacing w:val="0"/>
                <w:kern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rPr>
              <w:t>0.28</w:t>
            </w:r>
          </w:p>
        </w:tc>
        <w:tc>
          <w:tcPr>
            <w:tcW w:w="2200" w:type="dxa"/>
            <w:tcBorders>
              <w:tl2br w:val="nil"/>
              <w:tr2bl w:val="nil"/>
            </w:tcBorders>
            <w:vAlign w:val="center"/>
          </w:tcPr>
          <w:p w14:paraId="26A64DB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0.24</w:t>
            </w:r>
          </w:p>
        </w:tc>
        <w:tc>
          <w:tcPr>
            <w:tcW w:w="2125" w:type="dxa"/>
            <w:tcBorders>
              <w:tl2br w:val="nil"/>
              <w:tr2bl w:val="nil"/>
            </w:tcBorders>
            <w:vAlign w:val="center"/>
          </w:tcPr>
          <w:p w14:paraId="767FC79F">
            <w:pPr>
              <w:widowControl w:val="0"/>
              <w:snapToGrid w:val="0"/>
              <w:spacing w:line="240" w:lineRule="auto"/>
              <w:jc w:val="center"/>
              <w:rPr>
                <w:rFonts w:hint="default" w:ascii="Times New Roman" w:hAnsi="Times New Roman" w:eastAsia="宋体" w:cs="Times New Roman"/>
                <w:caps w:val="0"/>
                <w:smallCaps w:val="0"/>
                <w:color w:val="auto"/>
                <w:spacing w:val="0"/>
                <w:kern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rPr>
              <w:t>0.26</w:t>
            </w:r>
          </w:p>
        </w:tc>
        <w:tc>
          <w:tcPr>
            <w:tcW w:w="1156" w:type="dxa"/>
            <w:tcBorders>
              <w:tl2br w:val="nil"/>
              <w:tr2bl w:val="nil"/>
            </w:tcBorders>
            <w:vAlign w:val="center"/>
          </w:tcPr>
          <w:p w14:paraId="7FAE778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553E9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278E6AE8">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锰</w:t>
            </w:r>
          </w:p>
        </w:tc>
        <w:tc>
          <w:tcPr>
            <w:tcW w:w="2211" w:type="dxa"/>
            <w:tcBorders>
              <w:tl2br w:val="nil"/>
              <w:tr2bl w:val="nil"/>
            </w:tcBorders>
            <w:vAlign w:val="center"/>
          </w:tcPr>
          <w:p w14:paraId="3E821DCA">
            <w:pPr>
              <w:widowControl w:val="0"/>
              <w:snapToGrid w:val="0"/>
              <w:spacing w:line="240" w:lineRule="auto"/>
              <w:jc w:val="center"/>
              <w:rPr>
                <w:rFonts w:hint="eastAsia" w:ascii="Times New Roman" w:hAnsi="Times New Roman" w:eastAsia="宋体" w:cs="Times New Roman"/>
                <w:caps w:val="0"/>
                <w:smallCaps w:val="0"/>
                <w:color w:val="auto"/>
                <w:spacing w:val="0"/>
                <w:kern w:val="0"/>
                <w:sz w:val="21"/>
                <w:highlight w:val="none"/>
                <w:lang w:eastAsia="zh-CN"/>
              </w:rPr>
            </w:pPr>
            <w:r>
              <w:rPr>
                <w:rFonts w:ascii="Times New Roman" w:hAnsi="Times New Roman" w:eastAsia="宋体" w:cs="Times New Roman"/>
                <w:caps w:val="0"/>
                <w:smallCaps w:val="0"/>
                <w:color w:val="auto"/>
                <w:spacing w:val="0"/>
                <w:kern w:val="0"/>
                <w:sz w:val="21"/>
                <w:highlight w:val="none"/>
              </w:rPr>
              <w:t>0.0</w:t>
            </w:r>
            <w:r>
              <w:rPr>
                <w:rFonts w:hint="eastAsia" w:ascii="Times New Roman" w:hAnsi="Times New Roman" w:eastAsia="宋体" w:cs="Times New Roman"/>
                <w:caps w:val="0"/>
                <w:smallCaps w:val="0"/>
                <w:color w:val="auto"/>
                <w:spacing w:val="0"/>
                <w:kern w:val="0"/>
                <w:sz w:val="21"/>
                <w:highlight w:val="none"/>
                <w:lang w:val="en-US" w:eastAsia="zh-CN"/>
              </w:rPr>
              <w:t>6</w:t>
            </w:r>
          </w:p>
        </w:tc>
        <w:tc>
          <w:tcPr>
            <w:tcW w:w="2200" w:type="dxa"/>
            <w:tcBorders>
              <w:tl2br w:val="nil"/>
              <w:tr2bl w:val="nil"/>
            </w:tcBorders>
            <w:vAlign w:val="center"/>
          </w:tcPr>
          <w:p w14:paraId="5D74C8CC">
            <w:pPr>
              <w:widowControl w:val="0"/>
              <w:snapToGrid w:val="0"/>
              <w:spacing w:line="240" w:lineRule="auto"/>
              <w:jc w:val="center"/>
              <w:rPr>
                <w:rFonts w:hint="eastAsia" w:ascii="Times New Roman" w:hAnsi="Times New Roman" w:eastAsia="宋体" w:cs="Times New Roman"/>
                <w:caps w:val="0"/>
                <w:smallCaps w:val="0"/>
                <w:color w:val="auto"/>
                <w:spacing w:val="0"/>
                <w:kern w:val="0"/>
                <w:sz w:val="21"/>
                <w:highlight w:val="none"/>
                <w:lang w:eastAsia="zh-CN"/>
              </w:rPr>
            </w:pPr>
            <w:r>
              <w:rPr>
                <w:rFonts w:ascii="Times New Roman" w:hAnsi="Times New Roman" w:eastAsia="宋体" w:cs="Times New Roman"/>
                <w:caps w:val="0"/>
                <w:smallCaps w:val="0"/>
                <w:color w:val="auto"/>
                <w:spacing w:val="0"/>
                <w:kern w:val="0"/>
                <w:sz w:val="21"/>
                <w:highlight w:val="none"/>
              </w:rPr>
              <w:t>0.0</w:t>
            </w:r>
            <w:r>
              <w:rPr>
                <w:rFonts w:hint="eastAsia" w:ascii="Times New Roman" w:hAnsi="Times New Roman" w:eastAsia="宋体" w:cs="Times New Roman"/>
                <w:caps w:val="0"/>
                <w:smallCaps w:val="0"/>
                <w:color w:val="auto"/>
                <w:spacing w:val="0"/>
                <w:kern w:val="0"/>
                <w:sz w:val="21"/>
                <w:highlight w:val="none"/>
                <w:lang w:val="en-US" w:eastAsia="zh-CN"/>
              </w:rPr>
              <w:t>7</w:t>
            </w:r>
          </w:p>
        </w:tc>
        <w:tc>
          <w:tcPr>
            <w:tcW w:w="2125" w:type="dxa"/>
            <w:tcBorders>
              <w:tl2br w:val="nil"/>
              <w:tr2bl w:val="nil"/>
            </w:tcBorders>
            <w:vAlign w:val="center"/>
          </w:tcPr>
          <w:p w14:paraId="117B12E3">
            <w:pPr>
              <w:widowControl w:val="0"/>
              <w:snapToGrid w:val="0"/>
              <w:spacing w:line="240" w:lineRule="auto"/>
              <w:jc w:val="center"/>
              <w:rPr>
                <w:rFonts w:hint="eastAsia" w:ascii="Times New Roman" w:hAnsi="Times New Roman" w:eastAsia="宋体" w:cs="Times New Roman"/>
                <w:caps w:val="0"/>
                <w:smallCaps w:val="0"/>
                <w:color w:val="auto"/>
                <w:spacing w:val="0"/>
                <w:kern w:val="0"/>
                <w:sz w:val="21"/>
                <w:highlight w:val="none"/>
                <w:lang w:eastAsia="zh-CN"/>
              </w:rPr>
            </w:pPr>
            <w:r>
              <w:rPr>
                <w:rFonts w:ascii="Times New Roman" w:hAnsi="Times New Roman" w:eastAsia="宋体" w:cs="Times New Roman"/>
                <w:caps w:val="0"/>
                <w:smallCaps w:val="0"/>
                <w:color w:val="auto"/>
                <w:spacing w:val="0"/>
                <w:kern w:val="0"/>
                <w:sz w:val="21"/>
                <w:highlight w:val="none"/>
              </w:rPr>
              <w:t>0.0</w:t>
            </w:r>
            <w:r>
              <w:rPr>
                <w:rFonts w:hint="eastAsia" w:ascii="Times New Roman" w:hAnsi="Times New Roman" w:eastAsia="宋体" w:cs="Times New Roman"/>
                <w:caps w:val="0"/>
                <w:smallCaps w:val="0"/>
                <w:color w:val="auto"/>
                <w:spacing w:val="0"/>
                <w:kern w:val="0"/>
                <w:sz w:val="21"/>
                <w:highlight w:val="none"/>
                <w:lang w:val="en-US" w:eastAsia="zh-CN"/>
              </w:rPr>
              <w:t>3</w:t>
            </w:r>
          </w:p>
        </w:tc>
        <w:tc>
          <w:tcPr>
            <w:tcW w:w="1156" w:type="dxa"/>
            <w:tcBorders>
              <w:tl2br w:val="nil"/>
              <w:tr2bl w:val="nil"/>
            </w:tcBorders>
            <w:vAlign w:val="center"/>
          </w:tcPr>
          <w:p w14:paraId="5A267ED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F06A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06EFD25C">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铅</w:t>
            </w:r>
          </w:p>
        </w:tc>
        <w:tc>
          <w:tcPr>
            <w:tcW w:w="2211" w:type="dxa"/>
            <w:tcBorders>
              <w:tl2br w:val="nil"/>
              <w:tr2bl w:val="nil"/>
            </w:tcBorders>
            <w:vAlign w:val="center"/>
          </w:tcPr>
          <w:p w14:paraId="7CAFCC1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0.0025L</w:t>
            </w:r>
          </w:p>
        </w:tc>
        <w:tc>
          <w:tcPr>
            <w:tcW w:w="2200" w:type="dxa"/>
            <w:tcBorders>
              <w:tl2br w:val="nil"/>
              <w:tr2bl w:val="nil"/>
            </w:tcBorders>
            <w:vAlign w:val="center"/>
          </w:tcPr>
          <w:p w14:paraId="3B384B2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0.0025L</w:t>
            </w:r>
          </w:p>
        </w:tc>
        <w:tc>
          <w:tcPr>
            <w:tcW w:w="2125" w:type="dxa"/>
            <w:tcBorders>
              <w:tl2br w:val="nil"/>
              <w:tr2bl w:val="nil"/>
            </w:tcBorders>
            <w:vAlign w:val="center"/>
          </w:tcPr>
          <w:p w14:paraId="6E8A814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0.0025L</w:t>
            </w:r>
          </w:p>
        </w:tc>
        <w:tc>
          <w:tcPr>
            <w:tcW w:w="1156" w:type="dxa"/>
            <w:tcBorders>
              <w:tl2br w:val="nil"/>
              <w:tr2bl w:val="nil"/>
            </w:tcBorders>
            <w:vAlign w:val="center"/>
          </w:tcPr>
          <w:p w14:paraId="145ED95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65CC44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5DD96887">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硝酸盐（氮）</w:t>
            </w:r>
          </w:p>
          <w:p w14:paraId="0F59CF8D">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（以N计）</w:t>
            </w:r>
          </w:p>
        </w:tc>
        <w:tc>
          <w:tcPr>
            <w:tcW w:w="2211" w:type="dxa"/>
            <w:tcBorders>
              <w:tl2br w:val="nil"/>
              <w:tr2bl w:val="nil"/>
            </w:tcBorders>
            <w:vAlign w:val="center"/>
          </w:tcPr>
          <w:p w14:paraId="6800DF8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0.13</w:t>
            </w:r>
          </w:p>
        </w:tc>
        <w:tc>
          <w:tcPr>
            <w:tcW w:w="2200" w:type="dxa"/>
            <w:tcBorders>
              <w:tl2br w:val="nil"/>
              <w:tr2bl w:val="nil"/>
            </w:tcBorders>
            <w:vAlign w:val="center"/>
          </w:tcPr>
          <w:p w14:paraId="2EB50B0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0.19</w:t>
            </w:r>
          </w:p>
        </w:tc>
        <w:tc>
          <w:tcPr>
            <w:tcW w:w="2125" w:type="dxa"/>
            <w:tcBorders>
              <w:tl2br w:val="nil"/>
              <w:tr2bl w:val="nil"/>
            </w:tcBorders>
            <w:vAlign w:val="center"/>
          </w:tcPr>
          <w:p w14:paraId="25E0DB8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0.11</w:t>
            </w:r>
          </w:p>
        </w:tc>
        <w:tc>
          <w:tcPr>
            <w:tcW w:w="1156" w:type="dxa"/>
            <w:tcBorders>
              <w:tl2br w:val="nil"/>
              <w:tr2bl w:val="nil"/>
            </w:tcBorders>
            <w:vAlign w:val="center"/>
          </w:tcPr>
          <w:p w14:paraId="0DB672E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05C554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3C222531">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亚硝酸盐（氮）（以N计）</w:t>
            </w:r>
          </w:p>
        </w:tc>
        <w:tc>
          <w:tcPr>
            <w:tcW w:w="2211" w:type="dxa"/>
            <w:tcBorders>
              <w:tl2br w:val="nil"/>
              <w:tr2bl w:val="nil"/>
            </w:tcBorders>
            <w:vAlign w:val="center"/>
          </w:tcPr>
          <w:p w14:paraId="62AA410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0.008</w:t>
            </w:r>
          </w:p>
        </w:tc>
        <w:tc>
          <w:tcPr>
            <w:tcW w:w="2200" w:type="dxa"/>
            <w:tcBorders>
              <w:tl2br w:val="nil"/>
              <w:tr2bl w:val="nil"/>
            </w:tcBorders>
            <w:vAlign w:val="center"/>
          </w:tcPr>
          <w:p w14:paraId="3F30E92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0.011</w:t>
            </w:r>
          </w:p>
        </w:tc>
        <w:tc>
          <w:tcPr>
            <w:tcW w:w="2125" w:type="dxa"/>
            <w:tcBorders>
              <w:tl2br w:val="nil"/>
              <w:tr2bl w:val="nil"/>
            </w:tcBorders>
            <w:vAlign w:val="center"/>
          </w:tcPr>
          <w:p w14:paraId="6B9E102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0.006</w:t>
            </w:r>
          </w:p>
        </w:tc>
        <w:tc>
          <w:tcPr>
            <w:tcW w:w="1156" w:type="dxa"/>
            <w:tcBorders>
              <w:tl2br w:val="nil"/>
              <w:tr2bl w:val="nil"/>
            </w:tcBorders>
            <w:vAlign w:val="center"/>
          </w:tcPr>
          <w:p w14:paraId="6CFFB76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5FA3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1C1C02E4">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硫酸盐</w:t>
            </w:r>
          </w:p>
        </w:tc>
        <w:tc>
          <w:tcPr>
            <w:tcW w:w="2211" w:type="dxa"/>
            <w:tcBorders>
              <w:tl2br w:val="nil"/>
              <w:tr2bl w:val="nil"/>
            </w:tcBorders>
            <w:vAlign w:val="center"/>
          </w:tcPr>
          <w:p w14:paraId="5730B3D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52</w:t>
            </w:r>
          </w:p>
        </w:tc>
        <w:tc>
          <w:tcPr>
            <w:tcW w:w="2200" w:type="dxa"/>
            <w:tcBorders>
              <w:tl2br w:val="nil"/>
              <w:tr2bl w:val="nil"/>
            </w:tcBorders>
            <w:vAlign w:val="center"/>
          </w:tcPr>
          <w:p w14:paraId="082002B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13</w:t>
            </w:r>
          </w:p>
        </w:tc>
        <w:tc>
          <w:tcPr>
            <w:tcW w:w="2125" w:type="dxa"/>
            <w:tcBorders>
              <w:tl2br w:val="nil"/>
              <w:tr2bl w:val="nil"/>
            </w:tcBorders>
            <w:vAlign w:val="center"/>
          </w:tcPr>
          <w:p w14:paraId="621EAA3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39</w:t>
            </w:r>
          </w:p>
        </w:tc>
        <w:tc>
          <w:tcPr>
            <w:tcW w:w="1156" w:type="dxa"/>
            <w:tcBorders>
              <w:tl2br w:val="nil"/>
              <w:tr2bl w:val="nil"/>
            </w:tcBorders>
            <w:vAlign w:val="center"/>
          </w:tcPr>
          <w:p w14:paraId="48A1B6C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9E019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bottom w:val="single" w:color="auto" w:sz="8" w:space="0"/>
              <w:tl2br w:val="nil"/>
              <w:tr2bl w:val="nil"/>
            </w:tcBorders>
            <w:shd w:val="clear" w:color="auto" w:fill="auto"/>
            <w:vAlign w:val="center"/>
          </w:tcPr>
          <w:p w14:paraId="4FEC094E">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溶解性总固体</w:t>
            </w:r>
          </w:p>
        </w:tc>
        <w:tc>
          <w:tcPr>
            <w:tcW w:w="2211" w:type="dxa"/>
            <w:tcBorders>
              <w:bottom w:val="single" w:color="auto" w:sz="8" w:space="0"/>
              <w:tl2br w:val="nil"/>
              <w:tr2bl w:val="nil"/>
            </w:tcBorders>
            <w:vAlign w:val="center"/>
          </w:tcPr>
          <w:p w14:paraId="639AB7B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426</w:t>
            </w:r>
          </w:p>
        </w:tc>
        <w:tc>
          <w:tcPr>
            <w:tcW w:w="2200" w:type="dxa"/>
            <w:tcBorders>
              <w:bottom w:val="single" w:color="auto" w:sz="8" w:space="0"/>
              <w:tl2br w:val="nil"/>
              <w:tr2bl w:val="nil"/>
            </w:tcBorders>
            <w:vAlign w:val="center"/>
          </w:tcPr>
          <w:p w14:paraId="61DD306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512</w:t>
            </w:r>
          </w:p>
        </w:tc>
        <w:tc>
          <w:tcPr>
            <w:tcW w:w="2125" w:type="dxa"/>
            <w:tcBorders>
              <w:bottom w:val="single" w:color="auto" w:sz="8" w:space="0"/>
              <w:tl2br w:val="nil"/>
              <w:tr2bl w:val="nil"/>
            </w:tcBorders>
            <w:vAlign w:val="center"/>
          </w:tcPr>
          <w:p w14:paraId="7028AB0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407</w:t>
            </w:r>
          </w:p>
        </w:tc>
        <w:tc>
          <w:tcPr>
            <w:tcW w:w="1156" w:type="dxa"/>
            <w:tcBorders>
              <w:bottom w:val="single" w:color="auto" w:sz="8" w:space="0"/>
              <w:tl2br w:val="nil"/>
              <w:tr2bl w:val="nil"/>
            </w:tcBorders>
            <w:vAlign w:val="center"/>
          </w:tcPr>
          <w:p w14:paraId="42E7915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4CDB8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op w:val="single" w:color="auto" w:sz="8" w:space="0"/>
              <w:tl2br w:val="nil"/>
              <w:tr2bl w:val="nil"/>
            </w:tcBorders>
            <w:shd w:val="clear" w:color="auto" w:fill="auto"/>
            <w:vAlign w:val="center"/>
          </w:tcPr>
          <w:p w14:paraId="154C677E">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氯化物</w:t>
            </w:r>
          </w:p>
        </w:tc>
        <w:tc>
          <w:tcPr>
            <w:tcW w:w="2211" w:type="dxa"/>
            <w:tcBorders>
              <w:top w:val="single" w:color="auto" w:sz="8" w:space="0"/>
              <w:tl2br w:val="nil"/>
              <w:tr2bl w:val="nil"/>
            </w:tcBorders>
            <w:vAlign w:val="center"/>
          </w:tcPr>
          <w:p w14:paraId="20976BC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34.7</w:t>
            </w:r>
          </w:p>
        </w:tc>
        <w:tc>
          <w:tcPr>
            <w:tcW w:w="2200" w:type="dxa"/>
            <w:tcBorders>
              <w:top w:val="single" w:color="auto" w:sz="8" w:space="0"/>
              <w:tl2br w:val="nil"/>
              <w:tr2bl w:val="nil"/>
            </w:tcBorders>
            <w:vAlign w:val="center"/>
          </w:tcPr>
          <w:p w14:paraId="71D1134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36.1</w:t>
            </w:r>
          </w:p>
        </w:tc>
        <w:tc>
          <w:tcPr>
            <w:tcW w:w="2125" w:type="dxa"/>
            <w:tcBorders>
              <w:top w:val="single" w:color="auto" w:sz="8" w:space="0"/>
              <w:tl2br w:val="nil"/>
              <w:tr2bl w:val="nil"/>
            </w:tcBorders>
            <w:vAlign w:val="center"/>
          </w:tcPr>
          <w:p w14:paraId="743013D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37.4</w:t>
            </w:r>
          </w:p>
        </w:tc>
        <w:tc>
          <w:tcPr>
            <w:tcW w:w="1156" w:type="dxa"/>
            <w:tcBorders>
              <w:top w:val="single" w:color="auto" w:sz="8" w:space="0"/>
              <w:tl2br w:val="nil"/>
              <w:tr2bl w:val="nil"/>
            </w:tcBorders>
            <w:vAlign w:val="center"/>
          </w:tcPr>
          <w:p w14:paraId="35222B7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5C006D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26C7A56F">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总大肠菌群</w:t>
            </w:r>
          </w:p>
        </w:tc>
        <w:tc>
          <w:tcPr>
            <w:tcW w:w="2211" w:type="dxa"/>
            <w:tcBorders>
              <w:tl2br w:val="nil"/>
              <w:tr2bl w:val="nil"/>
            </w:tcBorders>
            <w:vAlign w:val="center"/>
          </w:tcPr>
          <w:p w14:paraId="172BA5A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2L</w:t>
            </w:r>
          </w:p>
        </w:tc>
        <w:tc>
          <w:tcPr>
            <w:tcW w:w="2200" w:type="dxa"/>
            <w:tcBorders>
              <w:tl2br w:val="nil"/>
              <w:tr2bl w:val="nil"/>
            </w:tcBorders>
            <w:vAlign w:val="center"/>
          </w:tcPr>
          <w:p w14:paraId="67FED6B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2L</w:t>
            </w:r>
          </w:p>
        </w:tc>
        <w:tc>
          <w:tcPr>
            <w:tcW w:w="2125" w:type="dxa"/>
            <w:tcBorders>
              <w:tl2br w:val="nil"/>
              <w:tr2bl w:val="nil"/>
            </w:tcBorders>
            <w:vAlign w:val="center"/>
          </w:tcPr>
          <w:p w14:paraId="42D190A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2L</w:t>
            </w:r>
          </w:p>
        </w:tc>
        <w:tc>
          <w:tcPr>
            <w:tcW w:w="1156" w:type="dxa"/>
            <w:tcBorders>
              <w:tl2br w:val="nil"/>
              <w:tr2bl w:val="nil"/>
            </w:tcBorders>
            <w:vAlign w:val="center"/>
          </w:tcPr>
          <w:p w14:paraId="2300B7B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MPN/</w:t>
            </w:r>
          </w:p>
          <w:p w14:paraId="62603AF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100mL</w:t>
            </w:r>
          </w:p>
        </w:tc>
      </w:tr>
      <w:tr w14:paraId="1963E6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shd w:val="clear" w:color="auto" w:fill="auto"/>
            <w:vAlign w:val="center"/>
          </w:tcPr>
          <w:p w14:paraId="11A05ACA">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细菌总数</w:t>
            </w:r>
          </w:p>
        </w:tc>
        <w:tc>
          <w:tcPr>
            <w:tcW w:w="2211" w:type="dxa"/>
            <w:tcBorders>
              <w:tl2br w:val="nil"/>
              <w:tr2bl w:val="nil"/>
            </w:tcBorders>
            <w:vAlign w:val="center"/>
          </w:tcPr>
          <w:p w14:paraId="3618F45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15</w:t>
            </w:r>
          </w:p>
        </w:tc>
        <w:tc>
          <w:tcPr>
            <w:tcW w:w="2200" w:type="dxa"/>
            <w:tcBorders>
              <w:tl2br w:val="nil"/>
              <w:tr2bl w:val="nil"/>
            </w:tcBorders>
            <w:vAlign w:val="center"/>
          </w:tcPr>
          <w:p w14:paraId="111BFDB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w:t>
            </w:r>
          </w:p>
        </w:tc>
        <w:tc>
          <w:tcPr>
            <w:tcW w:w="2125" w:type="dxa"/>
            <w:tcBorders>
              <w:tl2br w:val="nil"/>
              <w:tr2bl w:val="nil"/>
            </w:tcBorders>
            <w:vAlign w:val="center"/>
          </w:tcPr>
          <w:p w14:paraId="0EAF930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17</w:t>
            </w:r>
          </w:p>
        </w:tc>
        <w:tc>
          <w:tcPr>
            <w:tcW w:w="1156" w:type="dxa"/>
            <w:tcBorders>
              <w:tl2br w:val="nil"/>
              <w:tr2bl w:val="nil"/>
            </w:tcBorders>
            <w:vAlign w:val="center"/>
          </w:tcPr>
          <w:p w14:paraId="4D179FC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CFU/mL</w:t>
            </w:r>
          </w:p>
        </w:tc>
      </w:tr>
      <w:tr w14:paraId="199E0F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490A4DF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石油类</w:t>
            </w:r>
          </w:p>
        </w:tc>
        <w:tc>
          <w:tcPr>
            <w:tcW w:w="2211" w:type="dxa"/>
            <w:tcBorders>
              <w:tl2br w:val="nil"/>
              <w:tr2bl w:val="nil"/>
            </w:tcBorders>
            <w:vAlign w:val="center"/>
          </w:tcPr>
          <w:p w14:paraId="25C108F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0.03</w:t>
            </w:r>
          </w:p>
        </w:tc>
        <w:tc>
          <w:tcPr>
            <w:tcW w:w="2200" w:type="dxa"/>
            <w:tcBorders>
              <w:tl2br w:val="nil"/>
              <w:tr2bl w:val="nil"/>
            </w:tcBorders>
            <w:vAlign w:val="center"/>
          </w:tcPr>
          <w:p w14:paraId="4903621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0.01L</w:t>
            </w:r>
          </w:p>
        </w:tc>
        <w:tc>
          <w:tcPr>
            <w:tcW w:w="2125" w:type="dxa"/>
            <w:tcBorders>
              <w:tl2br w:val="nil"/>
              <w:tr2bl w:val="nil"/>
            </w:tcBorders>
            <w:vAlign w:val="center"/>
          </w:tcPr>
          <w:p w14:paraId="4695E62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0.01L</w:t>
            </w:r>
          </w:p>
        </w:tc>
        <w:tc>
          <w:tcPr>
            <w:tcW w:w="1156" w:type="dxa"/>
            <w:tcBorders>
              <w:tl2br w:val="nil"/>
              <w:tr2bl w:val="nil"/>
            </w:tcBorders>
            <w:vAlign w:val="center"/>
          </w:tcPr>
          <w:p w14:paraId="2FE9EDF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4012A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73870D4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锌</w:t>
            </w:r>
          </w:p>
        </w:tc>
        <w:tc>
          <w:tcPr>
            <w:tcW w:w="2211" w:type="dxa"/>
            <w:tcBorders>
              <w:tl2br w:val="nil"/>
              <w:tr2bl w:val="nil"/>
            </w:tcBorders>
            <w:vAlign w:val="center"/>
          </w:tcPr>
          <w:p w14:paraId="2A6AF60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0.05L</w:t>
            </w:r>
          </w:p>
        </w:tc>
        <w:tc>
          <w:tcPr>
            <w:tcW w:w="2200" w:type="dxa"/>
            <w:tcBorders>
              <w:tl2br w:val="nil"/>
              <w:tr2bl w:val="nil"/>
            </w:tcBorders>
            <w:vAlign w:val="center"/>
          </w:tcPr>
          <w:p w14:paraId="19D9B65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0.05L</w:t>
            </w:r>
          </w:p>
        </w:tc>
        <w:tc>
          <w:tcPr>
            <w:tcW w:w="2125" w:type="dxa"/>
            <w:tcBorders>
              <w:tl2br w:val="nil"/>
              <w:tr2bl w:val="nil"/>
            </w:tcBorders>
            <w:vAlign w:val="center"/>
          </w:tcPr>
          <w:p w14:paraId="386EB35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0.10</w:t>
            </w:r>
          </w:p>
        </w:tc>
        <w:tc>
          <w:tcPr>
            <w:tcW w:w="1156" w:type="dxa"/>
            <w:tcBorders>
              <w:tl2br w:val="nil"/>
              <w:tr2bl w:val="nil"/>
            </w:tcBorders>
            <w:vAlign w:val="center"/>
          </w:tcPr>
          <w:p w14:paraId="6DDB06E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34AD5A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67AD2E7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硒</w:t>
            </w:r>
          </w:p>
        </w:tc>
        <w:tc>
          <w:tcPr>
            <w:tcW w:w="2211" w:type="dxa"/>
            <w:tcBorders>
              <w:tl2br w:val="nil"/>
              <w:tr2bl w:val="nil"/>
            </w:tcBorders>
            <w:vAlign w:val="center"/>
          </w:tcPr>
          <w:p w14:paraId="6C96520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0.0004L</w:t>
            </w:r>
          </w:p>
        </w:tc>
        <w:tc>
          <w:tcPr>
            <w:tcW w:w="2200" w:type="dxa"/>
            <w:tcBorders>
              <w:tl2br w:val="nil"/>
              <w:tr2bl w:val="nil"/>
            </w:tcBorders>
            <w:vAlign w:val="center"/>
          </w:tcPr>
          <w:p w14:paraId="53F3689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0.0004L</w:t>
            </w:r>
          </w:p>
        </w:tc>
        <w:tc>
          <w:tcPr>
            <w:tcW w:w="2125" w:type="dxa"/>
            <w:tcBorders>
              <w:tl2br w:val="nil"/>
              <w:tr2bl w:val="nil"/>
            </w:tcBorders>
            <w:vAlign w:val="center"/>
          </w:tcPr>
          <w:p w14:paraId="59EAFFE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0.0004L</w:t>
            </w:r>
          </w:p>
        </w:tc>
        <w:tc>
          <w:tcPr>
            <w:tcW w:w="1156" w:type="dxa"/>
            <w:tcBorders>
              <w:tl2br w:val="nil"/>
              <w:tr2bl w:val="nil"/>
            </w:tcBorders>
            <w:vAlign w:val="center"/>
          </w:tcPr>
          <w:p w14:paraId="165540C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28F44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724C80B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硅</w:t>
            </w:r>
          </w:p>
        </w:tc>
        <w:tc>
          <w:tcPr>
            <w:tcW w:w="2211" w:type="dxa"/>
            <w:tcBorders>
              <w:tl2br w:val="nil"/>
              <w:tr2bl w:val="nil"/>
            </w:tcBorders>
            <w:vAlign w:val="center"/>
          </w:tcPr>
          <w:p w14:paraId="409E540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0.02L</w:t>
            </w:r>
          </w:p>
        </w:tc>
        <w:tc>
          <w:tcPr>
            <w:tcW w:w="2200" w:type="dxa"/>
            <w:tcBorders>
              <w:tl2br w:val="nil"/>
              <w:tr2bl w:val="nil"/>
            </w:tcBorders>
            <w:vAlign w:val="center"/>
          </w:tcPr>
          <w:p w14:paraId="169D642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0.02L</w:t>
            </w:r>
          </w:p>
        </w:tc>
        <w:tc>
          <w:tcPr>
            <w:tcW w:w="2125" w:type="dxa"/>
            <w:tcBorders>
              <w:tl2br w:val="nil"/>
              <w:tr2bl w:val="nil"/>
            </w:tcBorders>
            <w:vAlign w:val="center"/>
          </w:tcPr>
          <w:p w14:paraId="0C27B81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0.02L</w:t>
            </w:r>
          </w:p>
        </w:tc>
        <w:tc>
          <w:tcPr>
            <w:tcW w:w="1156" w:type="dxa"/>
            <w:tcBorders>
              <w:tl2br w:val="nil"/>
              <w:tr2bl w:val="nil"/>
            </w:tcBorders>
            <w:vAlign w:val="center"/>
          </w:tcPr>
          <w:p w14:paraId="797D9E7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31CAE5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34A100F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锡</w:t>
            </w:r>
          </w:p>
        </w:tc>
        <w:tc>
          <w:tcPr>
            <w:tcW w:w="2211" w:type="dxa"/>
            <w:tcBorders>
              <w:tl2br w:val="nil"/>
              <w:tr2bl w:val="nil"/>
            </w:tcBorders>
            <w:vAlign w:val="center"/>
          </w:tcPr>
          <w:p w14:paraId="3D4B6EC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0.04L</w:t>
            </w:r>
          </w:p>
        </w:tc>
        <w:tc>
          <w:tcPr>
            <w:tcW w:w="2200" w:type="dxa"/>
            <w:tcBorders>
              <w:tl2br w:val="nil"/>
              <w:tr2bl w:val="nil"/>
            </w:tcBorders>
            <w:vAlign w:val="center"/>
          </w:tcPr>
          <w:p w14:paraId="262A9FA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0.04L</w:t>
            </w:r>
          </w:p>
        </w:tc>
        <w:tc>
          <w:tcPr>
            <w:tcW w:w="2125" w:type="dxa"/>
            <w:tcBorders>
              <w:tl2br w:val="nil"/>
              <w:tr2bl w:val="nil"/>
            </w:tcBorders>
            <w:vAlign w:val="center"/>
          </w:tcPr>
          <w:p w14:paraId="414EA04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0.04L</w:t>
            </w:r>
          </w:p>
        </w:tc>
        <w:tc>
          <w:tcPr>
            <w:tcW w:w="1156" w:type="dxa"/>
            <w:tcBorders>
              <w:tl2br w:val="nil"/>
              <w:tr2bl w:val="nil"/>
            </w:tcBorders>
            <w:vAlign w:val="center"/>
          </w:tcPr>
          <w:p w14:paraId="3902876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5F262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00E4700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钼</w:t>
            </w:r>
          </w:p>
        </w:tc>
        <w:tc>
          <w:tcPr>
            <w:tcW w:w="2211" w:type="dxa"/>
            <w:tcBorders>
              <w:tl2br w:val="nil"/>
              <w:tr2bl w:val="nil"/>
            </w:tcBorders>
            <w:vAlign w:val="center"/>
          </w:tcPr>
          <w:p w14:paraId="5BB7CBE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0.05L</w:t>
            </w:r>
          </w:p>
        </w:tc>
        <w:tc>
          <w:tcPr>
            <w:tcW w:w="2200" w:type="dxa"/>
            <w:tcBorders>
              <w:tl2br w:val="nil"/>
              <w:tr2bl w:val="nil"/>
            </w:tcBorders>
            <w:vAlign w:val="center"/>
          </w:tcPr>
          <w:p w14:paraId="437E80C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0.05L</w:t>
            </w:r>
          </w:p>
        </w:tc>
        <w:tc>
          <w:tcPr>
            <w:tcW w:w="2125" w:type="dxa"/>
            <w:tcBorders>
              <w:tl2br w:val="nil"/>
              <w:tr2bl w:val="nil"/>
            </w:tcBorders>
            <w:vAlign w:val="center"/>
          </w:tcPr>
          <w:p w14:paraId="1EA898D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0.05L</w:t>
            </w:r>
          </w:p>
        </w:tc>
        <w:tc>
          <w:tcPr>
            <w:tcW w:w="1156" w:type="dxa"/>
            <w:tcBorders>
              <w:tl2br w:val="nil"/>
              <w:tr2bl w:val="nil"/>
            </w:tcBorders>
            <w:vAlign w:val="center"/>
          </w:tcPr>
          <w:p w14:paraId="3E9DA0C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3A59F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594" w:type="dxa"/>
            <w:tcBorders>
              <w:tl2br w:val="nil"/>
              <w:tr2bl w:val="nil"/>
            </w:tcBorders>
            <w:vAlign w:val="center"/>
          </w:tcPr>
          <w:p w14:paraId="3725CDD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铝</w:t>
            </w:r>
          </w:p>
        </w:tc>
        <w:tc>
          <w:tcPr>
            <w:tcW w:w="2211" w:type="dxa"/>
            <w:tcBorders>
              <w:tl2br w:val="nil"/>
              <w:tr2bl w:val="nil"/>
            </w:tcBorders>
            <w:vAlign w:val="center"/>
          </w:tcPr>
          <w:p w14:paraId="13DA8E7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0.009L</w:t>
            </w:r>
          </w:p>
        </w:tc>
        <w:tc>
          <w:tcPr>
            <w:tcW w:w="2200" w:type="dxa"/>
            <w:tcBorders>
              <w:tl2br w:val="nil"/>
              <w:tr2bl w:val="nil"/>
            </w:tcBorders>
            <w:vAlign w:val="center"/>
          </w:tcPr>
          <w:p w14:paraId="382447F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0.009L</w:t>
            </w:r>
          </w:p>
        </w:tc>
        <w:tc>
          <w:tcPr>
            <w:tcW w:w="2125" w:type="dxa"/>
            <w:tcBorders>
              <w:tl2br w:val="nil"/>
              <w:tr2bl w:val="nil"/>
            </w:tcBorders>
            <w:vAlign w:val="center"/>
          </w:tcPr>
          <w:p w14:paraId="44645BE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0.009L</w:t>
            </w:r>
          </w:p>
        </w:tc>
        <w:tc>
          <w:tcPr>
            <w:tcW w:w="1156" w:type="dxa"/>
            <w:tcBorders>
              <w:tl2br w:val="nil"/>
              <w:tr2bl w:val="nil"/>
            </w:tcBorders>
            <w:vAlign w:val="center"/>
          </w:tcPr>
          <w:p w14:paraId="01FD84A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mg/L</w:t>
            </w:r>
          </w:p>
        </w:tc>
      </w:tr>
      <w:tr w14:paraId="7BBD3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42B742FA">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监测点位</w:t>
            </w:r>
          </w:p>
        </w:tc>
        <w:tc>
          <w:tcPr>
            <w:tcW w:w="2211" w:type="dxa"/>
            <w:vMerge w:val="restart"/>
            <w:tcBorders>
              <w:tl2br w:val="nil"/>
              <w:tr2bl w:val="nil"/>
            </w:tcBorders>
            <w:vAlign w:val="center"/>
          </w:tcPr>
          <w:p w14:paraId="533863C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highlight w:val="none"/>
              </w:rPr>
              <w:t>水位监测点2#</w:t>
            </w:r>
          </w:p>
        </w:tc>
        <w:tc>
          <w:tcPr>
            <w:tcW w:w="2200" w:type="dxa"/>
            <w:vMerge w:val="restart"/>
            <w:tcBorders>
              <w:tl2br w:val="nil"/>
              <w:tr2bl w:val="nil"/>
            </w:tcBorders>
            <w:vAlign w:val="center"/>
          </w:tcPr>
          <w:p w14:paraId="2D30AB1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highlight w:val="none"/>
              </w:rPr>
              <w:t>水位监测点4#</w:t>
            </w:r>
          </w:p>
        </w:tc>
        <w:tc>
          <w:tcPr>
            <w:tcW w:w="2125" w:type="dxa"/>
            <w:vMerge w:val="restart"/>
            <w:tcBorders>
              <w:tl2br w:val="nil"/>
              <w:tr2bl w:val="nil"/>
            </w:tcBorders>
            <w:vAlign w:val="center"/>
          </w:tcPr>
          <w:p w14:paraId="4962714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highlight w:val="none"/>
              </w:rPr>
              <w:t>水位监测点5#</w:t>
            </w:r>
          </w:p>
        </w:tc>
        <w:tc>
          <w:tcPr>
            <w:tcW w:w="1156" w:type="dxa"/>
            <w:vMerge w:val="restart"/>
            <w:tcBorders>
              <w:tl2br w:val="nil"/>
              <w:tr2bl w:val="nil"/>
            </w:tcBorders>
            <w:vAlign w:val="center"/>
          </w:tcPr>
          <w:p w14:paraId="5CD989E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单位</w:t>
            </w:r>
          </w:p>
        </w:tc>
      </w:tr>
      <w:tr w14:paraId="25918D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24F24103">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2211" w:type="dxa"/>
            <w:vMerge w:val="continue"/>
            <w:tcBorders>
              <w:tl2br w:val="nil"/>
              <w:tr2bl w:val="nil"/>
            </w:tcBorders>
            <w:vAlign w:val="center"/>
          </w:tcPr>
          <w:p w14:paraId="06F948B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2200" w:type="dxa"/>
            <w:vMerge w:val="continue"/>
            <w:tcBorders>
              <w:tl2br w:val="nil"/>
              <w:tr2bl w:val="nil"/>
            </w:tcBorders>
            <w:vAlign w:val="center"/>
          </w:tcPr>
          <w:p w14:paraId="110A0F4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2125" w:type="dxa"/>
            <w:vMerge w:val="continue"/>
            <w:tcBorders>
              <w:tl2br w:val="nil"/>
              <w:tr2bl w:val="nil"/>
            </w:tcBorders>
            <w:vAlign w:val="center"/>
          </w:tcPr>
          <w:p w14:paraId="2D88903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156" w:type="dxa"/>
            <w:vMerge w:val="continue"/>
            <w:tcBorders>
              <w:tl2br w:val="nil"/>
              <w:tr2bl w:val="nil"/>
            </w:tcBorders>
            <w:vAlign w:val="center"/>
          </w:tcPr>
          <w:p w14:paraId="62BADCC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70498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4" w:type="dxa"/>
            <w:tcBorders>
              <w:tl2br w:val="nil"/>
              <w:tr2bl w:val="nil"/>
            </w:tcBorders>
            <w:vAlign w:val="center"/>
          </w:tcPr>
          <w:p w14:paraId="01157449">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水位</w:t>
            </w:r>
          </w:p>
        </w:tc>
        <w:tc>
          <w:tcPr>
            <w:tcW w:w="2211" w:type="dxa"/>
            <w:tcBorders>
              <w:tl2br w:val="nil"/>
              <w:tr2bl w:val="nil"/>
            </w:tcBorders>
            <w:vAlign w:val="center"/>
          </w:tcPr>
          <w:p w14:paraId="6CB0CA2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14.2</w:t>
            </w:r>
          </w:p>
        </w:tc>
        <w:tc>
          <w:tcPr>
            <w:tcW w:w="2200" w:type="dxa"/>
            <w:tcBorders>
              <w:tl2br w:val="nil"/>
              <w:tr2bl w:val="nil"/>
            </w:tcBorders>
            <w:vAlign w:val="center"/>
          </w:tcPr>
          <w:p w14:paraId="53CFBD3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13.9</w:t>
            </w:r>
          </w:p>
        </w:tc>
        <w:tc>
          <w:tcPr>
            <w:tcW w:w="2125" w:type="dxa"/>
            <w:tcBorders>
              <w:tl2br w:val="nil"/>
              <w:tr2bl w:val="nil"/>
            </w:tcBorders>
            <w:vAlign w:val="center"/>
          </w:tcPr>
          <w:p w14:paraId="7072AEE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14.7</w:t>
            </w:r>
          </w:p>
        </w:tc>
        <w:tc>
          <w:tcPr>
            <w:tcW w:w="1156" w:type="dxa"/>
            <w:tcBorders>
              <w:tl2br w:val="nil"/>
              <w:tr2bl w:val="nil"/>
            </w:tcBorders>
            <w:vAlign w:val="center"/>
          </w:tcPr>
          <w:p w14:paraId="448B87C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w:t>
            </w:r>
          </w:p>
        </w:tc>
      </w:tr>
      <w:tr w14:paraId="0F7C6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6" w:type="dxa"/>
            <w:gridSpan w:val="5"/>
            <w:tcBorders>
              <w:bottom w:val="single" w:color="auto" w:sz="8" w:space="0"/>
              <w:tl2br w:val="nil"/>
              <w:tr2bl w:val="nil"/>
            </w:tcBorders>
            <w:vAlign w:val="center"/>
          </w:tcPr>
          <w:p w14:paraId="0853210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注：检测结果小于检出限报检出限加“L”。</w:t>
            </w:r>
          </w:p>
        </w:tc>
      </w:tr>
    </w:tbl>
    <w:p w14:paraId="470531E0">
      <w:pPr>
        <w:pStyle w:val="13"/>
        <w:widowControl w:val="0"/>
        <w:wordWrap w:val="0"/>
        <w:topLinePunct/>
        <w:adjustRightInd w:val="0"/>
        <w:snapToGrid w:val="0"/>
        <w:spacing w:after="0"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snapToGrid w:val="0"/>
          <w:color w:val="auto"/>
          <w:spacing w:val="0"/>
          <w:kern w:val="0"/>
          <w:szCs w:val="24"/>
          <w:highlight w:val="none"/>
        </w:rPr>
        <w:t>（3）</w:t>
      </w:r>
      <w:r>
        <w:rPr>
          <w:rFonts w:ascii="Times New Roman" w:hAnsi="Times New Roman" w:eastAsia="宋体" w:cs="Times New Roman"/>
          <w:caps w:val="0"/>
          <w:smallCaps w:val="0"/>
          <w:color w:val="auto"/>
          <w:spacing w:val="0"/>
          <w:szCs w:val="24"/>
          <w:highlight w:val="none"/>
        </w:rPr>
        <w:t>评价方法</w:t>
      </w:r>
    </w:p>
    <w:p w14:paraId="5E7CD950">
      <w:pPr>
        <w:pStyle w:val="13"/>
        <w:widowControl w:val="0"/>
        <w:wordWrap w:val="0"/>
        <w:topLinePunct/>
        <w:adjustRightInd w:val="0"/>
        <w:snapToGrid w:val="0"/>
        <w:spacing w:after="0"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地下水环境质量执行《地下水质量标准》（GB/T14848－2017）中Ⅲ类标准，采用标准指数法对pH值、氨氮、硝酸盐、亚硝酸盐、挥发酚、氰化物、砷、汞、铬（六价）、总硬度、铅、氟化物、镉、铁、锰、溶解性总固体、耗氧量、硫酸盐、氯</w:t>
      </w:r>
      <w:r>
        <w:rPr>
          <w:rFonts w:ascii="Times New Roman" w:hAnsi="Times New Roman" w:eastAsia="宋体" w:cs="Times New Roman"/>
          <w:caps w:val="0"/>
          <w:smallCaps w:val="0"/>
          <w:color w:val="auto"/>
          <w:spacing w:val="0"/>
          <w:position w:val="-1"/>
          <w:szCs w:val="24"/>
          <w:highlight w:val="none"/>
        </w:rPr>
        <w:t>化物、总大肠菌群、细菌总数和K</w:t>
      </w:r>
      <w:r>
        <w:rPr>
          <w:rFonts w:ascii="Times New Roman" w:hAnsi="Times New Roman" w:eastAsia="宋体" w:cs="Times New Roman"/>
          <w:caps w:val="0"/>
          <w:smallCaps w:val="0"/>
          <w:color w:val="auto"/>
          <w:spacing w:val="0"/>
          <w:position w:val="9"/>
          <w:sz w:val="16"/>
          <w:szCs w:val="16"/>
          <w:highlight w:val="none"/>
        </w:rPr>
        <w:t>+</w:t>
      </w:r>
      <w:r>
        <w:rPr>
          <w:rFonts w:ascii="Times New Roman" w:hAnsi="Times New Roman" w:eastAsia="宋体" w:cs="Times New Roman"/>
          <w:caps w:val="0"/>
          <w:smallCaps w:val="0"/>
          <w:color w:val="auto"/>
          <w:spacing w:val="0"/>
          <w:position w:val="-1"/>
          <w:szCs w:val="24"/>
          <w:highlight w:val="none"/>
        </w:rPr>
        <w:t>，Na</w:t>
      </w:r>
      <w:r>
        <w:rPr>
          <w:rFonts w:ascii="Times New Roman" w:hAnsi="Times New Roman" w:eastAsia="宋体" w:cs="Times New Roman"/>
          <w:caps w:val="0"/>
          <w:smallCaps w:val="0"/>
          <w:color w:val="auto"/>
          <w:spacing w:val="0"/>
          <w:position w:val="9"/>
          <w:sz w:val="16"/>
          <w:szCs w:val="16"/>
          <w:highlight w:val="none"/>
        </w:rPr>
        <w:t>+</w:t>
      </w:r>
      <w:r>
        <w:rPr>
          <w:rFonts w:ascii="Times New Roman" w:hAnsi="Times New Roman" w:eastAsia="宋体" w:cs="Times New Roman"/>
          <w:caps w:val="0"/>
          <w:smallCaps w:val="0"/>
          <w:color w:val="auto"/>
          <w:spacing w:val="0"/>
          <w:position w:val="-1"/>
          <w:szCs w:val="24"/>
          <w:highlight w:val="none"/>
        </w:rPr>
        <w:t>，Ca</w:t>
      </w:r>
      <w:r>
        <w:rPr>
          <w:rFonts w:ascii="Times New Roman" w:hAnsi="Times New Roman" w:eastAsia="宋体" w:cs="Times New Roman"/>
          <w:caps w:val="0"/>
          <w:smallCaps w:val="0"/>
          <w:color w:val="auto"/>
          <w:spacing w:val="0"/>
          <w:position w:val="9"/>
          <w:sz w:val="16"/>
          <w:szCs w:val="16"/>
          <w:highlight w:val="none"/>
        </w:rPr>
        <w:t>2+</w:t>
      </w:r>
      <w:r>
        <w:rPr>
          <w:rFonts w:ascii="Times New Roman" w:hAnsi="Times New Roman" w:eastAsia="宋体" w:cs="Times New Roman"/>
          <w:caps w:val="0"/>
          <w:smallCaps w:val="0"/>
          <w:color w:val="auto"/>
          <w:spacing w:val="0"/>
          <w:position w:val="-1"/>
          <w:szCs w:val="24"/>
          <w:highlight w:val="none"/>
        </w:rPr>
        <w:t>，Mg</w:t>
      </w:r>
      <w:r>
        <w:rPr>
          <w:rFonts w:ascii="Times New Roman" w:hAnsi="Times New Roman" w:eastAsia="宋体" w:cs="Times New Roman"/>
          <w:caps w:val="0"/>
          <w:smallCaps w:val="0"/>
          <w:color w:val="auto"/>
          <w:spacing w:val="0"/>
          <w:position w:val="9"/>
          <w:sz w:val="16"/>
          <w:szCs w:val="16"/>
          <w:highlight w:val="none"/>
        </w:rPr>
        <w:t>2+</w:t>
      </w:r>
      <w:r>
        <w:rPr>
          <w:rFonts w:ascii="Times New Roman" w:hAnsi="Times New Roman" w:eastAsia="宋体" w:cs="Times New Roman"/>
          <w:caps w:val="0"/>
          <w:smallCaps w:val="0"/>
          <w:color w:val="auto"/>
          <w:spacing w:val="0"/>
          <w:position w:val="-1"/>
          <w:szCs w:val="24"/>
          <w:highlight w:val="none"/>
        </w:rPr>
        <w:t>，CO</w:t>
      </w:r>
      <w:r>
        <w:rPr>
          <w:rFonts w:ascii="Times New Roman" w:hAnsi="Times New Roman" w:eastAsia="宋体" w:cs="Times New Roman"/>
          <w:caps w:val="0"/>
          <w:smallCaps w:val="0"/>
          <w:color w:val="auto"/>
          <w:spacing w:val="0"/>
          <w:position w:val="-4"/>
          <w:sz w:val="16"/>
          <w:szCs w:val="16"/>
          <w:highlight w:val="none"/>
        </w:rPr>
        <w:t>3</w:t>
      </w:r>
      <w:r>
        <w:rPr>
          <w:rFonts w:ascii="Times New Roman" w:hAnsi="Times New Roman" w:eastAsia="宋体" w:cs="Times New Roman"/>
          <w:caps w:val="0"/>
          <w:smallCaps w:val="0"/>
          <w:color w:val="auto"/>
          <w:spacing w:val="0"/>
          <w:position w:val="9"/>
          <w:sz w:val="16"/>
          <w:szCs w:val="16"/>
          <w:highlight w:val="none"/>
        </w:rPr>
        <w:t>2-</w:t>
      </w:r>
      <w:r>
        <w:rPr>
          <w:rFonts w:ascii="Times New Roman" w:hAnsi="Times New Roman" w:eastAsia="宋体" w:cs="Times New Roman"/>
          <w:caps w:val="0"/>
          <w:smallCaps w:val="0"/>
          <w:color w:val="auto"/>
          <w:spacing w:val="0"/>
          <w:position w:val="-1"/>
          <w:szCs w:val="24"/>
          <w:highlight w:val="none"/>
        </w:rPr>
        <w:t>，HCO</w:t>
      </w:r>
      <w:r>
        <w:rPr>
          <w:rFonts w:ascii="Times New Roman" w:hAnsi="Times New Roman" w:eastAsia="宋体" w:cs="Times New Roman"/>
          <w:caps w:val="0"/>
          <w:smallCaps w:val="0"/>
          <w:color w:val="auto"/>
          <w:spacing w:val="0"/>
          <w:position w:val="9"/>
          <w:sz w:val="16"/>
          <w:szCs w:val="16"/>
          <w:highlight w:val="none"/>
        </w:rPr>
        <w:t>3-</w:t>
      </w:r>
      <w:r>
        <w:rPr>
          <w:rFonts w:ascii="Times New Roman" w:hAnsi="Times New Roman" w:eastAsia="宋体" w:cs="Times New Roman"/>
          <w:caps w:val="0"/>
          <w:smallCaps w:val="0"/>
          <w:color w:val="auto"/>
          <w:spacing w:val="0"/>
          <w:position w:val="-1"/>
          <w:szCs w:val="24"/>
          <w:highlight w:val="none"/>
        </w:rPr>
        <w:t>、SO</w:t>
      </w:r>
      <w:r>
        <w:rPr>
          <w:rFonts w:ascii="Times New Roman" w:hAnsi="Times New Roman" w:eastAsia="宋体" w:cs="Times New Roman"/>
          <w:caps w:val="0"/>
          <w:smallCaps w:val="0"/>
          <w:color w:val="auto"/>
          <w:spacing w:val="0"/>
          <w:position w:val="-4"/>
          <w:sz w:val="16"/>
          <w:szCs w:val="16"/>
          <w:highlight w:val="none"/>
        </w:rPr>
        <w:t>4</w:t>
      </w:r>
      <w:r>
        <w:rPr>
          <w:rFonts w:ascii="Times New Roman" w:hAnsi="Times New Roman" w:eastAsia="宋体" w:cs="Times New Roman"/>
          <w:caps w:val="0"/>
          <w:smallCaps w:val="0"/>
          <w:color w:val="auto"/>
          <w:spacing w:val="0"/>
          <w:position w:val="9"/>
          <w:sz w:val="16"/>
          <w:szCs w:val="16"/>
          <w:highlight w:val="none"/>
        </w:rPr>
        <w:t>2-</w:t>
      </w:r>
      <w:r>
        <w:rPr>
          <w:rFonts w:ascii="Times New Roman" w:hAnsi="Times New Roman" w:eastAsia="宋体" w:cs="Times New Roman"/>
          <w:caps w:val="0"/>
          <w:smallCaps w:val="0"/>
          <w:color w:val="auto"/>
          <w:spacing w:val="0"/>
          <w:position w:val="-1"/>
          <w:szCs w:val="24"/>
          <w:highlight w:val="none"/>
        </w:rPr>
        <w:t>、Cl</w:t>
      </w:r>
      <w:r>
        <w:rPr>
          <w:rFonts w:ascii="Times New Roman" w:hAnsi="Times New Roman" w:eastAsia="宋体" w:cs="Times New Roman"/>
          <w:caps w:val="0"/>
          <w:smallCaps w:val="0"/>
          <w:color w:val="auto"/>
          <w:spacing w:val="0"/>
          <w:position w:val="9"/>
          <w:sz w:val="16"/>
          <w:szCs w:val="16"/>
          <w:highlight w:val="none"/>
        </w:rPr>
        <w:t>-</w:t>
      </w:r>
      <w:r>
        <w:rPr>
          <w:rFonts w:ascii="Times New Roman" w:hAnsi="Times New Roman" w:eastAsia="宋体" w:cs="Times New Roman"/>
          <w:caps w:val="0"/>
          <w:smallCaps w:val="0"/>
          <w:color w:val="auto"/>
          <w:spacing w:val="0"/>
          <w:szCs w:val="24"/>
          <w:highlight w:val="none"/>
        </w:rPr>
        <w:t>共29项水质因子进行评价。</w:t>
      </w:r>
    </w:p>
    <w:p w14:paraId="15DF85F1">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采用标准指数法对地表水现状监测结果进行评价，评价模式如下：</w:t>
      </w:r>
    </w:p>
    <w:p w14:paraId="7BAD5F6B">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A、对于评价标准为定值的水质因子，其标准指数计算公式：</w:t>
      </w:r>
    </w:p>
    <w:p w14:paraId="60214DA9">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28" o:spt="75" type="#_x0000_t75" style="height:36.3pt;width:64.5pt;" o:ole="t" filled="f" o:preferrelative="t" stroked="f" coordsize="21600,21600">
            <v:path/>
            <v:fill on="f" focussize="0,0"/>
            <v:stroke on="f" joinstyle="miter"/>
            <v:imagedata r:id="rId70" o:title=""/>
            <o:lock v:ext="edit" aspectratio="t"/>
            <w10:wrap type="none"/>
            <w10:anchorlock/>
          </v:shape>
          <o:OLEObject Type="Embed" ProgID="Equation.3" ShapeID="_x0000_i1028" DrawAspect="Content" ObjectID="_1468075728" r:id="rId69">
            <o:LockedField>false</o:LockedField>
          </o:OLEObject>
        </w:object>
      </w:r>
    </w:p>
    <w:p w14:paraId="703E63F2">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式中：</w:t>
      </w:r>
      <w:r>
        <w:rPr>
          <w:rFonts w:ascii="Times New Roman" w:hAnsi="Times New Roman" w:eastAsia="宋体" w:cs="Times New Roman"/>
          <w:caps w:val="0"/>
          <w:smallCaps w:val="0"/>
          <w:color w:val="auto"/>
          <w:spacing w:val="0"/>
          <w:szCs w:val="24"/>
          <w:highlight w:val="none"/>
        </w:rPr>
        <w:object>
          <v:shape id="_x0000_i1029" o:spt="75" type="#_x0000_t75" style="height:14.4pt;width:14.4pt;" o:ole="t" filled="f" o:preferrelative="t" stroked="f" coordsize="21600,21600">
            <v:path/>
            <v:fill on="f" focussize="0,0"/>
            <v:stroke on="f" joinstyle="miter"/>
            <v:imagedata r:id="rId72" o:title=""/>
            <o:lock v:ext="edit" aspectratio="t"/>
            <w10:wrap type="none"/>
            <w10:anchorlock/>
          </v:shape>
          <o:OLEObject Type="Embed" ProgID="Equation.3" ShapeID="_x0000_i1029" DrawAspect="Content" ObjectID="_1468075729" r:id="rId71">
            <o:LockedField>false</o:LockedField>
          </o:OLEObject>
        </w:object>
      </w:r>
      <w:r>
        <w:rPr>
          <w:rFonts w:ascii="Times New Roman" w:hAnsi="Times New Roman" w:eastAsia="宋体" w:cs="Times New Roman"/>
          <w:caps w:val="0"/>
          <w:smallCaps w:val="0"/>
          <w:color w:val="auto"/>
          <w:spacing w:val="0"/>
          <w:szCs w:val="24"/>
          <w:highlight w:val="none"/>
        </w:rPr>
        <w:t>—第i个水质因子的标准指数，无量纲；</w:t>
      </w:r>
    </w:p>
    <w:p w14:paraId="71692E3B">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0" o:spt="75" type="#_x0000_t75" style="height:14.4pt;width:14.4pt;" o:ole="t" filled="f" o:preferrelative="t" stroked="f" coordsize="21600,21600">
            <v:path/>
            <v:fill on="f" focussize="0,0"/>
            <v:stroke on="f" joinstyle="miter"/>
            <v:imagedata r:id="rId74" o:title=""/>
            <o:lock v:ext="edit" aspectratio="t"/>
            <w10:wrap type="none"/>
            <w10:anchorlock/>
          </v:shape>
          <o:OLEObject Type="Embed" ProgID="Equation.3" ShapeID="_x0000_i1030" DrawAspect="Content" ObjectID="_1468075730" r:id="rId73">
            <o:LockedField>false</o:LockedField>
          </o:OLEObject>
        </w:object>
      </w:r>
      <w:r>
        <w:rPr>
          <w:rFonts w:ascii="Times New Roman" w:hAnsi="Times New Roman" w:eastAsia="宋体" w:cs="Times New Roman"/>
          <w:caps w:val="0"/>
          <w:smallCaps w:val="0"/>
          <w:color w:val="auto"/>
          <w:spacing w:val="0"/>
          <w:szCs w:val="24"/>
          <w:highlight w:val="none"/>
        </w:rPr>
        <w:t>—第i个水质因子的监测浓度，mg/L；</w:t>
      </w:r>
    </w:p>
    <w:p w14:paraId="6A4BE8CA">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1" o:spt="75" type="#_x0000_t75" style="height:14.4pt;width:14.4pt;" o:ole="t" filled="f" o:preferrelative="t" stroked="f" coordsize="21600,21600">
            <v:path/>
            <v:fill on="f" focussize="0,0"/>
            <v:stroke on="f" joinstyle="miter"/>
            <v:imagedata r:id="rId76" o:title=""/>
            <o:lock v:ext="edit" aspectratio="t"/>
            <w10:wrap type="none"/>
            <w10:anchorlock/>
          </v:shape>
          <o:OLEObject Type="Embed" ProgID="Equation.3" ShapeID="_x0000_i1031" DrawAspect="Content" ObjectID="_1468075731" r:id="rId75">
            <o:LockedField>false</o:LockedField>
          </o:OLEObject>
        </w:object>
      </w:r>
      <w:r>
        <w:rPr>
          <w:rFonts w:ascii="Times New Roman" w:hAnsi="Times New Roman" w:eastAsia="宋体" w:cs="Times New Roman"/>
          <w:caps w:val="0"/>
          <w:smallCaps w:val="0"/>
          <w:color w:val="auto"/>
          <w:spacing w:val="0"/>
          <w:szCs w:val="24"/>
          <w:highlight w:val="none"/>
        </w:rPr>
        <w:t>—第i个水质因子的标准浓度，mg/L。</w:t>
      </w:r>
    </w:p>
    <w:p w14:paraId="7FCBBC18">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B、对于评价标准为区间值的水质因子（如pH值），其标准指数计算公式：</w:t>
      </w:r>
    </w:p>
    <w:p w14:paraId="702304AF">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2" o:spt="75" type="#_x0000_t75" style="height:36.3pt;width:107.7pt;" o:ole="t" filled="f" o:preferrelative="t" stroked="f" coordsize="21600,21600">
            <v:path/>
            <v:fill on="f" focussize="0,0"/>
            <v:stroke on="f" joinstyle="miter"/>
            <v:imagedata r:id="rId78" o:title=""/>
            <o:lock v:ext="edit" aspectratio="t"/>
            <w10:wrap type="none"/>
            <w10:anchorlock/>
          </v:shape>
          <o:OLEObject Type="Embed" ProgID="Equation.3" ShapeID="_x0000_i1032" DrawAspect="Content" ObjectID="_1468075732" r:id="rId77">
            <o:LockedField>false</o:LockedField>
          </o:OLEObject>
        </w:object>
      </w:r>
      <w:r>
        <w:rPr>
          <w:rFonts w:ascii="Times New Roman" w:hAnsi="Times New Roman" w:eastAsia="宋体" w:cs="Times New Roman"/>
          <w:caps w:val="0"/>
          <w:smallCaps w:val="0"/>
          <w:color w:val="auto"/>
          <w:spacing w:val="0"/>
          <w:szCs w:val="24"/>
          <w:highlight w:val="none"/>
        </w:rPr>
        <w:t>pH≤7时</w:t>
      </w:r>
    </w:p>
    <w:p w14:paraId="60B45EB9">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3" o:spt="75" type="#_x0000_t75" style="height:36.3pt;width:108.3pt;" o:ole="t" filled="f" o:preferrelative="t" stroked="f" coordsize="21600,21600">
            <v:path/>
            <v:fill on="f" focussize="0,0"/>
            <v:stroke on="f" joinstyle="miter"/>
            <v:imagedata r:id="rId80" o:title=""/>
            <o:lock v:ext="edit" aspectratio="t"/>
            <w10:wrap type="none"/>
            <w10:anchorlock/>
          </v:shape>
          <o:OLEObject Type="Embed" ProgID="Equation.3" ShapeID="_x0000_i1033" DrawAspect="Content" ObjectID="_1468075733" r:id="rId79">
            <o:LockedField>false</o:LockedField>
          </o:OLEObject>
        </w:object>
      </w:r>
      <w:r>
        <w:rPr>
          <w:rFonts w:ascii="Times New Roman" w:hAnsi="Times New Roman" w:eastAsia="宋体" w:cs="Times New Roman"/>
          <w:caps w:val="0"/>
          <w:smallCaps w:val="0"/>
          <w:color w:val="auto"/>
          <w:spacing w:val="0"/>
          <w:szCs w:val="24"/>
          <w:highlight w:val="none"/>
        </w:rPr>
        <w:t>pH＞7时</w:t>
      </w:r>
    </w:p>
    <w:p w14:paraId="04D5F3FC">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式中：</w:t>
      </w:r>
      <w:r>
        <w:rPr>
          <w:rFonts w:ascii="Times New Roman" w:hAnsi="Times New Roman" w:eastAsia="宋体" w:cs="Times New Roman"/>
          <w:caps w:val="0"/>
          <w:smallCaps w:val="0"/>
          <w:color w:val="auto"/>
          <w:spacing w:val="0"/>
          <w:szCs w:val="24"/>
          <w:highlight w:val="none"/>
        </w:rPr>
        <w:object>
          <v:shape id="_x0000_i1034" o:spt="75" type="#_x0000_t75" style="height:14.4pt;width:14.4pt;" o:ole="t" filled="f" o:preferrelative="t" stroked="f" coordsize="21600,21600">
            <v:path/>
            <v:fill on="f" focussize="0,0"/>
            <v:stroke on="f" joinstyle="miter"/>
            <v:imagedata r:id="rId82" o:title=""/>
            <o:lock v:ext="edit" aspectratio="t"/>
            <w10:wrap type="none"/>
            <w10:anchorlock/>
          </v:shape>
          <o:OLEObject Type="Embed" ProgID="Equation.3" ShapeID="_x0000_i1034" DrawAspect="Content" ObjectID="_1468075734" r:id="rId81">
            <o:LockedField>false</o:LockedField>
          </o:OLEObject>
        </w:object>
      </w:r>
      <w:r>
        <w:rPr>
          <w:rFonts w:ascii="Times New Roman" w:hAnsi="Times New Roman" w:eastAsia="宋体" w:cs="Times New Roman"/>
          <w:caps w:val="0"/>
          <w:smallCaps w:val="0"/>
          <w:color w:val="auto"/>
          <w:spacing w:val="0"/>
          <w:szCs w:val="24"/>
          <w:highlight w:val="none"/>
        </w:rPr>
        <w:t>—pH的标准指数，无量纲；</w:t>
      </w:r>
    </w:p>
    <w:p w14:paraId="69B86A0A">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5" o:spt="75" type="#_x0000_t75" style="height:14.4pt;width:14.4pt;" o:ole="t" filled="f" o:preferrelative="t" stroked="f" coordsize="21600,21600">
            <v:path/>
            <v:fill on="f" focussize="0,0"/>
            <v:stroke on="f" joinstyle="miter"/>
            <v:imagedata r:id="rId84" o:title=""/>
            <o:lock v:ext="edit" aspectratio="t"/>
            <w10:wrap type="none"/>
            <w10:anchorlock/>
          </v:shape>
          <o:OLEObject Type="Embed" ProgID="Equation.3" ShapeID="_x0000_i1035" DrawAspect="Content" ObjectID="_1468075735" r:id="rId83">
            <o:LockedField>false</o:LockedField>
          </o:OLEObject>
        </w:object>
      </w:r>
      <w:r>
        <w:rPr>
          <w:rFonts w:ascii="Times New Roman" w:hAnsi="Times New Roman" w:eastAsia="宋体" w:cs="Times New Roman"/>
          <w:caps w:val="0"/>
          <w:smallCaps w:val="0"/>
          <w:color w:val="auto"/>
          <w:spacing w:val="0"/>
          <w:szCs w:val="24"/>
          <w:highlight w:val="none"/>
        </w:rPr>
        <w:t>—pH监测值；</w:t>
      </w:r>
    </w:p>
    <w:p w14:paraId="04903F5C">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6" o:spt="75" type="#_x0000_t75" style="height:14.4pt;width:28.15pt;" o:ole="t" filled="f" o:preferrelative="t" stroked="f" coordsize="21600,21600">
            <v:path/>
            <v:fill on="f" focussize="0,0"/>
            <v:stroke on="f" joinstyle="miter"/>
            <v:imagedata r:id="rId86" o:title=""/>
            <o:lock v:ext="edit" aspectratio="t"/>
            <w10:wrap type="none"/>
            <w10:anchorlock/>
          </v:shape>
          <o:OLEObject Type="Embed" ProgID="Equation.3" ShapeID="_x0000_i1036" DrawAspect="Content" ObjectID="_1468075736" r:id="rId85">
            <o:LockedField>false</o:LockedField>
          </o:OLEObject>
        </w:object>
      </w:r>
      <w:r>
        <w:rPr>
          <w:rFonts w:ascii="Times New Roman" w:hAnsi="Times New Roman" w:eastAsia="宋体" w:cs="Times New Roman"/>
          <w:caps w:val="0"/>
          <w:smallCaps w:val="0"/>
          <w:color w:val="auto"/>
          <w:spacing w:val="0"/>
          <w:szCs w:val="24"/>
          <w:highlight w:val="none"/>
        </w:rPr>
        <w:t>—标准中pH的上限值；</w:t>
      </w:r>
    </w:p>
    <w:p w14:paraId="2021A59D">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object>
          <v:shape id="_x0000_i1037" o:spt="75" type="#_x0000_t75" style="height:14.4pt;width:28.15pt;" o:ole="t" filled="f" o:preferrelative="t" stroked="f" coordsize="21600,21600">
            <v:path/>
            <v:fill on="f" focussize="0,0"/>
            <v:stroke on="f" joinstyle="miter"/>
            <v:imagedata r:id="rId88" o:title=""/>
            <o:lock v:ext="edit" aspectratio="t"/>
            <w10:wrap type="none"/>
            <w10:anchorlock/>
          </v:shape>
          <o:OLEObject Type="Embed" ProgID="Equation.3" ShapeID="_x0000_i1037" DrawAspect="Content" ObjectID="_1468075737" r:id="rId87">
            <o:LockedField>false</o:LockedField>
          </o:OLEObject>
        </w:object>
      </w:r>
      <w:r>
        <w:rPr>
          <w:rFonts w:ascii="Times New Roman" w:hAnsi="Times New Roman" w:eastAsia="宋体" w:cs="Times New Roman"/>
          <w:caps w:val="0"/>
          <w:smallCaps w:val="0"/>
          <w:color w:val="auto"/>
          <w:spacing w:val="0"/>
          <w:szCs w:val="24"/>
          <w:highlight w:val="none"/>
        </w:rPr>
        <w:t>—标准中pH的下限值。</w:t>
      </w:r>
    </w:p>
    <w:p w14:paraId="101A9F07">
      <w:pPr>
        <w:widowControl w:val="0"/>
        <w:wordWrap w:val="0"/>
        <w:topLinePunct/>
        <w:adjustRightInd w:val="0"/>
        <w:snapToGrid w:val="0"/>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当单项标准指数＞1时，表示该水质参数所表征的污染物已满足不了标准要求，水体已受到污染；反之，则满足标准要求。</w:t>
      </w:r>
    </w:p>
    <w:p w14:paraId="1BA87415">
      <w:pPr>
        <w:widowControl w:val="0"/>
        <w:wordWrap w:val="0"/>
        <w:topLinePunct/>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（4）评价结果</w:t>
      </w:r>
    </w:p>
    <w:p w14:paraId="5A80975B">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由评价结果可知：监测点水质整体较好，能够满足《地下水质量标准》（GB/T14848-2017）Ⅲ类标准。</w:t>
      </w:r>
    </w:p>
    <w:p w14:paraId="3CBCD3B6">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4.4.4.3地下水化学类型评价</w:t>
      </w:r>
    </w:p>
    <w:p w14:paraId="697431BB">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（1）地下水化学类型评价方法</w:t>
      </w:r>
    </w:p>
    <w:p w14:paraId="06D30CC2">
      <w:pPr>
        <w:pStyle w:val="117"/>
        <w:overflowPunct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地下水化学类型的舒卡列夫分类是根据地下水中8种主要离子（Na</w:t>
      </w:r>
      <w:r>
        <w:rPr>
          <w:rFonts w:ascii="Times New Roman" w:hAnsi="Times New Roman" w:cs="Times New Roman"/>
          <w:caps w:val="0"/>
          <w:smallCaps w:val="0"/>
          <w:color w:val="auto"/>
          <w:spacing w:val="0"/>
          <w:szCs w:val="24"/>
          <w:highlight w:val="none"/>
          <w:vertAlign w:val="superscript"/>
        </w:rPr>
        <w:t>+</w:t>
      </w:r>
      <w:r>
        <w:rPr>
          <w:rFonts w:ascii="Times New Roman" w:hAnsi="Times New Roman" w:cs="Times New Roman"/>
          <w:caps w:val="0"/>
          <w:smallCaps w:val="0"/>
          <w:color w:val="auto"/>
          <w:spacing w:val="0"/>
          <w:szCs w:val="24"/>
          <w:highlight w:val="none"/>
        </w:rPr>
        <w:t>、Ca</w:t>
      </w:r>
      <w:r>
        <w:rPr>
          <w:rFonts w:ascii="Times New Roman" w:hAnsi="Times New Roman" w:cs="Times New Roman"/>
          <w:caps w:val="0"/>
          <w:smallCaps w:val="0"/>
          <w:color w:val="auto"/>
          <w:spacing w:val="0"/>
          <w:szCs w:val="24"/>
          <w:highlight w:val="none"/>
          <w:vertAlign w:val="superscript"/>
        </w:rPr>
        <w:t>2+</w:t>
      </w:r>
      <w:r>
        <w:rPr>
          <w:rFonts w:ascii="Times New Roman" w:hAnsi="Times New Roman" w:cs="Times New Roman"/>
          <w:caps w:val="0"/>
          <w:smallCaps w:val="0"/>
          <w:color w:val="auto"/>
          <w:spacing w:val="0"/>
          <w:szCs w:val="24"/>
          <w:highlight w:val="none"/>
        </w:rPr>
        <w:t>、Mg</w:t>
      </w:r>
      <w:r>
        <w:rPr>
          <w:rFonts w:ascii="Times New Roman" w:hAnsi="Times New Roman" w:cs="Times New Roman"/>
          <w:caps w:val="0"/>
          <w:smallCaps w:val="0"/>
          <w:color w:val="auto"/>
          <w:spacing w:val="0"/>
          <w:szCs w:val="24"/>
          <w:highlight w:val="none"/>
          <w:vertAlign w:val="superscript"/>
        </w:rPr>
        <w:t>2+</w:t>
      </w:r>
      <w:r>
        <w:rPr>
          <w:rFonts w:ascii="Times New Roman" w:hAnsi="Times New Roman" w:cs="Times New Roman"/>
          <w:caps w:val="0"/>
          <w:smallCaps w:val="0"/>
          <w:color w:val="auto"/>
          <w:spacing w:val="0"/>
          <w:szCs w:val="24"/>
          <w:highlight w:val="none"/>
        </w:rPr>
        <w:t>、HCO</w:t>
      </w:r>
      <w:r>
        <w:rPr>
          <w:rFonts w:ascii="Times New Roman" w:hAnsi="Times New Roman" w:cs="Times New Roman"/>
          <w:caps w:val="0"/>
          <w:smallCaps w:val="0"/>
          <w:color w:val="auto"/>
          <w:spacing w:val="0"/>
          <w:szCs w:val="24"/>
          <w:highlight w:val="none"/>
          <w:vertAlign w:val="subscript"/>
        </w:rPr>
        <w:t>3</w:t>
      </w:r>
      <w:r>
        <w:rPr>
          <w:rFonts w:ascii="Times New Roman" w:hAnsi="Times New Roman" w:cs="Times New Roman"/>
          <w:caps w:val="0"/>
          <w:smallCaps w:val="0"/>
          <w:color w:val="auto"/>
          <w:spacing w:val="0"/>
          <w:szCs w:val="24"/>
          <w:highlight w:val="none"/>
          <w:vertAlign w:val="superscript"/>
        </w:rPr>
        <w:t>-</w:t>
      </w:r>
      <w:r>
        <w:rPr>
          <w:rFonts w:ascii="Times New Roman" w:hAnsi="Times New Roman" w:cs="Times New Roman"/>
          <w:caps w:val="0"/>
          <w:smallCaps w:val="0"/>
          <w:color w:val="auto"/>
          <w:spacing w:val="0"/>
          <w:szCs w:val="24"/>
          <w:highlight w:val="none"/>
        </w:rPr>
        <w:t>、SO</w:t>
      </w:r>
      <w:r>
        <w:rPr>
          <w:rFonts w:ascii="Times New Roman" w:hAnsi="Times New Roman" w:cs="Times New Roman"/>
          <w:caps w:val="0"/>
          <w:smallCaps w:val="0"/>
          <w:color w:val="auto"/>
          <w:spacing w:val="0"/>
          <w:szCs w:val="24"/>
          <w:highlight w:val="none"/>
          <w:vertAlign w:val="subscript"/>
        </w:rPr>
        <w:t>4</w:t>
      </w:r>
      <w:r>
        <w:rPr>
          <w:rFonts w:ascii="Times New Roman" w:hAnsi="Times New Roman" w:cs="Times New Roman"/>
          <w:caps w:val="0"/>
          <w:smallCaps w:val="0"/>
          <w:color w:val="auto"/>
          <w:spacing w:val="0"/>
          <w:szCs w:val="24"/>
          <w:highlight w:val="none"/>
          <w:vertAlign w:val="superscript"/>
        </w:rPr>
        <w:t>2-</w:t>
      </w:r>
      <w:r>
        <w:rPr>
          <w:rFonts w:ascii="Times New Roman" w:hAnsi="Times New Roman" w:cs="Times New Roman"/>
          <w:caps w:val="0"/>
          <w:smallCaps w:val="0"/>
          <w:color w:val="auto"/>
          <w:spacing w:val="0"/>
          <w:szCs w:val="24"/>
          <w:highlight w:val="none"/>
        </w:rPr>
        <w:t>、Cl</w:t>
      </w:r>
      <w:r>
        <w:rPr>
          <w:rFonts w:ascii="Times New Roman" w:hAnsi="Times New Roman" w:cs="Times New Roman"/>
          <w:caps w:val="0"/>
          <w:smallCaps w:val="0"/>
          <w:color w:val="auto"/>
          <w:spacing w:val="0"/>
          <w:szCs w:val="24"/>
          <w:highlight w:val="none"/>
          <w:vertAlign w:val="superscript"/>
        </w:rPr>
        <w:t>-</w:t>
      </w:r>
      <w:r>
        <w:rPr>
          <w:rFonts w:ascii="Times New Roman" w:hAnsi="Times New Roman" w:cs="Times New Roman"/>
          <w:caps w:val="0"/>
          <w:smallCaps w:val="0"/>
          <w:color w:val="auto"/>
          <w:spacing w:val="0"/>
          <w:szCs w:val="24"/>
          <w:highlight w:val="none"/>
        </w:rPr>
        <w:t>，K</w:t>
      </w:r>
      <w:r>
        <w:rPr>
          <w:rFonts w:ascii="Times New Roman" w:hAnsi="Times New Roman" w:cs="Times New Roman"/>
          <w:caps w:val="0"/>
          <w:smallCaps w:val="0"/>
          <w:color w:val="auto"/>
          <w:spacing w:val="0"/>
          <w:szCs w:val="24"/>
          <w:highlight w:val="none"/>
          <w:vertAlign w:val="superscript"/>
        </w:rPr>
        <w:t>+</w:t>
      </w:r>
      <w:r>
        <w:rPr>
          <w:rFonts w:ascii="Times New Roman" w:hAnsi="Times New Roman" w:cs="Times New Roman"/>
          <w:caps w:val="0"/>
          <w:smallCaps w:val="0"/>
          <w:color w:val="auto"/>
          <w:spacing w:val="0"/>
          <w:szCs w:val="24"/>
          <w:highlight w:val="none"/>
        </w:rPr>
        <w:t>+Na</w:t>
      </w:r>
      <w:r>
        <w:rPr>
          <w:rFonts w:ascii="Times New Roman" w:hAnsi="Times New Roman" w:cs="Times New Roman"/>
          <w:caps w:val="0"/>
          <w:smallCaps w:val="0"/>
          <w:color w:val="auto"/>
          <w:spacing w:val="0"/>
          <w:szCs w:val="24"/>
          <w:highlight w:val="none"/>
          <w:vertAlign w:val="superscript"/>
        </w:rPr>
        <w:t>+</w:t>
      </w:r>
      <w:r>
        <w:rPr>
          <w:rFonts w:ascii="Times New Roman" w:hAnsi="Times New Roman" w:cs="Times New Roman"/>
          <w:caps w:val="0"/>
          <w:smallCaps w:val="0"/>
          <w:color w:val="auto"/>
          <w:spacing w:val="0"/>
          <w:szCs w:val="24"/>
          <w:highlight w:val="none"/>
        </w:rPr>
        <w:t>）及矿化度划分的。具体步骤如下：</w:t>
      </w:r>
    </w:p>
    <w:p w14:paraId="4B4A0ACE">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第一步，根据水质分析结果，将8种主要离子中含量大于25%毫克当量的阴离子和阳离子进行组合，可组合出49型水，并将每型用一个阿拉伯数字作为代号。</w:t>
      </w:r>
    </w:p>
    <w:p w14:paraId="4E7931CA">
      <w:pPr>
        <w:widowControl w:val="0"/>
        <w:wordWrap w:val="0"/>
        <w:topLinePunct/>
        <w:adjustRightInd w:val="0"/>
        <w:snapToGrid w:val="0"/>
        <w:jc w:val="center"/>
        <w:textAlignment w:val="baseline"/>
        <w:rPr>
          <w:rFonts w:ascii="Times New Roman" w:hAnsi="Times New Roman" w:eastAsia="宋体" w:cs="Times New Roman"/>
          <w:b/>
          <w:bCs/>
          <w:caps w:val="0"/>
          <w:smallCaps w:val="0"/>
          <w:color w:val="auto"/>
          <w:spacing w:val="0"/>
          <w:kern w:val="0"/>
          <w:szCs w:val="24"/>
          <w:highlight w:val="none"/>
        </w:rPr>
      </w:pPr>
      <w:r>
        <w:rPr>
          <w:rFonts w:ascii="Times New Roman" w:hAnsi="Times New Roman" w:eastAsia="宋体" w:cs="Times New Roman"/>
          <w:b/>
          <w:bCs/>
          <w:caps w:val="0"/>
          <w:smallCaps w:val="0"/>
          <w:color w:val="auto"/>
          <w:spacing w:val="0"/>
          <w:kern w:val="0"/>
          <w:szCs w:val="24"/>
          <w:highlight w:val="none"/>
        </w:rPr>
        <w:t>表4.4-1</w:t>
      </w:r>
      <w:r>
        <w:rPr>
          <w:rFonts w:hint="eastAsia" w:ascii="Times New Roman" w:hAnsi="Times New Roman" w:eastAsia="宋体" w:cs="Times New Roman"/>
          <w:b/>
          <w:bCs/>
          <w:caps w:val="0"/>
          <w:smallCaps w:val="0"/>
          <w:color w:val="auto"/>
          <w:spacing w:val="0"/>
          <w:kern w:val="0"/>
          <w:szCs w:val="24"/>
          <w:highlight w:val="none"/>
          <w:lang w:val="en-US" w:eastAsia="zh-CN"/>
        </w:rPr>
        <w:t>2</w:t>
      </w:r>
      <w:r>
        <w:rPr>
          <w:rFonts w:ascii="Times New Roman" w:hAnsi="Times New Roman" w:eastAsia="宋体" w:cs="Times New Roman"/>
          <w:b/>
          <w:bCs/>
          <w:caps w:val="0"/>
          <w:smallCaps w:val="0"/>
          <w:color w:val="auto"/>
          <w:spacing w:val="0"/>
          <w:kern w:val="0"/>
          <w:szCs w:val="24"/>
          <w:highlight w:val="none"/>
        </w:rPr>
        <w:t>舒卡列夫分类图表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759"/>
        <w:gridCol w:w="1293"/>
        <w:gridCol w:w="1753"/>
        <w:gridCol w:w="1294"/>
        <w:gridCol w:w="1013"/>
        <w:gridCol w:w="1061"/>
        <w:gridCol w:w="693"/>
      </w:tblGrid>
      <w:tr w14:paraId="573F8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tcBorders>
              <w:top w:val="single" w:color="auto" w:sz="8" w:space="0"/>
              <w:bottom w:val="single" w:color="auto" w:sz="8" w:space="0"/>
            </w:tcBorders>
            <w:shd w:val="clear" w:color="auto" w:fill="auto"/>
            <w:vAlign w:val="center"/>
          </w:tcPr>
          <w:p w14:paraId="2E0805FB">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超过25％毫克当量的离子</w:t>
            </w:r>
          </w:p>
        </w:tc>
        <w:tc>
          <w:tcPr>
            <w:tcW w:w="698" w:type="dxa"/>
            <w:tcBorders>
              <w:top w:val="single" w:color="auto" w:sz="8" w:space="0"/>
              <w:bottom w:val="single" w:color="auto" w:sz="8" w:space="0"/>
            </w:tcBorders>
            <w:shd w:val="clear" w:color="auto" w:fill="auto"/>
            <w:vAlign w:val="center"/>
          </w:tcPr>
          <w:p w14:paraId="10F35B59">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HCO</w:t>
            </w:r>
            <w:r>
              <w:rPr>
                <w:caps w:val="0"/>
                <w:smallCaps w:val="0"/>
                <w:snapToGrid w:val="0"/>
                <w:color w:val="auto"/>
                <w:spacing w:val="0"/>
                <w:szCs w:val="21"/>
                <w:highlight w:val="none"/>
                <w:vertAlign w:val="subscript"/>
              </w:rPr>
              <w:t>3</w:t>
            </w:r>
          </w:p>
        </w:tc>
        <w:tc>
          <w:tcPr>
            <w:tcW w:w="1187" w:type="dxa"/>
            <w:tcBorders>
              <w:top w:val="single" w:color="auto" w:sz="8" w:space="0"/>
              <w:bottom w:val="single" w:color="auto" w:sz="8" w:space="0"/>
            </w:tcBorders>
            <w:shd w:val="clear" w:color="auto" w:fill="auto"/>
            <w:vAlign w:val="center"/>
          </w:tcPr>
          <w:p w14:paraId="7ED45B4C">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HCO</w:t>
            </w:r>
            <w:r>
              <w:rPr>
                <w:caps w:val="0"/>
                <w:smallCaps w:val="0"/>
                <w:snapToGrid w:val="0"/>
                <w:color w:val="auto"/>
                <w:spacing w:val="0"/>
                <w:szCs w:val="21"/>
                <w:highlight w:val="none"/>
                <w:vertAlign w:val="subscript"/>
              </w:rPr>
              <w:t>3</w:t>
            </w:r>
            <w:r>
              <w:rPr>
                <w:caps w:val="0"/>
                <w:smallCaps w:val="0"/>
                <w:snapToGrid w:val="0"/>
                <w:color w:val="auto"/>
                <w:spacing w:val="0"/>
                <w:szCs w:val="21"/>
                <w:highlight w:val="none"/>
              </w:rPr>
              <w:t>+SO</w:t>
            </w:r>
            <w:r>
              <w:rPr>
                <w:caps w:val="0"/>
                <w:smallCaps w:val="0"/>
                <w:snapToGrid w:val="0"/>
                <w:color w:val="auto"/>
                <w:spacing w:val="0"/>
                <w:szCs w:val="21"/>
                <w:highlight w:val="none"/>
                <w:vertAlign w:val="subscript"/>
              </w:rPr>
              <w:t>4</w:t>
            </w:r>
          </w:p>
        </w:tc>
        <w:tc>
          <w:tcPr>
            <w:tcW w:w="1610" w:type="dxa"/>
            <w:tcBorders>
              <w:top w:val="single" w:color="auto" w:sz="8" w:space="0"/>
              <w:bottom w:val="single" w:color="auto" w:sz="8" w:space="0"/>
            </w:tcBorders>
            <w:shd w:val="clear" w:color="auto" w:fill="auto"/>
            <w:vAlign w:val="center"/>
          </w:tcPr>
          <w:p w14:paraId="4B592914">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HCO</w:t>
            </w:r>
            <w:r>
              <w:rPr>
                <w:caps w:val="0"/>
                <w:smallCaps w:val="0"/>
                <w:snapToGrid w:val="0"/>
                <w:color w:val="auto"/>
                <w:spacing w:val="0"/>
                <w:szCs w:val="21"/>
                <w:highlight w:val="none"/>
                <w:vertAlign w:val="subscript"/>
              </w:rPr>
              <w:t>3</w:t>
            </w:r>
            <w:r>
              <w:rPr>
                <w:caps w:val="0"/>
                <w:smallCaps w:val="0"/>
                <w:snapToGrid w:val="0"/>
                <w:color w:val="auto"/>
                <w:spacing w:val="0"/>
                <w:szCs w:val="21"/>
                <w:highlight w:val="none"/>
              </w:rPr>
              <w:t>+SO</w:t>
            </w:r>
            <w:r>
              <w:rPr>
                <w:caps w:val="0"/>
                <w:smallCaps w:val="0"/>
                <w:snapToGrid w:val="0"/>
                <w:color w:val="auto"/>
                <w:spacing w:val="0"/>
                <w:szCs w:val="21"/>
                <w:highlight w:val="none"/>
                <w:vertAlign w:val="subscript"/>
              </w:rPr>
              <w:t>4</w:t>
            </w:r>
            <w:r>
              <w:rPr>
                <w:caps w:val="0"/>
                <w:smallCaps w:val="0"/>
                <w:snapToGrid w:val="0"/>
                <w:color w:val="auto"/>
                <w:spacing w:val="0"/>
                <w:szCs w:val="21"/>
                <w:highlight w:val="none"/>
              </w:rPr>
              <w:t>+Cl</w:t>
            </w:r>
          </w:p>
        </w:tc>
        <w:tc>
          <w:tcPr>
            <w:tcW w:w="1188" w:type="dxa"/>
            <w:tcBorders>
              <w:top w:val="single" w:color="auto" w:sz="8" w:space="0"/>
              <w:bottom w:val="single" w:color="auto" w:sz="8" w:space="0"/>
            </w:tcBorders>
            <w:shd w:val="clear" w:color="auto" w:fill="auto"/>
            <w:vAlign w:val="center"/>
          </w:tcPr>
          <w:p w14:paraId="6C183317">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HCO</w:t>
            </w:r>
            <w:r>
              <w:rPr>
                <w:caps w:val="0"/>
                <w:smallCaps w:val="0"/>
                <w:snapToGrid w:val="0"/>
                <w:color w:val="auto"/>
                <w:spacing w:val="0"/>
                <w:szCs w:val="21"/>
                <w:highlight w:val="none"/>
                <w:vertAlign w:val="subscript"/>
              </w:rPr>
              <w:t>3</w:t>
            </w:r>
            <w:r>
              <w:rPr>
                <w:caps w:val="0"/>
                <w:smallCaps w:val="0"/>
                <w:snapToGrid w:val="0"/>
                <w:color w:val="auto"/>
                <w:spacing w:val="0"/>
                <w:szCs w:val="21"/>
                <w:highlight w:val="none"/>
              </w:rPr>
              <w:t>+Cl</w:t>
            </w:r>
          </w:p>
        </w:tc>
        <w:tc>
          <w:tcPr>
            <w:tcW w:w="930" w:type="dxa"/>
            <w:tcBorders>
              <w:top w:val="single" w:color="auto" w:sz="8" w:space="0"/>
              <w:bottom w:val="single" w:color="auto" w:sz="8" w:space="0"/>
            </w:tcBorders>
            <w:shd w:val="clear" w:color="auto" w:fill="auto"/>
            <w:vAlign w:val="center"/>
          </w:tcPr>
          <w:p w14:paraId="698206A5">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SO</w:t>
            </w:r>
            <w:r>
              <w:rPr>
                <w:caps w:val="0"/>
                <w:smallCaps w:val="0"/>
                <w:snapToGrid w:val="0"/>
                <w:color w:val="auto"/>
                <w:spacing w:val="0"/>
                <w:szCs w:val="21"/>
                <w:highlight w:val="none"/>
                <w:vertAlign w:val="subscript"/>
              </w:rPr>
              <w:t>4</w:t>
            </w:r>
          </w:p>
        </w:tc>
        <w:tc>
          <w:tcPr>
            <w:tcW w:w="974" w:type="dxa"/>
            <w:tcBorders>
              <w:top w:val="single" w:color="auto" w:sz="8" w:space="0"/>
              <w:bottom w:val="single" w:color="auto" w:sz="8" w:space="0"/>
            </w:tcBorders>
            <w:shd w:val="clear" w:color="auto" w:fill="auto"/>
            <w:vAlign w:val="center"/>
          </w:tcPr>
          <w:p w14:paraId="0B6BF38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SO</w:t>
            </w:r>
            <w:r>
              <w:rPr>
                <w:caps w:val="0"/>
                <w:smallCaps w:val="0"/>
                <w:snapToGrid w:val="0"/>
                <w:color w:val="auto"/>
                <w:spacing w:val="0"/>
                <w:szCs w:val="21"/>
                <w:highlight w:val="none"/>
                <w:vertAlign w:val="subscript"/>
              </w:rPr>
              <w:t>4</w:t>
            </w:r>
            <w:r>
              <w:rPr>
                <w:caps w:val="0"/>
                <w:smallCaps w:val="0"/>
                <w:snapToGrid w:val="0"/>
                <w:color w:val="auto"/>
                <w:spacing w:val="0"/>
                <w:szCs w:val="21"/>
                <w:highlight w:val="none"/>
              </w:rPr>
              <w:t>+Cl</w:t>
            </w:r>
          </w:p>
        </w:tc>
        <w:tc>
          <w:tcPr>
            <w:tcW w:w="636" w:type="dxa"/>
            <w:tcBorders>
              <w:top w:val="single" w:color="auto" w:sz="8" w:space="0"/>
              <w:bottom w:val="single" w:color="auto" w:sz="8" w:space="0"/>
            </w:tcBorders>
            <w:shd w:val="clear" w:color="auto" w:fill="auto"/>
            <w:vAlign w:val="center"/>
          </w:tcPr>
          <w:p w14:paraId="28991334">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Cl</w:t>
            </w:r>
          </w:p>
        </w:tc>
      </w:tr>
      <w:tr w14:paraId="1B5236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tcBorders>
              <w:top w:val="single" w:color="auto" w:sz="8" w:space="0"/>
            </w:tcBorders>
            <w:shd w:val="clear" w:color="auto" w:fill="auto"/>
            <w:vAlign w:val="center"/>
          </w:tcPr>
          <w:p w14:paraId="65D8A435">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Ca</w:t>
            </w:r>
          </w:p>
        </w:tc>
        <w:tc>
          <w:tcPr>
            <w:tcW w:w="698" w:type="dxa"/>
            <w:tcBorders>
              <w:top w:val="single" w:color="auto" w:sz="8" w:space="0"/>
            </w:tcBorders>
            <w:shd w:val="clear" w:color="auto" w:fill="auto"/>
            <w:vAlign w:val="center"/>
          </w:tcPr>
          <w:p w14:paraId="3FDF26FA">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w:t>
            </w:r>
          </w:p>
        </w:tc>
        <w:tc>
          <w:tcPr>
            <w:tcW w:w="1187" w:type="dxa"/>
            <w:tcBorders>
              <w:top w:val="single" w:color="auto" w:sz="8" w:space="0"/>
            </w:tcBorders>
            <w:shd w:val="clear" w:color="auto" w:fill="auto"/>
            <w:vAlign w:val="center"/>
          </w:tcPr>
          <w:p w14:paraId="3827B88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8</w:t>
            </w:r>
          </w:p>
        </w:tc>
        <w:tc>
          <w:tcPr>
            <w:tcW w:w="1610" w:type="dxa"/>
            <w:tcBorders>
              <w:top w:val="single" w:color="auto" w:sz="8" w:space="0"/>
            </w:tcBorders>
            <w:shd w:val="clear" w:color="auto" w:fill="auto"/>
            <w:vAlign w:val="center"/>
          </w:tcPr>
          <w:p w14:paraId="45CDE20A">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15</w:t>
            </w:r>
          </w:p>
        </w:tc>
        <w:tc>
          <w:tcPr>
            <w:tcW w:w="1188" w:type="dxa"/>
            <w:tcBorders>
              <w:top w:val="single" w:color="auto" w:sz="8" w:space="0"/>
            </w:tcBorders>
            <w:shd w:val="clear" w:color="auto" w:fill="auto"/>
            <w:vAlign w:val="center"/>
          </w:tcPr>
          <w:p w14:paraId="1680FAC7">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22</w:t>
            </w:r>
          </w:p>
        </w:tc>
        <w:tc>
          <w:tcPr>
            <w:tcW w:w="930" w:type="dxa"/>
            <w:tcBorders>
              <w:top w:val="single" w:color="auto" w:sz="8" w:space="0"/>
            </w:tcBorders>
            <w:shd w:val="clear" w:color="auto" w:fill="auto"/>
            <w:vAlign w:val="center"/>
          </w:tcPr>
          <w:p w14:paraId="7A3DAA3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29</w:t>
            </w:r>
          </w:p>
        </w:tc>
        <w:tc>
          <w:tcPr>
            <w:tcW w:w="974" w:type="dxa"/>
            <w:tcBorders>
              <w:top w:val="single" w:color="auto" w:sz="8" w:space="0"/>
            </w:tcBorders>
            <w:shd w:val="clear" w:color="auto" w:fill="auto"/>
            <w:vAlign w:val="center"/>
          </w:tcPr>
          <w:p w14:paraId="46053A7C">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36</w:t>
            </w:r>
          </w:p>
        </w:tc>
        <w:tc>
          <w:tcPr>
            <w:tcW w:w="636" w:type="dxa"/>
            <w:tcBorders>
              <w:top w:val="single" w:color="auto" w:sz="8" w:space="0"/>
            </w:tcBorders>
            <w:shd w:val="clear" w:color="auto" w:fill="auto"/>
            <w:vAlign w:val="center"/>
          </w:tcPr>
          <w:p w14:paraId="32CCA649">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43</w:t>
            </w:r>
          </w:p>
        </w:tc>
      </w:tr>
      <w:tr w14:paraId="09CC61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shd w:val="clear" w:color="auto" w:fill="auto"/>
            <w:vAlign w:val="center"/>
          </w:tcPr>
          <w:p w14:paraId="7C3D6C2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Ca+Mg</w:t>
            </w:r>
          </w:p>
        </w:tc>
        <w:tc>
          <w:tcPr>
            <w:tcW w:w="698" w:type="dxa"/>
            <w:shd w:val="clear" w:color="auto" w:fill="auto"/>
            <w:vAlign w:val="center"/>
          </w:tcPr>
          <w:p w14:paraId="0DD9C299">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w:t>
            </w:r>
          </w:p>
        </w:tc>
        <w:tc>
          <w:tcPr>
            <w:tcW w:w="1187" w:type="dxa"/>
            <w:shd w:val="clear" w:color="auto" w:fill="auto"/>
            <w:vAlign w:val="center"/>
          </w:tcPr>
          <w:p w14:paraId="21C98D8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9</w:t>
            </w:r>
          </w:p>
        </w:tc>
        <w:tc>
          <w:tcPr>
            <w:tcW w:w="1610" w:type="dxa"/>
            <w:shd w:val="clear" w:color="auto" w:fill="auto"/>
            <w:vAlign w:val="center"/>
          </w:tcPr>
          <w:p w14:paraId="64D1457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16</w:t>
            </w:r>
          </w:p>
        </w:tc>
        <w:tc>
          <w:tcPr>
            <w:tcW w:w="1188" w:type="dxa"/>
            <w:shd w:val="clear" w:color="auto" w:fill="auto"/>
            <w:vAlign w:val="center"/>
          </w:tcPr>
          <w:p w14:paraId="106894A8">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23</w:t>
            </w:r>
          </w:p>
        </w:tc>
        <w:tc>
          <w:tcPr>
            <w:tcW w:w="930" w:type="dxa"/>
            <w:shd w:val="clear" w:color="auto" w:fill="auto"/>
            <w:vAlign w:val="center"/>
          </w:tcPr>
          <w:p w14:paraId="35ED4F5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30</w:t>
            </w:r>
          </w:p>
        </w:tc>
        <w:tc>
          <w:tcPr>
            <w:tcW w:w="974" w:type="dxa"/>
            <w:shd w:val="clear" w:color="auto" w:fill="auto"/>
            <w:vAlign w:val="center"/>
          </w:tcPr>
          <w:p w14:paraId="2422E221">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37</w:t>
            </w:r>
          </w:p>
        </w:tc>
        <w:tc>
          <w:tcPr>
            <w:tcW w:w="636" w:type="dxa"/>
            <w:shd w:val="clear" w:color="auto" w:fill="auto"/>
            <w:vAlign w:val="center"/>
          </w:tcPr>
          <w:p w14:paraId="25927B5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44</w:t>
            </w:r>
          </w:p>
        </w:tc>
      </w:tr>
      <w:tr w14:paraId="3A1CC6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shd w:val="clear" w:color="auto" w:fill="auto"/>
            <w:vAlign w:val="center"/>
          </w:tcPr>
          <w:p w14:paraId="5E3D3EAA">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Mg</w:t>
            </w:r>
          </w:p>
        </w:tc>
        <w:tc>
          <w:tcPr>
            <w:tcW w:w="698" w:type="dxa"/>
            <w:shd w:val="clear" w:color="auto" w:fill="auto"/>
            <w:vAlign w:val="center"/>
          </w:tcPr>
          <w:p w14:paraId="75D39C2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w:t>
            </w:r>
          </w:p>
        </w:tc>
        <w:tc>
          <w:tcPr>
            <w:tcW w:w="1187" w:type="dxa"/>
            <w:shd w:val="clear" w:color="auto" w:fill="auto"/>
            <w:vAlign w:val="center"/>
          </w:tcPr>
          <w:p w14:paraId="0A0E019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10</w:t>
            </w:r>
          </w:p>
        </w:tc>
        <w:tc>
          <w:tcPr>
            <w:tcW w:w="1610" w:type="dxa"/>
            <w:shd w:val="clear" w:color="auto" w:fill="auto"/>
            <w:vAlign w:val="center"/>
          </w:tcPr>
          <w:p w14:paraId="603D491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17</w:t>
            </w:r>
          </w:p>
        </w:tc>
        <w:tc>
          <w:tcPr>
            <w:tcW w:w="1188" w:type="dxa"/>
            <w:shd w:val="clear" w:color="auto" w:fill="auto"/>
            <w:vAlign w:val="center"/>
          </w:tcPr>
          <w:p w14:paraId="21A86C51">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24</w:t>
            </w:r>
          </w:p>
        </w:tc>
        <w:tc>
          <w:tcPr>
            <w:tcW w:w="930" w:type="dxa"/>
            <w:shd w:val="clear" w:color="auto" w:fill="auto"/>
            <w:vAlign w:val="center"/>
          </w:tcPr>
          <w:p w14:paraId="7DCE106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31</w:t>
            </w:r>
          </w:p>
        </w:tc>
        <w:tc>
          <w:tcPr>
            <w:tcW w:w="974" w:type="dxa"/>
            <w:shd w:val="clear" w:color="auto" w:fill="auto"/>
            <w:vAlign w:val="center"/>
          </w:tcPr>
          <w:p w14:paraId="37CA75A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38</w:t>
            </w:r>
          </w:p>
        </w:tc>
        <w:tc>
          <w:tcPr>
            <w:tcW w:w="636" w:type="dxa"/>
            <w:shd w:val="clear" w:color="auto" w:fill="auto"/>
            <w:vAlign w:val="center"/>
          </w:tcPr>
          <w:p w14:paraId="28F5C033">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45</w:t>
            </w:r>
          </w:p>
        </w:tc>
      </w:tr>
      <w:tr w14:paraId="0165C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shd w:val="clear" w:color="auto" w:fill="auto"/>
            <w:vAlign w:val="center"/>
          </w:tcPr>
          <w:p w14:paraId="714C9551">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Na+Ca</w:t>
            </w:r>
          </w:p>
        </w:tc>
        <w:tc>
          <w:tcPr>
            <w:tcW w:w="698" w:type="dxa"/>
            <w:shd w:val="clear" w:color="auto" w:fill="auto"/>
            <w:vAlign w:val="center"/>
          </w:tcPr>
          <w:p w14:paraId="637C436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w:t>
            </w:r>
          </w:p>
        </w:tc>
        <w:tc>
          <w:tcPr>
            <w:tcW w:w="1187" w:type="dxa"/>
            <w:shd w:val="clear" w:color="auto" w:fill="auto"/>
            <w:vAlign w:val="center"/>
          </w:tcPr>
          <w:p w14:paraId="1D63D07E">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11</w:t>
            </w:r>
          </w:p>
        </w:tc>
        <w:tc>
          <w:tcPr>
            <w:tcW w:w="1610" w:type="dxa"/>
            <w:shd w:val="clear" w:color="auto" w:fill="auto"/>
            <w:vAlign w:val="center"/>
          </w:tcPr>
          <w:p w14:paraId="30745EA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18</w:t>
            </w:r>
          </w:p>
        </w:tc>
        <w:tc>
          <w:tcPr>
            <w:tcW w:w="1188" w:type="dxa"/>
            <w:shd w:val="clear" w:color="auto" w:fill="auto"/>
            <w:vAlign w:val="center"/>
          </w:tcPr>
          <w:p w14:paraId="5C5C1538">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25</w:t>
            </w:r>
          </w:p>
        </w:tc>
        <w:tc>
          <w:tcPr>
            <w:tcW w:w="930" w:type="dxa"/>
            <w:shd w:val="clear" w:color="auto" w:fill="auto"/>
            <w:vAlign w:val="center"/>
          </w:tcPr>
          <w:p w14:paraId="4D6AB4E9">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32</w:t>
            </w:r>
          </w:p>
        </w:tc>
        <w:tc>
          <w:tcPr>
            <w:tcW w:w="974" w:type="dxa"/>
            <w:shd w:val="clear" w:color="auto" w:fill="auto"/>
            <w:vAlign w:val="center"/>
          </w:tcPr>
          <w:p w14:paraId="71D68A6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39</w:t>
            </w:r>
          </w:p>
        </w:tc>
        <w:tc>
          <w:tcPr>
            <w:tcW w:w="636" w:type="dxa"/>
            <w:shd w:val="clear" w:color="auto" w:fill="auto"/>
            <w:vAlign w:val="center"/>
          </w:tcPr>
          <w:p w14:paraId="43F4571B">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46</w:t>
            </w:r>
          </w:p>
        </w:tc>
      </w:tr>
      <w:tr w14:paraId="6512E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shd w:val="clear" w:color="auto" w:fill="auto"/>
            <w:vAlign w:val="center"/>
          </w:tcPr>
          <w:p w14:paraId="03DE854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Na+Ca+Mg</w:t>
            </w:r>
          </w:p>
        </w:tc>
        <w:tc>
          <w:tcPr>
            <w:tcW w:w="698" w:type="dxa"/>
            <w:shd w:val="clear" w:color="auto" w:fill="auto"/>
            <w:vAlign w:val="center"/>
          </w:tcPr>
          <w:p w14:paraId="0F8CF1C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5</w:t>
            </w:r>
          </w:p>
        </w:tc>
        <w:tc>
          <w:tcPr>
            <w:tcW w:w="1187" w:type="dxa"/>
            <w:shd w:val="clear" w:color="auto" w:fill="auto"/>
            <w:vAlign w:val="center"/>
          </w:tcPr>
          <w:p w14:paraId="2D5EC103">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12</w:t>
            </w:r>
          </w:p>
        </w:tc>
        <w:tc>
          <w:tcPr>
            <w:tcW w:w="1610" w:type="dxa"/>
            <w:shd w:val="clear" w:color="auto" w:fill="auto"/>
            <w:vAlign w:val="center"/>
          </w:tcPr>
          <w:p w14:paraId="5E133065">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19</w:t>
            </w:r>
          </w:p>
        </w:tc>
        <w:tc>
          <w:tcPr>
            <w:tcW w:w="1188" w:type="dxa"/>
            <w:shd w:val="clear" w:color="auto" w:fill="auto"/>
            <w:vAlign w:val="center"/>
          </w:tcPr>
          <w:p w14:paraId="4A6D70C8">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26</w:t>
            </w:r>
          </w:p>
        </w:tc>
        <w:tc>
          <w:tcPr>
            <w:tcW w:w="930" w:type="dxa"/>
            <w:shd w:val="clear" w:color="auto" w:fill="auto"/>
            <w:vAlign w:val="center"/>
          </w:tcPr>
          <w:p w14:paraId="0BFFF850">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33</w:t>
            </w:r>
          </w:p>
        </w:tc>
        <w:tc>
          <w:tcPr>
            <w:tcW w:w="974" w:type="dxa"/>
            <w:shd w:val="clear" w:color="auto" w:fill="auto"/>
            <w:vAlign w:val="center"/>
          </w:tcPr>
          <w:p w14:paraId="15B5AED2">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40</w:t>
            </w:r>
          </w:p>
        </w:tc>
        <w:tc>
          <w:tcPr>
            <w:tcW w:w="636" w:type="dxa"/>
            <w:shd w:val="clear" w:color="auto" w:fill="auto"/>
            <w:vAlign w:val="center"/>
          </w:tcPr>
          <w:p w14:paraId="48A2F6F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47</w:t>
            </w:r>
          </w:p>
        </w:tc>
      </w:tr>
      <w:tr w14:paraId="47F54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shd w:val="clear" w:color="auto" w:fill="auto"/>
            <w:vAlign w:val="center"/>
          </w:tcPr>
          <w:p w14:paraId="1AB9BE4C">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Na+Mg</w:t>
            </w:r>
          </w:p>
        </w:tc>
        <w:tc>
          <w:tcPr>
            <w:tcW w:w="698" w:type="dxa"/>
            <w:shd w:val="clear" w:color="auto" w:fill="auto"/>
            <w:vAlign w:val="center"/>
          </w:tcPr>
          <w:p w14:paraId="03BA5E4A">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6</w:t>
            </w:r>
          </w:p>
        </w:tc>
        <w:tc>
          <w:tcPr>
            <w:tcW w:w="1187" w:type="dxa"/>
            <w:shd w:val="clear" w:color="auto" w:fill="auto"/>
            <w:vAlign w:val="center"/>
          </w:tcPr>
          <w:p w14:paraId="3D560074">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13</w:t>
            </w:r>
          </w:p>
        </w:tc>
        <w:tc>
          <w:tcPr>
            <w:tcW w:w="1610" w:type="dxa"/>
            <w:shd w:val="clear" w:color="auto" w:fill="auto"/>
            <w:vAlign w:val="center"/>
          </w:tcPr>
          <w:p w14:paraId="6EF7E80C">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20</w:t>
            </w:r>
          </w:p>
        </w:tc>
        <w:tc>
          <w:tcPr>
            <w:tcW w:w="1188" w:type="dxa"/>
            <w:shd w:val="clear" w:color="auto" w:fill="auto"/>
            <w:vAlign w:val="center"/>
          </w:tcPr>
          <w:p w14:paraId="5BB889C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27</w:t>
            </w:r>
          </w:p>
        </w:tc>
        <w:tc>
          <w:tcPr>
            <w:tcW w:w="930" w:type="dxa"/>
            <w:shd w:val="clear" w:color="auto" w:fill="auto"/>
            <w:vAlign w:val="center"/>
          </w:tcPr>
          <w:p w14:paraId="5C733250">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34</w:t>
            </w:r>
          </w:p>
        </w:tc>
        <w:tc>
          <w:tcPr>
            <w:tcW w:w="974" w:type="dxa"/>
            <w:shd w:val="clear" w:color="auto" w:fill="auto"/>
            <w:vAlign w:val="center"/>
          </w:tcPr>
          <w:p w14:paraId="6966D0E6">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41</w:t>
            </w:r>
          </w:p>
        </w:tc>
        <w:tc>
          <w:tcPr>
            <w:tcW w:w="636" w:type="dxa"/>
            <w:shd w:val="clear" w:color="auto" w:fill="auto"/>
            <w:vAlign w:val="center"/>
          </w:tcPr>
          <w:p w14:paraId="3ADD5714">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48</w:t>
            </w:r>
          </w:p>
        </w:tc>
      </w:tr>
      <w:tr w14:paraId="7310EE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5" w:type="dxa"/>
            <w:tcBorders>
              <w:bottom w:val="single" w:color="auto" w:sz="8" w:space="0"/>
            </w:tcBorders>
            <w:shd w:val="clear" w:color="auto" w:fill="auto"/>
            <w:vAlign w:val="center"/>
          </w:tcPr>
          <w:p w14:paraId="39220595">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Na</w:t>
            </w:r>
          </w:p>
        </w:tc>
        <w:tc>
          <w:tcPr>
            <w:tcW w:w="698" w:type="dxa"/>
            <w:tcBorders>
              <w:bottom w:val="single" w:color="auto" w:sz="8" w:space="0"/>
            </w:tcBorders>
            <w:shd w:val="clear" w:color="auto" w:fill="auto"/>
            <w:vAlign w:val="center"/>
          </w:tcPr>
          <w:p w14:paraId="3411E852">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7</w:t>
            </w:r>
          </w:p>
        </w:tc>
        <w:tc>
          <w:tcPr>
            <w:tcW w:w="1187" w:type="dxa"/>
            <w:tcBorders>
              <w:bottom w:val="single" w:color="auto" w:sz="8" w:space="0"/>
            </w:tcBorders>
            <w:shd w:val="clear" w:color="auto" w:fill="auto"/>
            <w:vAlign w:val="center"/>
          </w:tcPr>
          <w:p w14:paraId="424FF022">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14</w:t>
            </w:r>
          </w:p>
        </w:tc>
        <w:tc>
          <w:tcPr>
            <w:tcW w:w="1610" w:type="dxa"/>
            <w:tcBorders>
              <w:bottom w:val="single" w:color="auto" w:sz="8" w:space="0"/>
            </w:tcBorders>
            <w:shd w:val="clear" w:color="auto" w:fill="auto"/>
            <w:vAlign w:val="center"/>
          </w:tcPr>
          <w:p w14:paraId="4209105F">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21</w:t>
            </w:r>
          </w:p>
        </w:tc>
        <w:tc>
          <w:tcPr>
            <w:tcW w:w="1188" w:type="dxa"/>
            <w:tcBorders>
              <w:bottom w:val="single" w:color="auto" w:sz="8" w:space="0"/>
            </w:tcBorders>
            <w:shd w:val="clear" w:color="auto" w:fill="auto"/>
            <w:vAlign w:val="center"/>
          </w:tcPr>
          <w:p w14:paraId="6CBE2450">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28</w:t>
            </w:r>
          </w:p>
        </w:tc>
        <w:tc>
          <w:tcPr>
            <w:tcW w:w="930" w:type="dxa"/>
            <w:tcBorders>
              <w:bottom w:val="single" w:color="auto" w:sz="8" w:space="0"/>
            </w:tcBorders>
            <w:shd w:val="clear" w:color="auto" w:fill="auto"/>
            <w:vAlign w:val="center"/>
          </w:tcPr>
          <w:p w14:paraId="6BBA9D7D">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35</w:t>
            </w:r>
          </w:p>
        </w:tc>
        <w:tc>
          <w:tcPr>
            <w:tcW w:w="974" w:type="dxa"/>
            <w:tcBorders>
              <w:bottom w:val="single" w:color="auto" w:sz="8" w:space="0"/>
            </w:tcBorders>
            <w:shd w:val="clear" w:color="auto" w:fill="auto"/>
            <w:vAlign w:val="center"/>
          </w:tcPr>
          <w:p w14:paraId="356C605A">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42</w:t>
            </w:r>
          </w:p>
        </w:tc>
        <w:tc>
          <w:tcPr>
            <w:tcW w:w="636" w:type="dxa"/>
            <w:tcBorders>
              <w:bottom w:val="single" w:color="auto" w:sz="8" w:space="0"/>
            </w:tcBorders>
            <w:shd w:val="clear" w:color="auto" w:fill="auto"/>
            <w:vAlign w:val="center"/>
          </w:tcPr>
          <w:p w14:paraId="6D12E14C">
            <w:pPr>
              <w:pStyle w:val="77"/>
              <w:widowControl w:val="0"/>
              <w:wordWrap w:val="0"/>
              <w:topLinePunct/>
              <w:rPr>
                <w:caps w:val="0"/>
                <w:smallCaps w:val="0"/>
                <w:snapToGrid w:val="0"/>
                <w:color w:val="auto"/>
                <w:spacing w:val="0"/>
                <w:szCs w:val="21"/>
                <w:highlight w:val="none"/>
              </w:rPr>
            </w:pPr>
            <w:r>
              <w:rPr>
                <w:caps w:val="0"/>
                <w:smallCaps w:val="0"/>
                <w:snapToGrid w:val="0"/>
                <w:color w:val="auto"/>
                <w:spacing w:val="0"/>
                <w:szCs w:val="21"/>
                <w:highlight w:val="none"/>
              </w:rPr>
              <w:t>49</w:t>
            </w:r>
          </w:p>
        </w:tc>
      </w:tr>
    </w:tbl>
    <w:p w14:paraId="2CCE38F5">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第一步，对水文资料进行整理：</w:t>
      </w:r>
    </w:p>
    <w:p w14:paraId="7B5AF45F">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换算毫克/升为毫克当量/升及毫克当量百分数</w:t>
      </w:r>
    </w:p>
    <w:p w14:paraId="12C653AB">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按照化学原理，毫克数与毫克当量数的关系如下式：</w:t>
      </w:r>
    </w:p>
    <w:p w14:paraId="7DE65044">
      <w:pPr>
        <w:widowControl w:val="0"/>
        <w:wordWrap w:val="0"/>
        <w:topLinePunct/>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离子的毫克当量数=</w:t>
      </w:r>
      <m:oMath>
        <m:f>
          <m:fPr>
            <m:ctrlPr>
              <w:rPr>
                <w:rFonts w:ascii="Cambria Math" w:hAnsi="Cambria Math" w:eastAsia="宋体" w:cs="Times New Roman"/>
                <w:caps w:val="0"/>
                <w:smallCaps w:val="0"/>
                <w:color w:val="auto"/>
                <w:spacing w:val="0"/>
                <w:szCs w:val="24"/>
                <w:highlight w:val="none"/>
              </w:rPr>
            </m:ctrlPr>
          </m:fPr>
          <m:num>
            <m:r>
              <m:rPr>
                <m:nor/>
                <m:sty m:val="p"/>
              </m:rPr>
              <w:rPr>
                <w:rFonts w:ascii="Times New Roman" w:hAnsi="Times New Roman" w:eastAsia="宋体" w:cs="Times New Roman"/>
                <w:b w:val="0"/>
                <w:i w:val="0"/>
                <w:caps w:val="0"/>
                <w:smallCaps w:val="0"/>
                <w:color w:val="auto"/>
                <w:spacing w:val="0"/>
                <w:szCs w:val="24"/>
                <w:highlight w:val="none"/>
              </w:rPr>
              <m:t>离子的毫克数</m:t>
            </m:r>
            <m:ctrlPr>
              <w:rPr>
                <w:rFonts w:ascii="Cambria Math" w:hAnsi="Cambria Math" w:eastAsia="宋体" w:cs="Times New Roman"/>
                <w:caps w:val="0"/>
                <w:smallCaps w:val="0"/>
                <w:color w:val="auto"/>
                <w:spacing w:val="0"/>
                <w:szCs w:val="24"/>
                <w:highlight w:val="none"/>
              </w:rPr>
            </m:ctrlPr>
          </m:num>
          <m:den>
            <m:r>
              <m:rPr>
                <m:nor/>
                <m:sty m:val="p"/>
              </m:rPr>
              <w:rPr>
                <w:rFonts w:ascii="Times New Roman" w:hAnsi="Times New Roman" w:eastAsia="宋体" w:cs="Times New Roman"/>
                <w:b w:val="0"/>
                <w:i w:val="0"/>
                <w:caps w:val="0"/>
                <w:smallCaps w:val="0"/>
                <w:color w:val="auto"/>
                <w:spacing w:val="0"/>
                <w:szCs w:val="24"/>
                <w:highlight w:val="none"/>
              </w:rPr>
              <m:t>离子的当量</m:t>
            </m:r>
            <m:ctrlPr>
              <w:rPr>
                <w:rFonts w:ascii="Cambria Math" w:hAnsi="Cambria Math" w:eastAsia="宋体" w:cs="Times New Roman"/>
                <w:caps w:val="0"/>
                <w:smallCaps w:val="0"/>
                <w:color w:val="auto"/>
                <w:spacing w:val="0"/>
                <w:szCs w:val="24"/>
                <w:highlight w:val="none"/>
              </w:rPr>
            </m:ctrlPr>
          </m:den>
        </m:f>
      </m:oMath>
    </w:p>
    <w:p w14:paraId="1851F794">
      <w:pPr>
        <w:widowControl w:val="0"/>
        <w:wordWrap w:val="0"/>
        <w:topLinePunct/>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知道了离子在水中的毫克当量数以后，则可根据下式计算其毫克当量百分数：</w:t>
      </w:r>
    </w:p>
    <w:p w14:paraId="2D9F16CC">
      <w:pPr>
        <w:widowControl w:val="0"/>
        <w:wordWrap w:val="0"/>
        <w:topLinePunct/>
        <w:spacing w:line="360" w:lineRule="auto"/>
        <w:ind w:firstLine="480" w:firstLineChars="200"/>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某阴离子的毫克当量百分数=</w:t>
      </w:r>
      <m:oMath>
        <m:f>
          <m:fPr>
            <m:ctrlPr>
              <w:rPr>
                <w:rFonts w:ascii="Cambria Math" w:hAnsi="Cambria Math" w:eastAsia="宋体" w:cs="Times New Roman"/>
                <w:caps w:val="0"/>
                <w:smallCaps w:val="0"/>
                <w:color w:val="auto"/>
                <w:spacing w:val="0"/>
                <w:szCs w:val="24"/>
                <w:highlight w:val="none"/>
              </w:rPr>
            </m:ctrlPr>
          </m:fPr>
          <m:num>
            <m:r>
              <m:rPr>
                <m:nor/>
                <m:sty m:val="p"/>
              </m:rPr>
              <w:rPr>
                <w:rFonts w:ascii="Times New Roman" w:hAnsi="Times New Roman" w:eastAsia="宋体" w:cs="Times New Roman"/>
                <w:b w:val="0"/>
                <w:i w:val="0"/>
                <w:caps w:val="0"/>
                <w:smallCaps w:val="0"/>
                <w:color w:val="auto"/>
                <w:spacing w:val="0"/>
                <w:szCs w:val="24"/>
                <w:highlight w:val="none"/>
              </w:rPr>
              <m:t>该离子毫克当量/升</m:t>
            </m:r>
            <m:ctrlPr>
              <w:rPr>
                <w:rFonts w:ascii="Cambria Math" w:hAnsi="Cambria Math" w:eastAsia="宋体" w:cs="Times New Roman"/>
                <w:caps w:val="0"/>
                <w:smallCaps w:val="0"/>
                <w:color w:val="auto"/>
                <w:spacing w:val="0"/>
                <w:szCs w:val="24"/>
                <w:highlight w:val="none"/>
              </w:rPr>
            </m:ctrlPr>
          </m:num>
          <m:den>
            <m:r>
              <m:rPr>
                <m:nor/>
                <m:sty m:val="p"/>
              </m:rPr>
              <w:rPr>
                <w:rFonts w:ascii="Times New Roman" w:hAnsi="Times New Roman" w:eastAsia="宋体" w:cs="Times New Roman"/>
                <w:b w:val="0"/>
                <w:i w:val="0"/>
                <w:caps w:val="0"/>
                <w:smallCaps w:val="0"/>
                <w:color w:val="auto"/>
                <w:spacing w:val="0"/>
                <w:szCs w:val="24"/>
                <w:highlight w:val="none"/>
              </w:rPr>
              <m:t>阴离子毫克当量总数/升</m:t>
            </m:r>
            <m:ctrlPr>
              <w:rPr>
                <w:rFonts w:ascii="Cambria Math" w:hAnsi="Cambria Math" w:eastAsia="宋体" w:cs="Times New Roman"/>
                <w:caps w:val="0"/>
                <w:smallCaps w:val="0"/>
                <w:color w:val="auto"/>
                <w:spacing w:val="0"/>
                <w:szCs w:val="24"/>
                <w:highlight w:val="none"/>
              </w:rPr>
            </m:ctrlPr>
          </m:den>
        </m:f>
      </m:oMath>
      <w:r>
        <w:rPr>
          <w:rFonts w:ascii="Times New Roman" w:hAnsi="Times New Roman" w:eastAsia="宋体" w:cs="Times New Roman"/>
          <w:caps w:val="0"/>
          <w:smallCaps w:val="0"/>
          <w:color w:val="auto"/>
          <w:spacing w:val="0"/>
          <w:szCs w:val="24"/>
          <w:highlight w:val="none"/>
        </w:rPr>
        <w:t>×100%</w:t>
      </w:r>
    </w:p>
    <w:p w14:paraId="3FDCE15E">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（2）地下水化学类型评价结果</w:t>
      </w:r>
    </w:p>
    <w:p w14:paraId="460223DB">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首先对水文资料进行整理，换算毫克/升为毫克当量/升及毫克当量百分数；知道了离子在水中的毫克当量数以后，根据计算公式计算其毫克当量百分数。</w:t>
      </w:r>
    </w:p>
    <w:p w14:paraId="5091CA32">
      <w:pPr>
        <w:pStyle w:val="117"/>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本次监测换算结果见下表。</w:t>
      </w:r>
    </w:p>
    <w:p w14:paraId="19034B05">
      <w:pPr>
        <w:widowControl w:val="0"/>
        <w:wordWrap w:val="0"/>
        <w:topLinePunct/>
        <w:adjustRightInd w:val="0"/>
        <w:snapToGrid w:val="0"/>
        <w:jc w:val="center"/>
        <w:textAlignment w:val="baseline"/>
        <w:rPr>
          <w:rFonts w:ascii="Times New Roman" w:hAnsi="Times New Roman" w:eastAsia="宋体" w:cs="Times New Roman"/>
          <w:b/>
          <w:bCs/>
          <w:caps w:val="0"/>
          <w:smallCaps w:val="0"/>
          <w:color w:val="auto"/>
          <w:spacing w:val="0"/>
          <w:kern w:val="0"/>
          <w:szCs w:val="24"/>
          <w:highlight w:val="none"/>
        </w:rPr>
      </w:pPr>
      <w:r>
        <w:rPr>
          <w:rFonts w:ascii="Times New Roman" w:hAnsi="Times New Roman" w:eastAsia="宋体" w:cs="Times New Roman"/>
          <w:b/>
          <w:bCs/>
          <w:caps w:val="0"/>
          <w:smallCaps w:val="0"/>
          <w:color w:val="auto"/>
          <w:spacing w:val="0"/>
          <w:kern w:val="0"/>
          <w:szCs w:val="24"/>
          <w:highlight w:val="none"/>
        </w:rPr>
        <w:t>表4.4-1</w:t>
      </w:r>
      <w:r>
        <w:rPr>
          <w:rFonts w:hint="eastAsia" w:ascii="Times New Roman" w:hAnsi="Times New Roman" w:eastAsia="宋体" w:cs="Times New Roman"/>
          <w:b/>
          <w:bCs/>
          <w:caps w:val="0"/>
          <w:smallCaps w:val="0"/>
          <w:color w:val="auto"/>
          <w:spacing w:val="0"/>
          <w:kern w:val="0"/>
          <w:szCs w:val="24"/>
          <w:highlight w:val="none"/>
          <w:lang w:val="en-US" w:eastAsia="zh-CN"/>
        </w:rPr>
        <w:t>3</w:t>
      </w:r>
      <w:r>
        <w:rPr>
          <w:rFonts w:ascii="Times New Roman" w:hAnsi="Times New Roman" w:eastAsia="宋体" w:cs="Times New Roman"/>
          <w:b/>
          <w:bCs/>
          <w:caps w:val="0"/>
          <w:smallCaps w:val="0"/>
          <w:color w:val="auto"/>
          <w:spacing w:val="0"/>
          <w:kern w:val="0"/>
          <w:szCs w:val="24"/>
          <w:highlight w:val="none"/>
        </w:rPr>
        <w:t>监测换算结果表</w:t>
      </w:r>
    </w:p>
    <w:tbl>
      <w:tblPr>
        <w:tblStyle w:val="20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2204"/>
        <w:gridCol w:w="1844"/>
        <w:gridCol w:w="1967"/>
        <w:gridCol w:w="2027"/>
      </w:tblGrid>
      <w:tr w14:paraId="36455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48" w:type="dxa"/>
            <w:gridSpan w:val="2"/>
            <w:tcBorders>
              <w:top w:val="single" w:color="auto" w:sz="8" w:space="0"/>
            </w:tcBorders>
            <w:vAlign w:val="center"/>
          </w:tcPr>
          <w:p w14:paraId="793164DC">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w:t>
            </w:r>
          </w:p>
        </w:tc>
        <w:tc>
          <w:tcPr>
            <w:tcW w:w="1844" w:type="dxa"/>
            <w:tcBorders>
              <w:top w:val="single" w:color="auto" w:sz="8" w:space="0"/>
            </w:tcBorders>
            <w:vAlign w:val="center"/>
          </w:tcPr>
          <w:p w14:paraId="2674B861">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mg/L</w:t>
            </w:r>
          </w:p>
        </w:tc>
        <w:tc>
          <w:tcPr>
            <w:tcW w:w="1967" w:type="dxa"/>
            <w:tcBorders>
              <w:top w:val="single" w:color="auto" w:sz="8" w:space="0"/>
            </w:tcBorders>
            <w:vAlign w:val="center"/>
          </w:tcPr>
          <w:p w14:paraId="239E10BF">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meq/L</w:t>
            </w:r>
          </w:p>
        </w:tc>
        <w:tc>
          <w:tcPr>
            <w:tcW w:w="2027" w:type="dxa"/>
            <w:tcBorders>
              <w:top w:val="single" w:color="auto" w:sz="8" w:space="0"/>
            </w:tcBorders>
            <w:vAlign w:val="center"/>
          </w:tcPr>
          <w:p w14:paraId="71A2F36F">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meq%</w:t>
            </w:r>
          </w:p>
        </w:tc>
      </w:tr>
      <w:tr w14:paraId="49E34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restart"/>
            <w:vAlign w:val="center"/>
          </w:tcPr>
          <w:p w14:paraId="04F6A8FC">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阳</w:t>
            </w:r>
          </w:p>
          <w:p w14:paraId="1470CB02">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离</w:t>
            </w:r>
          </w:p>
          <w:p w14:paraId="69863091">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子</w:t>
            </w:r>
          </w:p>
        </w:tc>
        <w:tc>
          <w:tcPr>
            <w:tcW w:w="2204" w:type="dxa"/>
            <w:vMerge w:val="restart"/>
            <w:vAlign w:val="center"/>
          </w:tcPr>
          <w:p w14:paraId="6BC047FC">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K</w:t>
            </w:r>
            <w:r>
              <w:rPr>
                <w:caps w:val="0"/>
                <w:smallCaps w:val="0"/>
                <w:snapToGrid w:val="0"/>
                <w:color w:val="auto"/>
                <w:spacing w:val="0"/>
                <w:kern w:val="0"/>
                <w:szCs w:val="21"/>
                <w:highlight w:val="none"/>
                <w:vertAlign w:val="superscript"/>
              </w:rPr>
              <w:t>+</w:t>
            </w:r>
            <w:r>
              <w:rPr>
                <w:caps w:val="0"/>
                <w:smallCaps w:val="0"/>
                <w:snapToGrid w:val="0"/>
                <w:color w:val="auto"/>
                <w:spacing w:val="0"/>
                <w:kern w:val="0"/>
                <w:szCs w:val="21"/>
                <w:highlight w:val="none"/>
              </w:rPr>
              <w:t>+Na</w:t>
            </w:r>
            <w:r>
              <w:rPr>
                <w:caps w:val="0"/>
                <w:smallCaps w:val="0"/>
                <w:snapToGrid w:val="0"/>
                <w:color w:val="auto"/>
                <w:spacing w:val="0"/>
                <w:kern w:val="0"/>
                <w:szCs w:val="21"/>
                <w:highlight w:val="none"/>
                <w:vertAlign w:val="superscript"/>
              </w:rPr>
              <w:t>+</w:t>
            </w:r>
          </w:p>
          <w:p w14:paraId="6919042B">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Ca</w:t>
            </w:r>
            <w:r>
              <w:rPr>
                <w:caps w:val="0"/>
                <w:smallCaps w:val="0"/>
                <w:snapToGrid w:val="0"/>
                <w:color w:val="auto"/>
                <w:spacing w:val="0"/>
                <w:kern w:val="0"/>
                <w:szCs w:val="21"/>
                <w:highlight w:val="none"/>
                <w:vertAlign w:val="superscript"/>
              </w:rPr>
              <w:t>2+</w:t>
            </w:r>
          </w:p>
          <w:p w14:paraId="607136DA">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Mg</w:t>
            </w:r>
            <w:r>
              <w:rPr>
                <w:caps w:val="0"/>
                <w:smallCaps w:val="0"/>
                <w:snapToGrid w:val="0"/>
                <w:color w:val="auto"/>
                <w:spacing w:val="0"/>
                <w:kern w:val="0"/>
                <w:szCs w:val="21"/>
                <w:highlight w:val="none"/>
                <w:vertAlign w:val="superscript"/>
              </w:rPr>
              <w:t>2+</w:t>
            </w:r>
          </w:p>
        </w:tc>
        <w:tc>
          <w:tcPr>
            <w:tcW w:w="1844" w:type="dxa"/>
            <w:vAlign w:val="bottom"/>
          </w:tcPr>
          <w:p w14:paraId="05DA93A5">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10.75</w:t>
            </w:r>
          </w:p>
        </w:tc>
        <w:tc>
          <w:tcPr>
            <w:tcW w:w="1967" w:type="dxa"/>
            <w:vAlign w:val="bottom"/>
          </w:tcPr>
          <w:p w14:paraId="4210D852">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0.39</w:t>
            </w:r>
          </w:p>
        </w:tc>
        <w:tc>
          <w:tcPr>
            <w:tcW w:w="2027" w:type="dxa"/>
            <w:vAlign w:val="bottom"/>
          </w:tcPr>
          <w:p w14:paraId="70DF0247">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11.96</w:t>
            </w:r>
          </w:p>
        </w:tc>
      </w:tr>
      <w:tr w14:paraId="697C4A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200108A5">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4B7DB60B">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149A3B40">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29.1</w:t>
            </w:r>
          </w:p>
        </w:tc>
        <w:tc>
          <w:tcPr>
            <w:tcW w:w="1967" w:type="dxa"/>
            <w:vAlign w:val="bottom"/>
          </w:tcPr>
          <w:p w14:paraId="3ACA584E">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1.46</w:t>
            </w:r>
          </w:p>
        </w:tc>
        <w:tc>
          <w:tcPr>
            <w:tcW w:w="2027" w:type="dxa"/>
            <w:vAlign w:val="bottom"/>
          </w:tcPr>
          <w:p w14:paraId="7B2A3830">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44.22</w:t>
            </w:r>
          </w:p>
        </w:tc>
      </w:tr>
      <w:tr w14:paraId="2F27F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40DE1504">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283342D8">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75D4BF35">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17.3</w:t>
            </w:r>
          </w:p>
        </w:tc>
        <w:tc>
          <w:tcPr>
            <w:tcW w:w="1967" w:type="dxa"/>
            <w:vAlign w:val="bottom"/>
          </w:tcPr>
          <w:p w14:paraId="71DE6932">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1.44</w:t>
            </w:r>
          </w:p>
        </w:tc>
        <w:tc>
          <w:tcPr>
            <w:tcW w:w="2027" w:type="dxa"/>
            <w:vAlign w:val="bottom"/>
          </w:tcPr>
          <w:p w14:paraId="1145471C">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43.82</w:t>
            </w:r>
          </w:p>
        </w:tc>
      </w:tr>
      <w:tr w14:paraId="4E43E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3D043208">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Align w:val="center"/>
          </w:tcPr>
          <w:p w14:paraId="54CE1BBB">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总计</w:t>
            </w:r>
          </w:p>
        </w:tc>
        <w:tc>
          <w:tcPr>
            <w:tcW w:w="1844" w:type="dxa"/>
            <w:vAlign w:val="center"/>
          </w:tcPr>
          <w:p w14:paraId="34017554">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57.15</w:t>
            </w:r>
          </w:p>
        </w:tc>
        <w:tc>
          <w:tcPr>
            <w:tcW w:w="1967" w:type="dxa"/>
            <w:vAlign w:val="center"/>
          </w:tcPr>
          <w:p w14:paraId="51890AA0">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3.29</w:t>
            </w:r>
          </w:p>
        </w:tc>
        <w:tc>
          <w:tcPr>
            <w:tcW w:w="2027" w:type="dxa"/>
            <w:vAlign w:val="center"/>
          </w:tcPr>
          <w:p w14:paraId="2C729A57">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100.00</w:t>
            </w:r>
          </w:p>
        </w:tc>
      </w:tr>
      <w:tr w14:paraId="507261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restart"/>
            <w:vAlign w:val="center"/>
          </w:tcPr>
          <w:p w14:paraId="345E6AE3">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阴</w:t>
            </w:r>
          </w:p>
          <w:p w14:paraId="52FD53FC">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离</w:t>
            </w:r>
          </w:p>
          <w:p w14:paraId="196167D2">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子</w:t>
            </w:r>
          </w:p>
        </w:tc>
        <w:tc>
          <w:tcPr>
            <w:tcW w:w="2204" w:type="dxa"/>
            <w:vMerge w:val="restart"/>
            <w:vAlign w:val="center"/>
          </w:tcPr>
          <w:p w14:paraId="52466F2E">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HCO</w:t>
            </w:r>
            <w:r>
              <w:rPr>
                <w:caps w:val="0"/>
                <w:smallCaps w:val="0"/>
                <w:snapToGrid w:val="0"/>
                <w:color w:val="auto"/>
                <w:spacing w:val="0"/>
                <w:kern w:val="0"/>
                <w:szCs w:val="21"/>
                <w:highlight w:val="none"/>
                <w:vertAlign w:val="subscript"/>
              </w:rPr>
              <w:t>3</w:t>
            </w:r>
            <w:r>
              <w:rPr>
                <w:caps w:val="0"/>
                <w:smallCaps w:val="0"/>
                <w:snapToGrid w:val="0"/>
                <w:color w:val="auto"/>
                <w:spacing w:val="0"/>
                <w:kern w:val="0"/>
                <w:szCs w:val="21"/>
                <w:highlight w:val="none"/>
                <w:vertAlign w:val="superscript"/>
              </w:rPr>
              <w:t>-</w:t>
            </w:r>
          </w:p>
          <w:p w14:paraId="504BD55A">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Cl</w:t>
            </w:r>
            <w:r>
              <w:rPr>
                <w:caps w:val="0"/>
                <w:smallCaps w:val="0"/>
                <w:snapToGrid w:val="0"/>
                <w:color w:val="auto"/>
                <w:spacing w:val="0"/>
                <w:kern w:val="0"/>
                <w:szCs w:val="21"/>
                <w:highlight w:val="none"/>
                <w:vertAlign w:val="superscript"/>
              </w:rPr>
              <w:t>-</w:t>
            </w:r>
          </w:p>
          <w:p w14:paraId="7697F903">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SO</w:t>
            </w:r>
            <w:r>
              <w:rPr>
                <w:caps w:val="0"/>
                <w:smallCaps w:val="0"/>
                <w:snapToGrid w:val="0"/>
                <w:color w:val="auto"/>
                <w:spacing w:val="0"/>
                <w:kern w:val="0"/>
                <w:szCs w:val="21"/>
                <w:highlight w:val="none"/>
                <w:vertAlign w:val="subscript"/>
              </w:rPr>
              <w:t>4</w:t>
            </w:r>
            <w:r>
              <w:rPr>
                <w:caps w:val="0"/>
                <w:smallCaps w:val="0"/>
                <w:snapToGrid w:val="0"/>
                <w:color w:val="auto"/>
                <w:spacing w:val="0"/>
                <w:kern w:val="0"/>
                <w:szCs w:val="21"/>
                <w:highlight w:val="none"/>
                <w:vertAlign w:val="superscript"/>
              </w:rPr>
              <w:t>2-</w:t>
            </w:r>
          </w:p>
          <w:p w14:paraId="7C6CAB47">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CO</w:t>
            </w:r>
            <w:r>
              <w:rPr>
                <w:caps w:val="0"/>
                <w:smallCaps w:val="0"/>
                <w:snapToGrid w:val="0"/>
                <w:color w:val="auto"/>
                <w:spacing w:val="0"/>
                <w:kern w:val="0"/>
                <w:szCs w:val="21"/>
                <w:highlight w:val="none"/>
                <w:vertAlign w:val="subscript"/>
              </w:rPr>
              <w:t>3</w:t>
            </w:r>
            <w:r>
              <w:rPr>
                <w:rFonts w:hint="eastAsia"/>
                <w:caps w:val="0"/>
                <w:smallCaps w:val="0"/>
                <w:snapToGrid w:val="0"/>
                <w:color w:val="auto"/>
                <w:spacing w:val="0"/>
                <w:kern w:val="0"/>
                <w:szCs w:val="21"/>
                <w:highlight w:val="none"/>
                <w:vertAlign w:val="superscript"/>
              </w:rPr>
              <w:t>2</w:t>
            </w:r>
            <w:r>
              <w:rPr>
                <w:caps w:val="0"/>
                <w:smallCaps w:val="0"/>
                <w:snapToGrid w:val="0"/>
                <w:color w:val="auto"/>
                <w:spacing w:val="0"/>
                <w:kern w:val="0"/>
                <w:szCs w:val="21"/>
                <w:highlight w:val="none"/>
                <w:vertAlign w:val="superscript"/>
              </w:rPr>
              <w:t>-</w:t>
            </w:r>
          </w:p>
        </w:tc>
        <w:tc>
          <w:tcPr>
            <w:tcW w:w="1844" w:type="dxa"/>
            <w:vAlign w:val="center"/>
          </w:tcPr>
          <w:p w14:paraId="563DC4A8">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143</w:t>
            </w:r>
          </w:p>
        </w:tc>
        <w:tc>
          <w:tcPr>
            <w:tcW w:w="1967" w:type="dxa"/>
            <w:vAlign w:val="center"/>
          </w:tcPr>
          <w:p w14:paraId="7ACFDC60">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1.80</w:t>
            </w:r>
          </w:p>
        </w:tc>
        <w:tc>
          <w:tcPr>
            <w:tcW w:w="2027" w:type="dxa"/>
            <w:vAlign w:val="center"/>
          </w:tcPr>
          <w:p w14:paraId="1EA5F94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57.87</w:t>
            </w:r>
          </w:p>
        </w:tc>
      </w:tr>
      <w:tr w14:paraId="1FE0AE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272CF03E">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74B2FE7A">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1BE01E0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34.7</w:t>
            </w:r>
          </w:p>
        </w:tc>
        <w:tc>
          <w:tcPr>
            <w:tcW w:w="1967" w:type="dxa"/>
            <w:vAlign w:val="center"/>
          </w:tcPr>
          <w:p w14:paraId="0E81462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0.98</w:t>
            </w:r>
          </w:p>
        </w:tc>
        <w:tc>
          <w:tcPr>
            <w:tcW w:w="2027" w:type="dxa"/>
            <w:vAlign w:val="center"/>
          </w:tcPr>
          <w:p w14:paraId="67B6632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25.30</w:t>
            </w:r>
          </w:p>
        </w:tc>
      </w:tr>
      <w:tr w14:paraId="3B39B6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34F40140">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4B84C336">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4436D05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35</w:t>
            </w:r>
          </w:p>
        </w:tc>
        <w:tc>
          <w:tcPr>
            <w:tcW w:w="1967" w:type="dxa"/>
            <w:vAlign w:val="center"/>
          </w:tcPr>
          <w:p w14:paraId="1F856FEE">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1.0833</w:t>
            </w:r>
          </w:p>
        </w:tc>
        <w:tc>
          <w:tcPr>
            <w:tcW w:w="2027" w:type="dxa"/>
            <w:vAlign w:val="center"/>
          </w:tcPr>
          <w:p w14:paraId="3155AAF8">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rPr>
              <w:t>24.13</w:t>
            </w:r>
          </w:p>
        </w:tc>
      </w:tr>
      <w:tr w14:paraId="716C35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4592DDC4">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7494A64D">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54B157ED">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w:t>
            </w:r>
          </w:p>
        </w:tc>
        <w:tc>
          <w:tcPr>
            <w:tcW w:w="1967" w:type="dxa"/>
            <w:vAlign w:val="center"/>
          </w:tcPr>
          <w:p w14:paraId="502C9747">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w:t>
            </w:r>
          </w:p>
        </w:tc>
        <w:tc>
          <w:tcPr>
            <w:tcW w:w="2027" w:type="dxa"/>
            <w:vAlign w:val="center"/>
          </w:tcPr>
          <w:p w14:paraId="08A834C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hint="eastAsia" w:ascii="Times New Roman" w:hAnsi="Times New Roman" w:eastAsia="宋体" w:cs="Times New Roman"/>
                <w:caps w:val="0"/>
                <w:smallCaps w:val="0"/>
                <w:snapToGrid w:val="0"/>
                <w:color w:val="auto"/>
                <w:spacing w:val="0"/>
                <w:kern w:val="0"/>
                <w:sz w:val="21"/>
                <w:highlight w:val="none"/>
              </w:rPr>
              <w:t>0</w:t>
            </w:r>
          </w:p>
        </w:tc>
      </w:tr>
      <w:tr w14:paraId="5E24A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78610BAC">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Align w:val="center"/>
          </w:tcPr>
          <w:p w14:paraId="701BC6F6">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总计</w:t>
            </w:r>
          </w:p>
        </w:tc>
        <w:tc>
          <w:tcPr>
            <w:tcW w:w="1844" w:type="dxa"/>
            <w:vAlign w:val="center"/>
          </w:tcPr>
          <w:p w14:paraId="5110495D">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212.7</w:t>
            </w:r>
          </w:p>
        </w:tc>
        <w:tc>
          <w:tcPr>
            <w:tcW w:w="1967" w:type="dxa"/>
            <w:vAlign w:val="center"/>
          </w:tcPr>
          <w:p w14:paraId="2E559DF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4.05</w:t>
            </w:r>
          </w:p>
        </w:tc>
        <w:tc>
          <w:tcPr>
            <w:tcW w:w="2027" w:type="dxa"/>
            <w:vAlign w:val="center"/>
          </w:tcPr>
          <w:p w14:paraId="6F397480">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100.00</w:t>
            </w:r>
          </w:p>
        </w:tc>
      </w:tr>
      <w:tr w14:paraId="432AC9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48" w:type="dxa"/>
            <w:gridSpan w:val="2"/>
            <w:vAlign w:val="center"/>
          </w:tcPr>
          <w:p w14:paraId="07F8E23F">
            <w:pPr>
              <w:widowControl w:val="0"/>
              <w:wordWrap w:val="0"/>
              <w:topLinePunct/>
              <w:adjustRightInd w:val="0"/>
              <w:snapToGrid w:val="0"/>
              <w:jc w:val="center"/>
              <w:rPr>
                <w:rFonts w:ascii="Times New Roman" w:hAnsi="Times New Roman" w:eastAsia="宋体" w:cs="Times New Roman"/>
                <w:b/>
                <w:bCs/>
                <w:caps w:val="0"/>
                <w:smallCaps w:val="0"/>
                <w:snapToGrid w:val="0"/>
                <w:color w:val="auto"/>
                <w:spacing w:val="0"/>
                <w:kern w:val="0"/>
                <w:sz w:val="21"/>
                <w:highlight w:val="none"/>
              </w:rPr>
            </w:pPr>
            <w:r>
              <w:rPr>
                <w:rFonts w:ascii="Times New Roman" w:hAnsi="Times New Roman" w:eastAsia="仿宋" w:cs="Times New Roman"/>
                <w:caps w:val="0"/>
                <w:smallCaps w:val="0"/>
                <w:snapToGrid w:val="0"/>
                <w:color w:val="auto"/>
                <w:spacing w:val="0"/>
                <w:highlight w:val="none"/>
              </w:rPr>
              <w:t>阴阳离子比</w:t>
            </w:r>
          </w:p>
        </w:tc>
        <w:tc>
          <w:tcPr>
            <w:tcW w:w="1844" w:type="dxa"/>
            <w:vAlign w:val="center"/>
          </w:tcPr>
          <w:p w14:paraId="2AD25D6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w:t>
            </w:r>
          </w:p>
        </w:tc>
        <w:tc>
          <w:tcPr>
            <w:tcW w:w="1967" w:type="dxa"/>
            <w:vAlign w:val="center"/>
          </w:tcPr>
          <w:p w14:paraId="2C8A3346">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0.81</w:t>
            </w:r>
          </w:p>
        </w:tc>
        <w:tc>
          <w:tcPr>
            <w:tcW w:w="2027" w:type="dxa"/>
            <w:vAlign w:val="center"/>
          </w:tcPr>
          <w:p w14:paraId="7BE6F0AB">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w:t>
            </w:r>
          </w:p>
        </w:tc>
      </w:tr>
      <w:tr w14:paraId="58C9CB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48" w:type="dxa"/>
            <w:gridSpan w:val="2"/>
            <w:vAlign w:val="center"/>
          </w:tcPr>
          <w:p w14:paraId="3B7436AC">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3#</w:t>
            </w:r>
          </w:p>
        </w:tc>
        <w:tc>
          <w:tcPr>
            <w:tcW w:w="1844" w:type="dxa"/>
            <w:vAlign w:val="center"/>
          </w:tcPr>
          <w:p w14:paraId="2679D80A">
            <w:pPr>
              <w:pStyle w:val="77"/>
              <w:widowControl w:val="0"/>
              <w:wordWrap w:val="0"/>
              <w:topLinePunct/>
              <w:adjustRightInd w:val="0"/>
              <w:snapToGrid w:val="0"/>
              <w:rPr>
                <w:caps w:val="0"/>
                <w:smallCaps w:val="0"/>
                <w:snapToGrid w:val="0"/>
                <w:color w:val="auto"/>
                <w:spacing w:val="0"/>
                <w:kern w:val="0"/>
                <w:highlight w:val="none"/>
              </w:rPr>
            </w:pPr>
            <w:r>
              <w:rPr>
                <w:caps w:val="0"/>
                <w:smallCaps w:val="0"/>
                <w:snapToGrid w:val="0"/>
                <w:color w:val="auto"/>
                <w:spacing w:val="0"/>
                <w:kern w:val="0"/>
                <w:highlight w:val="none"/>
              </w:rPr>
              <w:t>mg/L</w:t>
            </w:r>
          </w:p>
        </w:tc>
        <w:tc>
          <w:tcPr>
            <w:tcW w:w="1967" w:type="dxa"/>
            <w:vAlign w:val="center"/>
          </w:tcPr>
          <w:p w14:paraId="662FCC40">
            <w:pPr>
              <w:pStyle w:val="77"/>
              <w:widowControl w:val="0"/>
              <w:wordWrap w:val="0"/>
              <w:topLinePunct/>
              <w:adjustRightInd w:val="0"/>
              <w:snapToGrid w:val="0"/>
              <w:rPr>
                <w:caps w:val="0"/>
                <w:smallCaps w:val="0"/>
                <w:snapToGrid w:val="0"/>
                <w:color w:val="auto"/>
                <w:spacing w:val="0"/>
                <w:kern w:val="0"/>
                <w:highlight w:val="none"/>
              </w:rPr>
            </w:pPr>
            <w:r>
              <w:rPr>
                <w:caps w:val="0"/>
                <w:smallCaps w:val="0"/>
                <w:snapToGrid w:val="0"/>
                <w:color w:val="auto"/>
                <w:spacing w:val="0"/>
                <w:kern w:val="0"/>
                <w:highlight w:val="none"/>
              </w:rPr>
              <w:t>mg/L</w:t>
            </w:r>
          </w:p>
        </w:tc>
        <w:tc>
          <w:tcPr>
            <w:tcW w:w="2027" w:type="dxa"/>
            <w:vAlign w:val="center"/>
          </w:tcPr>
          <w:p w14:paraId="7A9AEB62">
            <w:pPr>
              <w:pStyle w:val="77"/>
              <w:widowControl w:val="0"/>
              <w:wordWrap w:val="0"/>
              <w:topLinePunct/>
              <w:adjustRightInd w:val="0"/>
              <w:snapToGrid w:val="0"/>
              <w:rPr>
                <w:caps w:val="0"/>
                <w:smallCaps w:val="0"/>
                <w:snapToGrid w:val="0"/>
                <w:color w:val="auto"/>
                <w:spacing w:val="0"/>
                <w:kern w:val="0"/>
                <w:highlight w:val="none"/>
              </w:rPr>
            </w:pPr>
            <w:r>
              <w:rPr>
                <w:caps w:val="0"/>
                <w:smallCaps w:val="0"/>
                <w:snapToGrid w:val="0"/>
                <w:color w:val="auto"/>
                <w:spacing w:val="0"/>
                <w:kern w:val="0"/>
                <w:highlight w:val="none"/>
              </w:rPr>
              <w:t>meq/L</w:t>
            </w:r>
          </w:p>
        </w:tc>
      </w:tr>
      <w:tr w14:paraId="777C98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restart"/>
            <w:vAlign w:val="center"/>
          </w:tcPr>
          <w:p w14:paraId="091D2990">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阳</w:t>
            </w:r>
          </w:p>
          <w:p w14:paraId="7F740D74">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离</w:t>
            </w:r>
          </w:p>
          <w:p w14:paraId="7F7E08B8">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子</w:t>
            </w:r>
          </w:p>
        </w:tc>
        <w:tc>
          <w:tcPr>
            <w:tcW w:w="2204" w:type="dxa"/>
            <w:vMerge w:val="restart"/>
            <w:vAlign w:val="center"/>
          </w:tcPr>
          <w:p w14:paraId="5D3F96EC">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K</w:t>
            </w:r>
            <w:r>
              <w:rPr>
                <w:caps w:val="0"/>
                <w:smallCaps w:val="0"/>
                <w:snapToGrid w:val="0"/>
                <w:color w:val="auto"/>
                <w:spacing w:val="0"/>
                <w:kern w:val="0"/>
                <w:szCs w:val="21"/>
                <w:highlight w:val="none"/>
                <w:vertAlign w:val="superscript"/>
              </w:rPr>
              <w:t>+</w:t>
            </w:r>
            <w:r>
              <w:rPr>
                <w:caps w:val="0"/>
                <w:smallCaps w:val="0"/>
                <w:snapToGrid w:val="0"/>
                <w:color w:val="auto"/>
                <w:spacing w:val="0"/>
                <w:kern w:val="0"/>
                <w:szCs w:val="21"/>
                <w:highlight w:val="none"/>
              </w:rPr>
              <w:t>+Na</w:t>
            </w:r>
            <w:r>
              <w:rPr>
                <w:caps w:val="0"/>
                <w:smallCaps w:val="0"/>
                <w:snapToGrid w:val="0"/>
                <w:color w:val="auto"/>
                <w:spacing w:val="0"/>
                <w:kern w:val="0"/>
                <w:szCs w:val="21"/>
                <w:highlight w:val="none"/>
                <w:vertAlign w:val="superscript"/>
              </w:rPr>
              <w:t>+</w:t>
            </w:r>
          </w:p>
          <w:p w14:paraId="21A36BD2">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Ca</w:t>
            </w:r>
            <w:r>
              <w:rPr>
                <w:caps w:val="0"/>
                <w:smallCaps w:val="0"/>
                <w:snapToGrid w:val="0"/>
                <w:color w:val="auto"/>
                <w:spacing w:val="0"/>
                <w:kern w:val="0"/>
                <w:szCs w:val="21"/>
                <w:highlight w:val="none"/>
                <w:vertAlign w:val="superscript"/>
              </w:rPr>
              <w:t>2+</w:t>
            </w:r>
          </w:p>
          <w:p w14:paraId="5ED4B997">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Mg</w:t>
            </w:r>
            <w:r>
              <w:rPr>
                <w:caps w:val="0"/>
                <w:smallCaps w:val="0"/>
                <w:snapToGrid w:val="0"/>
                <w:color w:val="auto"/>
                <w:spacing w:val="0"/>
                <w:kern w:val="0"/>
                <w:szCs w:val="21"/>
                <w:highlight w:val="none"/>
                <w:vertAlign w:val="superscript"/>
              </w:rPr>
              <w:t>2+</w:t>
            </w:r>
          </w:p>
        </w:tc>
        <w:tc>
          <w:tcPr>
            <w:tcW w:w="1844" w:type="dxa"/>
            <w:vAlign w:val="center"/>
          </w:tcPr>
          <w:p w14:paraId="2CA9EEC5">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10.73</w:t>
            </w:r>
          </w:p>
        </w:tc>
        <w:tc>
          <w:tcPr>
            <w:tcW w:w="1967" w:type="dxa"/>
            <w:vAlign w:val="center"/>
          </w:tcPr>
          <w:p w14:paraId="336726F0">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0.40</w:t>
            </w:r>
          </w:p>
        </w:tc>
        <w:tc>
          <w:tcPr>
            <w:tcW w:w="2027" w:type="dxa"/>
            <w:vAlign w:val="center"/>
          </w:tcPr>
          <w:p w14:paraId="097DA9C1">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8.99</w:t>
            </w:r>
          </w:p>
        </w:tc>
      </w:tr>
      <w:tr w14:paraId="55A04F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404044B8">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6EE9F825">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7A6B3836">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2"/>
                <w:szCs w:val="22"/>
                <w:highlight w:val="none"/>
                <w:lang w:bidi="ar"/>
              </w:rPr>
              <w:t>34.8</w:t>
            </w:r>
          </w:p>
        </w:tc>
        <w:tc>
          <w:tcPr>
            <w:tcW w:w="1967" w:type="dxa"/>
            <w:vAlign w:val="center"/>
          </w:tcPr>
          <w:p w14:paraId="27CD38A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2"/>
                <w:szCs w:val="22"/>
                <w:highlight w:val="none"/>
                <w:lang w:bidi="ar"/>
              </w:rPr>
              <w:t>1.74</w:t>
            </w:r>
          </w:p>
        </w:tc>
        <w:tc>
          <w:tcPr>
            <w:tcW w:w="2027" w:type="dxa"/>
            <w:vAlign w:val="center"/>
          </w:tcPr>
          <w:p w14:paraId="153BAAA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39.36</w:t>
            </w:r>
          </w:p>
        </w:tc>
      </w:tr>
      <w:tr w14:paraId="10437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04DE6DBD">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5195EAD8">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3A822A1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2"/>
                <w:szCs w:val="22"/>
                <w:highlight w:val="none"/>
                <w:lang w:bidi="ar"/>
              </w:rPr>
              <w:t>27.4</w:t>
            </w:r>
          </w:p>
        </w:tc>
        <w:tc>
          <w:tcPr>
            <w:tcW w:w="1967" w:type="dxa"/>
            <w:vAlign w:val="center"/>
          </w:tcPr>
          <w:p w14:paraId="49E8EA25">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2"/>
                <w:szCs w:val="22"/>
                <w:highlight w:val="none"/>
                <w:lang w:bidi="ar"/>
              </w:rPr>
              <w:t>2.28</w:t>
            </w:r>
          </w:p>
        </w:tc>
        <w:tc>
          <w:tcPr>
            <w:tcW w:w="2027" w:type="dxa"/>
            <w:vAlign w:val="center"/>
          </w:tcPr>
          <w:p w14:paraId="0AD2B084">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51.65</w:t>
            </w:r>
          </w:p>
        </w:tc>
      </w:tr>
      <w:tr w14:paraId="5931A2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4899446C">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Align w:val="center"/>
          </w:tcPr>
          <w:p w14:paraId="728628FF">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总计</w:t>
            </w:r>
          </w:p>
        </w:tc>
        <w:tc>
          <w:tcPr>
            <w:tcW w:w="1844" w:type="dxa"/>
            <w:vAlign w:val="center"/>
          </w:tcPr>
          <w:p w14:paraId="1E4C47C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72.93</w:t>
            </w:r>
          </w:p>
        </w:tc>
        <w:tc>
          <w:tcPr>
            <w:tcW w:w="1967" w:type="dxa"/>
            <w:vAlign w:val="center"/>
          </w:tcPr>
          <w:p w14:paraId="727602A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4.42</w:t>
            </w:r>
          </w:p>
        </w:tc>
        <w:tc>
          <w:tcPr>
            <w:tcW w:w="2027" w:type="dxa"/>
            <w:vAlign w:val="center"/>
          </w:tcPr>
          <w:p w14:paraId="5A5D15F3">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宋体" w:cs="Times New Roman"/>
                <w:caps w:val="0"/>
                <w:smallCaps w:val="0"/>
                <w:snapToGrid w:val="0"/>
                <w:color w:val="auto"/>
                <w:spacing w:val="0"/>
                <w:kern w:val="0"/>
                <w:sz w:val="21"/>
                <w:highlight w:val="none"/>
                <w:lang w:bidi="ar"/>
              </w:rPr>
              <w:t>100.00</w:t>
            </w:r>
          </w:p>
        </w:tc>
      </w:tr>
      <w:tr w14:paraId="247F87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restart"/>
            <w:vAlign w:val="center"/>
          </w:tcPr>
          <w:p w14:paraId="3A8F02CA">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阴</w:t>
            </w:r>
          </w:p>
          <w:p w14:paraId="213EF7E6">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离</w:t>
            </w:r>
          </w:p>
          <w:p w14:paraId="2F5A6D0E">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子</w:t>
            </w:r>
          </w:p>
        </w:tc>
        <w:tc>
          <w:tcPr>
            <w:tcW w:w="2204" w:type="dxa"/>
            <w:vMerge w:val="restart"/>
            <w:vAlign w:val="center"/>
          </w:tcPr>
          <w:p w14:paraId="7667A829">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HCO</w:t>
            </w:r>
            <w:r>
              <w:rPr>
                <w:caps w:val="0"/>
                <w:smallCaps w:val="0"/>
                <w:snapToGrid w:val="0"/>
                <w:color w:val="auto"/>
                <w:spacing w:val="0"/>
                <w:kern w:val="0"/>
                <w:szCs w:val="21"/>
                <w:highlight w:val="none"/>
                <w:vertAlign w:val="subscript"/>
              </w:rPr>
              <w:t>3</w:t>
            </w:r>
            <w:r>
              <w:rPr>
                <w:caps w:val="0"/>
                <w:smallCaps w:val="0"/>
                <w:snapToGrid w:val="0"/>
                <w:color w:val="auto"/>
                <w:spacing w:val="0"/>
                <w:kern w:val="0"/>
                <w:szCs w:val="21"/>
                <w:highlight w:val="none"/>
                <w:vertAlign w:val="superscript"/>
              </w:rPr>
              <w:t>-</w:t>
            </w:r>
          </w:p>
          <w:p w14:paraId="6A74EBD0">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Cl</w:t>
            </w:r>
            <w:r>
              <w:rPr>
                <w:caps w:val="0"/>
                <w:smallCaps w:val="0"/>
                <w:snapToGrid w:val="0"/>
                <w:color w:val="auto"/>
                <w:spacing w:val="0"/>
                <w:kern w:val="0"/>
                <w:szCs w:val="21"/>
                <w:highlight w:val="none"/>
                <w:vertAlign w:val="superscript"/>
              </w:rPr>
              <w:t>-</w:t>
            </w:r>
          </w:p>
          <w:p w14:paraId="52663DCA">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SO</w:t>
            </w:r>
            <w:r>
              <w:rPr>
                <w:caps w:val="0"/>
                <w:smallCaps w:val="0"/>
                <w:snapToGrid w:val="0"/>
                <w:color w:val="auto"/>
                <w:spacing w:val="0"/>
                <w:kern w:val="0"/>
                <w:szCs w:val="21"/>
                <w:highlight w:val="none"/>
                <w:vertAlign w:val="subscript"/>
              </w:rPr>
              <w:t>4</w:t>
            </w:r>
            <w:r>
              <w:rPr>
                <w:caps w:val="0"/>
                <w:smallCaps w:val="0"/>
                <w:snapToGrid w:val="0"/>
                <w:color w:val="auto"/>
                <w:spacing w:val="0"/>
                <w:kern w:val="0"/>
                <w:szCs w:val="21"/>
                <w:highlight w:val="none"/>
                <w:vertAlign w:val="superscript"/>
              </w:rPr>
              <w:t>2-</w:t>
            </w:r>
          </w:p>
          <w:p w14:paraId="2FA2B72E">
            <w:pPr>
              <w:pStyle w:val="77"/>
              <w:widowControl w:val="0"/>
              <w:wordWrap w:val="0"/>
              <w:topLinePunct/>
              <w:adjustRightInd w:val="0"/>
              <w:snapToGrid w:val="0"/>
              <w:rPr>
                <w:b/>
                <w:bCs/>
                <w:caps w:val="0"/>
                <w:smallCaps w:val="0"/>
                <w:snapToGrid w:val="0"/>
                <w:color w:val="auto"/>
                <w:spacing w:val="0"/>
                <w:kern w:val="0"/>
                <w:szCs w:val="21"/>
                <w:highlight w:val="none"/>
                <w:vertAlign w:val="superscript"/>
              </w:rPr>
            </w:pPr>
            <w:r>
              <w:rPr>
                <w:rFonts w:hint="eastAsia"/>
                <w:caps w:val="0"/>
                <w:smallCaps w:val="0"/>
                <w:snapToGrid w:val="0"/>
                <w:color w:val="auto"/>
                <w:spacing w:val="0"/>
                <w:kern w:val="0"/>
                <w:szCs w:val="21"/>
                <w:highlight w:val="none"/>
              </w:rPr>
              <w:t>C</w:t>
            </w:r>
            <w:r>
              <w:rPr>
                <w:caps w:val="0"/>
                <w:smallCaps w:val="0"/>
                <w:snapToGrid w:val="0"/>
                <w:color w:val="auto"/>
                <w:spacing w:val="0"/>
                <w:kern w:val="0"/>
                <w:szCs w:val="21"/>
                <w:highlight w:val="none"/>
              </w:rPr>
              <w:t>O</w:t>
            </w:r>
            <w:r>
              <w:rPr>
                <w:rFonts w:hint="eastAsia"/>
                <w:caps w:val="0"/>
                <w:smallCaps w:val="0"/>
                <w:snapToGrid w:val="0"/>
                <w:color w:val="auto"/>
                <w:spacing w:val="0"/>
                <w:kern w:val="0"/>
                <w:szCs w:val="21"/>
                <w:highlight w:val="none"/>
                <w:vertAlign w:val="subscript"/>
              </w:rPr>
              <w:t>3</w:t>
            </w:r>
            <w:r>
              <w:rPr>
                <w:caps w:val="0"/>
                <w:smallCaps w:val="0"/>
                <w:snapToGrid w:val="0"/>
                <w:color w:val="auto"/>
                <w:spacing w:val="0"/>
                <w:kern w:val="0"/>
                <w:szCs w:val="21"/>
                <w:highlight w:val="none"/>
                <w:vertAlign w:val="superscript"/>
              </w:rPr>
              <w:t>2-</w:t>
            </w:r>
          </w:p>
        </w:tc>
        <w:tc>
          <w:tcPr>
            <w:tcW w:w="1844" w:type="dxa"/>
            <w:vAlign w:val="center"/>
          </w:tcPr>
          <w:p w14:paraId="02275D61">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rPr>
              <w:t>200</w:t>
            </w:r>
          </w:p>
        </w:tc>
        <w:tc>
          <w:tcPr>
            <w:tcW w:w="1967" w:type="dxa"/>
            <w:vAlign w:val="center"/>
          </w:tcPr>
          <w:p w14:paraId="4E166F7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3.28</w:t>
            </w:r>
          </w:p>
        </w:tc>
        <w:tc>
          <w:tcPr>
            <w:tcW w:w="2027" w:type="dxa"/>
            <w:vAlign w:val="center"/>
          </w:tcPr>
          <w:p w14:paraId="680EB68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71.80</w:t>
            </w:r>
          </w:p>
        </w:tc>
      </w:tr>
      <w:tr w14:paraId="39A1D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502B44E2">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71410E73">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5E31C69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36.1</w:t>
            </w:r>
          </w:p>
        </w:tc>
        <w:tc>
          <w:tcPr>
            <w:tcW w:w="1967" w:type="dxa"/>
            <w:vAlign w:val="center"/>
          </w:tcPr>
          <w:p w14:paraId="6DCA2B7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1.02</w:t>
            </w:r>
          </w:p>
        </w:tc>
        <w:tc>
          <w:tcPr>
            <w:tcW w:w="2027" w:type="dxa"/>
            <w:vAlign w:val="center"/>
          </w:tcPr>
          <w:p w14:paraId="5BB19A46">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22.27</w:t>
            </w:r>
          </w:p>
        </w:tc>
      </w:tr>
      <w:tr w14:paraId="7D5A72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2ADAF8BF">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7A311453">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73874574">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13</w:t>
            </w:r>
          </w:p>
        </w:tc>
        <w:tc>
          <w:tcPr>
            <w:tcW w:w="1967" w:type="dxa"/>
            <w:vAlign w:val="center"/>
          </w:tcPr>
          <w:p w14:paraId="33CD32AB">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0.2708</w:t>
            </w:r>
          </w:p>
        </w:tc>
        <w:tc>
          <w:tcPr>
            <w:tcW w:w="2027" w:type="dxa"/>
            <w:vAlign w:val="center"/>
          </w:tcPr>
          <w:p w14:paraId="7D121AD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5.93</w:t>
            </w:r>
          </w:p>
        </w:tc>
      </w:tr>
      <w:tr w14:paraId="4DF739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7B6D06EF">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4C509782">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1059FB54">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w:t>
            </w:r>
          </w:p>
        </w:tc>
        <w:tc>
          <w:tcPr>
            <w:tcW w:w="1967" w:type="dxa"/>
            <w:vAlign w:val="center"/>
          </w:tcPr>
          <w:p w14:paraId="24473B81">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w:t>
            </w:r>
          </w:p>
        </w:tc>
        <w:tc>
          <w:tcPr>
            <w:tcW w:w="2027" w:type="dxa"/>
            <w:vAlign w:val="center"/>
          </w:tcPr>
          <w:p w14:paraId="48CFE33B">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rPr>
              <w:t>0</w:t>
            </w:r>
          </w:p>
        </w:tc>
      </w:tr>
      <w:tr w14:paraId="284678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5F4E67ED">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Align w:val="center"/>
          </w:tcPr>
          <w:p w14:paraId="6CE92494">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总计</w:t>
            </w:r>
          </w:p>
        </w:tc>
        <w:tc>
          <w:tcPr>
            <w:tcW w:w="1844" w:type="dxa"/>
            <w:vAlign w:val="center"/>
          </w:tcPr>
          <w:p w14:paraId="4D346FCA">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249.1</w:t>
            </w:r>
          </w:p>
        </w:tc>
        <w:tc>
          <w:tcPr>
            <w:tcW w:w="1967" w:type="dxa"/>
            <w:vAlign w:val="center"/>
          </w:tcPr>
          <w:p w14:paraId="5EB4F3B4">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4.57</w:t>
            </w:r>
          </w:p>
        </w:tc>
        <w:tc>
          <w:tcPr>
            <w:tcW w:w="2027" w:type="dxa"/>
            <w:vAlign w:val="center"/>
          </w:tcPr>
          <w:p w14:paraId="237B7373">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100.00</w:t>
            </w:r>
          </w:p>
        </w:tc>
      </w:tr>
      <w:tr w14:paraId="5CDB6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48" w:type="dxa"/>
            <w:gridSpan w:val="2"/>
            <w:vAlign w:val="center"/>
          </w:tcPr>
          <w:p w14:paraId="66C9C6D6">
            <w:pPr>
              <w:widowControl w:val="0"/>
              <w:wordWrap w:val="0"/>
              <w:topLinePunct/>
              <w:adjustRightInd w:val="0"/>
              <w:snapToGrid w:val="0"/>
              <w:jc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仿宋" w:cs="Times New Roman"/>
                <w:caps w:val="0"/>
                <w:smallCaps w:val="0"/>
                <w:snapToGrid w:val="0"/>
                <w:color w:val="auto"/>
                <w:spacing w:val="0"/>
                <w:highlight w:val="none"/>
              </w:rPr>
              <w:t>阴阳离子比</w:t>
            </w:r>
          </w:p>
        </w:tc>
        <w:tc>
          <w:tcPr>
            <w:tcW w:w="1844" w:type="dxa"/>
            <w:vAlign w:val="center"/>
          </w:tcPr>
          <w:p w14:paraId="4E13F95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w:t>
            </w:r>
          </w:p>
        </w:tc>
        <w:tc>
          <w:tcPr>
            <w:tcW w:w="1967" w:type="dxa"/>
            <w:vAlign w:val="center"/>
          </w:tcPr>
          <w:p w14:paraId="749226A3">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0.97</w:t>
            </w:r>
          </w:p>
        </w:tc>
        <w:tc>
          <w:tcPr>
            <w:tcW w:w="2027" w:type="dxa"/>
            <w:vAlign w:val="center"/>
          </w:tcPr>
          <w:p w14:paraId="42D5E10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w:t>
            </w:r>
          </w:p>
        </w:tc>
      </w:tr>
      <w:tr w14:paraId="6A8F7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48" w:type="dxa"/>
            <w:gridSpan w:val="2"/>
            <w:vAlign w:val="center"/>
          </w:tcPr>
          <w:p w14:paraId="42B72734">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6#</w:t>
            </w:r>
          </w:p>
        </w:tc>
        <w:tc>
          <w:tcPr>
            <w:tcW w:w="1844" w:type="dxa"/>
            <w:vAlign w:val="center"/>
          </w:tcPr>
          <w:p w14:paraId="50A52FA3">
            <w:pPr>
              <w:pStyle w:val="77"/>
              <w:widowControl w:val="0"/>
              <w:wordWrap w:val="0"/>
              <w:topLinePunct/>
              <w:adjustRightInd w:val="0"/>
              <w:snapToGrid w:val="0"/>
              <w:rPr>
                <w:caps w:val="0"/>
                <w:smallCaps w:val="0"/>
                <w:snapToGrid w:val="0"/>
                <w:color w:val="auto"/>
                <w:spacing w:val="0"/>
                <w:kern w:val="0"/>
                <w:highlight w:val="none"/>
              </w:rPr>
            </w:pPr>
            <w:r>
              <w:rPr>
                <w:caps w:val="0"/>
                <w:smallCaps w:val="0"/>
                <w:snapToGrid w:val="0"/>
                <w:color w:val="auto"/>
                <w:spacing w:val="0"/>
                <w:kern w:val="0"/>
                <w:highlight w:val="none"/>
              </w:rPr>
              <w:t>mg/L</w:t>
            </w:r>
          </w:p>
        </w:tc>
        <w:tc>
          <w:tcPr>
            <w:tcW w:w="1967" w:type="dxa"/>
            <w:vAlign w:val="center"/>
          </w:tcPr>
          <w:p w14:paraId="4BD1D66C">
            <w:pPr>
              <w:pStyle w:val="77"/>
              <w:widowControl w:val="0"/>
              <w:wordWrap w:val="0"/>
              <w:topLinePunct/>
              <w:adjustRightInd w:val="0"/>
              <w:snapToGrid w:val="0"/>
              <w:rPr>
                <w:caps w:val="0"/>
                <w:smallCaps w:val="0"/>
                <w:snapToGrid w:val="0"/>
                <w:color w:val="auto"/>
                <w:spacing w:val="0"/>
                <w:kern w:val="0"/>
                <w:highlight w:val="none"/>
              </w:rPr>
            </w:pPr>
            <w:r>
              <w:rPr>
                <w:caps w:val="0"/>
                <w:smallCaps w:val="0"/>
                <w:snapToGrid w:val="0"/>
                <w:color w:val="auto"/>
                <w:spacing w:val="0"/>
                <w:kern w:val="0"/>
                <w:highlight w:val="none"/>
              </w:rPr>
              <w:t>mg/L</w:t>
            </w:r>
          </w:p>
        </w:tc>
        <w:tc>
          <w:tcPr>
            <w:tcW w:w="2027" w:type="dxa"/>
            <w:vAlign w:val="center"/>
          </w:tcPr>
          <w:p w14:paraId="6A6A632C">
            <w:pPr>
              <w:pStyle w:val="77"/>
              <w:widowControl w:val="0"/>
              <w:wordWrap w:val="0"/>
              <w:topLinePunct/>
              <w:adjustRightInd w:val="0"/>
              <w:snapToGrid w:val="0"/>
              <w:rPr>
                <w:caps w:val="0"/>
                <w:smallCaps w:val="0"/>
                <w:snapToGrid w:val="0"/>
                <w:color w:val="auto"/>
                <w:spacing w:val="0"/>
                <w:kern w:val="0"/>
                <w:highlight w:val="none"/>
              </w:rPr>
            </w:pPr>
            <w:r>
              <w:rPr>
                <w:caps w:val="0"/>
                <w:smallCaps w:val="0"/>
                <w:snapToGrid w:val="0"/>
                <w:color w:val="auto"/>
                <w:spacing w:val="0"/>
                <w:kern w:val="0"/>
                <w:highlight w:val="none"/>
              </w:rPr>
              <w:t>meq/L</w:t>
            </w:r>
          </w:p>
        </w:tc>
      </w:tr>
      <w:tr w14:paraId="2E76B6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restart"/>
            <w:vAlign w:val="center"/>
          </w:tcPr>
          <w:p w14:paraId="33C4C377">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阳</w:t>
            </w:r>
          </w:p>
          <w:p w14:paraId="11CA6EA8">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离</w:t>
            </w:r>
          </w:p>
          <w:p w14:paraId="0C2C7F51">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子</w:t>
            </w:r>
          </w:p>
        </w:tc>
        <w:tc>
          <w:tcPr>
            <w:tcW w:w="2204" w:type="dxa"/>
            <w:vMerge w:val="restart"/>
            <w:vAlign w:val="center"/>
          </w:tcPr>
          <w:p w14:paraId="25E40E5A">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K</w:t>
            </w:r>
            <w:r>
              <w:rPr>
                <w:caps w:val="0"/>
                <w:smallCaps w:val="0"/>
                <w:snapToGrid w:val="0"/>
                <w:color w:val="auto"/>
                <w:spacing w:val="0"/>
                <w:kern w:val="0"/>
                <w:szCs w:val="21"/>
                <w:highlight w:val="none"/>
                <w:vertAlign w:val="superscript"/>
              </w:rPr>
              <w:t>+</w:t>
            </w:r>
            <w:r>
              <w:rPr>
                <w:caps w:val="0"/>
                <w:smallCaps w:val="0"/>
                <w:snapToGrid w:val="0"/>
                <w:color w:val="auto"/>
                <w:spacing w:val="0"/>
                <w:kern w:val="0"/>
                <w:szCs w:val="21"/>
                <w:highlight w:val="none"/>
              </w:rPr>
              <w:t>+Na</w:t>
            </w:r>
            <w:r>
              <w:rPr>
                <w:caps w:val="0"/>
                <w:smallCaps w:val="0"/>
                <w:snapToGrid w:val="0"/>
                <w:color w:val="auto"/>
                <w:spacing w:val="0"/>
                <w:kern w:val="0"/>
                <w:szCs w:val="21"/>
                <w:highlight w:val="none"/>
                <w:vertAlign w:val="superscript"/>
              </w:rPr>
              <w:t>+</w:t>
            </w:r>
          </w:p>
          <w:p w14:paraId="39E9597A">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Ca</w:t>
            </w:r>
            <w:r>
              <w:rPr>
                <w:caps w:val="0"/>
                <w:smallCaps w:val="0"/>
                <w:snapToGrid w:val="0"/>
                <w:color w:val="auto"/>
                <w:spacing w:val="0"/>
                <w:kern w:val="0"/>
                <w:szCs w:val="21"/>
                <w:highlight w:val="none"/>
                <w:vertAlign w:val="superscript"/>
              </w:rPr>
              <w:t>2+</w:t>
            </w:r>
          </w:p>
          <w:p w14:paraId="4AE6AC24">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Mg</w:t>
            </w:r>
            <w:r>
              <w:rPr>
                <w:caps w:val="0"/>
                <w:smallCaps w:val="0"/>
                <w:snapToGrid w:val="0"/>
                <w:color w:val="auto"/>
                <w:spacing w:val="0"/>
                <w:kern w:val="0"/>
                <w:szCs w:val="21"/>
                <w:highlight w:val="none"/>
                <w:vertAlign w:val="superscript"/>
              </w:rPr>
              <w:t>2+</w:t>
            </w:r>
          </w:p>
        </w:tc>
        <w:tc>
          <w:tcPr>
            <w:tcW w:w="1844" w:type="dxa"/>
            <w:vAlign w:val="center"/>
          </w:tcPr>
          <w:p w14:paraId="3FD0EE11">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11.3</w:t>
            </w:r>
          </w:p>
        </w:tc>
        <w:tc>
          <w:tcPr>
            <w:tcW w:w="1967" w:type="dxa"/>
            <w:vAlign w:val="center"/>
          </w:tcPr>
          <w:p w14:paraId="0B7ACD1E">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0.42</w:t>
            </w:r>
          </w:p>
        </w:tc>
        <w:tc>
          <w:tcPr>
            <w:tcW w:w="2027" w:type="dxa"/>
            <w:vAlign w:val="center"/>
          </w:tcPr>
          <w:p w14:paraId="4DB898DA">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11.23</w:t>
            </w:r>
          </w:p>
        </w:tc>
      </w:tr>
      <w:tr w14:paraId="288FA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7EEE6156">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5A72B06E">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6269506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33.2</w:t>
            </w:r>
          </w:p>
        </w:tc>
        <w:tc>
          <w:tcPr>
            <w:tcW w:w="1967" w:type="dxa"/>
            <w:vAlign w:val="center"/>
          </w:tcPr>
          <w:p w14:paraId="227150AD">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1.66</w:t>
            </w:r>
          </w:p>
        </w:tc>
        <w:tc>
          <w:tcPr>
            <w:tcW w:w="2027" w:type="dxa"/>
            <w:vAlign w:val="center"/>
          </w:tcPr>
          <w:p w14:paraId="356C32AE">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44.30</w:t>
            </w:r>
          </w:p>
        </w:tc>
      </w:tr>
      <w:tr w14:paraId="35F6DA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3E4B6484">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648EF3BA">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0ED80CA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20</w:t>
            </w:r>
          </w:p>
        </w:tc>
        <w:tc>
          <w:tcPr>
            <w:tcW w:w="1967" w:type="dxa"/>
            <w:vAlign w:val="center"/>
          </w:tcPr>
          <w:p w14:paraId="08CC76A5">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1.67</w:t>
            </w:r>
          </w:p>
        </w:tc>
        <w:tc>
          <w:tcPr>
            <w:tcW w:w="2027" w:type="dxa"/>
            <w:vAlign w:val="center"/>
          </w:tcPr>
          <w:p w14:paraId="733F630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44.47</w:t>
            </w:r>
          </w:p>
        </w:tc>
      </w:tr>
      <w:tr w14:paraId="576DDC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tcBorders>
              <w:bottom w:val="single" w:color="auto" w:sz="8" w:space="0"/>
            </w:tcBorders>
            <w:vAlign w:val="center"/>
          </w:tcPr>
          <w:p w14:paraId="0FBD1F7D">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tcBorders>
              <w:bottom w:val="single" w:color="auto" w:sz="8" w:space="0"/>
            </w:tcBorders>
            <w:vAlign w:val="center"/>
          </w:tcPr>
          <w:p w14:paraId="31947777">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总计</w:t>
            </w:r>
          </w:p>
        </w:tc>
        <w:tc>
          <w:tcPr>
            <w:tcW w:w="1844" w:type="dxa"/>
            <w:tcBorders>
              <w:bottom w:val="single" w:color="auto" w:sz="8" w:space="0"/>
            </w:tcBorders>
            <w:vAlign w:val="center"/>
          </w:tcPr>
          <w:p w14:paraId="48C5ADD5">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64.5</w:t>
            </w:r>
          </w:p>
        </w:tc>
        <w:tc>
          <w:tcPr>
            <w:tcW w:w="1967" w:type="dxa"/>
            <w:tcBorders>
              <w:bottom w:val="single" w:color="auto" w:sz="8" w:space="0"/>
            </w:tcBorders>
            <w:vAlign w:val="center"/>
          </w:tcPr>
          <w:p w14:paraId="2185B548">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3.75</w:t>
            </w:r>
          </w:p>
        </w:tc>
        <w:tc>
          <w:tcPr>
            <w:tcW w:w="2027" w:type="dxa"/>
            <w:tcBorders>
              <w:bottom w:val="single" w:color="auto" w:sz="8" w:space="0"/>
            </w:tcBorders>
            <w:vAlign w:val="center"/>
          </w:tcPr>
          <w:p w14:paraId="2C274C8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100.00</w:t>
            </w:r>
          </w:p>
        </w:tc>
      </w:tr>
      <w:tr w14:paraId="434670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restart"/>
            <w:tcBorders>
              <w:top w:val="single" w:color="auto" w:sz="8" w:space="0"/>
            </w:tcBorders>
            <w:vAlign w:val="center"/>
          </w:tcPr>
          <w:p w14:paraId="097EDB25">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阴</w:t>
            </w:r>
          </w:p>
          <w:p w14:paraId="709EF6D7">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离</w:t>
            </w:r>
          </w:p>
          <w:p w14:paraId="323432C2">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子</w:t>
            </w:r>
          </w:p>
        </w:tc>
        <w:tc>
          <w:tcPr>
            <w:tcW w:w="2204" w:type="dxa"/>
            <w:vMerge w:val="restart"/>
            <w:tcBorders>
              <w:top w:val="single" w:color="auto" w:sz="8" w:space="0"/>
            </w:tcBorders>
            <w:vAlign w:val="center"/>
          </w:tcPr>
          <w:p w14:paraId="1BCC49C4">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HCO</w:t>
            </w:r>
            <w:r>
              <w:rPr>
                <w:caps w:val="0"/>
                <w:smallCaps w:val="0"/>
                <w:snapToGrid w:val="0"/>
                <w:color w:val="auto"/>
                <w:spacing w:val="0"/>
                <w:kern w:val="0"/>
                <w:szCs w:val="21"/>
                <w:highlight w:val="none"/>
                <w:vertAlign w:val="subscript"/>
              </w:rPr>
              <w:t>3</w:t>
            </w:r>
            <w:r>
              <w:rPr>
                <w:caps w:val="0"/>
                <w:smallCaps w:val="0"/>
                <w:snapToGrid w:val="0"/>
                <w:color w:val="auto"/>
                <w:spacing w:val="0"/>
                <w:kern w:val="0"/>
                <w:szCs w:val="21"/>
                <w:highlight w:val="none"/>
                <w:vertAlign w:val="superscript"/>
              </w:rPr>
              <w:t>-</w:t>
            </w:r>
          </w:p>
          <w:p w14:paraId="52E4FBC1">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Cl</w:t>
            </w:r>
            <w:r>
              <w:rPr>
                <w:caps w:val="0"/>
                <w:smallCaps w:val="0"/>
                <w:snapToGrid w:val="0"/>
                <w:color w:val="auto"/>
                <w:spacing w:val="0"/>
                <w:kern w:val="0"/>
                <w:szCs w:val="21"/>
                <w:highlight w:val="none"/>
                <w:vertAlign w:val="superscript"/>
              </w:rPr>
              <w:t>-</w:t>
            </w:r>
          </w:p>
          <w:p w14:paraId="4CEFB1FB">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caps w:val="0"/>
                <w:smallCaps w:val="0"/>
                <w:snapToGrid w:val="0"/>
                <w:color w:val="auto"/>
                <w:spacing w:val="0"/>
                <w:kern w:val="0"/>
                <w:szCs w:val="21"/>
                <w:highlight w:val="none"/>
              </w:rPr>
              <w:t>SO</w:t>
            </w:r>
            <w:r>
              <w:rPr>
                <w:caps w:val="0"/>
                <w:smallCaps w:val="0"/>
                <w:snapToGrid w:val="0"/>
                <w:color w:val="auto"/>
                <w:spacing w:val="0"/>
                <w:kern w:val="0"/>
                <w:szCs w:val="21"/>
                <w:highlight w:val="none"/>
                <w:vertAlign w:val="subscript"/>
              </w:rPr>
              <w:t>4</w:t>
            </w:r>
            <w:r>
              <w:rPr>
                <w:caps w:val="0"/>
                <w:smallCaps w:val="0"/>
                <w:snapToGrid w:val="0"/>
                <w:color w:val="auto"/>
                <w:spacing w:val="0"/>
                <w:kern w:val="0"/>
                <w:szCs w:val="21"/>
                <w:highlight w:val="none"/>
                <w:vertAlign w:val="superscript"/>
              </w:rPr>
              <w:t>2-</w:t>
            </w:r>
          </w:p>
          <w:p w14:paraId="3A444BED">
            <w:pPr>
              <w:pStyle w:val="77"/>
              <w:widowControl w:val="0"/>
              <w:wordWrap w:val="0"/>
              <w:topLinePunct/>
              <w:adjustRightInd w:val="0"/>
              <w:snapToGrid w:val="0"/>
              <w:rPr>
                <w:caps w:val="0"/>
                <w:smallCaps w:val="0"/>
                <w:snapToGrid w:val="0"/>
                <w:color w:val="auto"/>
                <w:spacing w:val="0"/>
                <w:kern w:val="0"/>
                <w:szCs w:val="21"/>
                <w:highlight w:val="none"/>
                <w:vertAlign w:val="superscript"/>
              </w:rPr>
            </w:pPr>
            <w:r>
              <w:rPr>
                <w:rFonts w:hint="eastAsia"/>
                <w:caps w:val="0"/>
                <w:smallCaps w:val="0"/>
                <w:snapToGrid w:val="0"/>
                <w:color w:val="auto"/>
                <w:spacing w:val="0"/>
                <w:kern w:val="0"/>
                <w:szCs w:val="21"/>
                <w:highlight w:val="none"/>
              </w:rPr>
              <w:t>C</w:t>
            </w:r>
            <w:r>
              <w:rPr>
                <w:caps w:val="0"/>
                <w:smallCaps w:val="0"/>
                <w:snapToGrid w:val="0"/>
                <w:color w:val="auto"/>
                <w:spacing w:val="0"/>
                <w:kern w:val="0"/>
                <w:szCs w:val="21"/>
                <w:highlight w:val="none"/>
              </w:rPr>
              <w:t>O</w:t>
            </w:r>
            <w:r>
              <w:rPr>
                <w:rFonts w:hint="eastAsia"/>
                <w:caps w:val="0"/>
                <w:smallCaps w:val="0"/>
                <w:snapToGrid w:val="0"/>
                <w:color w:val="auto"/>
                <w:spacing w:val="0"/>
                <w:kern w:val="0"/>
                <w:szCs w:val="21"/>
                <w:highlight w:val="none"/>
                <w:vertAlign w:val="subscript"/>
              </w:rPr>
              <w:t>3</w:t>
            </w:r>
            <w:r>
              <w:rPr>
                <w:caps w:val="0"/>
                <w:smallCaps w:val="0"/>
                <w:snapToGrid w:val="0"/>
                <w:color w:val="auto"/>
                <w:spacing w:val="0"/>
                <w:kern w:val="0"/>
                <w:szCs w:val="21"/>
                <w:highlight w:val="none"/>
                <w:vertAlign w:val="superscript"/>
              </w:rPr>
              <w:t>2-</w:t>
            </w:r>
          </w:p>
        </w:tc>
        <w:tc>
          <w:tcPr>
            <w:tcW w:w="1844" w:type="dxa"/>
            <w:tcBorders>
              <w:top w:val="single" w:color="auto" w:sz="8" w:space="0"/>
            </w:tcBorders>
            <w:vAlign w:val="center"/>
          </w:tcPr>
          <w:p w14:paraId="243A650D">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155</w:t>
            </w:r>
          </w:p>
        </w:tc>
        <w:tc>
          <w:tcPr>
            <w:tcW w:w="1967" w:type="dxa"/>
            <w:tcBorders>
              <w:top w:val="single" w:color="auto" w:sz="8" w:space="0"/>
            </w:tcBorders>
            <w:vAlign w:val="center"/>
          </w:tcPr>
          <w:p w14:paraId="76699C03">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2.54</w:t>
            </w:r>
          </w:p>
        </w:tc>
        <w:tc>
          <w:tcPr>
            <w:tcW w:w="2027" w:type="dxa"/>
            <w:tcBorders>
              <w:top w:val="single" w:color="auto" w:sz="8" w:space="0"/>
            </w:tcBorders>
            <w:vAlign w:val="center"/>
          </w:tcPr>
          <w:p w14:paraId="0DEE2436">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57.66</w:t>
            </w:r>
          </w:p>
        </w:tc>
      </w:tr>
      <w:tr w14:paraId="2E55B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5DC05AB7">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356E0F4B">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278A3018">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37.4</w:t>
            </w:r>
          </w:p>
        </w:tc>
        <w:tc>
          <w:tcPr>
            <w:tcW w:w="1967" w:type="dxa"/>
            <w:vAlign w:val="center"/>
          </w:tcPr>
          <w:p w14:paraId="5C06FD79">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1.05</w:t>
            </w:r>
          </w:p>
        </w:tc>
        <w:tc>
          <w:tcPr>
            <w:tcW w:w="2027" w:type="dxa"/>
            <w:vAlign w:val="center"/>
          </w:tcPr>
          <w:p w14:paraId="637FE980">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23.91</w:t>
            </w:r>
          </w:p>
        </w:tc>
      </w:tr>
      <w:tr w14:paraId="76E93C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43DCDD58">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3937FADA">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49B41DFD">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39</w:t>
            </w:r>
          </w:p>
        </w:tc>
        <w:tc>
          <w:tcPr>
            <w:tcW w:w="1967" w:type="dxa"/>
            <w:vAlign w:val="center"/>
          </w:tcPr>
          <w:p w14:paraId="0B52D71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0.813</w:t>
            </w:r>
          </w:p>
        </w:tc>
        <w:tc>
          <w:tcPr>
            <w:tcW w:w="2027" w:type="dxa"/>
            <w:vAlign w:val="center"/>
          </w:tcPr>
          <w:p w14:paraId="7321A50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18.44</w:t>
            </w:r>
          </w:p>
        </w:tc>
      </w:tr>
      <w:tr w14:paraId="66CB56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748805E0">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Merge w:val="continue"/>
            <w:vAlign w:val="center"/>
          </w:tcPr>
          <w:p w14:paraId="50944565">
            <w:pPr>
              <w:pStyle w:val="77"/>
              <w:widowControl w:val="0"/>
              <w:wordWrap w:val="0"/>
              <w:topLinePunct/>
              <w:adjustRightInd w:val="0"/>
              <w:snapToGrid w:val="0"/>
              <w:rPr>
                <w:caps w:val="0"/>
                <w:smallCaps w:val="0"/>
                <w:snapToGrid w:val="0"/>
                <w:color w:val="auto"/>
                <w:spacing w:val="0"/>
                <w:kern w:val="0"/>
                <w:szCs w:val="21"/>
                <w:highlight w:val="none"/>
              </w:rPr>
            </w:pPr>
          </w:p>
        </w:tc>
        <w:tc>
          <w:tcPr>
            <w:tcW w:w="1844" w:type="dxa"/>
            <w:vAlign w:val="center"/>
          </w:tcPr>
          <w:p w14:paraId="2E76F8F2">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w:t>
            </w:r>
          </w:p>
        </w:tc>
        <w:tc>
          <w:tcPr>
            <w:tcW w:w="1967" w:type="dxa"/>
            <w:vAlign w:val="center"/>
          </w:tcPr>
          <w:p w14:paraId="701DC847">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0</w:t>
            </w:r>
          </w:p>
        </w:tc>
        <w:tc>
          <w:tcPr>
            <w:tcW w:w="2027" w:type="dxa"/>
            <w:vAlign w:val="center"/>
          </w:tcPr>
          <w:p w14:paraId="59246428">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rPr>
              <w:t>0</w:t>
            </w:r>
          </w:p>
        </w:tc>
      </w:tr>
      <w:tr w14:paraId="65013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4" w:type="dxa"/>
            <w:vMerge w:val="continue"/>
            <w:vAlign w:val="center"/>
          </w:tcPr>
          <w:p w14:paraId="653B6E26">
            <w:pPr>
              <w:pStyle w:val="77"/>
              <w:widowControl w:val="0"/>
              <w:wordWrap w:val="0"/>
              <w:topLinePunct/>
              <w:adjustRightInd w:val="0"/>
              <w:snapToGrid w:val="0"/>
              <w:rPr>
                <w:caps w:val="0"/>
                <w:smallCaps w:val="0"/>
                <w:snapToGrid w:val="0"/>
                <w:color w:val="auto"/>
                <w:spacing w:val="0"/>
                <w:kern w:val="0"/>
                <w:szCs w:val="21"/>
                <w:highlight w:val="none"/>
              </w:rPr>
            </w:pPr>
          </w:p>
        </w:tc>
        <w:tc>
          <w:tcPr>
            <w:tcW w:w="2204" w:type="dxa"/>
            <w:vAlign w:val="center"/>
          </w:tcPr>
          <w:p w14:paraId="229291B3">
            <w:pPr>
              <w:pStyle w:val="77"/>
              <w:widowControl w:val="0"/>
              <w:wordWrap w:val="0"/>
              <w:topLinePunct/>
              <w:adjustRightInd w:val="0"/>
              <w:snapToGrid w:val="0"/>
              <w:rPr>
                <w:caps w:val="0"/>
                <w:smallCaps w:val="0"/>
                <w:snapToGrid w:val="0"/>
                <w:color w:val="auto"/>
                <w:spacing w:val="0"/>
                <w:kern w:val="0"/>
                <w:szCs w:val="21"/>
                <w:highlight w:val="none"/>
              </w:rPr>
            </w:pPr>
            <w:r>
              <w:rPr>
                <w:caps w:val="0"/>
                <w:smallCaps w:val="0"/>
                <w:snapToGrid w:val="0"/>
                <w:color w:val="auto"/>
                <w:spacing w:val="0"/>
                <w:kern w:val="0"/>
                <w:szCs w:val="21"/>
                <w:highlight w:val="none"/>
              </w:rPr>
              <w:t>总计</w:t>
            </w:r>
          </w:p>
        </w:tc>
        <w:tc>
          <w:tcPr>
            <w:tcW w:w="1844" w:type="dxa"/>
            <w:vAlign w:val="center"/>
          </w:tcPr>
          <w:p w14:paraId="2CE43740">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231.4</w:t>
            </w:r>
          </w:p>
        </w:tc>
        <w:tc>
          <w:tcPr>
            <w:tcW w:w="1967" w:type="dxa"/>
            <w:vAlign w:val="center"/>
          </w:tcPr>
          <w:p w14:paraId="1A0D778B">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rPr>
              <w:t>4.41</w:t>
            </w:r>
          </w:p>
        </w:tc>
        <w:tc>
          <w:tcPr>
            <w:tcW w:w="2027" w:type="dxa"/>
            <w:vAlign w:val="center"/>
          </w:tcPr>
          <w:p w14:paraId="66BD1641">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100.00</w:t>
            </w:r>
          </w:p>
        </w:tc>
      </w:tr>
      <w:tr w14:paraId="1FCBC5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48" w:type="dxa"/>
            <w:gridSpan w:val="2"/>
            <w:tcBorders>
              <w:bottom w:val="single" w:color="auto" w:sz="8" w:space="0"/>
            </w:tcBorders>
            <w:vAlign w:val="center"/>
          </w:tcPr>
          <w:p w14:paraId="19EC16F6">
            <w:pPr>
              <w:widowControl w:val="0"/>
              <w:wordWrap w:val="0"/>
              <w:topLinePunct/>
              <w:adjustRightInd w:val="0"/>
              <w:snapToGrid w:val="0"/>
              <w:jc w:val="center"/>
              <w:rPr>
                <w:rFonts w:ascii="Times New Roman" w:hAnsi="Times New Roman" w:eastAsia="宋体" w:cs="Times New Roman"/>
                <w:caps w:val="0"/>
                <w:smallCaps w:val="0"/>
                <w:snapToGrid w:val="0"/>
                <w:color w:val="auto"/>
                <w:spacing w:val="0"/>
                <w:kern w:val="0"/>
                <w:highlight w:val="none"/>
              </w:rPr>
            </w:pPr>
            <w:r>
              <w:rPr>
                <w:rFonts w:ascii="Times New Roman" w:hAnsi="Times New Roman" w:eastAsia="仿宋" w:cs="Times New Roman"/>
                <w:caps w:val="0"/>
                <w:smallCaps w:val="0"/>
                <w:snapToGrid w:val="0"/>
                <w:color w:val="auto"/>
                <w:spacing w:val="0"/>
                <w:highlight w:val="none"/>
              </w:rPr>
              <w:t>阴阳离子比</w:t>
            </w:r>
          </w:p>
        </w:tc>
        <w:tc>
          <w:tcPr>
            <w:tcW w:w="1844" w:type="dxa"/>
            <w:tcBorders>
              <w:bottom w:val="single" w:color="auto" w:sz="8" w:space="0"/>
            </w:tcBorders>
            <w:vAlign w:val="center"/>
          </w:tcPr>
          <w:p w14:paraId="4C81D3AF">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w:t>
            </w:r>
          </w:p>
        </w:tc>
        <w:tc>
          <w:tcPr>
            <w:tcW w:w="1967" w:type="dxa"/>
            <w:tcBorders>
              <w:bottom w:val="single" w:color="auto" w:sz="8" w:space="0"/>
            </w:tcBorders>
            <w:vAlign w:val="center"/>
          </w:tcPr>
          <w:p w14:paraId="1DF7795E">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rPr>
            </w:pPr>
            <w:r>
              <w:rPr>
                <w:rFonts w:hint="eastAsia" w:ascii="Times New Roman" w:hAnsi="Times New Roman" w:eastAsia="宋体" w:cs="Times New Roman"/>
                <w:caps w:val="0"/>
                <w:smallCaps w:val="0"/>
                <w:snapToGrid w:val="0"/>
                <w:color w:val="auto"/>
                <w:spacing w:val="0"/>
                <w:kern w:val="0"/>
                <w:sz w:val="21"/>
                <w:highlight w:val="none"/>
                <w:lang w:bidi="ar"/>
              </w:rPr>
              <w:t>0.85</w:t>
            </w:r>
          </w:p>
        </w:tc>
        <w:tc>
          <w:tcPr>
            <w:tcW w:w="2027" w:type="dxa"/>
            <w:tcBorders>
              <w:bottom w:val="single" w:color="auto" w:sz="8" w:space="0"/>
            </w:tcBorders>
            <w:vAlign w:val="center"/>
          </w:tcPr>
          <w:p w14:paraId="7B1D207C">
            <w:pPr>
              <w:widowControl w:val="0"/>
              <w:adjustRightInd w:val="0"/>
              <w:snapToGrid w:val="0"/>
              <w:jc w:val="center"/>
              <w:textAlignment w:val="center"/>
              <w:rPr>
                <w:rFonts w:ascii="Times New Roman" w:hAnsi="Times New Roman" w:eastAsia="宋体" w:cs="Times New Roman"/>
                <w:caps w:val="0"/>
                <w:smallCaps w:val="0"/>
                <w:snapToGrid w:val="0"/>
                <w:color w:val="auto"/>
                <w:spacing w:val="0"/>
                <w:kern w:val="0"/>
                <w:sz w:val="21"/>
                <w:highlight w:val="none"/>
                <w:lang w:bidi="ar"/>
              </w:rPr>
            </w:pPr>
            <w:r>
              <w:rPr>
                <w:rFonts w:hint="eastAsia" w:ascii="Times New Roman" w:hAnsi="Times New Roman" w:eastAsia="宋体" w:cs="Times New Roman"/>
                <w:caps w:val="0"/>
                <w:smallCaps w:val="0"/>
                <w:snapToGrid w:val="0"/>
                <w:color w:val="auto"/>
                <w:spacing w:val="0"/>
                <w:kern w:val="0"/>
                <w:sz w:val="21"/>
                <w:highlight w:val="none"/>
                <w:lang w:bidi="ar"/>
              </w:rPr>
              <w:t>/</w:t>
            </w:r>
          </w:p>
        </w:tc>
      </w:tr>
    </w:tbl>
    <w:p w14:paraId="3D7F26DA">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lang w:bidi="ar"/>
        </w:rPr>
      </w:pPr>
      <w:r>
        <w:rPr>
          <w:rFonts w:ascii="Times New Roman" w:hAnsi="Times New Roman" w:eastAsia="宋体" w:cs="Times New Roman"/>
          <w:caps w:val="0"/>
          <w:smallCaps w:val="0"/>
          <w:color w:val="auto"/>
          <w:spacing w:val="0"/>
          <w:szCs w:val="24"/>
          <w:highlight w:val="none"/>
          <w:lang w:bidi="ar"/>
        </w:rPr>
        <w:t>由上表可知，含量大于25%的阳离子毫克当量百分比最大的是</w:t>
      </w:r>
      <w:r>
        <w:rPr>
          <w:rFonts w:ascii="Times New Roman" w:hAnsi="Times New Roman" w:eastAsia="宋体" w:cs="Times New Roman"/>
          <w:caps w:val="0"/>
          <w:smallCaps w:val="0"/>
          <w:color w:val="auto"/>
          <w:spacing w:val="0"/>
          <w:szCs w:val="24"/>
          <w:highlight w:val="none"/>
        </w:rPr>
        <w:t>Ca</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、Mg</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lang w:bidi="ar"/>
        </w:rPr>
        <w:t>，含量大于25%的阴离子毫克当量百分比最大的是</w:t>
      </w:r>
      <w:r>
        <w:rPr>
          <w:rFonts w:ascii="Times New Roman" w:hAnsi="Times New Roman" w:eastAsia="宋体" w:cs="Times New Roman"/>
          <w:caps w:val="0"/>
          <w:smallCaps w:val="0"/>
          <w:color w:val="auto"/>
          <w:spacing w:val="0"/>
          <w:szCs w:val="24"/>
          <w:highlight w:val="none"/>
        </w:rPr>
        <w:t>HCO</w:t>
      </w:r>
      <w:r>
        <w:rPr>
          <w:rFonts w:ascii="Times New Roman" w:hAnsi="Times New Roman" w:eastAsia="宋体" w:cs="Times New Roman"/>
          <w:caps w:val="0"/>
          <w:smallCaps w:val="0"/>
          <w:color w:val="auto"/>
          <w:spacing w:val="0"/>
          <w:szCs w:val="24"/>
          <w:highlight w:val="none"/>
          <w:vertAlign w:val="subscript"/>
        </w:rPr>
        <w:t>3</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lang w:bidi="ar"/>
        </w:rPr>
        <w:t>，结合舒卡列夫分类表，确定评价区地下水化学类型为</w:t>
      </w:r>
      <w:r>
        <w:rPr>
          <w:rFonts w:ascii="Times New Roman" w:hAnsi="Times New Roman" w:eastAsia="宋体" w:cs="Times New Roman"/>
          <w:caps w:val="0"/>
          <w:smallCaps w:val="0"/>
          <w:color w:val="auto"/>
          <w:spacing w:val="0"/>
          <w:szCs w:val="24"/>
          <w:highlight w:val="none"/>
        </w:rPr>
        <w:t>HCO</w:t>
      </w:r>
      <w:r>
        <w:rPr>
          <w:rFonts w:ascii="Times New Roman" w:hAnsi="Times New Roman" w:eastAsia="宋体" w:cs="Times New Roman"/>
          <w:caps w:val="0"/>
          <w:smallCaps w:val="0"/>
          <w:color w:val="auto"/>
          <w:spacing w:val="0"/>
          <w:szCs w:val="24"/>
          <w:highlight w:val="none"/>
          <w:vertAlign w:val="subscript"/>
        </w:rPr>
        <w:t>3</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rPr>
        <w:t>-Ca</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-Mg</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lang w:bidi="ar"/>
        </w:rPr>
        <w:t>型水。</w:t>
      </w:r>
    </w:p>
    <w:p w14:paraId="4559B7F0">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lang w:val="zh-CN"/>
        </w:rPr>
      </w:pPr>
      <w:r>
        <w:rPr>
          <w:rFonts w:ascii="Times New Roman" w:hAnsi="Times New Roman" w:eastAsia="宋体" w:cs="Times New Roman"/>
          <w:caps w:val="0"/>
          <w:smallCaps w:val="0"/>
          <w:color w:val="auto"/>
          <w:spacing w:val="0"/>
          <w:szCs w:val="24"/>
          <w:highlight w:val="none"/>
          <w:lang w:val="zh-CN"/>
        </w:rPr>
        <w:t>（3）</w:t>
      </w:r>
      <w:r>
        <w:rPr>
          <w:rFonts w:ascii="Times New Roman" w:hAnsi="Times New Roman" w:eastAsia="宋体" w:cs="Times New Roman"/>
          <w:caps w:val="0"/>
          <w:smallCaps w:val="0"/>
          <w:color w:val="auto"/>
          <w:spacing w:val="0"/>
          <w:szCs w:val="24"/>
          <w:highlight w:val="none"/>
          <w:lang w:bidi="ar"/>
        </w:rPr>
        <w:t>地下水环境现状评价结论</w:t>
      </w:r>
    </w:p>
    <w:p w14:paraId="53FA0939">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lang w:bidi="ar"/>
        </w:rPr>
        <w:t>根据地下水环境现状评价，项目评价区域各监测点监测因子均符合《地下水质量标准》（GB/T14848-2017）中Ⅲ类标准。</w:t>
      </w:r>
      <w:bookmarkEnd w:id="146"/>
    </w:p>
    <w:p w14:paraId="003D225B">
      <w:pPr>
        <w:pStyle w:val="5"/>
        <w:widowControl w:val="0"/>
        <w:rPr>
          <w:rFonts w:eastAsia="宋体"/>
          <w:caps w:val="0"/>
          <w:smallCaps w:val="0"/>
          <w:color w:val="auto"/>
          <w:spacing w:val="0"/>
          <w:sz w:val="30"/>
          <w:szCs w:val="30"/>
          <w:highlight w:val="none"/>
        </w:rPr>
      </w:pPr>
      <w:bookmarkStart w:id="148" w:name="_Toc17701"/>
      <w:r>
        <w:rPr>
          <w:rFonts w:eastAsia="宋体"/>
          <w:caps w:val="0"/>
          <w:smallCaps w:val="0"/>
          <w:color w:val="auto"/>
          <w:spacing w:val="0"/>
          <w:sz w:val="30"/>
          <w:szCs w:val="30"/>
          <w:highlight w:val="none"/>
        </w:rPr>
        <w:t>4.4.5土壤环境质量现状评价</w:t>
      </w:r>
      <w:bookmarkEnd w:id="148"/>
    </w:p>
    <w:p w14:paraId="7EB0BE0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（1）监测范围及监测点位</w:t>
      </w:r>
    </w:p>
    <w:p w14:paraId="1CDC678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依据《环境影响评价技术导则-土壤环境（试行）》（HJ964-2018）中土壤现状调查与评价要求，进行监测布点，本项目为三级评价项目，项目所在区只有一种土壤类型为</w:t>
      </w:r>
      <w:r>
        <w:rPr>
          <w:rFonts w:hint="eastAsia" w:ascii="Times New Roman" w:hAnsi="Times New Roman" w:eastAsia="宋体" w:cs="Times New Roman"/>
          <w:caps w:val="0"/>
          <w:smallCaps w:val="0"/>
          <w:color w:val="auto"/>
          <w:spacing w:val="0"/>
          <w:highlight w:val="none"/>
        </w:rPr>
        <w:t>草甸</w:t>
      </w:r>
      <w:r>
        <w:rPr>
          <w:rFonts w:ascii="Times New Roman" w:hAnsi="Times New Roman" w:eastAsia="宋体" w:cs="Times New Roman"/>
          <w:caps w:val="0"/>
          <w:smallCaps w:val="0"/>
          <w:color w:val="auto"/>
          <w:spacing w:val="0"/>
          <w:highlight w:val="none"/>
        </w:rPr>
        <w:t>土，在项目占地范围内共布设3个表层监测点，</w:t>
      </w:r>
      <w:r>
        <w:rPr>
          <w:rFonts w:ascii="Times New Roman" w:hAnsi="Times New Roman" w:eastAsia="宋体" w:cs="Times New Roman"/>
          <w:caps w:val="0"/>
          <w:smallCaps w:val="0"/>
          <w:color w:val="auto"/>
          <w:spacing w:val="0"/>
          <w:highlight w:val="none"/>
        </w:rPr>
        <w:t>表层土样(0~20cm)，在厂区边界处设置2个表层监测点，表层土样(0~20cm)，监测点位见图4.4-4。</w:t>
      </w:r>
    </w:p>
    <w:p w14:paraId="1BFCD6E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anchor distT="0" distB="0" distL="114300" distR="114300" simplePos="0" relativeHeight="251678720" behindDoc="0" locked="0" layoutInCell="1" allowOverlap="1">
            <wp:simplePos x="0" y="0"/>
            <wp:positionH relativeFrom="column">
              <wp:posOffset>4284980</wp:posOffset>
            </wp:positionH>
            <wp:positionV relativeFrom="paragraph">
              <wp:posOffset>2937510</wp:posOffset>
            </wp:positionV>
            <wp:extent cx="161925" cy="190500"/>
            <wp:effectExtent l="0" t="0" r="9525" b="0"/>
            <wp:wrapNone/>
            <wp:docPr id="9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7"/>
                    <pic:cNvPicPr>
                      <a:picLocks noChangeAspect="1"/>
                    </pic:cNvPicPr>
                  </pic:nvPicPr>
                  <pic:blipFill>
                    <a:blip r:embed="rId89"/>
                    <a:stretch>
                      <a:fillRect/>
                    </a:stretch>
                  </pic:blipFill>
                  <pic:spPr>
                    <a:xfrm>
                      <a:off x="0" y="0"/>
                      <a:ext cx="161925" cy="190500"/>
                    </a:xfrm>
                    <a:prstGeom prst="rect">
                      <a:avLst/>
                    </a:prstGeom>
                    <a:noFill/>
                    <a:ln>
                      <a:noFill/>
                    </a:ln>
                  </pic:spPr>
                </pic:pic>
              </a:graphicData>
            </a:graphic>
          </wp:anchor>
        </w:drawing>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77696" behindDoc="0" locked="0" layoutInCell="1" allowOverlap="1">
                <wp:simplePos x="0" y="0"/>
                <wp:positionH relativeFrom="column">
                  <wp:posOffset>4232910</wp:posOffset>
                </wp:positionH>
                <wp:positionV relativeFrom="paragraph">
                  <wp:posOffset>2788920</wp:posOffset>
                </wp:positionV>
                <wp:extent cx="274955" cy="104140"/>
                <wp:effectExtent l="12700" t="12700" r="17145" b="16510"/>
                <wp:wrapNone/>
                <wp:docPr id="49" name="矩形 49"/>
                <wp:cNvGraphicFramePr/>
                <a:graphic xmlns:a="http://schemas.openxmlformats.org/drawingml/2006/main">
                  <a:graphicData uri="http://schemas.microsoft.com/office/word/2010/wordprocessingShape">
                    <wps:wsp>
                      <wps:cNvSpPr/>
                      <wps:spPr>
                        <a:xfrm>
                          <a:off x="5133340" y="3689350"/>
                          <a:ext cx="274955" cy="10414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3.3pt;margin-top:219.6pt;height:8.2pt;width:21.65pt;z-index:251677696;v-text-anchor:middle;mso-width-relative:page;mso-height-relative:page;" filled="f" stroked="t" coordsize="21600,21600" o:gfxdata="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LoAfBdoAAAALAQAADwAAAAAAAAABACAAAAAiAAAAZHJzL2Rvd25yZXYu&#10;eG1sUEsBAhQAFAAAAAgAh07iQANBJG1rAgAAwQQAAA4AAAAAAAAAAQAgAAAAKQEAAGRycy9lMm9E&#10;b2MueG1sUEsFBgAAAAAGAAYAWQEAAAYGAAAAAA==&#10;">
                <v:fill on="f" focussize="0,0"/>
                <v:stroke weight="2pt" color="#FF0000 [2404]" joinstyle="round"/>
                <v:imagedata o:title=""/>
                <o:lock v:ext="edit" aspectratio="f"/>
              </v:rect>
            </w:pict>
          </mc:Fallback>
        </mc:AlternateContent>
      </w:r>
      <w:r>
        <w:rPr>
          <w:rFonts w:ascii="Times New Roman" w:hAnsi="Times New Roman" w:eastAsia="宋体" w:cs="Times New Roman"/>
          <w:caps w:val="0"/>
          <w:smallCaps w:val="0"/>
          <w:color w:val="auto"/>
          <w:spacing w:val="0"/>
          <w:highlight w:val="none"/>
        </w:rPr>
        <mc:AlternateContent>
          <mc:Choice Requires="wps">
            <w:drawing>
              <wp:anchor distT="0" distB="0" distL="114300" distR="114300" simplePos="0" relativeHeight="251676672" behindDoc="0" locked="0" layoutInCell="1" allowOverlap="1">
                <wp:simplePos x="0" y="0"/>
                <wp:positionH relativeFrom="column">
                  <wp:posOffset>4184015</wp:posOffset>
                </wp:positionH>
                <wp:positionV relativeFrom="paragraph">
                  <wp:posOffset>2557780</wp:posOffset>
                </wp:positionV>
                <wp:extent cx="886460" cy="608965"/>
                <wp:effectExtent l="5080" t="4445" r="22860" b="15240"/>
                <wp:wrapNone/>
                <wp:docPr id="48" name="文本框 48"/>
                <wp:cNvGraphicFramePr/>
                <a:graphic xmlns:a="http://schemas.openxmlformats.org/drawingml/2006/main">
                  <a:graphicData uri="http://schemas.microsoft.com/office/word/2010/wordprocessingShape">
                    <wps:wsp>
                      <wps:cNvSpPr txBox="1"/>
                      <wps:spPr>
                        <a:xfrm>
                          <a:off x="0" y="0"/>
                          <a:ext cx="886460" cy="6089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0A8F1F2">
                            <w:pPr>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图例</w:t>
                            </w:r>
                          </w:p>
                          <w:p w14:paraId="2ED36A4D">
                            <w:pPr>
                              <w:pStyle w:val="13"/>
                              <w:spacing w:after="0" w:line="360" w:lineRule="auto"/>
                              <w:ind w:firstLine="360" w:firstLineChars="200"/>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项目边</w:t>
                            </w:r>
                            <w:r>
                              <w:rPr>
                                <w:rFonts w:ascii="Times New Roman" w:hAnsi="Times New Roman" w:cs="Times New Roman" w:eastAsiaTheme="minorEastAsia"/>
                                <w:sz w:val="18"/>
                                <w:szCs w:val="18"/>
                              </w:rPr>
                              <w:t>界</w:t>
                            </w:r>
                          </w:p>
                          <w:p w14:paraId="7B9FCEFF">
                            <w:pPr>
                              <w:spacing w:line="360" w:lineRule="auto"/>
                              <w:ind w:firstLine="360" w:firstLineChars="200"/>
                              <w:rPr>
                                <w:rFonts w:ascii="Times New Roman" w:hAnsi="Times New Roman" w:cs="Times New Roman" w:eastAsiaTheme="minorEastAsia"/>
                                <w:sz w:val="18"/>
                                <w:szCs w:val="18"/>
                              </w:rPr>
                            </w:pPr>
                            <w:r>
                              <w:rPr>
                                <w:rFonts w:ascii="Times New Roman" w:hAnsi="Times New Roman" w:cs="Times New Roman" w:eastAsiaTheme="minorEastAsia"/>
                                <w:sz w:val="18"/>
                                <w:szCs w:val="18"/>
                              </w:rPr>
                              <w:t>监测点</w:t>
                            </w:r>
                            <w:r>
                              <w:rPr>
                                <w:rFonts w:hint="eastAsia" w:ascii="Times New Roman" w:hAnsi="Times New Roman" w:cs="Times New Roman" w:eastAsiaTheme="minorEastAsia"/>
                                <w:sz w:val="18"/>
                                <w:szCs w:val="18"/>
                              </w:rPr>
                              <w:t>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45pt;margin-top:201.4pt;height:47.95pt;width:69.8pt;z-index:251676672;mso-width-relative:page;mso-height-relative:page;" fillcolor="#FFFFFF [3201]" filled="t" stroked="t" coordsize="21600,21600" o:gfxdata="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OZFnNkA&#10;AAALAQAADwAAAAAAAAABACAAAAAiAAAAZHJzL2Rvd25yZXYueG1sUEsBAhQAFAAAAAgAh07iQAj1&#10;zl9XAgAAuAQAAA4AAAAAAAAAAQAgAAAAKAEAAGRycy9lMm9Eb2MueG1sUEsFBgAAAAAGAAYAWQEA&#10;APEFAAAAAA==&#10;">
                <v:fill on="t" focussize="0,0"/>
                <v:stroke weight="0.5pt" color="#000000 [3204]" joinstyle="round"/>
                <v:imagedata o:title=""/>
                <o:lock v:ext="edit" aspectratio="f"/>
                <v:textbox>
                  <w:txbxContent>
                    <w:p w14:paraId="30A8F1F2">
                      <w:pPr>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图例</w:t>
                      </w:r>
                    </w:p>
                    <w:p w14:paraId="2ED36A4D">
                      <w:pPr>
                        <w:pStyle w:val="13"/>
                        <w:spacing w:after="0" w:line="360" w:lineRule="auto"/>
                        <w:ind w:firstLine="360" w:firstLineChars="200"/>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项目边</w:t>
                      </w:r>
                      <w:r>
                        <w:rPr>
                          <w:rFonts w:ascii="Times New Roman" w:hAnsi="Times New Roman" w:cs="Times New Roman" w:eastAsiaTheme="minorEastAsia"/>
                          <w:sz w:val="18"/>
                          <w:szCs w:val="18"/>
                        </w:rPr>
                        <w:t>界</w:t>
                      </w:r>
                    </w:p>
                    <w:p w14:paraId="7B9FCEFF">
                      <w:pPr>
                        <w:spacing w:line="360" w:lineRule="auto"/>
                        <w:ind w:firstLine="360" w:firstLineChars="200"/>
                        <w:rPr>
                          <w:rFonts w:ascii="Times New Roman" w:hAnsi="Times New Roman" w:cs="Times New Roman" w:eastAsiaTheme="minorEastAsia"/>
                          <w:sz w:val="18"/>
                          <w:szCs w:val="18"/>
                        </w:rPr>
                      </w:pPr>
                      <w:r>
                        <w:rPr>
                          <w:rFonts w:ascii="Times New Roman" w:hAnsi="Times New Roman" w:cs="Times New Roman" w:eastAsiaTheme="minorEastAsia"/>
                          <w:sz w:val="18"/>
                          <w:szCs w:val="18"/>
                        </w:rPr>
                        <w:t>监测点</w:t>
                      </w:r>
                      <w:r>
                        <w:rPr>
                          <w:rFonts w:hint="eastAsia" w:ascii="Times New Roman" w:hAnsi="Times New Roman" w:cs="Times New Roman" w:eastAsiaTheme="minorEastAsia"/>
                          <w:sz w:val="18"/>
                          <w:szCs w:val="18"/>
                        </w:rPr>
                        <w:t>位</w:t>
                      </w:r>
                    </w:p>
                  </w:txbxContent>
                </v:textbox>
              </v:shape>
            </w:pict>
          </mc:Fallback>
        </mc:AlternateContent>
      </w:r>
      <w:r>
        <w:rPr>
          <w:rFonts w:ascii="Times New Roman" w:hAnsi="Times New Roman" w:eastAsia="宋体" w:cs="Times New Roman"/>
          <w:caps w:val="0"/>
          <w:smallCaps w:val="0"/>
          <w:color w:val="auto"/>
          <w:spacing w:val="0"/>
          <w:highlight w:val="none"/>
        </w:rPr>
        <w:drawing>
          <wp:anchor distT="0" distB="0" distL="114300" distR="114300" simplePos="0" relativeHeight="251675648" behindDoc="0" locked="0" layoutInCell="1" allowOverlap="1">
            <wp:simplePos x="0" y="0"/>
            <wp:positionH relativeFrom="column">
              <wp:posOffset>4554855</wp:posOffset>
            </wp:positionH>
            <wp:positionV relativeFrom="paragraph">
              <wp:posOffset>-1905</wp:posOffset>
            </wp:positionV>
            <wp:extent cx="521335" cy="542925"/>
            <wp:effectExtent l="0" t="0" r="12065" b="9525"/>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521335" cy="542925"/>
                    </a:xfrm>
                    <a:prstGeom prst="rect">
                      <a:avLst/>
                    </a:prstGeom>
                    <a:noFill/>
                    <a:ln>
                      <a:noFill/>
                    </a:ln>
                  </pic:spPr>
                </pic:pic>
              </a:graphicData>
            </a:graphic>
          </wp:anchor>
        </w:drawing>
      </w:r>
      <w:r>
        <w:rPr>
          <w:rFonts w:ascii="Times New Roman" w:hAnsi="Times New Roman" w:eastAsia="宋体" w:cs="Times New Roman"/>
          <w:caps w:val="0"/>
          <w:smallCaps w:val="0"/>
          <w:color w:val="auto"/>
          <w:spacing w:val="0"/>
          <w:highlight w:val="none"/>
        </w:rPr>
        <w:drawing>
          <wp:inline distT="0" distB="0" distL="114300" distR="114300">
            <wp:extent cx="4785360" cy="3173095"/>
            <wp:effectExtent l="0" t="0" r="15240" b="825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0"/>
                    <a:stretch>
                      <a:fillRect/>
                    </a:stretch>
                  </pic:blipFill>
                  <pic:spPr>
                    <a:xfrm>
                      <a:off x="0" y="0"/>
                      <a:ext cx="4785360" cy="3173095"/>
                    </a:xfrm>
                    <a:prstGeom prst="rect">
                      <a:avLst/>
                    </a:prstGeom>
                    <a:noFill/>
                    <a:ln>
                      <a:noFill/>
                    </a:ln>
                  </pic:spPr>
                </pic:pic>
              </a:graphicData>
            </a:graphic>
          </wp:inline>
        </w:drawing>
      </w:r>
    </w:p>
    <w:p w14:paraId="3B13220A">
      <w:pPr>
        <w:widowControl w:val="0"/>
        <w:spacing w:line="360" w:lineRule="auto"/>
        <w:ind w:firstLine="482" w:firstLineChars="20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图4.4-4土壤监测点位图</w:t>
      </w:r>
    </w:p>
    <w:p w14:paraId="1B6E5B1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（2）监测项目</w:t>
      </w:r>
    </w:p>
    <w:p w14:paraId="6E39109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占地范围内评价监测项目为pH、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共46项；厂区边界处评价监测项目为钼、锌、硒、铝、铬、石油烃。</w:t>
      </w:r>
    </w:p>
    <w:p w14:paraId="7E0A1FE8">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kern w:val="0"/>
          <w:szCs w:val="24"/>
          <w:highlight w:val="none"/>
        </w:rPr>
        <w:t>（3）监测分析方法</w:t>
      </w:r>
    </w:p>
    <w:p w14:paraId="6E65916C">
      <w:pPr>
        <w:pStyle w:val="13"/>
        <w:widowControl w:val="0"/>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监测分析方法及仪器见下表</w:t>
      </w:r>
    </w:p>
    <w:p w14:paraId="39795A2F">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表4.4-1</w:t>
      </w:r>
      <w:r>
        <w:rPr>
          <w:rFonts w:hint="eastAsia" w:ascii="Times New Roman" w:hAnsi="Times New Roman" w:eastAsia="宋体" w:cs="Times New Roman"/>
          <w:b/>
          <w:caps w:val="0"/>
          <w:smallCaps w:val="0"/>
          <w:color w:val="auto"/>
          <w:spacing w:val="0"/>
          <w:highlight w:val="none"/>
          <w:lang w:val="en-US" w:eastAsia="zh-CN"/>
        </w:rPr>
        <w:t>4</w:t>
      </w:r>
      <w:r>
        <w:rPr>
          <w:rFonts w:ascii="Times New Roman" w:hAnsi="Times New Roman" w:eastAsia="宋体" w:cs="Times New Roman"/>
          <w:b/>
          <w:bCs/>
          <w:caps w:val="0"/>
          <w:smallCaps w:val="0"/>
          <w:color w:val="auto"/>
          <w:spacing w:val="0"/>
          <w:szCs w:val="24"/>
          <w:highlight w:val="none"/>
        </w:rPr>
        <w:t>检测方法及仪器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3413"/>
        <w:gridCol w:w="1718"/>
        <w:gridCol w:w="1247"/>
        <w:gridCol w:w="1505"/>
      </w:tblGrid>
      <w:tr w14:paraId="5638DB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op w:val="single" w:color="auto" w:sz="8" w:space="0"/>
              <w:bottom w:val="single" w:color="auto" w:sz="8" w:space="0"/>
              <w:tl2br w:val="nil"/>
              <w:tr2bl w:val="nil"/>
            </w:tcBorders>
            <w:shd w:val="clear" w:color="auto" w:fill="auto"/>
            <w:vAlign w:val="center"/>
          </w:tcPr>
          <w:p w14:paraId="148FF9D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3413" w:type="dxa"/>
            <w:tcBorders>
              <w:top w:val="single" w:color="auto" w:sz="8" w:space="0"/>
              <w:bottom w:val="single" w:color="auto" w:sz="8" w:space="0"/>
              <w:tl2br w:val="nil"/>
              <w:tr2bl w:val="nil"/>
            </w:tcBorders>
            <w:shd w:val="clear" w:color="auto" w:fill="auto"/>
            <w:vAlign w:val="center"/>
          </w:tcPr>
          <w:p w14:paraId="6364AAD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分析方法及标准、代号</w:t>
            </w:r>
          </w:p>
        </w:tc>
        <w:tc>
          <w:tcPr>
            <w:tcW w:w="1718" w:type="dxa"/>
            <w:tcBorders>
              <w:top w:val="single" w:color="auto" w:sz="8" w:space="0"/>
              <w:bottom w:val="single" w:color="auto" w:sz="8" w:space="0"/>
              <w:tl2br w:val="nil"/>
              <w:tr2bl w:val="nil"/>
            </w:tcBorders>
            <w:shd w:val="clear" w:color="auto" w:fill="auto"/>
            <w:vAlign w:val="center"/>
          </w:tcPr>
          <w:p w14:paraId="1CF4768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仪器名称</w:t>
            </w:r>
          </w:p>
        </w:tc>
        <w:tc>
          <w:tcPr>
            <w:tcW w:w="1247" w:type="dxa"/>
            <w:tcBorders>
              <w:top w:val="single" w:color="auto" w:sz="8" w:space="0"/>
              <w:bottom w:val="single" w:color="auto" w:sz="8" w:space="0"/>
              <w:tl2br w:val="nil"/>
              <w:tr2bl w:val="nil"/>
            </w:tcBorders>
            <w:shd w:val="clear" w:color="auto" w:fill="auto"/>
            <w:vAlign w:val="center"/>
          </w:tcPr>
          <w:p w14:paraId="441CA68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仪器型号</w:t>
            </w:r>
          </w:p>
        </w:tc>
        <w:tc>
          <w:tcPr>
            <w:tcW w:w="1505" w:type="dxa"/>
            <w:tcBorders>
              <w:top w:val="single" w:color="auto" w:sz="8" w:space="0"/>
              <w:bottom w:val="single" w:color="auto" w:sz="8" w:space="0"/>
              <w:tl2br w:val="nil"/>
              <w:tr2bl w:val="nil"/>
            </w:tcBorders>
            <w:shd w:val="clear" w:color="auto" w:fill="auto"/>
            <w:vAlign w:val="center"/>
          </w:tcPr>
          <w:p w14:paraId="200D171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仪器编号</w:t>
            </w:r>
          </w:p>
        </w:tc>
      </w:tr>
      <w:tr w14:paraId="7B5296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op w:val="single" w:color="auto" w:sz="8" w:space="0"/>
              <w:tl2br w:val="nil"/>
              <w:tr2bl w:val="nil"/>
            </w:tcBorders>
            <w:shd w:val="clear" w:color="auto" w:fill="auto"/>
            <w:vAlign w:val="center"/>
          </w:tcPr>
          <w:p w14:paraId="35DDBC0D">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pH值</w:t>
            </w:r>
          </w:p>
        </w:tc>
        <w:tc>
          <w:tcPr>
            <w:tcW w:w="3413" w:type="dxa"/>
            <w:tcBorders>
              <w:top w:val="single" w:color="auto" w:sz="8" w:space="0"/>
              <w:tl2br w:val="nil"/>
              <w:tr2bl w:val="nil"/>
            </w:tcBorders>
            <w:shd w:val="clear" w:color="auto" w:fill="auto"/>
            <w:vAlign w:val="center"/>
          </w:tcPr>
          <w:p w14:paraId="4F1E0E4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土壤pH的测定（LY/T1377-2007）</w:t>
            </w:r>
          </w:p>
        </w:tc>
        <w:tc>
          <w:tcPr>
            <w:tcW w:w="1718" w:type="dxa"/>
            <w:tcBorders>
              <w:top w:val="single" w:color="auto" w:sz="8" w:space="0"/>
              <w:tl2br w:val="nil"/>
              <w:tr2bl w:val="nil"/>
            </w:tcBorders>
            <w:shd w:val="clear" w:color="auto" w:fill="auto"/>
            <w:vAlign w:val="center"/>
          </w:tcPr>
          <w:p w14:paraId="4596226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pH计</w:t>
            </w:r>
          </w:p>
        </w:tc>
        <w:tc>
          <w:tcPr>
            <w:tcW w:w="1247" w:type="dxa"/>
            <w:tcBorders>
              <w:top w:val="single" w:color="auto" w:sz="8" w:space="0"/>
              <w:tl2br w:val="nil"/>
              <w:tr2bl w:val="nil"/>
            </w:tcBorders>
            <w:shd w:val="clear" w:color="auto" w:fill="auto"/>
            <w:vAlign w:val="center"/>
          </w:tcPr>
          <w:p w14:paraId="406A7BC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pHSJ-3F</w:t>
            </w:r>
          </w:p>
        </w:tc>
        <w:tc>
          <w:tcPr>
            <w:tcW w:w="1505" w:type="dxa"/>
            <w:tcBorders>
              <w:top w:val="single" w:color="auto" w:sz="8" w:space="0"/>
              <w:tl2br w:val="nil"/>
              <w:tr2bl w:val="nil"/>
            </w:tcBorders>
            <w:shd w:val="clear" w:color="auto" w:fill="auto"/>
            <w:vAlign w:val="center"/>
          </w:tcPr>
          <w:p w14:paraId="0C3FB95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ZYJC-YQ-046</w:t>
            </w:r>
          </w:p>
        </w:tc>
      </w:tr>
      <w:tr w14:paraId="70D479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01DD46F1">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镉</w:t>
            </w:r>
          </w:p>
        </w:tc>
        <w:tc>
          <w:tcPr>
            <w:tcW w:w="3413" w:type="dxa"/>
            <w:tcBorders>
              <w:tl2br w:val="nil"/>
              <w:tr2bl w:val="nil"/>
            </w:tcBorders>
            <w:shd w:val="clear" w:color="auto" w:fill="auto"/>
            <w:vAlign w:val="center"/>
          </w:tcPr>
          <w:p w14:paraId="2F82C58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土壤质量铅、镉的测定KI-MIBK萃取火焰原子吸收分光光度法（GB/T17140-1997）</w:t>
            </w:r>
          </w:p>
        </w:tc>
        <w:tc>
          <w:tcPr>
            <w:tcW w:w="1718" w:type="dxa"/>
            <w:tcBorders>
              <w:tl2br w:val="nil"/>
              <w:tr2bl w:val="nil"/>
            </w:tcBorders>
            <w:shd w:val="clear" w:color="auto" w:fill="auto"/>
            <w:vAlign w:val="center"/>
          </w:tcPr>
          <w:p w14:paraId="7284D76D">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1337545">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2941A07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1F553EB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1CA4C0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5EA19D09">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总汞</w:t>
            </w:r>
          </w:p>
        </w:tc>
        <w:tc>
          <w:tcPr>
            <w:tcW w:w="3413" w:type="dxa"/>
            <w:tcBorders>
              <w:tl2br w:val="nil"/>
              <w:tr2bl w:val="nil"/>
            </w:tcBorders>
            <w:shd w:val="clear" w:color="auto" w:fill="auto"/>
            <w:vAlign w:val="center"/>
          </w:tcPr>
          <w:p w14:paraId="230403C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土壤质量总汞、总砷、总铅的测定原子荧光法第1部分：土壤中总汞的测定（GB/T22105.1-2008）</w:t>
            </w:r>
          </w:p>
        </w:tc>
        <w:tc>
          <w:tcPr>
            <w:tcW w:w="1718" w:type="dxa"/>
            <w:tcBorders>
              <w:tl2br w:val="nil"/>
              <w:tr2bl w:val="nil"/>
            </w:tcBorders>
            <w:shd w:val="clear" w:color="auto" w:fill="auto"/>
            <w:vAlign w:val="center"/>
          </w:tcPr>
          <w:p w14:paraId="4BF2083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原子荧光光度计</w:t>
            </w:r>
          </w:p>
        </w:tc>
        <w:tc>
          <w:tcPr>
            <w:tcW w:w="1247" w:type="dxa"/>
            <w:tcBorders>
              <w:tl2br w:val="nil"/>
              <w:tr2bl w:val="nil"/>
            </w:tcBorders>
            <w:shd w:val="clear" w:color="auto" w:fill="auto"/>
            <w:vAlign w:val="center"/>
          </w:tcPr>
          <w:p w14:paraId="54B29F0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AFS-8220</w:t>
            </w:r>
          </w:p>
        </w:tc>
        <w:tc>
          <w:tcPr>
            <w:tcW w:w="1505" w:type="dxa"/>
            <w:tcBorders>
              <w:tl2br w:val="nil"/>
              <w:tr2bl w:val="nil"/>
            </w:tcBorders>
            <w:shd w:val="clear" w:color="auto" w:fill="auto"/>
            <w:vAlign w:val="center"/>
          </w:tcPr>
          <w:p w14:paraId="49C8F9E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ZYJC-YQ-005</w:t>
            </w:r>
          </w:p>
        </w:tc>
      </w:tr>
      <w:tr w14:paraId="0CC494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2E9939A7">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总砷</w:t>
            </w:r>
          </w:p>
        </w:tc>
        <w:tc>
          <w:tcPr>
            <w:tcW w:w="3413" w:type="dxa"/>
            <w:tcBorders>
              <w:tl2br w:val="nil"/>
              <w:tr2bl w:val="nil"/>
            </w:tcBorders>
            <w:shd w:val="clear" w:color="auto" w:fill="auto"/>
            <w:vAlign w:val="center"/>
          </w:tcPr>
          <w:p w14:paraId="5191A2F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土壤质量总汞、总砷、总铅的测定原子荧光法第2部分：土壤中总砷的测定（GB/T22105.2-2008）</w:t>
            </w:r>
          </w:p>
        </w:tc>
        <w:tc>
          <w:tcPr>
            <w:tcW w:w="1718" w:type="dxa"/>
            <w:tcBorders>
              <w:tl2br w:val="nil"/>
              <w:tr2bl w:val="nil"/>
            </w:tcBorders>
            <w:shd w:val="clear" w:color="auto" w:fill="auto"/>
            <w:vAlign w:val="center"/>
          </w:tcPr>
          <w:p w14:paraId="7E6E168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原子荧光光度计</w:t>
            </w:r>
          </w:p>
        </w:tc>
        <w:tc>
          <w:tcPr>
            <w:tcW w:w="1247" w:type="dxa"/>
            <w:tcBorders>
              <w:tl2br w:val="nil"/>
              <w:tr2bl w:val="nil"/>
            </w:tcBorders>
            <w:shd w:val="clear" w:color="auto" w:fill="auto"/>
            <w:vAlign w:val="center"/>
          </w:tcPr>
          <w:p w14:paraId="06E033B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AFS-8220</w:t>
            </w:r>
          </w:p>
        </w:tc>
        <w:tc>
          <w:tcPr>
            <w:tcW w:w="1505" w:type="dxa"/>
            <w:tcBorders>
              <w:tl2br w:val="nil"/>
              <w:tr2bl w:val="nil"/>
            </w:tcBorders>
            <w:shd w:val="clear" w:color="auto" w:fill="auto"/>
            <w:vAlign w:val="center"/>
          </w:tcPr>
          <w:p w14:paraId="0058F1D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ZYJC-YQ-005</w:t>
            </w:r>
          </w:p>
        </w:tc>
      </w:tr>
      <w:tr w14:paraId="0293E2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62202598">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铅</w:t>
            </w:r>
          </w:p>
        </w:tc>
        <w:tc>
          <w:tcPr>
            <w:tcW w:w="3413" w:type="dxa"/>
            <w:tcBorders>
              <w:tl2br w:val="nil"/>
              <w:tr2bl w:val="nil"/>
            </w:tcBorders>
            <w:shd w:val="clear" w:color="auto" w:fill="auto"/>
            <w:vAlign w:val="center"/>
          </w:tcPr>
          <w:p w14:paraId="12C8DF2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土壤和沉积物铜、锌、铅、镍、铬的测定火焰原子吸收分光光度法（HJ491-2019）</w:t>
            </w:r>
          </w:p>
        </w:tc>
        <w:tc>
          <w:tcPr>
            <w:tcW w:w="1718" w:type="dxa"/>
            <w:tcBorders>
              <w:tl2br w:val="nil"/>
              <w:tr2bl w:val="nil"/>
            </w:tcBorders>
            <w:shd w:val="clear" w:color="auto" w:fill="auto"/>
            <w:vAlign w:val="center"/>
          </w:tcPr>
          <w:p w14:paraId="695BDC14">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0A34008">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68892A4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17A1299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4B0C8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3E746E86">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六价铬</w:t>
            </w:r>
          </w:p>
        </w:tc>
        <w:tc>
          <w:tcPr>
            <w:tcW w:w="3413" w:type="dxa"/>
            <w:tcBorders>
              <w:tl2br w:val="nil"/>
              <w:tr2bl w:val="nil"/>
            </w:tcBorders>
            <w:shd w:val="clear" w:color="auto" w:fill="auto"/>
            <w:vAlign w:val="center"/>
          </w:tcPr>
          <w:p w14:paraId="52FFF42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土壤和沉积物六价铬的测定碱溶液提取-火焰原子吸收分光光度法（HJ1082-2019）</w:t>
            </w:r>
          </w:p>
        </w:tc>
        <w:tc>
          <w:tcPr>
            <w:tcW w:w="1718" w:type="dxa"/>
            <w:tcBorders>
              <w:tl2br w:val="nil"/>
              <w:tr2bl w:val="nil"/>
            </w:tcBorders>
            <w:shd w:val="clear" w:color="auto" w:fill="auto"/>
            <w:vAlign w:val="center"/>
          </w:tcPr>
          <w:p w14:paraId="58291523">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BCE3F75">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208C9DF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41613A5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518E9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0162EC44">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铜</w:t>
            </w:r>
          </w:p>
        </w:tc>
        <w:tc>
          <w:tcPr>
            <w:tcW w:w="3413" w:type="dxa"/>
            <w:tcBorders>
              <w:tl2br w:val="nil"/>
              <w:tr2bl w:val="nil"/>
            </w:tcBorders>
            <w:shd w:val="clear" w:color="auto" w:fill="auto"/>
            <w:vAlign w:val="center"/>
          </w:tcPr>
          <w:p w14:paraId="537D236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土壤和沉积物铜、锌、铅、镍、铬的测定火焰原子吸收分光光度法（HJ491-2019）</w:t>
            </w:r>
          </w:p>
        </w:tc>
        <w:tc>
          <w:tcPr>
            <w:tcW w:w="1718" w:type="dxa"/>
            <w:tcBorders>
              <w:tl2br w:val="nil"/>
              <w:tr2bl w:val="nil"/>
            </w:tcBorders>
            <w:shd w:val="clear" w:color="auto" w:fill="auto"/>
            <w:vAlign w:val="center"/>
          </w:tcPr>
          <w:p w14:paraId="39983C7E">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BF39CBB">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3196572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0314883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22C8B2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14F78F2B">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镍</w:t>
            </w:r>
          </w:p>
        </w:tc>
        <w:tc>
          <w:tcPr>
            <w:tcW w:w="3413" w:type="dxa"/>
            <w:tcBorders>
              <w:tl2br w:val="nil"/>
              <w:tr2bl w:val="nil"/>
            </w:tcBorders>
            <w:shd w:val="clear" w:color="auto" w:fill="auto"/>
            <w:vAlign w:val="center"/>
          </w:tcPr>
          <w:p w14:paraId="561C6B5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土壤和沉积物铜、锌、铅、镍、铬的测定火焰原子吸收分光光度法（HJ491-2019）</w:t>
            </w:r>
          </w:p>
        </w:tc>
        <w:tc>
          <w:tcPr>
            <w:tcW w:w="1718" w:type="dxa"/>
            <w:tcBorders>
              <w:tl2br w:val="nil"/>
              <w:tr2bl w:val="nil"/>
            </w:tcBorders>
            <w:shd w:val="clear" w:color="auto" w:fill="auto"/>
            <w:vAlign w:val="center"/>
          </w:tcPr>
          <w:p w14:paraId="2CF94090">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7CA45F29">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2B25696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5802CA8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6438F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73110D26">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锌</w:t>
            </w:r>
          </w:p>
        </w:tc>
        <w:tc>
          <w:tcPr>
            <w:tcW w:w="3413" w:type="dxa"/>
            <w:tcBorders>
              <w:tl2br w:val="nil"/>
              <w:tr2bl w:val="nil"/>
            </w:tcBorders>
            <w:shd w:val="clear" w:color="auto" w:fill="auto"/>
            <w:vAlign w:val="center"/>
          </w:tcPr>
          <w:p w14:paraId="5578452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土壤和沉积物铜、锌、铅、镍、铬的测定火焰原子吸收分光光度法（HJ491-2019）</w:t>
            </w:r>
          </w:p>
        </w:tc>
        <w:tc>
          <w:tcPr>
            <w:tcW w:w="1718" w:type="dxa"/>
            <w:tcBorders>
              <w:tl2br w:val="nil"/>
              <w:tr2bl w:val="nil"/>
            </w:tcBorders>
            <w:shd w:val="clear" w:color="auto" w:fill="auto"/>
            <w:vAlign w:val="center"/>
          </w:tcPr>
          <w:p w14:paraId="2240AA84">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337D46E1">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594FD67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27BB06F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16C62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3" w:type="dxa"/>
            <w:tcBorders>
              <w:tl2br w:val="nil"/>
              <w:tr2bl w:val="nil"/>
            </w:tcBorders>
            <w:shd w:val="clear" w:color="auto" w:fill="auto"/>
            <w:vAlign w:val="center"/>
          </w:tcPr>
          <w:p w14:paraId="27622CBD">
            <w:pPr>
              <w:widowControl w:val="0"/>
              <w:spacing w:line="36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铬</w:t>
            </w:r>
          </w:p>
        </w:tc>
        <w:tc>
          <w:tcPr>
            <w:tcW w:w="3413" w:type="dxa"/>
            <w:tcBorders>
              <w:tl2br w:val="nil"/>
              <w:tr2bl w:val="nil"/>
            </w:tcBorders>
            <w:shd w:val="clear" w:color="auto" w:fill="auto"/>
            <w:vAlign w:val="center"/>
          </w:tcPr>
          <w:p w14:paraId="28F34F2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土壤和沉积物铜、锌、铅、镍、铬的测定火焰原子吸收分光光度法（HJ491-2019）</w:t>
            </w:r>
          </w:p>
        </w:tc>
        <w:tc>
          <w:tcPr>
            <w:tcW w:w="1718" w:type="dxa"/>
            <w:tcBorders>
              <w:tl2br w:val="nil"/>
              <w:tr2bl w:val="nil"/>
            </w:tcBorders>
            <w:shd w:val="clear" w:color="auto" w:fill="auto"/>
            <w:vAlign w:val="center"/>
          </w:tcPr>
          <w:p w14:paraId="08CE867A">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原子吸收</w:t>
            </w:r>
          </w:p>
          <w:p w14:paraId="4DB4F7F0">
            <w:pPr>
              <w:widowControl w:val="0"/>
              <w:spacing w:line="240" w:lineRule="auto"/>
              <w:ind w:left="-120" w:leftChars="-50" w:right="-120" w:rightChars="-50"/>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分光光度计</w:t>
            </w:r>
          </w:p>
        </w:tc>
        <w:tc>
          <w:tcPr>
            <w:tcW w:w="1247" w:type="dxa"/>
            <w:tcBorders>
              <w:tl2br w:val="nil"/>
              <w:tr2bl w:val="nil"/>
            </w:tcBorders>
            <w:shd w:val="clear" w:color="auto" w:fill="auto"/>
            <w:vAlign w:val="center"/>
          </w:tcPr>
          <w:p w14:paraId="491DFA9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WFX-130A</w:t>
            </w:r>
          </w:p>
        </w:tc>
        <w:tc>
          <w:tcPr>
            <w:tcW w:w="1505" w:type="dxa"/>
            <w:tcBorders>
              <w:tl2br w:val="nil"/>
              <w:tr2bl w:val="nil"/>
            </w:tcBorders>
            <w:shd w:val="clear" w:color="auto" w:fill="auto"/>
            <w:vAlign w:val="center"/>
          </w:tcPr>
          <w:p w14:paraId="42A0D50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ZYJC-YQ-001</w:t>
            </w:r>
          </w:p>
        </w:tc>
      </w:tr>
      <w:tr w14:paraId="68791D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582393B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四氯化碳</w:t>
            </w:r>
          </w:p>
        </w:tc>
        <w:tc>
          <w:tcPr>
            <w:tcW w:w="3413" w:type="dxa"/>
            <w:vMerge w:val="restart"/>
            <w:tcBorders>
              <w:tl2br w:val="nil"/>
              <w:tr2bl w:val="nil"/>
            </w:tcBorders>
            <w:shd w:val="clear" w:color="auto" w:fill="auto"/>
            <w:vAlign w:val="center"/>
          </w:tcPr>
          <w:p w14:paraId="3F88D92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土壤和沉积物挥发性有机物的测定吹扫捕集/气相色谱-质谱法（HJ605-2011）</w:t>
            </w:r>
          </w:p>
        </w:tc>
        <w:tc>
          <w:tcPr>
            <w:tcW w:w="1718" w:type="dxa"/>
            <w:vMerge w:val="restart"/>
            <w:tcBorders>
              <w:tl2br w:val="nil"/>
              <w:tr2bl w:val="nil"/>
            </w:tcBorders>
            <w:shd w:val="clear" w:color="auto" w:fill="auto"/>
            <w:vAlign w:val="center"/>
          </w:tcPr>
          <w:p w14:paraId="28C455E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气相色谱</w:t>
            </w:r>
          </w:p>
          <w:p w14:paraId="10A536C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质谱联用仪</w:t>
            </w:r>
          </w:p>
        </w:tc>
        <w:tc>
          <w:tcPr>
            <w:tcW w:w="1247" w:type="dxa"/>
            <w:vMerge w:val="restart"/>
            <w:tcBorders>
              <w:tl2br w:val="nil"/>
              <w:tr2bl w:val="nil"/>
            </w:tcBorders>
            <w:shd w:val="clear" w:color="auto" w:fill="auto"/>
            <w:vAlign w:val="center"/>
          </w:tcPr>
          <w:p w14:paraId="4B0DBC1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GCMS-</w:t>
            </w:r>
          </w:p>
          <w:p w14:paraId="006174B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QP2020</w:t>
            </w:r>
          </w:p>
        </w:tc>
        <w:tc>
          <w:tcPr>
            <w:tcW w:w="1505" w:type="dxa"/>
            <w:vMerge w:val="restart"/>
            <w:tcBorders>
              <w:tl2br w:val="nil"/>
              <w:tr2bl w:val="nil"/>
            </w:tcBorders>
            <w:shd w:val="clear" w:color="auto" w:fill="auto"/>
            <w:vAlign w:val="center"/>
          </w:tcPr>
          <w:p w14:paraId="36949E2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YQ/01C012</w:t>
            </w:r>
          </w:p>
        </w:tc>
      </w:tr>
      <w:tr w14:paraId="64CE0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5992BEB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氯仿</w:t>
            </w:r>
          </w:p>
        </w:tc>
        <w:tc>
          <w:tcPr>
            <w:tcW w:w="3413" w:type="dxa"/>
            <w:vMerge w:val="continue"/>
            <w:tcBorders>
              <w:tl2br w:val="nil"/>
              <w:tr2bl w:val="nil"/>
            </w:tcBorders>
            <w:shd w:val="clear" w:color="auto" w:fill="auto"/>
            <w:vAlign w:val="center"/>
          </w:tcPr>
          <w:p w14:paraId="18F1162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6E731DD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69AC5A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542036D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7A411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bottom w:val="single" w:color="auto" w:sz="8" w:space="0"/>
              <w:tl2br w:val="nil"/>
              <w:tr2bl w:val="nil"/>
            </w:tcBorders>
            <w:shd w:val="clear" w:color="auto" w:fill="auto"/>
            <w:vAlign w:val="center"/>
          </w:tcPr>
          <w:p w14:paraId="7D6C31D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氯甲烷</w:t>
            </w:r>
          </w:p>
        </w:tc>
        <w:tc>
          <w:tcPr>
            <w:tcW w:w="3413" w:type="dxa"/>
            <w:vMerge w:val="continue"/>
            <w:tcBorders>
              <w:bottom w:val="single" w:color="auto" w:sz="8" w:space="0"/>
              <w:tl2br w:val="nil"/>
              <w:tr2bl w:val="nil"/>
            </w:tcBorders>
            <w:shd w:val="clear" w:color="auto" w:fill="auto"/>
            <w:vAlign w:val="center"/>
          </w:tcPr>
          <w:p w14:paraId="5575F22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bottom w:val="single" w:color="auto" w:sz="8" w:space="0"/>
              <w:tl2br w:val="nil"/>
              <w:tr2bl w:val="nil"/>
            </w:tcBorders>
            <w:shd w:val="clear" w:color="auto" w:fill="auto"/>
            <w:vAlign w:val="center"/>
          </w:tcPr>
          <w:p w14:paraId="511DD34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bottom w:val="single" w:color="auto" w:sz="8" w:space="0"/>
              <w:tl2br w:val="nil"/>
              <w:tr2bl w:val="nil"/>
            </w:tcBorders>
            <w:shd w:val="clear" w:color="auto" w:fill="auto"/>
            <w:vAlign w:val="center"/>
          </w:tcPr>
          <w:p w14:paraId="2F945AD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bottom w:val="single" w:color="auto" w:sz="8" w:space="0"/>
              <w:tl2br w:val="nil"/>
              <w:tr2bl w:val="nil"/>
            </w:tcBorders>
            <w:shd w:val="clear" w:color="auto" w:fill="auto"/>
            <w:vAlign w:val="center"/>
          </w:tcPr>
          <w:p w14:paraId="1931160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378BE1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op w:val="single" w:color="auto" w:sz="8" w:space="0"/>
              <w:tl2br w:val="nil"/>
              <w:tr2bl w:val="nil"/>
            </w:tcBorders>
            <w:shd w:val="clear" w:color="auto" w:fill="auto"/>
            <w:vAlign w:val="center"/>
          </w:tcPr>
          <w:p w14:paraId="0339171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1,1-二氯乙烷</w:t>
            </w:r>
          </w:p>
        </w:tc>
        <w:tc>
          <w:tcPr>
            <w:tcW w:w="3413" w:type="dxa"/>
            <w:vMerge w:val="continue"/>
            <w:tcBorders>
              <w:top w:val="single" w:color="auto" w:sz="8" w:space="0"/>
              <w:tl2br w:val="nil"/>
              <w:tr2bl w:val="nil"/>
            </w:tcBorders>
            <w:shd w:val="clear" w:color="auto" w:fill="auto"/>
            <w:vAlign w:val="center"/>
          </w:tcPr>
          <w:p w14:paraId="4AB4A43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tl2br w:val="nil"/>
              <w:tr2bl w:val="nil"/>
            </w:tcBorders>
            <w:shd w:val="clear" w:color="auto" w:fill="auto"/>
            <w:vAlign w:val="center"/>
          </w:tcPr>
          <w:p w14:paraId="484FDBE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tl2br w:val="nil"/>
              <w:tr2bl w:val="nil"/>
            </w:tcBorders>
            <w:shd w:val="clear" w:color="auto" w:fill="auto"/>
            <w:vAlign w:val="center"/>
          </w:tcPr>
          <w:p w14:paraId="56A09AC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tl2br w:val="nil"/>
              <w:tr2bl w:val="nil"/>
            </w:tcBorders>
            <w:shd w:val="clear" w:color="auto" w:fill="auto"/>
            <w:vAlign w:val="center"/>
          </w:tcPr>
          <w:p w14:paraId="7ED23F0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38E7A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1498AA3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1,2-二氯乙烷</w:t>
            </w:r>
          </w:p>
        </w:tc>
        <w:tc>
          <w:tcPr>
            <w:tcW w:w="3413" w:type="dxa"/>
            <w:vMerge w:val="continue"/>
            <w:tcBorders>
              <w:tl2br w:val="nil"/>
              <w:tr2bl w:val="nil"/>
            </w:tcBorders>
            <w:shd w:val="clear" w:color="auto" w:fill="auto"/>
            <w:vAlign w:val="center"/>
          </w:tcPr>
          <w:p w14:paraId="0184A4C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127B787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3FDC2E0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2B426CC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35B24D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768FC09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1,1-二氯乙烯</w:t>
            </w:r>
          </w:p>
        </w:tc>
        <w:tc>
          <w:tcPr>
            <w:tcW w:w="3413" w:type="dxa"/>
            <w:vMerge w:val="continue"/>
            <w:tcBorders>
              <w:tl2br w:val="nil"/>
              <w:tr2bl w:val="nil"/>
            </w:tcBorders>
            <w:shd w:val="clear" w:color="auto" w:fill="auto"/>
            <w:vAlign w:val="center"/>
          </w:tcPr>
          <w:p w14:paraId="64AFB97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71A6163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029116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3E5226F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33C193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15F13D7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顺-1,2-</w:t>
            </w:r>
          </w:p>
          <w:p w14:paraId="74EC017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二氯乙烯</w:t>
            </w:r>
          </w:p>
        </w:tc>
        <w:tc>
          <w:tcPr>
            <w:tcW w:w="3413" w:type="dxa"/>
            <w:vMerge w:val="continue"/>
            <w:tcBorders>
              <w:tl2br w:val="nil"/>
              <w:tr2bl w:val="nil"/>
            </w:tcBorders>
            <w:shd w:val="clear" w:color="auto" w:fill="auto"/>
            <w:vAlign w:val="center"/>
          </w:tcPr>
          <w:p w14:paraId="1B03A2E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48B389E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3C5CA2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63D1810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5FAFE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3E4FB91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反-1,2-</w:t>
            </w:r>
          </w:p>
          <w:p w14:paraId="68A3861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二氯乙烯</w:t>
            </w:r>
          </w:p>
        </w:tc>
        <w:tc>
          <w:tcPr>
            <w:tcW w:w="3413" w:type="dxa"/>
            <w:vMerge w:val="continue"/>
            <w:tcBorders>
              <w:tl2br w:val="nil"/>
              <w:tr2bl w:val="nil"/>
            </w:tcBorders>
            <w:shd w:val="clear" w:color="auto" w:fill="auto"/>
            <w:vAlign w:val="center"/>
          </w:tcPr>
          <w:p w14:paraId="281DB37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0CEDDCE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1EDBF49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4942E7C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2F4FC8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21EF8C3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二氯甲烷</w:t>
            </w:r>
          </w:p>
        </w:tc>
        <w:tc>
          <w:tcPr>
            <w:tcW w:w="3413" w:type="dxa"/>
            <w:vMerge w:val="continue"/>
            <w:tcBorders>
              <w:tl2br w:val="nil"/>
              <w:tr2bl w:val="nil"/>
            </w:tcBorders>
            <w:shd w:val="clear" w:color="auto" w:fill="auto"/>
            <w:vAlign w:val="center"/>
          </w:tcPr>
          <w:p w14:paraId="520B4C0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5F5A0FB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19684B4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1FAF857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2879EC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75435E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1,2-二氯丙烷</w:t>
            </w:r>
          </w:p>
        </w:tc>
        <w:tc>
          <w:tcPr>
            <w:tcW w:w="3413" w:type="dxa"/>
            <w:vMerge w:val="continue"/>
            <w:tcBorders>
              <w:tl2br w:val="nil"/>
              <w:tr2bl w:val="nil"/>
            </w:tcBorders>
            <w:shd w:val="clear" w:color="auto" w:fill="auto"/>
            <w:vAlign w:val="center"/>
          </w:tcPr>
          <w:p w14:paraId="6B49F2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16DB703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18F2BAA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7A12EFA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45064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6450656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1,1,1,2-</w:t>
            </w:r>
          </w:p>
          <w:p w14:paraId="462BD49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四氯乙烷</w:t>
            </w:r>
          </w:p>
        </w:tc>
        <w:tc>
          <w:tcPr>
            <w:tcW w:w="3413" w:type="dxa"/>
            <w:vMerge w:val="continue"/>
            <w:tcBorders>
              <w:tl2br w:val="nil"/>
              <w:tr2bl w:val="nil"/>
            </w:tcBorders>
            <w:shd w:val="clear" w:color="auto" w:fill="auto"/>
            <w:vAlign w:val="center"/>
          </w:tcPr>
          <w:p w14:paraId="0E6C216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6479DB7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47E0A6A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6F57BB9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56185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40FF497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1,1,2,2-</w:t>
            </w:r>
          </w:p>
          <w:p w14:paraId="6D1D9A6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四氯乙烷</w:t>
            </w:r>
          </w:p>
        </w:tc>
        <w:tc>
          <w:tcPr>
            <w:tcW w:w="3413" w:type="dxa"/>
            <w:vMerge w:val="continue"/>
            <w:tcBorders>
              <w:tl2br w:val="nil"/>
              <w:tr2bl w:val="nil"/>
            </w:tcBorders>
            <w:shd w:val="clear" w:color="auto" w:fill="auto"/>
            <w:vAlign w:val="center"/>
          </w:tcPr>
          <w:p w14:paraId="551333E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0D1B271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273F047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4396E0D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20E87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403" w:type="dxa"/>
            <w:tcBorders>
              <w:tl2br w:val="nil"/>
              <w:tr2bl w:val="nil"/>
            </w:tcBorders>
            <w:shd w:val="clear" w:color="auto" w:fill="auto"/>
            <w:vAlign w:val="center"/>
          </w:tcPr>
          <w:p w14:paraId="597D34A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四氯乙烯</w:t>
            </w:r>
          </w:p>
        </w:tc>
        <w:tc>
          <w:tcPr>
            <w:tcW w:w="3413" w:type="dxa"/>
            <w:vMerge w:val="restart"/>
            <w:tcBorders>
              <w:tl2br w:val="nil"/>
              <w:tr2bl w:val="nil"/>
            </w:tcBorders>
            <w:shd w:val="clear" w:color="auto" w:fill="auto"/>
            <w:vAlign w:val="center"/>
          </w:tcPr>
          <w:p w14:paraId="30BB674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土壤和沉积物挥发性有机物的测定吹扫捕集/气相色谱-质谱法（HJ605-2011）</w:t>
            </w:r>
          </w:p>
        </w:tc>
        <w:tc>
          <w:tcPr>
            <w:tcW w:w="1718" w:type="dxa"/>
            <w:vMerge w:val="restart"/>
            <w:tcBorders>
              <w:tl2br w:val="nil"/>
              <w:tr2bl w:val="nil"/>
            </w:tcBorders>
            <w:shd w:val="clear" w:color="auto" w:fill="auto"/>
            <w:vAlign w:val="center"/>
          </w:tcPr>
          <w:p w14:paraId="5A43D80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气相色谱</w:t>
            </w:r>
          </w:p>
          <w:p w14:paraId="67D488A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质谱联用仪</w:t>
            </w:r>
          </w:p>
        </w:tc>
        <w:tc>
          <w:tcPr>
            <w:tcW w:w="1247" w:type="dxa"/>
            <w:vMerge w:val="restart"/>
            <w:tcBorders>
              <w:tl2br w:val="nil"/>
              <w:tr2bl w:val="nil"/>
            </w:tcBorders>
            <w:shd w:val="clear" w:color="auto" w:fill="auto"/>
            <w:vAlign w:val="center"/>
          </w:tcPr>
          <w:p w14:paraId="59E2877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GCMS-</w:t>
            </w:r>
          </w:p>
          <w:p w14:paraId="149E2FA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QP2020</w:t>
            </w:r>
          </w:p>
        </w:tc>
        <w:tc>
          <w:tcPr>
            <w:tcW w:w="1505" w:type="dxa"/>
            <w:vMerge w:val="restart"/>
            <w:tcBorders>
              <w:tl2br w:val="nil"/>
              <w:tr2bl w:val="nil"/>
            </w:tcBorders>
            <w:shd w:val="clear" w:color="auto" w:fill="auto"/>
            <w:vAlign w:val="center"/>
          </w:tcPr>
          <w:p w14:paraId="586CB11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YQ/01C012</w:t>
            </w:r>
          </w:p>
        </w:tc>
      </w:tr>
      <w:tr w14:paraId="0E0516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3884D9F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1,1,1-</w:t>
            </w:r>
          </w:p>
          <w:p w14:paraId="6EB1E56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三氯乙烷</w:t>
            </w:r>
          </w:p>
        </w:tc>
        <w:tc>
          <w:tcPr>
            <w:tcW w:w="3413" w:type="dxa"/>
            <w:vMerge w:val="continue"/>
            <w:tcBorders>
              <w:tl2br w:val="nil"/>
              <w:tr2bl w:val="nil"/>
            </w:tcBorders>
            <w:shd w:val="clear" w:color="auto" w:fill="auto"/>
            <w:vAlign w:val="center"/>
          </w:tcPr>
          <w:p w14:paraId="10533D5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75354A6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354692F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43BCEEA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0CD993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30EA0A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1,1,2-</w:t>
            </w:r>
          </w:p>
          <w:p w14:paraId="0685A7A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三氯乙烷</w:t>
            </w:r>
          </w:p>
        </w:tc>
        <w:tc>
          <w:tcPr>
            <w:tcW w:w="3413" w:type="dxa"/>
            <w:vMerge w:val="continue"/>
            <w:tcBorders>
              <w:tl2br w:val="nil"/>
              <w:tr2bl w:val="nil"/>
            </w:tcBorders>
            <w:shd w:val="clear" w:color="auto" w:fill="auto"/>
            <w:vAlign w:val="center"/>
          </w:tcPr>
          <w:p w14:paraId="5FFC123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65EC25C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3598000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2E8BF76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360865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F23F41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三氯乙烯</w:t>
            </w:r>
          </w:p>
        </w:tc>
        <w:tc>
          <w:tcPr>
            <w:tcW w:w="3413" w:type="dxa"/>
            <w:vMerge w:val="continue"/>
            <w:tcBorders>
              <w:tl2br w:val="nil"/>
              <w:tr2bl w:val="nil"/>
            </w:tcBorders>
            <w:shd w:val="clear" w:color="auto" w:fill="auto"/>
            <w:vAlign w:val="center"/>
          </w:tcPr>
          <w:p w14:paraId="581FDEC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3984508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4238B70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2510760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5AE4D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B9F47A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1,2,3-</w:t>
            </w:r>
          </w:p>
          <w:p w14:paraId="05AC1C1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三氯丙烷</w:t>
            </w:r>
          </w:p>
        </w:tc>
        <w:tc>
          <w:tcPr>
            <w:tcW w:w="3413" w:type="dxa"/>
            <w:vMerge w:val="continue"/>
            <w:tcBorders>
              <w:tl2br w:val="nil"/>
              <w:tr2bl w:val="nil"/>
            </w:tcBorders>
            <w:shd w:val="clear" w:color="auto" w:fill="auto"/>
            <w:vAlign w:val="center"/>
          </w:tcPr>
          <w:p w14:paraId="2BB923B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120364E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3B6505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7BB24C4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7D4393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25D5C6E2">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氯乙烯</w:t>
            </w:r>
          </w:p>
        </w:tc>
        <w:tc>
          <w:tcPr>
            <w:tcW w:w="3413" w:type="dxa"/>
            <w:vMerge w:val="continue"/>
            <w:tcBorders>
              <w:tl2br w:val="nil"/>
              <w:tr2bl w:val="nil"/>
            </w:tcBorders>
            <w:shd w:val="clear" w:color="auto" w:fill="auto"/>
            <w:vAlign w:val="center"/>
          </w:tcPr>
          <w:p w14:paraId="4EEAD8B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31FC194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4703BEE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0F25A32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2C5D05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5F3A122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w:t>
            </w:r>
          </w:p>
        </w:tc>
        <w:tc>
          <w:tcPr>
            <w:tcW w:w="3413" w:type="dxa"/>
            <w:vMerge w:val="continue"/>
            <w:tcBorders>
              <w:tl2br w:val="nil"/>
              <w:tr2bl w:val="nil"/>
            </w:tcBorders>
            <w:shd w:val="clear" w:color="auto" w:fill="auto"/>
            <w:vAlign w:val="center"/>
          </w:tcPr>
          <w:p w14:paraId="0A92B78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0818511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766D3E3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4A131B3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7A460F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287FCEE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氯苯</w:t>
            </w:r>
          </w:p>
        </w:tc>
        <w:tc>
          <w:tcPr>
            <w:tcW w:w="3413" w:type="dxa"/>
            <w:vMerge w:val="continue"/>
            <w:tcBorders>
              <w:tl2br w:val="nil"/>
              <w:tr2bl w:val="nil"/>
            </w:tcBorders>
            <w:shd w:val="clear" w:color="auto" w:fill="auto"/>
            <w:vAlign w:val="center"/>
          </w:tcPr>
          <w:p w14:paraId="4CE1F25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5A0B4A8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4D3D9BC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24A264F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173E9B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4870967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1,2-二氯苯</w:t>
            </w:r>
          </w:p>
        </w:tc>
        <w:tc>
          <w:tcPr>
            <w:tcW w:w="3413" w:type="dxa"/>
            <w:vMerge w:val="continue"/>
            <w:tcBorders>
              <w:tl2br w:val="nil"/>
              <w:tr2bl w:val="nil"/>
            </w:tcBorders>
            <w:shd w:val="clear" w:color="auto" w:fill="auto"/>
            <w:vAlign w:val="center"/>
          </w:tcPr>
          <w:p w14:paraId="7ED9940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3621B5E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1F98D72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0FDF781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438EB7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52E5FC1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1,4-二氯苯</w:t>
            </w:r>
          </w:p>
        </w:tc>
        <w:tc>
          <w:tcPr>
            <w:tcW w:w="3413" w:type="dxa"/>
            <w:vMerge w:val="continue"/>
            <w:tcBorders>
              <w:tl2br w:val="nil"/>
              <w:tr2bl w:val="nil"/>
            </w:tcBorders>
            <w:shd w:val="clear" w:color="auto" w:fill="auto"/>
            <w:vAlign w:val="center"/>
          </w:tcPr>
          <w:p w14:paraId="4137FB9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447B3D6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22963A7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646C4CD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731477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56E58B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乙苯</w:t>
            </w:r>
          </w:p>
        </w:tc>
        <w:tc>
          <w:tcPr>
            <w:tcW w:w="3413" w:type="dxa"/>
            <w:vMerge w:val="continue"/>
            <w:tcBorders>
              <w:tl2br w:val="nil"/>
              <w:tr2bl w:val="nil"/>
            </w:tcBorders>
            <w:shd w:val="clear" w:color="auto" w:fill="auto"/>
            <w:vAlign w:val="center"/>
          </w:tcPr>
          <w:p w14:paraId="6BDB62F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3163BF2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28EEED0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4DC9AC8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04064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7FAD365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苯乙烯</w:t>
            </w:r>
          </w:p>
        </w:tc>
        <w:tc>
          <w:tcPr>
            <w:tcW w:w="3413" w:type="dxa"/>
            <w:vMerge w:val="continue"/>
            <w:tcBorders>
              <w:tl2br w:val="nil"/>
              <w:tr2bl w:val="nil"/>
            </w:tcBorders>
            <w:shd w:val="clear" w:color="auto" w:fill="auto"/>
            <w:vAlign w:val="center"/>
          </w:tcPr>
          <w:p w14:paraId="26B9F7A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03C12D2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861716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32A4287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22317A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7C3119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甲苯</w:t>
            </w:r>
          </w:p>
        </w:tc>
        <w:tc>
          <w:tcPr>
            <w:tcW w:w="3413" w:type="dxa"/>
            <w:vMerge w:val="continue"/>
            <w:tcBorders>
              <w:tl2br w:val="nil"/>
              <w:tr2bl w:val="nil"/>
            </w:tcBorders>
            <w:shd w:val="clear" w:color="auto" w:fill="auto"/>
            <w:vAlign w:val="center"/>
          </w:tcPr>
          <w:p w14:paraId="18443C2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527BA7A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60CA25B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369AE9F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19767A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181C3F0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间二甲苯+</w:t>
            </w:r>
          </w:p>
          <w:p w14:paraId="6F7E09D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对二甲苯</w:t>
            </w:r>
          </w:p>
        </w:tc>
        <w:tc>
          <w:tcPr>
            <w:tcW w:w="3413" w:type="dxa"/>
            <w:vMerge w:val="continue"/>
            <w:tcBorders>
              <w:tl2br w:val="nil"/>
              <w:tr2bl w:val="nil"/>
            </w:tcBorders>
            <w:shd w:val="clear" w:color="auto" w:fill="auto"/>
            <w:vAlign w:val="center"/>
          </w:tcPr>
          <w:p w14:paraId="784B352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168BA05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5848A5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044149C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6F2205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54B9000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邻二甲苯</w:t>
            </w:r>
          </w:p>
        </w:tc>
        <w:tc>
          <w:tcPr>
            <w:tcW w:w="3413" w:type="dxa"/>
            <w:vMerge w:val="continue"/>
            <w:tcBorders>
              <w:tl2br w:val="nil"/>
              <w:tr2bl w:val="nil"/>
            </w:tcBorders>
            <w:shd w:val="clear" w:color="auto" w:fill="auto"/>
            <w:vAlign w:val="center"/>
          </w:tcPr>
          <w:p w14:paraId="5EA0436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l2br w:val="nil"/>
              <w:tr2bl w:val="nil"/>
            </w:tcBorders>
            <w:shd w:val="clear" w:color="auto" w:fill="auto"/>
            <w:vAlign w:val="center"/>
          </w:tcPr>
          <w:p w14:paraId="2C2A157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l2br w:val="nil"/>
              <w:tr2bl w:val="nil"/>
            </w:tcBorders>
            <w:shd w:val="clear" w:color="auto" w:fill="auto"/>
            <w:vAlign w:val="center"/>
          </w:tcPr>
          <w:p w14:paraId="0052783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l2br w:val="nil"/>
              <w:tr2bl w:val="nil"/>
            </w:tcBorders>
            <w:shd w:val="clear" w:color="auto" w:fill="auto"/>
            <w:vAlign w:val="center"/>
          </w:tcPr>
          <w:p w14:paraId="6067395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70481E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602440C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硝基苯</w:t>
            </w:r>
          </w:p>
        </w:tc>
        <w:tc>
          <w:tcPr>
            <w:tcW w:w="3413" w:type="dxa"/>
            <w:vMerge w:val="restart"/>
            <w:tcBorders>
              <w:bottom w:val="single" w:color="auto" w:sz="8" w:space="0"/>
              <w:tl2br w:val="nil"/>
              <w:tr2bl w:val="nil"/>
            </w:tcBorders>
            <w:shd w:val="clear" w:color="auto" w:fill="auto"/>
            <w:vAlign w:val="center"/>
          </w:tcPr>
          <w:p w14:paraId="45782CB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土壤和沉积物半挥发性有机物的测定气相色谱-质谱法（HJ834-2017）</w:t>
            </w:r>
          </w:p>
        </w:tc>
        <w:tc>
          <w:tcPr>
            <w:tcW w:w="1718" w:type="dxa"/>
            <w:vMerge w:val="restart"/>
            <w:tcBorders>
              <w:bottom w:val="single" w:color="auto" w:sz="8" w:space="0"/>
              <w:tl2br w:val="nil"/>
              <w:tr2bl w:val="nil"/>
            </w:tcBorders>
            <w:shd w:val="clear" w:color="auto" w:fill="auto"/>
            <w:vAlign w:val="center"/>
          </w:tcPr>
          <w:p w14:paraId="6684E49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气相色谱</w:t>
            </w:r>
          </w:p>
          <w:p w14:paraId="7E1FA2D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质谱联用仪</w:t>
            </w:r>
          </w:p>
        </w:tc>
        <w:tc>
          <w:tcPr>
            <w:tcW w:w="1247" w:type="dxa"/>
            <w:vMerge w:val="restart"/>
            <w:tcBorders>
              <w:bottom w:val="single" w:color="auto" w:sz="8" w:space="0"/>
              <w:tl2br w:val="nil"/>
              <w:tr2bl w:val="nil"/>
            </w:tcBorders>
            <w:shd w:val="clear" w:color="auto" w:fill="auto"/>
            <w:vAlign w:val="center"/>
          </w:tcPr>
          <w:p w14:paraId="5281972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ISQ7000</w:t>
            </w:r>
          </w:p>
        </w:tc>
        <w:tc>
          <w:tcPr>
            <w:tcW w:w="1505" w:type="dxa"/>
            <w:vMerge w:val="restart"/>
            <w:tcBorders>
              <w:bottom w:val="single" w:color="auto" w:sz="8" w:space="0"/>
              <w:tl2br w:val="nil"/>
              <w:tr2bl w:val="nil"/>
            </w:tcBorders>
            <w:shd w:val="clear" w:color="auto" w:fill="auto"/>
            <w:vAlign w:val="center"/>
          </w:tcPr>
          <w:p w14:paraId="1D08ABF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YQ/01C242</w:t>
            </w:r>
          </w:p>
        </w:tc>
      </w:tr>
      <w:tr w14:paraId="6E5A0E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5925247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苯胺</w:t>
            </w:r>
          </w:p>
        </w:tc>
        <w:tc>
          <w:tcPr>
            <w:tcW w:w="3413" w:type="dxa"/>
            <w:vMerge w:val="continue"/>
            <w:tcBorders>
              <w:top w:val="single" w:color="auto" w:sz="8" w:space="0"/>
              <w:bottom w:val="single" w:color="auto" w:sz="8" w:space="0"/>
              <w:tl2br w:val="nil"/>
              <w:tr2bl w:val="nil"/>
            </w:tcBorders>
            <w:shd w:val="clear" w:color="auto" w:fill="auto"/>
            <w:vAlign w:val="center"/>
          </w:tcPr>
          <w:p w14:paraId="46FA735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337F416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77C2917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5C1760B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5A9681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30C4556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2-氯酚</w:t>
            </w:r>
          </w:p>
        </w:tc>
        <w:tc>
          <w:tcPr>
            <w:tcW w:w="3413" w:type="dxa"/>
            <w:vMerge w:val="continue"/>
            <w:tcBorders>
              <w:top w:val="single" w:color="auto" w:sz="8" w:space="0"/>
              <w:bottom w:val="single" w:color="auto" w:sz="8" w:space="0"/>
              <w:tl2br w:val="nil"/>
              <w:tr2bl w:val="nil"/>
            </w:tcBorders>
            <w:shd w:val="clear" w:color="auto" w:fill="auto"/>
            <w:vAlign w:val="center"/>
          </w:tcPr>
          <w:p w14:paraId="71017D2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09A0CB1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50FF2F2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1DEE45F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32885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746ED68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苯并[a]蒽</w:t>
            </w:r>
          </w:p>
        </w:tc>
        <w:tc>
          <w:tcPr>
            <w:tcW w:w="3413" w:type="dxa"/>
            <w:vMerge w:val="continue"/>
            <w:tcBorders>
              <w:top w:val="single" w:color="auto" w:sz="8" w:space="0"/>
              <w:bottom w:val="single" w:color="auto" w:sz="8" w:space="0"/>
              <w:tl2br w:val="nil"/>
              <w:tr2bl w:val="nil"/>
            </w:tcBorders>
            <w:shd w:val="clear" w:color="auto" w:fill="auto"/>
            <w:vAlign w:val="center"/>
          </w:tcPr>
          <w:p w14:paraId="66605E5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4E2FC7F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2EF8D28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618C9C8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29054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bottom w:val="nil"/>
              <w:tl2br w:val="nil"/>
              <w:tr2bl w:val="nil"/>
            </w:tcBorders>
            <w:shd w:val="clear" w:color="auto" w:fill="auto"/>
            <w:vAlign w:val="center"/>
          </w:tcPr>
          <w:p w14:paraId="49DE544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苯并[a]芘</w:t>
            </w:r>
          </w:p>
        </w:tc>
        <w:tc>
          <w:tcPr>
            <w:tcW w:w="3413" w:type="dxa"/>
            <w:vMerge w:val="continue"/>
            <w:tcBorders>
              <w:top w:val="single" w:color="auto" w:sz="8" w:space="0"/>
              <w:bottom w:val="single" w:color="auto" w:sz="8" w:space="0"/>
              <w:tl2br w:val="nil"/>
              <w:tr2bl w:val="nil"/>
            </w:tcBorders>
            <w:shd w:val="clear" w:color="auto" w:fill="auto"/>
            <w:vAlign w:val="center"/>
          </w:tcPr>
          <w:p w14:paraId="7174CA4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34371E5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5E30C62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4F32CA6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104CCD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op w:val="nil"/>
              <w:tl2br w:val="nil"/>
              <w:tr2bl w:val="nil"/>
            </w:tcBorders>
            <w:shd w:val="clear" w:color="auto" w:fill="auto"/>
            <w:vAlign w:val="center"/>
          </w:tcPr>
          <w:p w14:paraId="1B91D6D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苯并[b]荧蒽</w:t>
            </w:r>
          </w:p>
        </w:tc>
        <w:tc>
          <w:tcPr>
            <w:tcW w:w="3413" w:type="dxa"/>
            <w:vMerge w:val="continue"/>
            <w:tcBorders>
              <w:top w:val="single" w:color="auto" w:sz="8" w:space="0"/>
              <w:bottom w:val="single" w:color="auto" w:sz="8" w:space="0"/>
              <w:tl2br w:val="nil"/>
              <w:tr2bl w:val="nil"/>
            </w:tcBorders>
            <w:shd w:val="clear" w:color="auto" w:fill="auto"/>
            <w:vAlign w:val="center"/>
          </w:tcPr>
          <w:p w14:paraId="64BA8B2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395D29E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3C5039B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7F1D331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01E07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14CBDFC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苯并[k]荧蒽</w:t>
            </w:r>
          </w:p>
        </w:tc>
        <w:tc>
          <w:tcPr>
            <w:tcW w:w="3413" w:type="dxa"/>
            <w:vMerge w:val="continue"/>
            <w:tcBorders>
              <w:top w:val="single" w:color="auto" w:sz="8" w:space="0"/>
              <w:bottom w:val="single" w:color="auto" w:sz="8" w:space="0"/>
              <w:tl2br w:val="nil"/>
              <w:tr2bl w:val="nil"/>
            </w:tcBorders>
            <w:shd w:val="clear" w:color="auto" w:fill="auto"/>
            <w:vAlign w:val="center"/>
          </w:tcPr>
          <w:p w14:paraId="3E021D9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5524B28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562F0A6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2DF9753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40E1A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bottom w:val="single" w:color="auto" w:sz="8" w:space="0"/>
              <w:tl2br w:val="nil"/>
              <w:tr2bl w:val="nil"/>
            </w:tcBorders>
            <w:shd w:val="clear" w:color="auto" w:fill="auto"/>
            <w:vAlign w:val="center"/>
          </w:tcPr>
          <w:p w14:paraId="3A215228">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䓛</w:t>
            </w:r>
          </w:p>
        </w:tc>
        <w:tc>
          <w:tcPr>
            <w:tcW w:w="3413" w:type="dxa"/>
            <w:vMerge w:val="continue"/>
            <w:tcBorders>
              <w:top w:val="single" w:color="auto" w:sz="8" w:space="0"/>
              <w:bottom w:val="single" w:color="auto" w:sz="8" w:space="0"/>
              <w:tl2br w:val="nil"/>
              <w:tr2bl w:val="nil"/>
            </w:tcBorders>
            <w:shd w:val="clear" w:color="auto" w:fill="auto"/>
            <w:vAlign w:val="center"/>
          </w:tcPr>
          <w:p w14:paraId="13E8DA4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8" w:space="0"/>
              <w:tl2br w:val="nil"/>
              <w:tr2bl w:val="nil"/>
            </w:tcBorders>
            <w:shd w:val="clear" w:color="auto" w:fill="auto"/>
            <w:vAlign w:val="center"/>
          </w:tcPr>
          <w:p w14:paraId="516B67F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8" w:space="0"/>
              <w:tl2br w:val="nil"/>
              <w:tr2bl w:val="nil"/>
            </w:tcBorders>
            <w:shd w:val="clear" w:color="auto" w:fill="auto"/>
            <w:vAlign w:val="center"/>
          </w:tcPr>
          <w:p w14:paraId="6414427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8" w:space="0"/>
              <w:tl2br w:val="nil"/>
              <w:tr2bl w:val="nil"/>
            </w:tcBorders>
            <w:shd w:val="clear" w:color="auto" w:fill="auto"/>
            <w:vAlign w:val="center"/>
          </w:tcPr>
          <w:p w14:paraId="7612252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6FBFF7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op w:val="single" w:color="auto" w:sz="8" w:space="0"/>
              <w:bottom w:val="single" w:color="auto" w:sz="4" w:space="0"/>
              <w:tl2br w:val="nil"/>
              <w:tr2bl w:val="nil"/>
            </w:tcBorders>
            <w:shd w:val="clear" w:color="auto" w:fill="auto"/>
            <w:vAlign w:val="center"/>
          </w:tcPr>
          <w:p w14:paraId="385C4F8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二苯并[a,h]蒽</w:t>
            </w:r>
          </w:p>
        </w:tc>
        <w:tc>
          <w:tcPr>
            <w:tcW w:w="3413" w:type="dxa"/>
            <w:vMerge w:val="continue"/>
            <w:tcBorders>
              <w:top w:val="single" w:color="auto" w:sz="8" w:space="0"/>
              <w:bottom w:val="single" w:color="auto" w:sz="4" w:space="0"/>
              <w:tl2br w:val="nil"/>
              <w:tr2bl w:val="nil"/>
            </w:tcBorders>
            <w:shd w:val="clear" w:color="auto" w:fill="auto"/>
            <w:vAlign w:val="center"/>
          </w:tcPr>
          <w:p w14:paraId="78C97C41">
            <w:pPr>
              <w:widowControl w:val="0"/>
              <w:spacing w:line="240" w:lineRule="auto"/>
              <w:jc w:val="center"/>
              <w:rPr>
                <w:rFonts w:ascii="Times New Roman" w:hAnsi="Times New Roman" w:eastAsia="宋体" w:cs="Times New Roman"/>
                <w:b/>
                <w:bCs/>
                <w:caps w:val="0"/>
                <w:smallCaps w:val="0"/>
                <w:color w:val="auto"/>
                <w:spacing w:val="0"/>
                <w:kern w:val="0"/>
                <w:sz w:val="21"/>
                <w:highlight w:val="none"/>
              </w:rPr>
            </w:pPr>
          </w:p>
        </w:tc>
        <w:tc>
          <w:tcPr>
            <w:tcW w:w="1718" w:type="dxa"/>
            <w:vMerge w:val="continue"/>
            <w:tcBorders>
              <w:top w:val="single" w:color="auto" w:sz="8" w:space="0"/>
              <w:bottom w:val="single" w:color="auto" w:sz="4" w:space="0"/>
              <w:tl2br w:val="nil"/>
              <w:tr2bl w:val="nil"/>
            </w:tcBorders>
            <w:shd w:val="clear" w:color="auto" w:fill="auto"/>
            <w:vAlign w:val="center"/>
          </w:tcPr>
          <w:p w14:paraId="71623CC6">
            <w:pPr>
              <w:widowControl w:val="0"/>
              <w:spacing w:line="240" w:lineRule="auto"/>
              <w:jc w:val="center"/>
              <w:rPr>
                <w:rFonts w:ascii="Times New Roman" w:hAnsi="Times New Roman" w:eastAsia="宋体" w:cs="Times New Roman"/>
                <w:b/>
                <w:bCs/>
                <w:caps w:val="0"/>
                <w:smallCaps w:val="0"/>
                <w:color w:val="auto"/>
                <w:spacing w:val="0"/>
                <w:kern w:val="0"/>
                <w:sz w:val="21"/>
                <w:highlight w:val="none"/>
              </w:rPr>
            </w:pPr>
          </w:p>
        </w:tc>
        <w:tc>
          <w:tcPr>
            <w:tcW w:w="1247" w:type="dxa"/>
            <w:vMerge w:val="continue"/>
            <w:tcBorders>
              <w:top w:val="single" w:color="auto" w:sz="8" w:space="0"/>
              <w:bottom w:val="single" w:color="auto" w:sz="4" w:space="0"/>
              <w:tl2br w:val="nil"/>
              <w:tr2bl w:val="nil"/>
            </w:tcBorders>
            <w:shd w:val="clear" w:color="auto" w:fill="auto"/>
            <w:vAlign w:val="center"/>
          </w:tcPr>
          <w:p w14:paraId="604773B2">
            <w:pPr>
              <w:widowControl w:val="0"/>
              <w:spacing w:line="240" w:lineRule="auto"/>
              <w:jc w:val="center"/>
              <w:rPr>
                <w:rFonts w:ascii="Times New Roman" w:hAnsi="Times New Roman" w:eastAsia="宋体" w:cs="Times New Roman"/>
                <w:b/>
                <w:bCs/>
                <w:caps w:val="0"/>
                <w:smallCaps w:val="0"/>
                <w:color w:val="auto"/>
                <w:spacing w:val="0"/>
                <w:kern w:val="0"/>
                <w:sz w:val="21"/>
                <w:highlight w:val="none"/>
              </w:rPr>
            </w:pPr>
          </w:p>
        </w:tc>
        <w:tc>
          <w:tcPr>
            <w:tcW w:w="1505" w:type="dxa"/>
            <w:vMerge w:val="continue"/>
            <w:tcBorders>
              <w:top w:val="single" w:color="auto" w:sz="8" w:space="0"/>
              <w:bottom w:val="single" w:color="auto" w:sz="4" w:space="0"/>
              <w:tl2br w:val="nil"/>
              <w:tr2bl w:val="nil"/>
            </w:tcBorders>
            <w:shd w:val="clear" w:color="auto" w:fill="auto"/>
            <w:vAlign w:val="center"/>
          </w:tcPr>
          <w:p w14:paraId="75880B03">
            <w:pPr>
              <w:widowControl w:val="0"/>
              <w:spacing w:line="240" w:lineRule="auto"/>
              <w:jc w:val="center"/>
              <w:rPr>
                <w:rFonts w:ascii="Times New Roman" w:hAnsi="Times New Roman" w:eastAsia="宋体" w:cs="Times New Roman"/>
                <w:b/>
                <w:bCs/>
                <w:caps w:val="0"/>
                <w:smallCaps w:val="0"/>
                <w:color w:val="auto"/>
                <w:spacing w:val="0"/>
                <w:kern w:val="0"/>
                <w:sz w:val="21"/>
                <w:highlight w:val="none"/>
              </w:rPr>
            </w:pPr>
          </w:p>
        </w:tc>
      </w:tr>
      <w:tr w14:paraId="25E37A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op w:val="single" w:color="auto" w:sz="4" w:space="0"/>
              <w:tl2br w:val="nil"/>
              <w:tr2bl w:val="nil"/>
            </w:tcBorders>
            <w:shd w:val="clear" w:color="auto" w:fill="auto"/>
            <w:vAlign w:val="center"/>
          </w:tcPr>
          <w:p w14:paraId="481DC19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茚并[1,2,3</w:t>
            </w:r>
          </w:p>
          <w:p w14:paraId="2E46B31B">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-cd]芘</w:t>
            </w:r>
          </w:p>
        </w:tc>
        <w:tc>
          <w:tcPr>
            <w:tcW w:w="3413" w:type="dxa"/>
            <w:vMerge w:val="continue"/>
            <w:tcBorders>
              <w:top w:val="single" w:color="auto" w:sz="4" w:space="0"/>
              <w:bottom w:val="single" w:color="auto" w:sz="8" w:space="0"/>
              <w:tl2br w:val="nil"/>
              <w:tr2bl w:val="nil"/>
            </w:tcBorders>
            <w:shd w:val="clear" w:color="auto" w:fill="auto"/>
            <w:vAlign w:val="center"/>
          </w:tcPr>
          <w:p w14:paraId="6C030D1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4" w:space="0"/>
              <w:bottom w:val="single" w:color="auto" w:sz="8" w:space="0"/>
              <w:tl2br w:val="nil"/>
              <w:tr2bl w:val="nil"/>
            </w:tcBorders>
            <w:shd w:val="clear" w:color="auto" w:fill="auto"/>
            <w:vAlign w:val="center"/>
          </w:tcPr>
          <w:p w14:paraId="5B488D0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4" w:space="0"/>
              <w:bottom w:val="single" w:color="auto" w:sz="8" w:space="0"/>
              <w:tl2br w:val="nil"/>
              <w:tr2bl w:val="nil"/>
            </w:tcBorders>
            <w:shd w:val="clear" w:color="auto" w:fill="auto"/>
            <w:vAlign w:val="center"/>
          </w:tcPr>
          <w:p w14:paraId="540CAF4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4" w:space="0"/>
              <w:bottom w:val="single" w:color="auto" w:sz="8" w:space="0"/>
              <w:tl2br w:val="nil"/>
              <w:tr2bl w:val="nil"/>
            </w:tcBorders>
            <w:shd w:val="clear" w:color="auto" w:fill="auto"/>
            <w:vAlign w:val="center"/>
          </w:tcPr>
          <w:p w14:paraId="07F2CE9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1A054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4191889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萘</w:t>
            </w:r>
          </w:p>
        </w:tc>
        <w:tc>
          <w:tcPr>
            <w:tcW w:w="3413" w:type="dxa"/>
            <w:vMerge w:val="continue"/>
            <w:tcBorders>
              <w:top w:val="single" w:color="auto" w:sz="8" w:space="0"/>
              <w:bottom w:val="single" w:color="auto" w:sz="4" w:space="0"/>
              <w:tl2br w:val="nil"/>
              <w:tr2bl w:val="nil"/>
            </w:tcBorders>
            <w:shd w:val="clear" w:color="auto" w:fill="auto"/>
            <w:vAlign w:val="center"/>
          </w:tcPr>
          <w:p w14:paraId="585BD0C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718" w:type="dxa"/>
            <w:vMerge w:val="continue"/>
            <w:tcBorders>
              <w:top w:val="single" w:color="auto" w:sz="8" w:space="0"/>
              <w:bottom w:val="single" w:color="auto" w:sz="4" w:space="0"/>
              <w:tl2br w:val="nil"/>
              <w:tr2bl w:val="nil"/>
            </w:tcBorders>
            <w:shd w:val="clear" w:color="auto" w:fill="auto"/>
            <w:vAlign w:val="center"/>
          </w:tcPr>
          <w:p w14:paraId="524435F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247" w:type="dxa"/>
            <w:vMerge w:val="continue"/>
            <w:tcBorders>
              <w:top w:val="single" w:color="auto" w:sz="8" w:space="0"/>
              <w:bottom w:val="single" w:color="auto" w:sz="4" w:space="0"/>
              <w:tl2br w:val="nil"/>
              <w:tr2bl w:val="nil"/>
            </w:tcBorders>
            <w:shd w:val="clear" w:color="auto" w:fill="auto"/>
            <w:vAlign w:val="center"/>
          </w:tcPr>
          <w:p w14:paraId="3F8A218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c>
          <w:tcPr>
            <w:tcW w:w="1505" w:type="dxa"/>
            <w:vMerge w:val="continue"/>
            <w:tcBorders>
              <w:top w:val="single" w:color="auto" w:sz="8" w:space="0"/>
              <w:bottom w:val="single" w:color="auto" w:sz="4" w:space="0"/>
              <w:tl2br w:val="nil"/>
              <w:tr2bl w:val="nil"/>
            </w:tcBorders>
            <w:shd w:val="clear" w:color="auto" w:fill="auto"/>
            <w:vAlign w:val="center"/>
          </w:tcPr>
          <w:p w14:paraId="7564C93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09AB17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02562B5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钼</w:t>
            </w:r>
          </w:p>
        </w:tc>
        <w:tc>
          <w:tcPr>
            <w:tcW w:w="3413" w:type="dxa"/>
            <w:tcBorders>
              <w:top w:val="single" w:color="auto" w:sz="4" w:space="0"/>
              <w:tl2br w:val="nil"/>
              <w:tr2bl w:val="nil"/>
            </w:tcBorders>
            <w:shd w:val="clear" w:color="auto" w:fill="auto"/>
            <w:vAlign w:val="center"/>
          </w:tcPr>
          <w:p w14:paraId="07B5822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土壤和沉积物12种金属元素的测定王水提取-电感耦合等离子体质谱法（HJ803-2016）</w:t>
            </w:r>
          </w:p>
        </w:tc>
        <w:tc>
          <w:tcPr>
            <w:tcW w:w="1718" w:type="dxa"/>
            <w:tcBorders>
              <w:top w:val="single" w:color="auto" w:sz="4" w:space="0"/>
              <w:tl2br w:val="nil"/>
              <w:tr2bl w:val="nil"/>
            </w:tcBorders>
            <w:shd w:val="clear" w:color="auto" w:fill="auto"/>
            <w:vAlign w:val="center"/>
          </w:tcPr>
          <w:p w14:paraId="78E677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04F2A1B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离子体质谱仪</w:t>
            </w:r>
          </w:p>
        </w:tc>
        <w:tc>
          <w:tcPr>
            <w:tcW w:w="1247" w:type="dxa"/>
            <w:tcBorders>
              <w:top w:val="single" w:color="auto" w:sz="4" w:space="0"/>
              <w:tl2br w:val="nil"/>
              <w:tr2bl w:val="nil"/>
            </w:tcBorders>
            <w:shd w:val="clear" w:color="auto" w:fill="auto"/>
            <w:vAlign w:val="center"/>
          </w:tcPr>
          <w:p w14:paraId="2D34E9E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Expec7000</w:t>
            </w:r>
          </w:p>
        </w:tc>
        <w:tc>
          <w:tcPr>
            <w:tcW w:w="1505" w:type="dxa"/>
            <w:tcBorders>
              <w:top w:val="single" w:color="auto" w:sz="4" w:space="0"/>
              <w:tl2br w:val="nil"/>
              <w:tr2bl w:val="nil"/>
            </w:tcBorders>
            <w:shd w:val="clear" w:color="auto" w:fill="auto"/>
            <w:vAlign w:val="center"/>
          </w:tcPr>
          <w:p w14:paraId="2D98FDB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YQ/01C225</w:t>
            </w:r>
          </w:p>
        </w:tc>
      </w:tr>
      <w:tr w14:paraId="698AE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64B6248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硒</w:t>
            </w:r>
          </w:p>
        </w:tc>
        <w:tc>
          <w:tcPr>
            <w:tcW w:w="3413" w:type="dxa"/>
            <w:tcBorders>
              <w:tl2br w:val="nil"/>
              <w:tr2bl w:val="nil"/>
            </w:tcBorders>
            <w:shd w:val="clear" w:color="auto" w:fill="auto"/>
            <w:vAlign w:val="center"/>
          </w:tcPr>
          <w:p w14:paraId="603F466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土壤和沉积物汞、砷、硒、铋、锑的测定微波消解/原子荧光法</w:t>
            </w:r>
          </w:p>
          <w:p w14:paraId="457D3DA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（HJ680-2013）</w:t>
            </w:r>
          </w:p>
        </w:tc>
        <w:tc>
          <w:tcPr>
            <w:tcW w:w="1718" w:type="dxa"/>
            <w:tcBorders>
              <w:tl2br w:val="nil"/>
              <w:tr2bl w:val="nil"/>
            </w:tcBorders>
            <w:shd w:val="clear" w:color="auto" w:fill="auto"/>
            <w:vAlign w:val="center"/>
          </w:tcPr>
          <w:p w14:paraId="3033ED3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原子荧光光度计</w:t>
            </w:r>
          </w:p>
        </w:tc>
        <w:tc>
          <w:tcPr>
            <w:tcW w:w="1247" w:type="dxa"/>
            <w:tcBorders>
              <w:tl2br w:val="nil"/>
              <w:tr2bl w:val="nil"/>
            </w:tcBorders>
            <w:shd w:val="clear" w:color="auto" w:fill="auto"/>
            <w:vAlign w:val="center"/>
          </w:tcPr>
          <w:p w14:paraId="2C4BE03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PF73</w:t>
            </w:r>
          </w:p>
        </w:tc>
        <w:tc>
          <w:tcPr>
            <w:tcW w:w="1505" w:type="dxa"/>
            <w:tcBorders>
              <w:tl2br w:val="nil"/>
              <w:tr2bl w:val="nil"/>
            </w:tcBorders>
            <w:shd w:val="clear" w:color="auto" w:fill="auto"/>
            <w:vAlign w:val="center"/>
          </w:tcPr>
          <w:p w14:paraId="1E4C040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YQ/01C570</w:t>
            </w:r>
          </w:p>
        </w:tc>
      </w:tr>
      <w:tr w14:paraId="54A702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tl2br w:val="nil"/>
              <w:tr2bl w:val="nil"/>
            </w:tcBorders>
            <w:shd w:val="clear" w:color="auto" w:fill="auto"/>
            <w:vAlign w:val="center"/>
          </w:tcPr>
          <w:p w14:paraId="79EDABB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铝</w:t>
            </w:r>
          </w:p>
        </w:tc>
        <w:tc>
          <w:tcPr>
            <w:tcW w:w="3413" w:type="dxa"/>
            <w:tcBorders>
              <w:tl2br w:val="nil"/>
              <w:tr2bl w:val="nil"/>
            </w:tcBorders>
            <w:shd w:val="clear" w:color="auto" w:fill="auto"/>
            <w:vAlign w:val="center"/>
          </w:tcPr>
          <w:p w14:paraId="45664DA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土壤和沉积物11种元素的测定碱熔-电感耦合等离子体发射光谱法</w:t>
            </w:r>
          </w:p>
          <w:p w14:paraId="0DC1243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（HJ974-2018）</w:t>
            </w:r>
          </w:p>
        </w:tc>
        <w:tc>
          <w:tcPr>
            <w:tcW w:w="1718" w:type="dxa"/>
            <w:tcBorders>
              <w:tl2br w:val="nil"/>
              <w:tr2bl w:val="nil"/>
            </w:tcBorders>
            <w:shd w:val="clear" w:color="auto" w:fill="auto"/>
            <w:vAlign w:val="center"/>
          </w:tcPr>
          <w:p w14:paraId="5432D12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电感耦合等</w:t>
            </w:r>
          </w:p>
          <w:p w14:paraId="2E98526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离子体发射光谱仪</w:t>
            </w:r>
          </w:p>
        </w:tc>
        <w:tc>
          <w:tcPr>
            <w:tcW w:w="1247" w:type="dxa"/>
            <w:tcBorders>
              <w:tl2br w:val="nil"/>
              <w:tr2bl w:val="nil"/>
            </w:tcBorders>
            <w:shd w:val="clear" w:color="auto" w:fill="auto"/>
            <w:vAlign w:val="center"/>
          </w:tcPr>
          <w:p w14:paraId="0764BA6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ICP-5000</w:t>
            </w:r>
            <w:r>
              <w:rPr>
                <w:rFonts w:ascii="Times New Roman" w:hAnsi="Times New Roman" w:eastAsia="宋体" w:cs="Times New Roman"/>
                <w:caps w:val="0"/>
                <w:smallCaps w:val="0"/>
                <w:color w:val="auto"/>
                <w:spacing w:val="0"/>
                <w:kern w:val="0"/>
                <w:sz w:val="21"/>
                <w:highlight w:val="none"/>
              </w:rPr>
              <w:tab/>
            </w:r>
          </w:p>
        </w:tc>
        <w:tc>
          <w:tcPr>
            <w:tcW w:w="1505" w:type="dxa"/>
            <w:tcBorders>
              <w:tl2br w:val="nil"/>
              <w:tr2bl w:val="nil"/>
            </w:tcBorders>
            <w:shd w:val="clear" w:color="auto" w:fill="auto"/>
            <w:vAlign w:val="center"/>
          </w:tcPr>
          <w:p w14:paraId="0F6D118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YQ/01C224</w:t>
            </w:r>
          </w:p>
        </w:tc>
      </w:tr>
      <w:tr w14:paraId="0C9CC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3" w:type="dxa"/>
            <w:tcBorders>
              <w:bottom w:val="single" w:color="auto" w:sz="8" w:space="0"/>
              <w:tl2br w:val="nil"/>
              <w:tr2bl w:val="nil"/>
            </w:tcBorders>
            <w:shd w:val="clear" w:color="auto" w:fill="auto"/>
            <w:vAlign w:val="center"/>
          </w:tcPr>
          <w:p w14:paraId="49AC517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石油烃</w:t>
            </w:r>
          </w:p>
        </w:tc>
        <w:tc>
          <w:tcPr>
            <w:tcW w:w="3413" w:type="dxa"/>
            <w:tcBorders>
              <w:bottom w:val="single" w:color="auto" w:sz="8" w:space="0"/>
              <w:tl2br w:val="nil"/>
              <w:tr2bl w:val="nil"/>
            </w:tcBorders>
            <w:shd w:val="clear" w:color="auto" w:fill="auto"/>
            <w:vAlign w:val="center"/>
          </w:tcPr>
          <w:p w14:paraId="4C0A887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土壤和沉积物石油烃(C</w:t>
            </w:r>
            <w:r>
              <w:rPr>
                <w:rFonts w:ascii="Times New Roman" w:hAnsi="Times New Roman" w:eastAsia="宋体" w:cs="Times New Roman"/>
                <w:caps w:val="0"/>
                <w:smallCaps w:val="0"/>
                <w:color w:val="auto"/>
                <w:spacing w:val="0"/>
                <w:kern w:val="0"/>
                <w:sz w:val="21"/>
                <w:highlight w:val="none"/>
                <w:vertAlign w:val="subscript"/>
              </w:rPr>
              <w:t>10</w:t>
            </w:r>
            <w:r>
              <w:rPr>
                <w:rFonts w:ascii="Times New Roman" w:hAnsi="Times New Roman" w:eastAsia="宋体" w:cs="Times New Roman"/>
                <w:caps w:val="0"/>
                <w:smallCaps w:val="0"/>
                <w:color w:val="auto"/>
                <w:spacing w:val="0"/>
                <w:kern w:val="0"/>
                <w:sz w:val="21"/>
                <w:highlight w:val="none"/>
              </w:rPr>
              <w:t>-C</w:t>
            </w:r>
            <w:r>
              <w:rPr>
                <w:rFonts w:ascii="Times New Roman" w:hAnsi="Times New Roman" w:eastAsia="宋体" w:cs="Times New Roman"/>
                <w:caps w:val="0"/>
                <w:smallCaps w:val="0"/>
                <w:color w:val="auto"/>
                <w:spacing w:val="0"/>
                <w:kern w:val="0"/>
                <w:sz w:val="21"/>
                <w:highlight w:val="none"/>
                <w:vertAlign w:val="subscript"/>
              </w:rPr>
              <w:t>40</w:t>
            </w:r>
            <w:r>
              <w:rPr>
                <w:rFonts w:ascii="Times New Roman" w:hAnsi="Times New Roman" w:eastAsia="宋体" w:cs="Times New Roman"/>
                <w:caps w:val="0"/>
                <w:smallCaps w:val="0"/>
                <w:color w:val="auto"/>
                <w:spacing w:val="0"/>
                <w:kern w:val="0"/>
                <w:sz w:val="21"/>
                <w:highlight w:val="none"/>
              </w:rPr>
              <w:t>)的测定气相色谱法（HJ1021-2019）</w:t>
            </w:r>
          </w:p>
        </w:tc>
        <w:tc>
          <w:tcPr>
            <w:tcW w:w="1718" w:type="dxa"/>
            <w:tcBorders>
              <w:bottom w:val="single" w:color="auto" w:sz="8" w:space="0"/>
              <w:tl2br w:val="nil"/>
              <w:tr2bl w:val="nil"/>
            </w:tcBorders>
            <w:shd w:val="clear" w:color="auto" w:fill="auto"/>
            <w:vAlign w:val="center"/>
          </w:tcPr>
          <w:p w14:paraId="18BF3F0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气相色谱仪</w:t>
            </w:r>
          </w:p>
        </w:tc>
        <w:tc>
          <w:tcPr>
            <w:tcW w:w="1247" w:type="dxa"/>
            <w:tcBorders>
              <w:bottom w:val="single" w:color="auto" w:sz="8" w:space="0"/>
              <w:tl2br w:val="nil"/>
              <w:tr2bl w:val="nil"/>
            </w:tcBorders>
            <w:shd w:val="clear" w:color="auto" w:fill="auto"/>
            <w:vAlign w:val="center"/>
          </w:tcPr>
          <w:p w14:paraId="6004DF1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GC1100</w:t>
            </w:r>
          </w:p>
        </w:tc>
        <w:tc>
          <w:tcPr>
            <w:tcW w:w="1505" w:type="dxa"/>
            <w:tcBorders>
              <w:bottom w:val="single" w:color="auto" w:sz="8" w:space="0"/>
              <w:tl2br w:val="nil"/>
              <w:tr2bl w:val="nil"/>
            </w:tcBorders>
            <w:shd w:val="clear" w:color="auto" w:fill="auto"/>
            <w:vAlign w:val="center"/>
          </w:tcPr>
          <w:p w14:paraId="16C0306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YQ/01C029</w:t>
            </w:r>
          </w:p>
        </w:tc>
      </w:tr>
    </w:tbl>
    <w:p w14:paraId="251BF0B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（4）监测结果</w:t>
      </w:r>
    </w:p>
    <w:p w14:paraId="5516EAA5">
      <w:pPr>
        <w:widowControl w:val="0"/>
        <w:jc w:val="center"/>
        <w:rPr>
          <w:rFonts w:ascii="Times New Roman" w:hAnsi="Times New Roman" w:eastAsia="宋体" w:cs="Times New Roman"/>
          <w:b/>
          <w:caps w:val="0"/>
          <w:smallCaps w:val="0"/>
          <w:color w:val="auto"/>
          <w:spacing w:val="0"/>
          <w:highlight w:val="none"/>
        </w:rPr>
      </w:pPr>
    </w:p>
    <w:p w14:paraId="7D6A6FF4">
      <w:pPr>
        <w:widowControl w:val="0"/>
        <w:jc w:val="center"/>
        <w:rPr>
          <w:rFonts w:ascii="Times New Roman" w:hAnsi="Times New Roman" w:eastAsia="宋体" w:cs="Times New Roman"/>
          <w:b/>
          <w:caps w:val="0"/>
          <w:smallCaps w:val="0"/>
          <w:color w:val="auto"/>
          <w:spacing w:val="0"/>
          <w:highlight w:val="none"/>
        </w:rPr>
      </w:pPr>
      <w:r>
        <w:rPr>
          <w:rFonts w:ascii="Times New Roman" w:hAnsi="Times New Roman" w:eastAsia="宋体" w:cs="Times New Roman"/>
          <w:b/>
          <w:caps w:val="0"/>
          <w:smallCaps w:val="0"/>
          <w:color w:val="auto"/>
          <w:spacing w:val="0"/>
          <w:highlight w:val="none"/>
        </w:rPr>
        <w:t>表4.4-1</w:t>
      </w:r>
      <w:r>
        <w:rPr>
          <w:rFonts w:hint="eastAsia" w:ascii="Times New Roman" w:hAnsi="Times New Roman" w:eastAsia="宋体" w:cs="Times New Roman"/>
          <w:b/>
          <w:caps w:val="0"/>
          <w:smallCaps w:val="0"/>
          <w:color w:val="auto"/>
          <w:spacing w:val="0"/>
          <w:highlight w:val="none"/>
          <w:lang w:val="en-US" w:eastAsia="zh-CN"/>
        </w:rPr>
        <w:t>5</w:t>
      </w:r>
      <w:r>
        <w:rPr>
          <w:rFonts w:ascii="Times New Roman" w:hAnsi="Times New Roman" w:eastAsia="宋体" w:cs="Times New Roman"/>
          <w:b/>
          <w:caps w:val="0"/>
          <w:smallCaps w:val="0"/>
          <w:color w:val="auto"/>
          <w:spacing w:val="0"/>
          <w:highlight w:val="none"/>
        </w:rPr>
        <w:t>土壤现状监测结果</w:t>
      </w:r>
      <w:r>
        <w:rPr>
          <w:rFonts w:ascii="Times New Roman" w:hAnsi="Times New Roman" w:eastAsia="宋体" w:cs="Times New Roman"/>
          <w:b/>
          <w:caps w:val="0"/>
          <w:smallCaps w:val="0"/>
          <w:color w:val="auto"/>
          <w:spacing w:val="0"/>
          <w:highlight w:val="none"/>
        </w:rPr>
        <w:tab/>
      </w:r>
      <w:r>
        <w:rPr>
          <w:rFonts w:ascii="Times New Roman" w:hAnsi="Times New Roman" w:eastAsia="宋体" w:cs="Times New Roman"/>
          <w:b/>
          <w:caps w:val="0"/>
          <w:smallCaps w:val="0"/>
          <w:color w:val="auto"/>
          <w:spacing w:val="0"/>
          <w:highlight w:val="none"/>
        </w:rPr>
        <w:t>单位：mg/kg</w:t>
      </w:r>
    </w:p>
    <w:p w14:paraId="1C46A510">
      <w:pPr>
        <w:widowControl w:val="0"/>
        <w:spacing w:before="10"/>
        <w:rPr>
          <w:rFonts w:ascii="Times New Roman" w:hAnsi="Times New Roman" w:eastAsia="宋体" w:cs="Times New Roman"/>
          <w:b/>
          <w:bCs/>
          <w:caps w:val="0"/>
          <w:smallCaps w:val="0"/>
          <w:color w:val="auto"/>
          <w:spacing w:val="0"/>
          <w:sz w:val="3"/>
          <w:szCs w:val="3"/>
          <w:highlight w:val="none"/>
        </w:rPr>
      </w:pP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1826"/>
        <w:gridCol w:w="1561"/>
        <w:gridCol w:w="929"/>
        <w:gridCol w:w="740"/>
        <w:gridCol w:w="1688"/>
        <w:gridCol w:w="1079"/>
      </w:tblGrid>
      <w:tr w14:paraId="69835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restart"/>
            <w:tcBorders>
              <w:top w:val="single" w:color="auto" w:sz="8" w:space="0"/>
              <w:tl2br w:val="nil"/>
              <w:tr2bl w:val="nil"/>
            </w:tcBorders>
            <w:vAlign w:val="center"/>
          </w:tcPr>
          <w:p w14:paraId="038CD9DF">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采样日期</w:t>
            </w:r>
          </w:p>
        </w:tc>
        <w:tc>
          <w:tcPr>
            <w:tcW w:w="1826" w:type="dxa"/>
            <w:tcBorders>
              <w:top w:val="single" w:color="auto" w:sz="8" w:space="0"/>
              <w:tl2br w:val="nil"/>
              <w:tr2bl w:val="nil"/>
            </w:tcBorders>
            <w:vAlign w:val="center"/>
          </w:tcPr>
          <w:p w14:paraId="3C86FEDC">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采样点位</w:t>
            </w:r>
          </w:p>
        </w:tc>
        <w:tc>
          <w:tcPr>
            <w:tcW w:w="1561" w:type="dxa"/>
            <w:tcBorders>
              <w:top w:val="single" w:color="auto" w:sz="8" w:space="0"/>
              <w:tl2br w:val="nil"/>
              <w:tr2bl w:val="nil"/>
            </w:tcBorders>
            <w:vAlign w:val="center"/>
          </w:tcPr>
          <w:p w14:paraId="1E855D1C">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highlight w:val="none"/>
              </w:rPr>
              <w:t>表层样点1#</w:t>
            </w:r>
          </w:p>
        </w:tc>
        <w:tc>
          <w:tcPr>
            <w:tcW w:w="1669" w:type="dxa"/>
            <w:gridSpan w:val="2"/>
            <w:tcBorders>
              <w:top w:val="single" w:color="auto" w:sz="8" w:space="0"/>
              <w:tl2br w:val="nil"/>
              <w:tr2bl w:val="nil"/>
            </w:tcBorders>
            <w:vAlign w:val="center"/>
          </w:tcPr>
          <w:p w14:paraId="560C0DBB">
            <w:pPr>
              <w:widowControl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表层样点2#</w:t>
            </w:r>
          </w:p>
        </w:tc>
        <w:tc>
          <w:tcPr>
            <w:tcW w:w="1688" w:type="dxa"/>
            <w:tcBorders>
              <w:top w:val="single" w:color="auto" w:sz="8" w:space="0"/>
              <w:tl2br w:val="nil"/>
              <w:tr2bl w:val="nil"/>
            </w:tcBorders>
            <w:vAlign w:val="center"/>
          </w:tcPr>
          <w:p w14:paraId="7FADC8B4">
            <w:pPr>
              <w:widowControl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表层样点3#</w:t>
            </w:r>
          </w:p>
        </w:tc>
        <w:tc>
          <w:tcPr>
            <w:tcW w:w="1079" w:type="dxa"/>
            <w:vMerge w:val="restart"/>
            <w:tcBorders>
              <w:top w:val="single" w:color="auto" w:sz="8" w:space="0"/>
              <w:tl2br w:val="nil"/>
              <w:tr2bl w:val="nil"/>
            </w:tcBorders>
            <w:vAlign w:val="center"/>
          </w:tcPr>
          <w:p w14:paraId="0FAFB913">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单位</w:t>
            </w:r>
          </w:p>
        </w:tc>
      </w:tr>
      <w:tr w14:paraId="56407F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0DA9DF3">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vAlign w:val="center"/>
          </w:tcPr>
          <w:p w14:paraId="4158D622">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1561" w:type="dxa"/>
            <w:tcBorders>
              <w:tl2br w:val="nil"/>
              <w:tr2bl w:val="nil"/>
            </w:tcBorders>
            <w:vAlign w:val="center"/>
          </w:tcPr>
          <w:p w14:paraId="37CA4F54">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T256046-01-01</w:t>
            </w:r>
          </w:p>
        </w:tc>
        <w:tc>
          <w:tcPr>
            <w:tcW w:w="1669" w:type="dxa"/>
            <w:gridSpan w:val="2"/>
            <w:tcBorders>
              <w:tl2br w:val="nil"/>
              <w:tr2bl w:val="nil"/>
            </w:tcBorders>
            <w:vAlign w:val="center"/>
          </w:tcPr>
          <w:p w14:paraId="58292CEB">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T2506046-02-01</w:t>
            </w:r>
          </w:p>
        </w:tc>
        <w:tc>
          <w:tcPr>
            <w:tcW w:w="1688" w:type="dxa"/>
            <w:tcBorders>
              <w:tl2br w:val="nil"/>
              <w:tr2bl w:val="nil"/>
            </w:tcBorders>
            <w:vAlign w:val="center"/>
          </w:tcPr>
          <w:p w14:paraId="6C3C0F6D">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T2506046-03-01</w:t>
            </w:r>
          </w:p>
        </w:tc>
        <w:tc>
          <w:tcPr>
            <w:tcW w:w="1079" w:type="dxa"/>
            <w:vMerge w:val="continue"/>
            <w:tcBorders>
              <w:tl2br w:val="nil"/>
              <w:tr2bl w:val="nil"/>
            </w:tcBorders>
            <w:vAlign w:val="center"/>
          </w:tcPr>
          <w:p w14:paraId="7909B256">
            <w:pPr>
              <w:widowControl w:val="0"/>
              <w:spacing w:line="240" w:lineRule="auto"/>
              <w:jc w:val="center"/>
              <w:rPr>
                <w:rFonts w:ascii="Times New Roman" w:hAnsi="Times New Roman" w:eastAsia="宋体" w:cs="Times New Roman"/>
                <w:b/>
                <w:bCs/>
                <w:caps w:val="0"/>
                <w:smallCaps w:val="0"/>
                <w:color w:val="auto"/>
                <w:spacing w:val="0"/>
                <w:sz w:val="21"/>
                <w:highlight w:val="none"/>
              </w:rPr>
            </w:pPr>
          </w:p>
        </w:tc>
      </w:tr>
      <w:tr w14:paraId="55465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restart"/>
            <w:tcBorders>
              <w:tl2br w:val="nil"/>
              <w:tr2bl w:val="nil"/>
            </w:tcBorders>
            <w:vAlign w:val="center"/>
          </w:tcPr>
          <w:p w14:paraId="46A7C6C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2025.07.14</w:t>
            </w:r>
          </w:p>
        </w:tc>
        <w:tc>
          <w:tcPr>
            <w:tcW w:w="1826" w:type="dxa"/>
            <w:tcBorders>
              <w:tl2br w:val="nil"/>
              <w:tr2bl w:val="nil"/>
            </w:tcBorders>
            <w:vAlign w:val="center"/>
          </w:tcPr>
          <w:p w14:paraId="41495BA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pH值</w:t>
            </w:r>
          </w:p>
        </w:tc>
        <w:tc>
          <w:tcPr>
            <w:tcW w:w="1561" w:type="dxa"/>
            <w:tcBorders>
              <w:tl2br w:val="nil"/>
              <w:tr2bl w:val="nil"/>
            </w:tcBorders>
            <w:vAlign w:val="center"/>
          </w:tcPr>
          <w:p w14:paraId="68DD215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w:t>
            </w:r>
          </w:p>
        </w:tc>
        <w:tc>
          <w:tcPr>
            <w:tcW w:w="1669" w:type="dxa"/>
            <w:gridSpan w:val="2"/>
            <w:tcBorders>
              <w:tl2br w:val="nil"/>
              <w:tr2bl w:val="nil"/>
            </w:tcBorders>
            <w:vAlign w:val="center"/>
          </w:tcPr>
          <w:p w14:paraId="32419F4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7.4</w:t>
            </w:r>
          </w:p>
        </w:tc>
        <w:tc>
          <w:tcPr>
            <w:tcW w:w="1688" w:type="dxa"/>
            <w:tcBorders>
              <w:tl2br w:val="nil"/>
              <w:tr2bl w:val="nil"/>
            </w:tcBorders>
            <w:vAlign w:val="center"/>
          </w:tcPr>
          <w:p w14:paraId="4E2F31C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w:t>
            </w:r>
          </w:p>
        </w:tc>
        <w:tc>
          <w:tcPr>
            <w:tcW w:w="1079" w:type="dxa"/>
            <w:tcBorders>
              <w:tl2br w:val="nil"/>
              <w:tr2bl w:val="nil"/>
            </w:tcBorders>
            <w:vAlign w:val="center"/>
          </w:tcPr>
          <w:p w14:paraId="7C306C1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无量纲</w:t>
            </w:r>
          </w:p>
        </w:tc>
      </w:tr>
      <w:tr w14:paraId="0EF986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326BEFB6">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4B13325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镉</w:t>
            </w:r>
          </w:p>
        </w:tc>
        <w:tc>
          <w:tcPr>
            <w:tcW w:w="1561" w:type="dxa"/>
            <w:tcBorders>
              <w:tl2br w:val="nil"/>
              <w:tr2bl w:val="nil"/>
            </w:tcBorders>
            <w:vAlign w:val="center"/>
          </w:tcPr>
          <w:p w14:paraId="5CCE47B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69" w:type="dxa"/>
            <w:gridSpan w:val="2"/>
            <w:tcBorders>
              <w:tl2br w:val="nil"/>
              <w:tr2bl w:val="nil"/>
            </w:tcBorders>
            <w:vAlign w:val="center"/>
          </w:tcPr>
          <w:p w14:paraId="7737003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88" w:type="dxa"/>
            <w:tcBorders>
              <w:tl2br w:val="nil"/>
              <w:tr2bl w:val="nil"/>
            </w:tcBorders>
            <w:vAlign w:val="center"/>
          </w:tcPr>
          <w:p w14:paraId="7771C23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079" w:type="dxa"/>
            <w:tcBorders>
              <w:tl2br w:val="nil"/>
              <w:tr2bl w:val="nil"/>
            </w:tcBorders>
            <w:vAlign w:val="center"/>
          </w:tcPr>
          <w:p w14:paraId="230DE995">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rPr>
              <w:t>mg/kg</w:t>
            </w:r>
          </w:p>
        </w:tc>
      </w:tr>
      <w:tr w14:paraId="0C38A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36C1A27B">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6D0203B5">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总汞</w:t>
            </w:r>
          </w:p>
        </w:tc>
        <w:tc>
          <w:tcPr>
            <w:tcW w:w="1561" w:type="dxa"/>
            <w:tcBorders>
              <w:tl2br w:val="nil"/>
              <w:tr2bl w:val="nil"/>
            </w:tcBorders>
            <w:vAlign w:val="center"/>
          </w:tcPr>
          <w:p w14:paraId="1B86D15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0.0461</w:t>
            </w:r>
          </w:p>
        </w:tc>
        <w:tc>
          <w:tcPr>
            <w:tcW w:w="1669" w:type="dxa"/>
            <w:gridSpan w:val="2"/>
            <w:tcBorders>
              <w:tl2br w:val="nil"/>
              <w:tr2bl w:val="nil"/>
            </w:tcBorders>
            <w:vAlign w:val="center"/>
          </w:tcPr>
          <w:p w14:paraId="649EEEB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0.0362</w:t>
            </w:r>
          </w:p>
        </w:tc>
        <w:tc>
          <w:tcPr>
            <w:tcW w:w="1688" w:type="dxa"/>
            <w:tcBorders>
              <w:tl2br w:val="nil"/>
              <w:tr2bl w:val="nil"/>
            </w:tcBorders>
            <w:vAlign w:val="center"/>
          </w:tcPr>
          <w:p w14:paraId="3DA521F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0.0358</w:t>
            </w:r>
          </w:p>
        </w:tc>
        <w:tc>
          <w:tcPr>
            <w:tcW w:w="1079" w:type="dxa"/>
            <w:tcBorders>
              <w:tl2br w:val="nil"/>
              <w:tr2bl w:val="nil"/>
            </w:tcBorders>
            <w:vAlign w:val="center"/>
          </w:tcPr>
          <w:p w14:paraId="4777B0F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7D0C14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113DB820">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4B13C9C5">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总砷</w:t>
            </w:r>
          </w:p>
        </w:tc>
        <w:tc>
          <w:tcPr>
            <w:tcW w:w="1561" w:type="dxa"/>
            <w:tcBorders>
              <w:tl2br w:val="nil"/>
              <w:tr2bl w:val="nil"/>
            </w:tcBorders>
            <w:vAlign w:val="center"/>
          </w:tcPr>
          <w:p w14:paraId="64F5900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8.60</w:t>
            </w:r>
          </w:p>
        </w:tc>
        <w:tc>
          <w:tcPr>
            <w:tcW w:w="1669" w:type="dxa"/>
            <w:gridSpan w:val="2"/>
            <w:tcBorders>
              <w:tl2br w:val="nil"/>
              <w:tr2bl w:val="nil"/>
            </w:tcBorders>
            <w:vAlign w:val="center"/>
          </w:tcPr>
          <w:p w14:paraId="4038EB1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7.76</w:t>
            </w:r>
          </w:p>
        </w:tc>
        <w:tc>
          <w:tcPr>
            <w:tcW w:w="1688" w:type="dxa"/>
            <w:tcBorders>
              <w:tl2br w:val="nil"/>
              <w:tr2bl w:val="nil"/>
            </w:tcBorders>
            <w:vAlign w:val="center"/>
          </w:tcPr>
          <w:p w14:paraId="4BFB021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8.28</w:t>
            </w:r>
          </w:p>
        </w:tc>
        <w:tc>
          <w:tcPr>
            <w:tcW w:w="1079" w:type="dxa"/>
            <w:tcBorders>
              <w:tl2br w:val="nil"/>
              <w:tr2bl w:val="nil"/>
            </w:tcBorders>
            <w:vAlign w:val="center"/>
          </w:tcPr>
          <w:p w14:paraId="62B6B66C">
            <w:pPr>
              <w:widowControl w:val="0"/>
              <w:spacing w:line="240" w:lineRule="auto"/>
              <w:jc w:val="center"/>
              <w:rPr>
                <w:rFonts w:ascii="Times New Roman" w:hAnsi="Times New Roman" w:eastAsia="宋体" w:cs="Times New Roman"/>
                <w:b/>
                <w:bCs/>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34EAE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7E21F4E0">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696869BF">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铅</w:t>
            </w:r>
          </w:p>
        </w:tc>
        <w:tc>
          <w:tcPr>
            <w:tcW w:w="1561" w:type="dxa"/>
            <w:tcBorders>
              <w:tl2br w:val="nil"/>
              <w:tr2bl w:val="nil"/>
            </w:tcBorders>
            <w:vAlign w:val="center"/>
          </w:tcPr>
          <w:p w14:paraId="00C7F0B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69" w:type="dxa"/>
            <w:gridSpan w:val="2"/>
            <w:tcBorders>
              <w:tl2br w:val="nil"/>
              <w:tr2bl w:val="nil"/>
            </w:tcBorders>
            <w:vAlign w:val="center"/>
          </w:tcPr>
          <w:p w14:paraId="535C09E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39</w:t>
            </w:r>
          </w:p>
        </w:tc>
        <w:tc>
          <w:tcPr>
            <w:tcW w:w="1688" w:type="dxa"/>
            <w:tcBorders>
              <w:tl2br w:val="nil"/>
              <w:tr2bl w:val="nil"/>
            </w:tcBorders>
            <w:vAlign w:val="center"/>
          </w:tcPr>
          <w:p w14:paraId="1A76214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13</w:t>
            </w:r>
          </w:p>
        </w:tc>
        <w:tc>
          <w:tcPr>
            <w:tcW w:w="1079" w:type="dxa"/>
            <w:tcBorders>
              <w:tl2br w:val="nil"/>
              <w:tr2bl w:val="nil"/>
            </w:tcBorders>
            <w:vAlign w:val="center"/>
          </w:tcPr>
          <w:p w14:paraId="514DE4A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53C6F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0EB711C3">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6FBB857E">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六价铬</w:t>
            </w:r>
          </w:p>
        </w:tc>
        <w:tc>
          <w:tcPr>
            <w:tcW w:w="1561" w:type="dxa"/>
            <w:tcBorders>
              <w:tl2br w:val="nil"/>
              <w:tr2bl w:val="nil"/>
            </w:tcBorders>
            <w:vAlign w:val="center"/>
          </w:tcPr>
          <w:p w14:paraId="3AC4B03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69" w:type="dxa"/>
            <w:gridSpan w:val="2"/>
            <w:tcBorders>
              <w:tl2br w:val="nil"/>
              <w:tr2bl w:val="nil"/>
            </w:tcBorders>
            <w:vAlign w:val="center"/>
          </w:tcPr>
          <w:p w14:paraId="27CD5E0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88" w:type="dxa"/>
            <w:tcBorders>
              <w:tl2br w:val="nil"/>
              <w:tr2bl w:val="nil"/>
            </w:tcBorders>
            <w:vAlign w:val="center"/>
          </w:tcPr>
          <w:p w14:paraId="0DEA496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079" w:type="dxa"/>
            <w:tcBorders>
              <w:tl2br w:val="nil"/>
              <w:tr2bl w:val="nil"/>
            </w:tcBorders>
            <w:vAlign w:val="center"/>
          </w:tcPr>
          <w:p w14:paraId="049700D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1C5BF0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446D51A1">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081B1279">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铜</w:t>
            </w:r>
          </w:p>
        </w:tc>
        <w:tc>
          <w:tcPr>
            <w:tcW w:w="1561" w:type="dxa"/>
            <w:tcBorders>
              <w:tl2br w:val="nil"/>
              <w:tr2bl w:val="nil"/>
            </w:tcBorders>
            <w:vAlign w:val="center"/>
          </w:tcPr>
          <w:p w14:paraId="2BFF5EF2">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1669" w:type="dxa"/>
            <w:gridSpan w:val="2"/>
            <w:tcBorders>
              <w:tl2br w:val="nil"/>
              <w:tr2bl w:val="nil"/>
            </w:tcBorders>
            <w:vAlign w:val="center"/>
          </w:tcPr>
          <w:p w14:paraId="57F4F8E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1688" w:type="dxa"/>
            <w:tcBorders>
              <w:tl2br w:val="nil"/>
              <w:tr2bl w:val="nil"/>
            </w:tcBorders>
            <w:vAlign w:val="center"/>
          </w:tcPr>
          <w:p w14:paraId="7E2AC9F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23</w:t>
            </w:r>
          </w:p>
        </w:tc>
        <w:tc>
          <w:tcPr>
            <w:tcW w:w="1079" w:type="dxa"/>
            <w:tcBorders>
              <w:tl2br w:val="nil"/>
              <w:tr2bl w:val="nil"/>
            </w:tcBorders>
            <w:vAlign w:val="center"/>
          </w:tcPr>
          <w:p w14:paraId="7511186E">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rPr>
              <w:t>mg/kg</w:t>
            </w:r>
          </w:p>
        </w:tc>
      </w:tr>
      <w:tr w14:paraId="5F4C9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4E4CF3A">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77BE99AC">
            <w:pPr>
              <w:widowControl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镍</w:t>
            </w:r>
          </w:p>
        </w:tc>
        <w:tc>
          <w:tcPr>
            <w:tcW w:w="1561" w:type="dxa"/>
            <w:tcBorders>
              <w:tl2br w:val="nil"/>
              <w:tr2bl w:val="nil"/>
            </w:tcBorders>
            <w:vAlign w:val="center"/>
          </w:tcPr>
          <w:p w14:paraId="01E8EA0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24</w:t>
            </w:r>
          </w:p>
        </w:tc>
        <w:tc>
          <w:tcPr>
            <w:tcW w:w="1669" w:type="dxa"/>
            <w:gridSpan w:val="2"/>
            <w:tcBorders>
              <w:tl2br w:val="nil"/>
              <w:tr2bl w:val="nil"/>
            </w:tcBorders>
            <w:vAlign w:val="center"/>
          </w:tcPr>
          <w:p w14:paraId="261757E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41</w:t>
            </w:r>
          </w:p>
        </w:tc>
        <w:tc>
          <w:tcPr>
            <w:tcW w:w="1688" w:type="dxa"/>
            <w:tcBorders>
              <w:tl2br w:val="nil"/>
              <w:tr2bl w:val="nil"/>
            </w:tcBorders>
            <w:vAlign w:val="center"/>
          </w:tcPr>
          <w:p w14:paraId="0F59719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23</w:t>
            </w:r>
          </w:p>
        </w:tc>
        <w:tc>
          <w:tcPr>
            <w:tcW w:w="1079" w:type="dxa"/>
            <w:tcBorders>
              <w:tl2br w:val="nil"/>
              <w:tr2bl w:val="nil"/>
            </w:tcBorders>
            <w:vAlign w:val="center"/>
          </w:tcPr>
          <w:p w14:paraId="2C859D91">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rPr>
              <w:t>mg/kg</w:t>
            </w:r>
          </w:p>
        </w:tc>
      </w:tr>
      <w:tr w14:paraId="5B6933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4D952285">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07D29E05">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锌</w:t>
            </w:r>
          </w:p>
        </w:tc>
        <w:tc>
          <w:tcPr>
            <w:tcW w:w="1561" w:type="dxa"/>
            <w:tcBorders>
              <w:tl2br w:val="nil"/>
              <w:tr2bl w:val="nil"/>
            </w:tcBorders>
            <w:vAlign w:val="center"/>
          </w:tcPr>
          <w:p w14:paraId="27CC3FF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118</w:t>
            </w:r>
          </w:p>
        </w:tc>
        <w:tc>
          <w:tcPr>
            <w:tcW w:w="1669" w:type="dxa"/>
            <w:gridSpan w:val="2"/>
            <w:tcBorders>
              <w:tl2br w:val="nil"/>
              <w:tr2bl w:val="nil"/>
            </w:tcBorders>
            <w:vAlign w:val="center"/>
          </w:tcPr>
          <w:p w14:paraId="65AC2D0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92</w:t>
            </w:r>
          </w:p>
        </w:tc>
        <w:tc>
          <w:tcPr>
            <w:tcW w:w="1688" w:type="dxa"/>
            <w:tcBorders>
              <w:tl2br w:val="nil"/>
              <w:tr2bl w:val="nil"/>
            </w:tcBorders>
            <w:vAlign w:val="center"/>
          </w:tcPr>
          <w:p w14:paraId="355433E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76</w:t>
            </w:r>
          </w:p>
        </w:tc>
        <w:tc>
          <w:tcPr>
            <w:tcW w:w="1079" w:type="dxa"/>
            <w:tcBorders>
              <w:tl2br w:val="nil"/>
              <w:tr2bl w:val="nil"/>
            </w:tcBorders>
            <w:vAlign w:val="center"/>
          </w:tcPr>
          <w:p w14:paraId="0607663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1419A6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9FA3582">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7969D0A4">
            <w:pPr>
              <w:widowControl w:val="0"/>
              <w:spacing w:line="240" w:lineRule="auto"/>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铬</w:t>
            </w:r>
          </w:p>
        </w:tc>
        <w:tc>
          <w:tcPr>
            <w:tcW w:w="1561" w:type="dxa"/>
            <w:tcBorders>
              <w:tl2br w:val="nil"/>
              <w:tr2bl w:val="nil"/>
            </w:tcBorders>
            <w:vAlign w:val="center"/>
          </w:tcPr>
          <w:p w14:paraId="1E1EB25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69" w:type="dxa"/>
            <w:gridSpan w:val="2"/>
            <w:tcBorders>
              <w:tl2br w:val="nil"/>
              <w:tr2bl w:val="nil"/>
            </w:tcBorders>
            <w:vAlign w:val="center"/>
          </w:tcPr>
          <w:p w14:paraId="4A1327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688" w:type="dxa"/>
            <w:tcBorders>
              <w:tl2br w:val="nil"/>
              <w:tr2bl w:val="nil"/>
            </w:tcBorders>
            <w:vAlign w:val="center"/>
          </w:tcPr>
          <w:p w14:paraId="33FCE5F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079" w:type="dxa"/>
            <w:tcBorders>
              <w:tl2br w:val="nil"/>
              <w:tr2bl w:val="nil"/>
            </w:tcBorders>
            <w:vAlign w:val="center"/>
          </w:tcPr>
          <w:p w14:paraId="1F6F3C2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14008D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06F5B452">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738AED1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四氯化碳</w:t>
            </w:r>
          </w:p>
        </w:tc>
        <w:tc>
          <w:tcPr>
            <w:tcW w:w="1561" w:type="dxa"/>
            <w:tcBorders>
              <w:tl2br w:val="nil"/>
              <w:tr2bl w:val="nil"/>
            </w:tcBorders>
            <w:shd w:val="clear" w:color="auto" w:fill="auto"/>
            <w:vAlign w:val="center"/>
          </w:tcPr>
          <w:p w14:paraId="5369035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0033DE1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772E491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4F9AE4B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089D3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17EB9365">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264483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氯仿</w:t>
            </w:r>
          </w:p>
        </w:tc>
        <w:tc>
          <w:tcPr>
            <w:tcW w:w="1561" w:type="dxa"/>
            <w:tcBorders>
              <w:tl2br w:val="nil"/>
              <w:tr2bl w:val="nil"/>
            </w:tcBorders>
            <w:shd w:val="clear" w:color="auto" w:fill="auto"/>
            <w:vAlign w:val="center"/>
          </w:tcPr>
          <w:p w14:paraId="2AD9485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9E603D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76474BA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6BC29D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7CF89A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5B047ED5">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6043FD0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氯甲烷</w:t>
            </w:r>
          </w:p>
        </w:tc>
        <w:tc>
          <w:tcPr>
            <w:tcW w:w="1561" w:type="dxa"/>
            <w:tcBorders>
              <w:tl2br w:val="nil"/>
              <w:tr2bl w:val="nil"/>
            </w:tcBorders>
            <w:shd w:val="clear" w:color="auto" w:fill="auto"/>
            <w:vAlign w:val="center"/>
          </w:tcPr>
          <w:p w14:paraId="061DB4C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011A837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4431506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71D079C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41A48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2ED4B919">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1DA6A60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1,1-二氯乙烷</w:t>
            </w:r>
          </w:p>
        </w:tc>
        <w:tc>
          <w:tcPr>
            <w:tcW w:w="1561" w:type="dxa"/>
            <w:tcBorders>
              <w:tl2br w:val="nil"/>
              <w:tr2bl w:val="nil"/>
            </w:tcBorders>
            <w:shd w:val="clear" w:color="auto" w:fill="auto"/>
            <w:vAlign w:val="center"/>
          </w:tcPr>
          <w:p w14:paraId="52DC12F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D7369F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1BDDB30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5C4422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16F36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8A3235B">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70B423E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1,2-二氯乙烷</w:t>
            </w:r>
          </w:p>
        </w:tc>
        <w:tc>
          <w:tcPr>
            <w:tcW w:w="1561" w:type="dxa"/>
            <w:tcBorders>
              <w:tl2br w:val="nil"/>
              <w:tr2bl w:val="nil"/>
            </w:tcBorders>
            <w:shd w:val="clear" w:color="auto" w:fill="auto"/>
            <w:vAlign w:val="center"/>
          </w:tcPr>
          <w:p w14:paraId="740658A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CDC033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64AA880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605922B">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7A51E1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54922FD4">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0D76653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1,1-二氯乙烯</w:t>
            </w:r>
          </w:p>
        </w:tc>
        <w:tc>
          <w:tcPr>
            <w:tcW w:w="1561" w:type="dxa"/>
            <w:tcBorders>
              <w:tl2br w:val="nil"/>
              <w:tr2bl w:val="nil"/>
            </w:tcBorders>
            <w:shd w:val="clear" w:color="auto" w:fill="auto"/>
            <w:vAlign w:val="center"/>
          </w:tcPr>
          <w:p w14:paraId="5FCE67B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009F05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3F0042C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12F1C71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4D643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6182AE7">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42F0E78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顺-1,2-二氯乙烯</w:t>
            </w:r>
          </w:p>
        </w:tc>
        <w:tc>
          <w:tcPr>
            <w:tcW w:w="1561" w:type="dxa"/>
            <w:tcBorders>
              <w:tl2br w:val="nil"/>
              <w:tr2bl w:val="nil"/>
            </w:tcBorders>
            <w:shd w:val="clear" w:color="auto" w:fill="auto"/>
            <w:vAlign w:val="center"/>
          </w:tcPr>
          <w:p w14:paraId="035D3B6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FAE4C1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4C5035A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0286707">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6EBC2D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44BB5F5B">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06DA81C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反-1,2-二氯乙烯</w:t>
            </w:r>
          </w:p>
        </w:tc>
        <w:tc>
          <w:tcPr>
            <w:tcW w:w="1561" w:type="dxa"/>
            <w:tcBorders>
              <w:tl2br w:val="nil"/>
              <w:tr2bl w:val="nil"/>
            </w:tcBorders>
            <w:shd w:val="clear" w:color="auto" w:fill="auto"/>
            <w:vAlign w:val="center"/>
          </w:tcPr>
          <w:p w14:paraId="0DE477E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A19E9E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1E60857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46C2DDBC">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392173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54443C3">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514A365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二氯甲烷</w:t>
            </w:r>
          </w:p>
        </w:tc>
        <w:tc>
          <w:tcPr>
            <w:tcW w:w="1561" w:type="dxa"/>
            <w:tcBorders>
              <w:tl2br w:val="nil"/>
              <w:tr2bl w:val="nil"/>
            </w:tcBorders>
            <w:shd w:val="clear" w:color="auto" w:fill="auto"/>
            <w:vAlign w:val="center"/>
          </w:tcPr>
          <w:p w14:paraId="7C373F7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02A4F69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357E896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7B413EB8">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3508E9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B87ED81">
            <w:pPr>
              <w:widowControl w:val="0"/>
              <w:tabs>
                <w:tab w:val="left" w:pos="583"/>
              </w:tabs>
              <w:spacing w:line="240" w:lineRule="auto"/>
              <w:jc w:val="center"/>
              <w:rPr>
                <w:rFonts w:ascii="Times New Roman" w:hAnsi="Times New Roman" w:eastAsia="宋体" w:cs="Times New Roman"/>
                <w:caps w:val="0"/>
                <w:smallCaps w:val="0"/>
                <w:color w:val="auto"/>
                <w:spacing w:val="0"/>
                <w:kern w:val="0"/>
                <w:sz w:val="21"/>
                <w:highlight w:val="none"/>
              </w:rPr>
            </w:pPr>
          </w:p>
        </w:tc>
        <w:tc>
          <w:tcPr>
            <w:tcW w:w="1826" w:type="dxa"/>
            <w:tcBorders>
              <w:tl2br w:val="nil"/>
              <w:tr2bl w:val="nil"/>
            </w:tcBorders>
            <w:shd w:val="clear" w:color="auto" w:fill="auto"/>
            <w:vAlign w:val="center"/>
          </w:tcPr>
          <w:p w14:paraId="173C47D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1,2-二氯丙烷</w:t>
            </w:r>
          </w:p>
        </w:tc>
        <w:tc>
          <w:tcPr>
            <w:tcW w:w="1561" w:type="dxa"/>
            <w:tcBorders>
              <w:tl2br w:val="nil"/>
              <w:tr2bl w:val="nil"/>
            </w:tcBorders>
            <w:shd w:val="clear" w:color="auto" w:fill="auto"/>
            <w:vAlign w:val="center"/>
          </w:tcPr>
          <w:p w14:paraId="3F0977A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42A03D4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42E385C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45BD50E4">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059EF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67FE1C31">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363647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1,1,1,2-四氯乙烷</w:t>
            </w:r>
          </w:p>
        </w:tc>
        <w:tc>
          <w:tcPr>
            <w:tcW w:w="1561" w:type="dxa"/>
            <w:tcBorders>
              <w:tl2br w:val="nil"/>
              <w:tr2bl w:val="nil"/>
            </w:tcBorders>
            <w:shd w:val="clear" w:color="auto" w:fill="auto"/>
            <w:vAlign w:val="center"/>
          </w:tcPr>
          <w:p w14:paraId="5DFCA3B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99112C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56C4268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A2F181D">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4146E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0A5DE29F">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2EC28B4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1,1,2,2-四氯乙烷</w:t>
            </w:r>
          </w:p>
        </w:tc>
        <w:tc>
          <w:tcPr>
            <w:tcW w:w="1561" w:type="dxa"/>
            <w:tcBorders>
              <w:tl2br w:val="nil"/>
              <w:tr2bl w:val="nil"/>
            </w:tcBorders>
            <w:shd w:val="clear" w:color="auto" w:fill="auto"/>
            <w:vAlign w:val="center"/>
          </w:tcPr>
          <w:p w14:paraId="42EBB40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090BD6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295859A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7132EE6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2C9EF8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7FEEE76C">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D61164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四氯乙烯</w:t>
            </w:r>
          </w:p>
        </w:tc>
        <w:tc>
          <w:tcPr>
            <w:tcW w:w="1561" w:type="dxa"/>
            <w:tcBorders>
              <w:tl2br w:val="nil"/>
              <w:tr2bl w:val="nil"/>
            </w:tcBorders>
            <w:shd w:val="clear" w:color="auto" w:fill="auto"/>
            <w:vAlign w:val="center"/>
          </w:tcPr>
          <w:p w14:paraId="2A6E87C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FC771B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6C8EA18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6CD9034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0195B6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63" w:type="dxa"/>
            <w:vMerge w:val="continue"/>
            <w:tcBorders>
              <w:tl2br w:val="nil"/>
              <w:tr2bl w:val="nil"/>
            </w:tcBorders>
            <w:vAlign w:val="center"/>
          </w:tcPr>
          <w:p w14:paraId="2B29CB1D">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3E0F0E2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1,1,1-三氯乙烷</w:t>
            </w:r>
          </w:p>
        </w:tc>
        <w:tc>
          <w:tcPr>
            <w:tcW w:w="1561" w:type="dxa"/>
            <w:tcBorders>
              <w:tl2br w:val="nil"/>
              <w:tr2bl w:val="nil"/>
            </w:tcBorders>
            <w:shd w:val="clear" w:color="auto" w:fill="auto"/>
            <w:vAlign w:val="center"/>
          </w:tcPr>
          <w:p w14:paraId="6C0B200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9E3E51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4016921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43C4EB4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089E2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75AFF093">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2E83B6C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1,1,2-三氯乙烷</w:t>
            </w:r>
          </w:p>
        </w:tc>
        <w:tc>
          <w:tcPr>
            <w:tcW w:w="1561" w:type="dxa"/>
            <w:tcBorders>
              <w:tl2br w:val="nil"/>
              <w:tr2bl w:val="nil"/>
            </w:tcBorders>
            <w:shd w:val="clear" w:color="auto" w:fill="auto"/>
            <w:vAlign w:val="center"/>
          </w:tcPr>
          <w:p w14:paraId="547CD2C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4FA5F63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1022E7C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1DDBE8D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7DD70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33B609CA">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751067A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三氯乙烯</w:t>
            </w:r>
          </w:p>
        </w:tc>
        <w:tc>
          <w:tcPr>
            <w:tcW w:w="1561" w:type="dxa"/>
            <w:tcBorders>
              <w:tl2br w:val="nil"/>
              <w:tr2bl w:val="nil"/>
            </w:tcBorders>
            <w:shd w:val="clear" w:color="auto" w:fill="auto"/>
            <w:vAlign w:val="center"/>
          </w:tcPr>
          <w:p w14:paraId="290EAD7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CEE05E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0BCC512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2FCC315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41D00C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5FBE49A5">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52E206A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1,2,3-三氯丙烷</w:t>
            </w:r>
          </w:p>
        </w:tc>
        <w:tc>
          <w:tcPr>
            <w:tcW w:w="1561" w:type="dxa"/>
            <w:tcBorders>
              <w:tl2br w:val="nil"/>
              <w:tr2bl w:val="nil"/>
            </w:tcBorders>
            <w:shd w:val="clear" w:color="auto" w:fill="auto"/>
            <w:vAlign w:val="center"/>
          </w:tcPr>
          <w:p w14:paraId="1F10637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42984E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2B0955B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61763D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08CCC0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3B802F65">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6F4E493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氯乙烯</w:t>
            </w:r>
          </w:p>
        </w:tc>
        <w:tc>
          <w:tcPr>
            <w:tcW w:w="1561" w:type="dxa"/>
            <w:tcBorders>
              <w:tl2br w:val="nil"/>
              <w:tr2bl w:val="nil"/>
            </w:tcBorders>
            <w:shd w:val="clear" w:color="auto" w:fill="auto"/>
            <w:vAlign w:val="center"/>
          </w:tcPr>
          <w:p w14:paraId="3DE294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3213F1E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637F88F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73E3FAA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7154E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2B2ED10B">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76D9F55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w:t>
            </w:r>
          </w:p>
        </w:tc>
        <w:tc>
          <w:tcPr>
            <w:tcW w:w="1561" w:type="dxa"/>
            <w:tcBorders>
              <w:tl2br w:val="nil"/>
              <w:tr2bl w:val="nil"/>
            </w:tcBorders>
            <w:shd w:val="clear" w:color="auto" w:fill="auto"/>
            <w:vAlign w:val="center"/>
          </w:tcPr>
          <w:p w14:paraId="20FA466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0EE30A4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7082EFC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1BF383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3668E7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0A06DAFF">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D84D35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氯苯</w:t>
            </w:r>
          </w:p>
        </w:tc>
        <w:tc>
          <w:tcPr>
            <w:tcW w:w="1561" w:type="dxa"/>
            <w:tcBorders>
              <w:tl2br w:val="nil"/>
              <w:tr2bl w:val="nil"/>
            </w:tcBorders>
            <w:shd w:val="clear" w:color="auto" w:fill="auto"/>
            <w:vAlign w:val="center"/>
          </w:tcPr>
          <w:p w14:paraId="32DDC78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BD1643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7879C8E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778BC71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14CCF9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5F2B16B8">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3760E9E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1,2-二氯苯</w:t>
            </w:r>
          </w:p>
        </w:tc>
        <w:tc>
          <w:tcPr>
            <w:tcW w:w="1561" w:type="dxa"/>
            <w:tcBorders>
              <w:tl2br w:val="nil"/>
              <w:tr2bl w:val="nil"/>
            </w:tcBorders>
            <w:shd w:val="clear" w:color="auto" w:fill="auto"/>
            <w:vAlign w:val="center"/>
          </w:tcPr>
          <w:p w14:paraId="1C97887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A76BAE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3BE0C4F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2F3E975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5DDE6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70198008">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48C5119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1,4-二氯苯</w:t>
            </w:r>
          </w:p>
        </w:tc>
        <w:tc>
          <w:tcPr>
            <w:tcW w:w="1561" w:type="dxa"/>
            <w:tcBorders>
              <w:tl2br w:val="nil"/>
              <w:tr2bl w:val="nil"/>
            </w:tcBorders>
            <w:shd w:val="clear" w:color="auto" w:fill="auto"/>
            <w:vAlign w:val="center"/>
          </w:tcPr>
          <w:p w14:paraId="46E7D91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4E5DB32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68BA063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530A2C2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08211E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651E007">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7004FC0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乙苯</w:t>
            </w:r>
          </w:p>
        </w:tc>
        <w:tc>
          <w:tcPr>
            <w:tcW w:w="1561" w:type="dxa"/>
            <w:tcBorders>
              <w:tl2br w:val="nil"/>
              <w:tr2bl w:val="nil"/>
            </w:tcBorders>
            <w:shd w:val="clear" w:color="auto" w:fill="auto"/>
            <w:vAlign w:val="center"/>
          </w:tcPr>
          <w:p w14:paraId="2945673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3199BC0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24A0C52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2FCC33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5495C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59632565">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4995F5D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苯乙烯</w:t>
            </w:r>
          </w:p>
        </w:tc>
        <w:tc>
          <w:tcPr>
            <w:tcW w:w="1561" w:type="dxa"/>
            <w:tcBorders>
              <w:tl2br w:val="nil"/>
              <w:tr2bl w:val="nil"/>
            </w:tcBorders>
            <w:shd w:val="clear" w:color="auto" w:fill="auto"/>
            <w:vAlign w:val="center"/>
          </w:tcPr>
          <w:p w14:paraId="510BF8B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83ABE6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5F74DCA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8F6ED8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75A8B9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4B9303A0">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9DA086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甲苯</w:t>
            </w:r>
          </w:p>
        </w:tc>
        <w:tc>
          <w:tcPr>
            <w:tcW w:w="1561" w:type="dxa"/>
            <w:tcBorders>
              <w:tl2br w:val="nil"/>
              <w:tr2bl w:val="nil"/>
            </w:tcBorders>
            <w:shd w:val="clear" w:color="auto" w:fill="auto"/>
            <w:vAlign w:val="center"/>
          </w:tcPr>
          <w:p w14:paraId="301E0F4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6099C6B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755F781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6B8ACD1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2E353C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79C80A6E">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59DA72E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间二甲苯+对二甲苯</w:t>
            </w:r>
          </w:p>
        </w:tc>
        <w:tc>
          <w:tcPr>
            <w:tcW w:w="1561" w:type="dxa"/>
            <w:tcBorders>
              <w:tl2br w:val="nil"/>
              <w:tr2bl w:val="nil"/>
            </w:tcBorders>
            <w:shd w:val="clear" w:color="auto" w:fill="auto"/>
            <w:vAlign w:val="center"/>
          </w:tcPr>
          <w:p w14:paraId="3687D45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1E0A1C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695D708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FB28D7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3377FF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72FCA538">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287232B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邻二甲苯</w:t>
            </w:r>
          </w:p>
        </w:tc>
        <w:tc>
          <w:tcPr>
            <w:tcW w:w="1561" w:type="dxa"/>
            <w:tcBorders>
              <w:tl2br w:val="nil"/>
              <w:tr2bl w:val="nil"/>
            </w:tcBorders>
            <w:shd w:val="clear" w:color="auto" w:fill="auto"/>
            <w:vAlign w:val="center"/>
          </w:tcPr>
          <w:p w14:paraId="6BD3FCA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9C78EF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1BE5C3B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6FFA890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lang w:bidi="ar"/>
              </w:rPr>
              <w:t>μg/kg</w:t>
            </w:r>
          </w:p>
        </w:tc>
      </w:tr>
      <w:tr w14:paraId="79F0CA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157B60D1">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4B7B881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硝基苯</w:t>
            </w:r>
          </w:p>
        </w:tc>
        <w:tc>
          <w:tcPr>
            <w:tcW w:w="1561" w:type="dxa"/>
            <w:tcBorders>
              <w:tl2br w:val="nil"/>
              <w:tr2bl w:val="nil"/>
            </w:tcBorders>
            <w:shd w:val="clear" w:color="auto" w:fill="auto"/>
            <w:vAlign w:val="center"/>
          </w:tcPr>
          <w:p w14:paraId="7735917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7545C84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576FE6E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AE5CA6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25FEFF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36E9BD1">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237E4C0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苯胺</w:t>
            </w:r>
          </w:p>
        </w:tc>
        <w:tc>
          <w:tcPr>
            <w:tcW w:w="1561" w:type="dxa"/>
            <w:tcBorders>
              <w:tl2br w:val="nil"/>
              <w:tr2bl w:val="nil"/>
            </w:tcBorders>
            <w:shd w:val="clear" w:color="auto" w:fill="auto"/>
            <w:vAlign w:val="center"/>
          </w:tcPr>
          <w:p w14:paraId="3CF66E8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323BE4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0A62543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58C176D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0B0E9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588CBC65">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181B8BA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2-氯酚</w:t>
            </w:r>
          </w:p>
        </w:tc>
        <w:tc>
          <w:tcPr>
            <w:tcW w:w="1561" w:type="dxa"/>
            <w:tcBorders>
              <w:tl2br w:val="nil"/>
              <w:tr2bl w:val="nil"/>
            </w:tcBorders>
            <w:shd w:val="clear" w:color="auto" w:fill="auto"/>
            <w:vAlign w:val="center"/>
          </w:tcPr>
          <w:p w14:paraId="615D806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4FA42DF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4BBAC9A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68780C2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1CFBF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4563BC57">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7677A0D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苯并[a]蒽</w:t>
            </w:r>
          </w:p>
        </w:tc>
        <w:tc>
          <w:tcPr>
            <w:tcW w:w="1561" w:type="dxa"/>
            <w:tcBorders>
              <w:tl2br w:val="nil"/>
              <w:tr2bl w:val="nil"/>
            </w:tcBorders>
            <w:shd w:val="clear" w:color="auto" w:fill="auto"/>
            <w:vAlign w:val="center"/>
          </w:tcPr>
          <w:p w14:paraId="4F74068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0148F4D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3D6EF6B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55B5EB9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64EFD7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186E1F22">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090C62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苯并[a]芘</w:t>
            </w:r>
          </w:p>
        </w:tc>
        <w:tc>
          <w:tcPr>
            <w:tcW w:w="1561" w:type="dxa"/>
            <w:tcBorders>
              <w:tl2br w:val="nil"/>
              <w:tr2bl w:val="nil"/>
            </w:tcBorders>
            <w:shd w:val="clear" w:color="auto" w:fill="auto"/>
            <w:vAlign w:val="center"/>
          </w:tcPr>
          <w:p w14:paraId="5EF2380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959570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3D2AFE7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1243DE2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68DEB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400392B0">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5052B37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苯并[b]荧蒽</w:t>
            </w:r>
          </w:p>
        </w:tc>
        <w:tc>
          <w:tcPr>
            <w:tcW w:w="1561" w:type="dxa"/>
            <w:tcBorders>
              <w:tl2br w:val="nil"/>
              <w:tr2bl w:val="nil"/>
            </w:tcBorders>
            <w:shd w:val="clear" w:color="auto" w:fill="auto"/>
            <w:vAlign w:val="center"/>
          </w:tcPr>
          <w:p w14:paraId="57464F1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54DFA58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2CACF11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5AC0328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2B17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463" w:type="dxa"/>
            <w:vMerge w:val="continue"/>
            <w:tcBorders>
              <w:tl2br w:val="nil"/>
              <w:tr2bl w:val="nil"/>
            </w:tcBorders>
            <w:vAlign w:val="center"/>
          </w:tcPr>
          <w:p w14:paraId="5FAD4696">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6083FBA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苯并[k]荧蒽</w:t>
            </w:r>
          </w:p>
        </w:tc>
        <w:tc>
          <w:tcPr>
            <w:tcW w:w="1561" w:type="dxa"/>
            <w:tcBorders>
              <w:tl2br w:val="nil"/>
              <w:tr2bl w:val="nil"/>
            </w:tcBorders>
            <w:shd w:val="clear" w:color="auto" w:fill="auto"/>
            <w:vAlign w:val="center"/>
          </w:tcPr>
          <w:p w14:paraId="5CF710E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B44F27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5AF6BDE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19F8C2C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2FDBD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31229F87">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3366DB3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䓛</w:t>
            </w:r>
          </w:p>
        </w:tc>
        <w:tc>
          <w:tcPr>
            <w:tcW w:w="1561" w:type="dxa"/>
            <w:tcBorders>
              <w:tl2br w:val="nil"/>
              <w:tr2bl w:val="nil"/>
            </w:tcBorders>
            <w:shd w:val="clear" w:color="auto" w:fill="auto"/>
            <w:vAlign w:val="center"/>
          </w:tcPr>
          <w:p w14:paraId="1914E1C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64DD313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1AFE1AC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3472EF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0DD66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37601254">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44032A2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二苯并[a,h]蒽</w:t>
            </w:r>
          </w:p>
        </w:tc>
        <w:tc>
          <w:tcPr>
            <w:tcW w:w="1561" w:type="dxa"/>
            <w:tcBorders>
              <w:tl2br w:val="nil"/>
              <w:tr2bl w:val="nil"/>
            </w:tcBorders>
            <w:shd w:val="clear" w:color="auto" w:fill="auto"/>
            <w:vAlign w:val="center"/>
          </w:tcPr>
          <w:p w14:paraId="0B53350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3FC0103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562729A3">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02FE8F5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4148CD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A8201A8">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50AE168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茚并[1,2,3-cd]芘</w:t>
            </w:r>
          </w:p>
        </w:tc>
        <w:tc>
          <w:tcPr>
            <w:tcW w:w="1561" w:type="dxa"/>
            <w:tcBorders>
              <w:tl2br w:val="nil"/>
              <w:tr2bl w:val="nil"/>
            </w:tcBorders>
            <w:shd w:val="clear" w:color="auto" w:fill="auto"/>
            <w:vAlign w:val="center"/>
          </w:tcPr>
          <w:p w14:paraId="09AB9A8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3CCE399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5402967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F1CCB3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27E60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C2F37CC">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6CA52E3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萘</w:t>
            </w:r>
          </w:p>
        </w:tc>
        <w:tc>
          <w:tcPr>
            <w:tcW w:w="1561" w:type="dxa"/>
            <w:tcBorders>
              <w:tl2br w:val="nil"/>
              <w:tr2bl w:val="nil"/>
            </w:tcBorders>
            <w:shd w:val="clear" w:color="auto" w:fill="auto"/>
            <w:vAlign w:val="center"/>
          </w:tcPr>
          <w:p w14:paraId="18044DC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0ED031D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1F3EF5B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238A0B6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2C1329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7F9E4751">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22A9365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钼</w:t>
            </w:r>
          </w:p>
        </w:tc>
        <w:tc>
          <w:tcPr>
            <w:tcW w:w="1561" w:type="dxa"/>
            <w:tcBorders>
              <w:tl2br w:val="nil"/>
              <w:tr2bl w:val="nil"/>
            </w:tcBorders>
            <w:shd w:val="clear" w:color="auto" w:fill="auto"/>
            <w:vAlign w:val="center"/>
          </w:tcPr>
          <w:p w14:paraId="31E4870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2EC4077F">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68B9391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19806E4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738BE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328F8CF">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48F45A4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硒</w:t>
            </w:r>
          </w:p>
        </w:tc>
        <w:tc>
          <w:tcPr>
            <w:tcW w:w="1561" w:type="dxa"/>
            <w:tcBorders>
              <w:tl2br w:val="nil"/>
              <w:tr2bl w:val="nil"/>
            </w:tcBorders>
            <w:shd w:val="clear" w:color="auto" w:fill="auto"/>
            <w:vAlign w:val="center"/>
          </w:tcPr>
          <w:p w14:paraId="4EB7049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69" w:type="dxa"/>
            <w:gridSpan w:val="2"/>
            <w:tcBorders>
              <w:tl2br w:val="nil"/>
              <w:tr2bl w:val="nil"/>
            </w:tcBorders>
            <w:shd w:val="clear" w:color="auto" w:fill="auto"/>
            <w:vAlign w:val="center"/>
          </w:tcPr>
          <w:p w14:paraId="1F6EC778">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688" w:type="dxa"/>
            <w:tcBorders>
              <w:tl2br w:val="nil"/>
              <w:tr2bl w:val="nil"/>
            </w:tcBorders>
            <w:shd w:val="clear" w:color="auto" w:fill="auto"/>
            <w:vAlign w:val="center"/>
          </w:tcPr>
          <w:p w14:paraId="0C9353E6">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4949C9B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61653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0EF82BCA">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3CCE3312">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铝</w:t>
            </w:r>
          </w:p>
        </w:tc>
        <w:tc>
          <w:tcPr>
            <w:tcW w:w="1561" w:type="dxa"/>
            <w:tcBorders>
              <w:tl2br w:val="nil"/>
              <w:tr2bl w:val="nil"/>
            </w:tcBorders>
            <w:shd w:val="clear" w:color="auto" w:fill="auto"/>
            <w:vAlign w:val="center"/>
          </w:tcPr>
          <w:p w14:paraId="2A384D2A">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6.8</w:t>
            </w:r>
          </w:p>
        </w:tc>
        <w:tc>
          <w:tcPr>
            <w:tcW w:w="1669" w:type="dxa"/>
            <w:gridSpan w:val="2"/>
            <w:tcBorders>
              <w:tl2br w:val="nil"/>
              <w:tr2bl w:val="nil"/>
            </w:tcBorders>
            <w:shd w:val="clear" w:color="auto" w:fill="auto"/>
            <w:vAlign w:val="center"/>
          </w:tcPr>
          <w:p w14:paraId="2C500EAD">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7.1</w:t>
            </w:r>
          </w:p>
        </w:tc>
        <w:tc>
          <w:tcPr>
            <w:tcW w:w="1688" w:type="dxa"/>
            <w:tcBorders>
              <w:tl2br w:val="nil"/>
              <w:tr2bl w:val="nil"/>
            </w:tcBorders>
            <w:shd w:val="clear" w:color="auto" w:fill="auto"/>
            <w:vAlign w:val="center"/>
          </w:tcPr>
          <w:p w14:paraId="303AF460">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6.6</w:t>
            </w:r>
          </w:p>
        </w:tc>
        <w:tc>
          <w:tcPr>
            <w:tcW w:w="1079" w:type="dxa"/>
            <w:tcBorders>
              <w:tl2br w:val="nil"/>
              <w:tr2bl w:val="nil"/>
            </w:tcBorders>
            <w:vAlign w:val="center"/>
          </w:tcPr>
          <w:p w14:paraId="2B1C61F7">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A366E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45FE6E85">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6AD9B0F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石油烃</w:t>
            </w:r>
          </w:p>
        </w:tc>
        <w:tc>
          <w:tcPr>
            <w:tcW w:w="1561" w:type="dxa"/>
            <w:tcBorders>
              <w:tl2br w:val="nil"/>
              <w:tr2bl w:val="nil"/>
            </w:tcBorders>
            <w:shd w:val="clear" w:color="auto" w:fill="auto"/>
            <w:vAlign w:val="center"/>
          </w:tcPr>
          <w:p w14:paraId="6C99ABAB">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18</w:t>
            </w:r>
          </w:p>
        </w:tc>
        <w:tc>
          <w:tcPr>
            <w:tcW w:w="1669" w:type="dxa"/>
            <w:gridSpan w:val="2"/>
            <w:tcBorders>
              <w:tl2br w:val="nil"/>
              <w:tr2bl w:val="nil"/>
            </w:tcBorders>
            <w:shd w:val="clear" w:color="auto" w:fill="auto"/>
            <w:vAlign w:val="center"/>
          </w:tcPr>
          <w:p w14:paraId="396E5F8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18</w:t>
            </w:r>
          </w:p>
        </w:tc>
        <w:tc>
          <w:tcPr>
            <w:tcW w:w="1688" w:type="dxa"/>
            <w:tcBorders>
              <w:tl2br w:val="nil"/>
              <w:tr2bl w:val="nil"/>
            </w:tcBorders>
            <w:shd w:val="clear" w:color="auto" w:fill="auto"/>
            <w:vAlign w:val="center"/>
          </w:tcPr>
          <w:p w14:paraId="5E691F61">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25</w:t>
            </w:r>
          </w:p>
        </w:tc>
        <w:tc>
          <w:tcPr>
            <w:tcW w:w="1079" w:type="dxa"/>
            <w:tcBorders>
              <w:tl2br w:val="nil"/>
              <w:tr2bl w:val="nil"/>
            </w:tcBorders>
            <w:vAlign w:val="center"/>
          </w:tcPr>
          <w:p w14:paraId="626B6C3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5C496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restart"/>
            <w:tcBorders>
              <w:tl2br w:val="nil"/>
              <w:tr2bl w:val="nil"/>
            </w:tcBorders>
            <w:vAlign w:val="center"/>
          </w:tcPr>
          <w:p w14:paraId="63487A2F">
            <w:pPr>
              <w:widowControl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b/>
                <w:bCs/>
                <w:caps w:val="0"/>
                <w:smallCaps w:val="0"/>
                <w:color w:val="auto"/>
                <w:spacing w:val="0"/>
                <w:sz w:val="21"/>
                <w:highlight w:val="none"/>
              </w:rPr>
              <w:t>采样日期</w:t>
            </w:r>
          </w:p>
        </w:tc>
        <w:tc>
          <w:tcPr>
            <w:tcW w:w="1826" w:type="dxa"/>
            <w:tcBorders>
              <w:tl2br w:val="nil"/>
              <w:tr2bl w:val="nil"/>
            </w:tcBorders>
            <w:shd w:val="clear" w:color="auto" w:fill="auto"/>
            <w:vAlign w:val="center"/>
          </w:tcPr>
          <w:p w14:paraId="35816B3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采样点位</w:t>
            </w:r>
          </w:p>
        </w:tc>
        <w:tc>
          <w:tcPr>
            <w:tcW w:w="2490" w:type="dxa"/>
            <w:gridSpan w:val="2"/>
            <w:tcBorders>
              <w:tl2br w:val="nil"/>
              <w:tr2bl w:val="nil"/>
            </w:tcBorders>
            <w:shd w:val="clear" w:color="auto" w:fill="auto"/>
            <w:vAlign w:val="center"/>
          </w:tcPr>
          <w:p w14:paraId="571BEA5C">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highlight w:val="none"/>
              </w:rPr>
              <w:t>表层样点4#</w:t>
            </w:r>
          </w:p>
        </w:tc>
        <w:tc>
          <w:tcPr>
            <w:tcW w:w="2428" w:type="dxa"/>
            <w:gridSpan w:val="2"/>
            <w:tcBorders>
              <w:tl2br w:val="nil"/>
              <w:tr2bl w:val="nil"/>
            </w:tcBorders>
            <w:shd w:val="clear" w:color="auto" w:fill="auto"/>
            <w:vAlign w:val="center"/>
          </w:tcPr>
          <w:p w14:paraId="23475F22">
            <w:pPr>
              <w:widowControl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表层样点5#</w:t>
            </w:r>
          </w:p>
        </w:tc>
        <w:tc>
          <w:tcPr>
            <w:tcW w:w="1079" w:type="dxa"/>
            <w:vMerge w:val="restart"/>
            <w:tcBorders>
              <w:tl2br w:val="nil"/>
              <w:tr2bl w:val="nil"/>
            </w:tcBorders>
            <w:vAlign w:val="center"/>
          </w:tcPr>
          <w:p w14:paraId="6DF2BDE5">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单位</w:t>
            </w:r>
          </w:p>
        </w:tc>
      </w:tr>
      <w:tr w14:paraId="5A17C3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054A28A9">
            <w:pPr>
              <w:widowControl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48BDA72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检测指标</w:t>
            </w:r>
          </w:p>
        </w:tc>
        <w:tc>
          <w:tcPr>
            <w:tcW w:w="2490" w:type="dxa"/>
            <w:gridSpan w:val="2"/>
            <w:tcBorders>
              <w:tl2br w:val="nil"/>
              <w:tr2bl w:val="nil"/>
            </w:tcBorders>
            <w:shd w:val="clear" w:color="auto" w:fill="auto"/>
            <w:vAlign w:val="center"/>
          </w:tcPr>
          <w:p w14:paraId="7FD116A4">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T2506046-04-01</w:t>
            </w:r>
          </w:p>
        </w:tc>
        <w:tc>
          <w:tcPr>
            <w:tcW w:w="2428" w:type="dxa"/>
            <w:gridSpan w:val="2"/>
            <w:tcBorders>
              <w:tl2br w:val="nil"/>
              <w:tr2bl w:val="nil"/>
            </w:tcBorders>
            <w:shd w:val="clear" w:color="auto" w:fill="auto"/>
            <w:vAlign w:val="center"/>
          </w:tcPr>
          <w:p w14:paraId="3A6CE65E">
            <w:pPr>
              <w:widowControl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
                <w:bCs/>
                <w:caps w:val="0"/>
                <w:smallCaps w:val="0"/>
                <w:color w:val="auto"/>
                <w:spacing w:val="0"/>
                <w:sz w:val="21"/>
                <w:highlight w:val="none"/>
              </w:rPr>
              <w:t>T2506046-05-01</w:t>
            </w:r>
          </w:p>
        </w:tc>
        <w:tc>
          <w:tcPr>
            <w:tcW w:w="1079" w:type="dxa"/>
            <w:vMerge w:val="continue"/>
            <w:tcBorders>
              <w:tl2br w:val="nil"/>
              <w:tr2bl w:val="nil"/>
            </w:tcBorders>
            <w:vAlign w:val="center"/>
          </w:tcPr>
          <w:p w14:paraId="79932F69">
            <w:pPr>
              <w:widowControl w:val="0"/>
              <w:spacing w:line="240" w:lineRule="auto"/>
              <w:jc w:val="center"/>
              <w:rPr>
                <w:rFonts w:ascii="Times New Roman" w:hAnsi="Times New Roman" w:eastAsia="宋体" w:cs="Times New Roman"/>
                <w:caps w:val="0"/>
                <w:smallCaps w:val="0"/>
                <w:color w:val="auto"/>
                <w:spacing w:val="0"/>
                <w:kern w:val="0"/>
                <w:sz w:val="21"/>
                <w:highlight w:val="none"/>
              </w:rPr>
            </w:pPr>
          </w:p>
        </w:tc>
      </w:tr>
      <w:tr w14:paraId="478050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restart"/>
            <w:tcBorders>
              <w:tl2br w:val="nil"/>
              <w:tr2bl w:val="nil"/>
            </w:tcBorders>
            <w:vAlign w:val="center"/>
          </w:tcPr>
          <w:p w14:paraId="4D43E0E0">
            <w:pPr>
              <w:widowControl w:val="0"/>
              <w:snapToGrid w:val="0"/>
              <w:spacing w:line="24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2025.07.14</w:t>
            </w:r>
          </w:p>
        </w:tc>
        <w:tc>
          <w:tcPr>
            <w:tcW w:w="1826" w:type="dxa"/>
            <w:tcBorders>
              <w:tl2br w:val="nil"/>
              <w:tr2bl w:val="nil"/>
            </w:tcBorders>
            <w:shd w:val="clear" w:color="auto" w:fill="auto"/>
            <w:vAlign w:val="center"/>
          </w:tcPr>
          <w:p w14:paraId="44A0D414">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锌</w:t>
            </w:r>
          </w:p>
        </w:tc>
        <w:tc>
          <w:tcPr>
            <w:tcW w:w="2490" w:type="dxa"/>
            <w:gridSpan w:val="2"/>
            <w:tcBorders>
              <w:tl2br w:val="nil"/>
              <w:tr2bl w:val="nil"/>
            </w:tcBorders>
            <w:shd w:val="clear" w:color="auto" w:fill="auto"/>
            <w:vAlign w:val="center"/>
          </w:tcPr>
          <w:p w14:paraId="1F691C03">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49</w:t>
            </w:r>
          </w:p>
        </w:tc>
        <w:tc>
          <w:tcPr>
            <w:tcW w:w="2428" w:type="dxa"/>
            <w:gridSpan w:val="2"/>
            <w:tcBorders>
              <w:tl2br w:val="nil"/>
              <w:tr2bl w:val="nil"/>
            </w:tcBorders>
            <w:shd w:val="clear" w:color="auto" w:fill="auto"/>
            <w:vAlign w:val="center"/>
          </w:tcPr>
          <w:p w14:paraId="432CB6E2">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205</w:t>
            </w:r>
          </w:p>
        </w:tc>
        <w:tc>
          <w:tcPr>
            <w:tcW w:w="1079" w:type="dxa"/>
            <w:tcBorders>
              <w:tl2br w:val="nil"/>
              <w:tr2bl w:val="nil"/>
            </w:tcBorders>
            <w:vAlign w:val="center"/>
          </w:tcPr>
          <w:p w14:paraId="2312FBC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30F7F9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56859009">
            <w:pPr>
              <w:widowControl w:val="0"/>
              <w:snapToGrid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67BC3CF1">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总铬</w:t>
            </w:r>
          </w:p>
        </w:tc>
        <w:tc>
          <w:tcPr>
            <w:tcW w:w="2490" w:type="dxa"/>
            <w:gridSpan w:val="2"/>
            <w:tcBorders>
              <w:tl2br w:val="nil"/>
              <w:tr2bl w:val="nil"/>
            </w:tcBorders>
            <w:shd w:val="clear" w:color="auto" w:fill="auto"/>
            <w:vAlign w:val="center"/>
          </w:tcPr>
          <w:p w14:paraId="02B5B8AA">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2428" w:type="dxa"/>
            <w:gridSpan w:val="2"/>
            <w:tcBorders>
              <w:tl2br w:val="nil"/>
              <w:tr2bl w:val="nil"/>
            </w:tcBorders>
            <w:shd w:val="clear" w:color="auto" w:fill="auto"/>
            <w:vAlign w:val="center"/>
          </w:tcPr>
          <w:p w14:paraId="21BD923B">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未检出</w:t>
            </w:r>
          </w:p>
        </w:tc>
        <w:tc>
          <w:tcPr>
            <w:tcW w:w="1079" w:type="dxa"/>
            <w:tcBorders>
              <w:tl2br w:val="nil"/>
              <w:tr2bl w:val="nil"/>
            </w:tcBorders>
            <w:vAlign w:val="center"/>
          </w:tcPr>
          <w:p w14:paraId="604A6CE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16AAF8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0C511E95">
            <w:pPr>
              <w:widowControl w:val="0"/>
              <w:snapToGrid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7E0B499B">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钼</w:t>
            </w:r>
          </w:p>
        </w:tc>
        <w:tc>
          <w:tcPr>
            <w:tcW w:w="2490" w:type="dxa"/>
            <w:gridSpan w:val="2"/>
            <w:tcBorders>
              <w:tl2br w:val="nil"/>
              <w:tr2bl w:val="nil"/>
            </w:tcBorders>
            <w:shd w:val="clear" w:color="auto" w:fill="auto"/>
            <w:vAlign w:val="center"/>
          </w:tcPr>
          <w:p w14:paraId="443E1DF0">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2428" w:type="dxa"/>
            <w:gridSpan w:val="2"/>
            <w:tcBorders>
              <w:tl2br w:val="nil"/>
              <w:tr2bl w:val="nil"/>
            </w:tcBorders>
            <w:shd w:val="clear" w:color="auto" w:fill="auto"/>
            <w:vAlign w:val="center"/>
          </w:tcPr>
          <w:p w14:paraId="4A7E39E9">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44D0AE2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0CCF5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1C74135A">
            <w:pPr>
              <w:widowControl w:val="0"/>
              <w:snapToGrid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6189751E">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硒</w:t>
            </w:r>
          </w:p>
        </w:tc>
        <w:tc>
          <w:tcPr>
            <w:tcW w:w="2490" w:type="dxa"/>
            <w:gridSpan w:val="2"/>
            <w:tcBorders>
              <w:tl2br w:val="nil"/>
              <w:tr2bl w:val="nil"/>
            </w:tcBorders>
            <w:shd w:val="clear" w:color="auto" w:fill="auto"/>
            <w:vAlign w:val="center"/>
          </w:tcPr>
          <w:p w14:paraId="557D8064">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2428" w:type="dxa"/>
            <w:gridSpan w:val="2"/>
            <w:tcBorders>
              <w:tl2br w:val="nil"/>
              <w:tr2bl w:val="nil"/>
            </w:tcBorders>
            <w:shd w:val="clear" w:color="auto" w:fill="auto"/>
            <w:vAlign w:val="center"/>
          </w:tcPr>
          <w:p w14:paraId="2054FA37">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N.D</w:t>
            </w:r>
          </w:p>
        </w:tc>
        <w:tc>
          <w:tcPr>
            <w:tcW w:w="1079" w:type="dxa"/>
            <w:tcBorders>
              <w:tl2br w:val="nil"/>
              <w:tr2bl w:val="nil"/>
            </w:tcBorders>
            <w:vAlign w:val="center"/>
          </w:tcPr>
          <w:p w14:paraId="369B92E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02636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E3772F0">
            <w:pPr>
              <w:widowControl w:val="0"/>
              <w:snapToGrid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B120C87">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铝</w:t>
            </w:r>
          </w:p>
        </w:tc>
        <w:tc>
          <w:tcPr>
            <w:tcW w:w="2490" w:type="dxa"/>
            <w:gridSpan w:val="2"/>
            <w:tcBorders>
              <w:tl2br w:val="nil"/>
              <w:tr2bl w:val="nil"/>
            </w:tcBorders>
            <w:shd w:val="clear" w:color="auto" w:fill="auto"/>
            <w:vAlign w:val="center"/>
          </w:tcPr>
          <w:p w14:paraId="330C438C">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6.5</w:t>
            </w:r>
          </w:p>
        </w:tc>
        <w:tc>
          <w:tcPr>
            <w:tcW w:w="2428" w:type="dxa"/>
            <w:gridSpan w:val="2"/>
            <w:tcBorders>
              <w:tl2br w:val="nil"/>
              <w:tr2bl w:val="nil"/>
            </w:tcBorders>
            <w:shd w:val="clear" w:color="auto" w:fill="auto"/>
            <w:vAlign w:val="center"/>
          </w:tcPr>
          <w:p w14:paraId="324C3402">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6.7</w:t>
            </w:r>
          </w:p>
        </w:tc>
        <w:tc>
          <w:tcPr>
            <w:tcW w:w="1079" w:type="dxa"/>
            <w:tcBorders>
              <w:tl2br w:val="nil"/>
              <w:tr2bl w:val="nil"/>
            </w:tcBorders>
            <w:vAlign w:val="center"/>
          </w:tcPr>
          <w:p w14:paraId="2B71193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606104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3" w:type="dxa"/>
            <w:vMerge w:val="continue"/>
            <w:tcBorders>
              <w:tl2br w:val="nil"/>
              <w:tr2bl w:val="nil"/>
            </w:tcBorders>
            <w:vAlign w:val="center"/>
          </w:tcPr>
          <w:p w14:paraId="65DE5DA8">
            <w:pPr>
              <w:widowControl w:val="0"/>
              <w:snapToGrid w:val="0"/>
              <w:spacing w:line="240" w:lineRule="auto"/>
              <w:jc w:val="center"/>
              <w:rPr>
                <w:rFonts w:ascii="Times New Roman" w:hAnsi="Times New Roman" w:eastAsia="宋体" w:cs="Times New Roman"/>
                <w:caps w:val="0"/>
                <w:smallCaps w:val="0"/>
                <w:color w:val="auto"/>
                <w:spacing w:val="0"/>
                <w:highlight w:val="none"/>
              </w:rPr>
            </w:pPr>
          </w:p>
        </w:tc>
        <w:tc>
          <w:tcPr>
            <w:tcW w:w="1826" w:type="dxa"/>
            <w:tcBorders>
              <w:tl2br w:val="nil"/>
              <w:tr2bl w:val="nil"/>
            </w:tcBorders>
            <w:shd w:val="clear" w:color="auto" w:fill="auto"/>
            <w:vAlign w:val="center"/>
          </w:tcPr>
          <w:p w14:paraId="0B77E810">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石油烃</w:t>
            </w:r>
          </w:p>
        </w:tc>
        <w:tc>
          <w:tcPr>
            <w:tcW w:w="2490" w:type="dxa"/>
            <w:gridSpan w:val="2"/>
            <w:tcBorders>
              <w:tl2br w:val="nil"/>
              <w:tr2bl w:val="nil"/>
            </w:tcBorders>
            <w:shd w:val="clear" w:color="auto" w:fill="auto"/>
            <w:vAlign w:val="center"/>
          </w:tcPr>
          <w:p w14:paraId="5E908F8F">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20</w:t>
            </w:r>
          </w:p>
        </w:tc>
        <w:tc>
          <w:tcPr>
            <w:tcW w:w="2428" w:type="dxa"/>
            <w:gridSpan w:val="2"/>
            <w:tcBorders>
              <w:tl2br w:val="nil"/>
              <w:tr2bl w:val="nil"/>
            </w:tcBorders>
            <w:shd w:val="clear" w:color="auto" w:fill="auto"/>
            <w:vAlign w:val="center"/>
          </w:tcPr>
          <w:p w14:paraId="3EFD1593">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16</w:t>
            </w:r>
          </w:p>
        </w:tc>
        <w:tc>
          <w:tcPr>
            <w:tcW w:w="1079" w:type="dxa"/>
            <w:tcBorders>
              <w:tl2br w:val="nil"/>
              <w:tr2bl w:val="nil"/>
            </w:tcBorders>
            <w:vAlign w:val="center"/>
          </w:tcPr>
          <w:p w14:paraId="239F156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mg/kg</w:t>
            </w:r>
          </w:p>
        </w:tc>
      </w:tr>
      <w:tr w14:paraId="40AF69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9286" w:type="dxa"/>
            <w:gridSpan w:val="7"/>
            <w:tcBorders>
              <w:bottom w:val="single" w:color="auto" w:sz="8" w:space="0"/>
              <w:tl2br w:val="nil"/>
              <w:tr2bl w:val="nil"/>
            </w:tcBorders>
            <w:vAlign w:val="center"/>
          </w:tcPr>
          <w:p w14:paraId="3690136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注：检测结果小于检出限报“</w:t>
            </w:r>
            <w:r>
              <w:rPr>
                <w:rFonts w:ascii="Times New Roman" w:hAnsi="Times New Roman" w:eastAsia="宋体" w:cs="Times New Roman"/>
                <w:caps w:val="0"/>
                <w:smallCaps w:val="0"/>
                <w:color w:val="auto"/>
                <w:spacing w:val="0"/>
                <w:kern w:val="0"/>
                <w:sz w:val="21"/>
                <w:highlight w:val="none"/>
              </w:rPr>
              <w:t>N.D</w:t>
            </w:r>
            <w:r>
              <w:rPr>
                <w:rFonts w:ascii="Times New Roman" w:hAnsi="Times New Roman" w:eastAsia="宋体" w:cs="Times New Roman"/>
                <w:caps w:val="0"/>
                <w:smallCaps w:val="0"/>
                <w:color w:val="auto"/>
                <w:spacing w:val="0"/>
                <w:sz w:val="21"/>
                <w:highlight w:val="none"/>
              </w:rPr>
              <w:t>”。</w:t>
            </w:r>
          </w:p>
        </w:tc>
      </w:tr>
    </w:tbl>
    <w:p w14:paraId="7AA7DA20">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（5）土壤环境质量现状评价</w:t>
      </w:r>
    </w:p>
    <w:p w14:paraId="0ED40D29">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①评价因子</w:t>
      </w:r>
    </w:p>
    <w:p w14:paraId="208EEAAE">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根据项目所在地的使用功能，本项目选择除pH值外的45项监测因子均作为评价因子。</w:t>
      </w:r>
    </w:p>
    <w:p w14:paraId="5EE65031">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②评价标准</w:t>
      </w:r>
    </w:p>
    <w:p w14:paraId="53F60D89">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本项目所在地属建设用地，执行《土壤环境质量-建设用地土壤污染风险管控标准》（GB36600-2018）中第二类用地筛选值的要求。</w:t>
      </w:r>
    </w:p>
    <w:p w14:paraId="0746A5C7">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③评价方法</w:t>
      </w:r>
    </w:p>
    <w:p w14:paraId="01449B4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采用标准指数法。</w:t>
      </w:r>
    </w:p>
    <w:p w14:paraId="74F4385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④评价结果</w:t>
      </w:r>
    </w:p>
    <w:p w14:paraId="716B41E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采用标准指数法计算结果如下。</w:t>
      </w:r>
    </w:p>
    <w:p w14:paraId="2B827470">
      <w:pPr>
        <w:pStyle w:val="48"/>
        <w:ind w:firstLine="426"/>
        <w:jc w:val="center"/>
        <w:rPr>
          <w:rFonts w:ascii="Times New Roman" w:cs="Times New Roman"/>
          <w:b/>
          <w:caps w:val="0"/>
          <w:smallCaps w:val="0"/>
          <w:color w:val="auto"/>
          <w:spacing w:val="0"/>
          <w:highlight w:val="none"/>
        </w:rPr>
      </w:pPr>
      <w:r>
        <w:rPr>
          <w:rFonts w:ascii="Times New Roman" w:cs="Times New Roman"/>
          <w:b/>
          <w:caps w:val="0"/>
          <w:smallCaps w:val="0"/>
          <w:color w:val="auto"/>
          <w:spacing w:val="0"/>
          <w:highlight w:val="none"/>
        </w:rPr>
        <w:t>表4.4-1</w:t>
      </w:r>
      <w:r>
        <w:rPr>
          <w:rFonts w:hint="eastAsia" w:ascii="Times New Roman" w:cs="Times New Roman"/>
          <w:b/>
          <w:caps w:val="0"/>
          <w:smallCaps w:val="0"/>
          <w:color w:val="auto"/>
          <w:spacing w:val="0"/>
          <w:highlight w:val="none"/>
          <w:lang w:val="en-US" w:eastAsia="zh-CN"/>
        </w:rPr>
        <w:t>6</w:t>
      </w:r>
      <w:r>
        <w:rPr>
          <w:rFonts w:ascii="Times New Roman" w:cs="Times New Roman"/>
          <w:b/>
          <w:caps w:val="0"/>
          <w:smallCaps w:val="0"/>
          <w:color w:val="auto"/>
          <w:spacing w:val="0"/>
          <w:highlight w:val="none"/>
        </w:rPr>
        <w:t>土壤环境质量现状标准指数</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4"/>
        <w:gridCol w:w="2149"/>
        <w:gridCol w:w="2298"/>
        <w:gridCol w:w="2325"/>
      </w:tblGrid>
      <w:tr w14:paraId="66591B0B">
        <w:tblPrEx>
          <w:tblCellMar>
            <w:top w:w="0" w:type="dxa"/>
            <w:left w:w="108" w:type="dxa"/>
            <w:bottom w:w="0" w:type="dxa"/>
            <w:right w:w="108" w:type="dxa"/>
          </w:tblCellMar>
        </w:tblPrEx>
        <w:trPr>
          <w:trHeight w:val="351" w:hRule="atLeast"/>
          <w:jc w:val="center"/>
        </w:trPr>
        <w:tc>
          <w:tcPr>
            <w:tcW w:w="2514" w:type="dxa"/>
            <w:tcBorders>
              <w:top w:val="single" w:color="auto" w:sz="8" w:space="0"/>
              <w:tl2br w:val="nil"/>
              <w:tr2bl w:val="nil"/>
            </w:tcBorders>
            <w:vAlign w:val="center"/>
          </w:tcPr>
          <w:p w14:paraId="41A84064">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点位</w:t>
            </w:r>
          </w:p>
        </w:tc>
        <w:tc>
          <w:tcPr>
            <w:tcW w:w="2149" w:type="dxa"/>
            <w:tcBorders>
              <w:top w:val="single" w:color="auto" w:sz="8" w:space="0"/>
              <w:tl2br w:val="nil"/>
              <w:tr2bl w:val="nil"/>
            </w:tcBorders>
            <w:vAlign w:val="center"/>
          </w:tcPr>
          <w:p w14:paraId="0BFD5ECE">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highlight w:val="none"/>
              </w:rPr>
              <w:t>表层样点1#</w:t>
            </w:r>
          </w:p>
        </w:tc>
        <w:tc>
          <w:tcPr>
            <w:tcW w:w="2298" w:type="dxa"/>
            <w:tcBorders>
              <w:top w:val="single" w:color="auto" w:sz="8" w:space="0"/>
              <w:tl2br w:val="nil"/>
              <w:tr2bl w:val="nil"/>
            </w:tcBorders>
            <w:vAlign w:val="center"/>
          </w:tcPr>
          <w:p w14:paraId="2D3DBD70">
            <w:pPr>
              <w:widowControl w:val="0"/>
              <w:snapToGrid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表层样点2#</w:t>
            </w:r>
          </w:p>
        </w:tc>
        <w:tc>
          <w:tcPr>
            <w:tcW w:w="2325" w:type="dxa"/>
            <w:tcBorders>
              <w:top w:val="single" w:color="auto" w:sz="8" w:space="0"/>
              <w:tl2br w:val="nil"/>
              <w:tr2bl w:val="nil"/>
            </w:tcBorders>
            <w:vAlign w:val="center"/>
          </w:tcPr>
          <w:p w14:paraId="759F8535">
            <w:pPr>
              <w:widowControl w:val="0"/>
              <w:snapToGrid w:val="0"/>
              <w:spacing w:line="240"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表层样点3#</w:t>
            </w:r>
          </w:p>
        </w:tc>
      </w:tr>
      <w:tr w14:paraId="11DB54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vAlign w:val="center"/>
          </w:tcPr>
          <w:p w14:paraId="63408AFE">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评价指标</w:t>
            </w:r>
          </w:p>
        </w:tc>
        <w:tc>
          <w:tcPr>
            <w:tcW w:w="2149" w:type="dxa"/>
            <w:tcBorders>
              <w:tl2br w:val="nil"/>
              <w:tr2bl w:val="nil"/>
            </w:tcBorders>
            <w:vAlign w:val="center"/>
          </w:tcPr>
          <w:p w14:paraId="7DAC9E64">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T256046-01-01</w:t>
            </w:r>
          </w:p>
        </w:tc>
        <w:tc>
          <w:tcPr>
            <w:tcW w:w="2298" w:type="dxa"/>
            <w:tcBorders>
              <w:tl2br w:val="nil"/>
              <w:tr2bl w:val="nil"/>
            </w:tcBorders>
            <w:vAlign w:val="center"/>
          </w:tcPr>
          <w:p w14:paraId="4230D174">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T2506046-02-01</w:t>
            </w:r>
          </w:p>
        </w:tc>
        <w:tc>
          <w:tcPr>
            <w:tcW w:w="2325" w:type="dxa"/>
            <w:tcBorders>
              <w:tl2br w:val="nil"/>
              <w:tr2bl w:val="nil"/>
            </w:tcBorders>
            <w:vAlign w:val="center"/>
          </w:tcPr>
          <w:p w14:paraId="52C95C81">
            <w:pPr>
              <w:widowControl w:val="0"/>
              <w:snapToGrid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T2506046-03-01</w:t>
            </w:r>
          </w:p>
        </w:tc>
      </w:tr>
      <w:tr w14:paraId="206E0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2392D22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镉</w:t>
            </w:r>
          </w:p>
        </w:tc>
        <w:tc>
          <w:tcPr>
            <w:tcW w:w="2149" w:type="dxa"/>
            <w:tcBorders>
              <w:tl2br w:val="nil"/>
              <w:tr2bl w:val="nil"/>
            </w:tcBorders>
            <w:vAlign w:val="center"/>
          </w:tcPr>
          <w:p w14:paraId="7304346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vAlign w:val="center"/>
          </w:tcPr>
          <w:p w14:paraId="1C8BC6F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vAlign w:val="center"/>
          </w:tcPr>
          <w:p w14:paraId="15EE276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48B2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5BDD0D09">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总汞</w:t>
            </w:r>
          </w:p>
        </w:tc>
        <w:tc>
          <w:tcPr>
            <w:tcW w:w="2149" w:type="dxa"/>
            <w:tcBorders>
              <w:tl2br w:val="nil"/>
              <w:tr2bl w:val="nil"/>
            </w:tcBorders>
            <w:vAlign w:val="center"/>
          </w:tcPr>
          <w:p w14:paraId="571E4A1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1.21×10</w:t>
            </w:r>
            <w:r>
              <w:rPr>
                <w:rFonts w:ascii="Times New Roman" w:hAnsi="Times New Roman" w:eastAsia="宋体" w:cs="Times New Roman"/>
                <w:caps w:val="0"/>
                <w:smallCaps w:val="0"/>
                <w:color w:val="auto"/>
                <w:spacing w:val="0"/>
                <w:kern w:val="0"/>
                <w:sz w:val="21"/>
                <w:highlight w:val="none"/>
                <w:vertAlign w:val="superscript"/>
              </w:rPr>
              <w:t>-3</w:t>
            </w:r>
          </w:p>
        </w:tc>
        <w:tc>
          <w:tcPr>
            <w:tcW w:w="2298" w:type="dxa"/>
            <w:tcBorders>
              <w:tl2br w:val="nil"/>
              <w:tr2bl w:val="nil"/>
            </w:tcBorders>
            <w:vAlign w:val="center"/>
          </w:tcPr>
          <w:p w14:paraId="4733997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9.53×10</w:t>
            </w:r>
            <w:r>
              <w:rPr>
                <w:rFonts w:ascii="Times New Roman" w:hAnsi="Times New Roman" w:eastAsia="宋体" w:cs="Times New Roman"/>
                <w:caps w:val="0"/>
                <w:smallCaps w:val="0"/>
                <w:color w:val="auto"/>
                <w:spacing w:val="0"/>
                <w:kern w:val="0"/>
                <w:sz w:val="21"/>
                <w:highlight w:val="none"/>
                <w:vertAlign w:val="superscript"/>
              </w:rPr>
              <w:t>-4</w:t>
            </w:r>
          </w:p>
        </w:tc>
        <w:tc>
          <w:tcPr>
            <w:tcW w:w="2325" w:type="dxa"/>
            <w:tcBorders>
              <w:tl2br w:val="nil"/>
              <w:tr2bl w:val="nil"/>
            </w:tcBorders>
            <w:vAlign w:val="center"/>
          </w:tcPr>
          <w:p w14:paraId="62665BA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9.42×10</w:t>
            </w:r>
            <w:r>
              <w:rPr>
                <w:rFonts w:ascii="Times New Roman" w:hAnsi="Times New Roman" w:eastAsia="宋体" w:cs="Times New Roman"/>
                <w:caps w:val="0"/>
                <w:smallCaps w:val="0"/>
                <w:color w:val="auto"/>
                <w:spacing w:val="0"/>
                <w:kern w:val="0"/>
                <w:sz w:val="21"/>
                <w:highlight w:val="none"/>
                <w:vertAlign w:val="superscript"/>
              </w:rPr>
              <w:t>-4</w:t>
            </w:r>
          </w:p>
        </w:tc>
      </w:tr>
      <w:tr w14:paraId="336AC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732E0DFB">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总砷</w:t>
            </w:r>
          </w:p>
        </w:tc>
        <w:tc>
          <w:tcPr>
            <w:tcW w:w="2149" w:type="dxa"/>
            <w:tcBorders>
              <w:tl2br w:val="nil"/>
              <w:tr2bl w:val="nil"/>
            </w:tcBorders>
            <w:vAlign w:val="center"/>
          </w:tcPr>
          <w:p w14:paraId="31F6BA9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0.43</w:t>
            </w:r>
          </w:p>
        </w:tc>
        <w:tc>
          <w:tcPr>
            <w:tcW w:w="2298" w:type="dxa"/>
            <w:tcBorders>
              <w:tl2br w:val="nil"/>
              <w:tr2bl w:val="nil"/>
            </w:tcBorders>
            <w:vAlign w:val="center"/>
          </w:tcPr>
          <w:p w14:paraId="3477CC0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0.129</w:t>
            </w:r>
          </w:p>
        </w:tc>
        <w:tc>
          <w:tcPr>
            <w:tcW w:w="2325" w:type="dxa"/>
            <w:tcBorders>
              <w:tl2br w:val="nil"/>
              <w:tr2bl w:val="nil"/>
            </w:tcBorders>
            <w:vAlign w:val="center"/>
          </w:tcPr>
          <w:p w14:paraId="6B3B474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0.138</w:t>
            </w:r>
          </w:p>
        </w:tc>
      </w:tr>
      <w:tr w14:paraId="65B29F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21B53961">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铅</w:t>
            </w:r>
          </w:p>
        </w:tc>
        <w:tc>
          <w:tcPr>
            <w:tcW w:w="2149" w:type="dxa"/>
            <w:tcBorders>
              <w:tl2br w:val="nil"/>
              <w:tr2bl w:val="nil"/>
            </w:tcBorders>
            <w:vAlign w:val="center"/>
          </w:tcPr>
          <w:p w14:paraId="4626613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vAlign w:val="center"/>
          </w:tcPr>
          <w:p w14:paraId="76B7DAC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4.88×10</w:t>
            </w:r>
            <w:r>
              <w:rPr>
                <w:rFonts w:ascii="Times New Roman" w:hAnsi="Times New Roman" w:eastAsia="宋体" w:cs="Times New Roman"/>
                <w:caps w:val="0"/>
                <w:smallCaps w:val="0"/>
                <w:color w:val="auto"/>
                <w:spacing w:val="0"/>
                <w:kern w:val="0"/>
                <w:sz w:val="21"/>
                <w:highlight w:val="none"/>
                <w:vertAlign w:val="superscript"/>
              </w:rPr>
              <w:t>-2</w:t>
            </w:r>
          </w:p>
        </w:tc>
        <w:tc>
          <w:tcPr>
            <w:tcW w:w="2325" w:type="dxa"/>
            <w:tcBorders>
              <w:tl2br w:val="nil"/>
              <w:tr2bl w:val="nil"/>
            </w:tcBorders>
            <w:vAlign w:val="center"/>
          </w:tcPr>
          <w:p w14:paraId="57EB9EF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1.63×10</w:t>
            </w:r>
            <w:r>
              <w:rPr>
                <w:rFonts w:ascii="Times New Roman" w:hAnsi="Times New Roman" w:eastAsia="宋体" w:cs="Times New Roman"/>
                <w:caps w:val="0"/>
                <w:smallCaps w:val="0"/>
                <w:color w:val="auto"/>
                <w:spacing w:val="0"/>
                <w:kern w:val="0"/>
                <w:sz w:val="21"/>
                <w:highlight w:val="none"/>
                <w:vertAlign w:val="superscript"/>
              </w:rPr>
              <w:t>-2</w:t>
            </w:r>
          </w:p>
        </w:tc>
      </w:tr>
      <w:tr w14:paraId="34B880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1864BE0C">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六价铬</w:t>
            </w:r>
          </w:p>
        </w:tc>
        <w:tc>
          <w:tcPr>
            <w:tcW w:w="2149" w:type="dxa"/>
            <w:tcBorders>
              <w:tl2br w:val="nil"/>
              <w:tr2bl w:val="nil"/>
            </w:tcBorders>
            <w:vAlign w:val="center"/>
          </w:tcPr>
          <w:p w14:paraId="4AB9D6D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vAlign w:val="center"/>
          </w:tcPr>
          <w:p w14:paraId="58E1C0A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vAlign w:val="center"/>
          </w:tcPr>
          <w:p w14:paraId="7FF5626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DDFB9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181C48D9">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铜</w:t>
            </w:r>
          </w:p>
        </w:tc>
        <w:tc>
          <w:tcPr>
            <w:tcW w:w="2149" w:type="dxa"/>
            <w:tcBorders>
              <w:tl2br w:val="nil"/>
              <w:tr2bl w:val="nil"/>
            </w:tcBorders>
            <w:vAlign w:val="center"/>
          </w:tcPr>
          <w:p w14:paraId="5DA64BC8">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1.17×10</w:t>
            </w:r>
            <w:r>
              <w:rPr>
                <w:rFonts w:ascii="Times New Roman" w:hAnsi="Times New Roman" w:eastAsia="宋体" w:cs="Times New Roman"/>
                <w:caps w:val="0"/>
                <w:smallCaps w:val="0"/>
                <w:color w:val="auto"/>
                <w:spacing w:val="0"/>
                <w:kern w:val="0"/>
                <w:sz w:val="21"/>
                <w:highlight w:val="none"/>
                <w:vertAlign w:val="superscript"/>
              </w:rPr>
              <w:t>-3</w:t>
            </w:r>
          </w:p>
        </w:tc>
        <w:tc>
          <w:tcPr>
            <w:tcW w:w="2298" w:type="dxa"/>
            <w:tcBorders>
              <w:tl2br w:val="nil"/>
              <w:tr2bl w:val="nil"/>
            </w:tcBorders>
            <w:vAlign w:val="center"/>
          </w:tcPr>
          <w:p w14:paraId="76F5F189">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1.17×10</w:t>
            </w:r>
            <w:r>
              <w:rPr>
                <w:rFonts w:ascii="Times New Roman" w:hAnsi="Times New Roman" w:eastAsia="宋体" w:cs="Times New Roman"/>
                <w:caps w:val="0"/>
                <w:smallCaps w:val="0"/>
                <w:color w:val="auto"/>
                <w:spacing w:val="0"/>
                <w:kern w:val="0"/>
                <w:sz w:val="21"/>
                <w:highlight w:val="none"/>
                <w:vertAlign w:val="superscript"/>
              </w:rPr>
              <w:t>-3</w:t>
            </w:r>
          </w:p>
        </w:tc>
        <w:tc>
          <w:tcPr>
            <w:tcW w:w="2325" w:type="dxa"/>
            <w:tcBorders>
              <w:tl2br w:val="nil"/>
              <w:tr2bl w:val="nil"/>
            </w:tcBorders>
            <w:vAlign w:val="center"/>
          </w:tcPr>
          <w:p w14:paraId="1B5F3608">
            <w:pPr>
              <w:widowControl w:val="0"/>
              <w:snapToGrid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rPr>
              <w:t>1.28×10</w:t>
            </w:r>
            <w:r>
              <w:rPr>
                <w:rFonts w:ascii="Times New Roman" w:hAnsi="Times New Roman" w:eastAsia="宋体" w:cs="Times New Roman"/>
                <w:caps w:val="0"/>
                <w:smallCaps w:val="0"/>
                <w:color w:val="auto"/>
                <w:spacing w:val="0"/>
                <w:kern w:val="0"/>
                <w:sz w:val="21"/>
                <w:highlight w:val="none"/>
                <w:vertAlign w:val="superscript"/>
              </w:rPr>
              <w:t>-3</w:t>
            </w:r>
          </w:p>
        </w:tc>
      </w:tr>
      <w:tr w14:paraId="5CC74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52ED2F48">
            <w:pPr>
              <w:widowControl w:val="0"/>
              <w:snapToGrid w:val="0"/>
              <w:spacing w:line="240" w:lineRule="auto"/>
              <w:jc w:val="center"/>
              <w:textAlignment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sz w:val="21"/>
                <w:highlight w:val="none"/>
              </w:rPr>
              <w:t>镍</w:t>
            </w:r>
          </w:p>
        </w:tc>
        <w:tc>
          <w:tcPr>
            <w:tcW w:w="2149" w:type="dxa"/>
            <w:tcBorders>
              <w:tl2br w:val="nil"/>
              <w:tr2bl w:val="nil"/>
            </w:tcBorders>
            <w:vAlign w:val="center"/>
          </w:tcPr>
          <w:p w14:paraId="00DC455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0.160</w:t>
            </w:r>
          </w:p>
        </w:tc>
        <w:tc>
          <w:tcPr>
            <w:tcW w:w="2298" w:type="dxa"/>
            <w:tcBorders>
              <w:tl2br w:val="nil"/>
              <w:tr2bl w:val="nil"/>
            </w:tcBorders>
            <w:vAlign w:val="center"/>
          </w:tcPr>
          <w:p w14:paraId="2BAA27B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0.273</w:t>
            </w:r>
          </w:p>
        </w:tc>
        <w:tc>
          <w:tcPr>
            <w:tcW w:w="2325" w:type="dxa"/>
            <w:tcBorders>
              <w:tl2br w:val="nil"/>
              <w:tr2bl w:val="nil"/>
            </w:tcBorders>
            <w:vAlign w:val="center"/>
          </w:tcPr>
          <w:p w14:paraId="476B92A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0.153</w:t>
            </w:r>
          </w:p>
        </w:tc>
      </w:tr>
      <w:tr w14:paraId="18197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6BE8C9E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四氯化碳</w:t>
            </w:r>
          </w:p>
        </w:tc>
        <w:tc>
          <w:tcPr>
            <w:tcW w:w="2149" w:type="dxa"/>
            <w:tcBorders>
              <w:tl2br w:val="nil"/>
              <w:tr2bl w:val="nil"/>
            </w:tcBorders>
            <w:shd w:val="clear" w:color="auto" w:fill="auto"/>
            <w:vAlign w:val="center"/>
          </w:tcPr>
          <w:p w14:paraId="6A8CF92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69B1276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9D3D98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4B813E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0DC3BA1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氯仿</w:t>
            </w:r>
          </w:p>
        </w:tc>
        <w:tc>
          <w:tcPr>
            <w:tcW w:w="2149" w:type="dxa"/>
            <w:tcBorders>
              <w:tl2br w:val="nil"/>
              <w:tr2bl w:val="nil"/>
            </w:tcBorders>
            <w:shd w:val="clear" w:color="auto" w:fill="auto"/>
            <w:vAlign w:val="center"/>
          </w:tcPr>
          <w:p w14:paraId="073F39A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57C063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32AAD50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25EF8B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1841D77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氯甲烷</w:t>
            </w:r>
          </w:p>
        </w:tc>
        <w:tc>
          <w:tcPr>
            <w:tcW w:w="2149" w:type="dxa"/>
            <w:tcBorders>
              <w:tl2br w:val="nil"/>
              <w:tr2bl w:val="nil"/>
            </w:tcBorders>
            <w:shd w:val="clear" w:color="auto" w:fill="auto"/>
            <w:vAlign w:val="center"/>
          </w:tcPr>
          <w:p w14:paraId="5712ACC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2E04070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0332E2F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43F08C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5DAA3E0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1,1-二氯乙烷</w:t>
            </w:r>
          </w:p>
        </w:tc>
        <w:tc>
          <w:tcPr>
            <w:tcW w:w="2149" w:type="dxa"/>
            <w:tcBorders>
              <w:tl2br w:val="nil"/>
              <w:tr2bl w:val="nil"/>
            </w:tcBorders>
            <w:shd w:val="clear" w:color="auto" w:fill="auto"/>
            <w:vAlign w:val="center"/>
          </w:tcPr>
          <w:p w14:paraId="31DCD5E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3687756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1EC7EEE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5A2B77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105DE1D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1,2-二氯乙烷</w:t>
            </w:r>
          </w:p>
        </w:tc>
        <w:tc>
          <w:tcPr>
            <w:tcW w:w="2149" w:type="dxa"/>
            <w:tcBorders>
              <w:tl2br w:val="nil"/>
              <w:tr2bl w:val="nil"/>
            </w:tcBorders>
            <w:shd w:val="clear" w:color="auto" w:fill="auto"/>
            <w:vAlign w:val="center"/>
          </w:tcPr>
          <w:p w14:paraId="4407757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671A656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31DDCE9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71D9AC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2552397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1,1-二氯乙烯</w:t>
            </w:r>
          </w:p>
        </w:tc>
        <w:tc>
          <w:tcPr>
            <w:tcW w:w="2149" w:type="dxa"/>
            <w:tcBorders>
              <w:tl2br w:val="nil"/>
              <w:tr2bl w:val="nil"/>
            </w:tcBorders>
            <w:shd w:val="clear" w:color="auto" w:fill="auto"/>
            <w:vAlign w:val="center"/>
          </w:tcPr>
          <w:p w14:paraId="1057BE3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50FF1E9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453F4E7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2E75C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224A0BE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顺-1,2-二氯乙烯</w:t>
            </w:r>
          </w:p>
        </w:tc>
        <w:tc>
          <w:tcPr>
            <w:tcW w:w="2149" w:type="dxa"/>
            <w:tcBorders>
              <w:tl2br w:val="nil"/>
              <w:tr2bl w:val="nil"/>
            </w:tcBorders>
            <w:shd w:val="clear" w:color="auto" w:fill="auto"/>
            <w:vAlign w:val="center"/>
          </w:tcPr>
          <w:p w14:paraId="46B742C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3285C25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6DA35C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EEC01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3A19D74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反-1,2-二氯乙烯</w:t>
            </w:r>
          </w:p>
        </w:tc>
        <w:tc>
          <w:tcPr>
            <w:tcW w:w="2149" w:type="dxa"/>
            <w:tcBorders>
              <w:tl2br w:val="nil"/>
              <w:tr2bl w:val="nil"/>
            </w:tcBorders>
            <w:shd w:val="clear" w:color="auto" w:fill="auto"/>
            <w:vAlign w:val="center"/>
          </w:tcPr>
          <w:p w14:paraId="75AA64A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720FE99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3CCD6B7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B677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21CE7FC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二氯甲烷</w:t>
            </w:r>
          </w:p>
        </w:tc>
        <w:tc>
          <w:tcPr>
            <w:tcW w:w="2149" w:type="dxa"/>
            <w:tcBorders>
              <w:tl2br w:val="nil"/>
              <w:tr2bl w:val="nil"/>
            </w:tcBorders>
            <w:shd w:val="clear" w:color="auto" w:fill="auto"/>
            <w:vAlign w:val="center"/>
          </w:tcPr>
          <w:p w14:paraId="35026E2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2D6A2F2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0B9EA2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68A7A8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66DD4FF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1,2-二氯丙烷</w:t>
            </w:r>
          </w:p>
        </w:tc>
        <w:tc>
          <w:tcPr>
            <w:tcW w:w="2149" w:type="dxa"/>
            <w:tcBorders>
              <w:tl2br w:val="nil"/>
              <w:tr2bl w:val="nil"/>
            </w:tcBorders>
            <w:shd w:val="clear" w:color="auto" w:fill="auto"/>
            <w:vAlign w:val="center"/>
          </w:tcPr>
          <w:p w14:paraId="7BA37AE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30F0E1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3EA47D7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22B1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752828E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1,1,1,2-四氯乙烷</w:t>
            </w:r>
          </w:p>
        </w:tc>
        <w:tc>
          <w:tcPr>
            <w:tcW w:w="2149" w:type="dxa"/>
            <w:tcBorders>
              <w:tl2br w:val="nil"/>
              <w:tr2bl w:val="nil"/>
            </w:tcBorders>
            <w:shd w:val="clear" w:color="auto" w:fill="auto"/>
            <w:vAlign w:val="center"/>
          </w:tcPr>
          <w:p w14:paraId="7F705AB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062E878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185952D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B82D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05D5145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1,1,2,2-四氯乙烷</w:t>
            </w:r>
          </w:p>
        </w:tc>
        <w:tc>
          <w:tcPr>
            <w:tcW w:w="2149" w:type="dxa"/>
            <w:tcBorders>
              <w:tl2br w:val="nil"/>
              <w:tr2bl w:val="nil"/>
            </w:tcBorders>
            <w:shd w:val="clear" w:color="auto" w:fill="auto"/>
            <w:vAlign w:val="center"/>
          </w:tcPr>
          <w:p w14:paraId="54F95CE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5CDB1BB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0C37027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65D495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3143367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四氯乙烯</w:t>
            </w:r>
          </w:p>
        </w:tc>
        <w:tc>
          <w:tcPr>
            <w:tcW w:w="2149" w:type="dxa"/>
            <w:tcBorders>
              <w:tl2br w:val="nil"/>
              <w:tr2bl w:val="nil"/>
            </w:tcBorders>
            <w:shd w:val="clear" w:color="auto" w:fill="auto"/>
            <w:vAlign w:val="center"/>
          </w:tcPr>
          <w:p w14:paraId="57AE4D8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1127D3E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7469D8A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4FB2B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514" w:type="dxa"/>
            <w:tcBorders>
              <w:tl2br w:val="nil"/>
              <w:tr2bl w:val="nil"/>
            </w:tcBorders>
            <w:shd w:val="clear" w:color="auto" w:fill="auto"/>
            <w:vAlign w:val="center"/>
          </w:tcPr>
          <w:p w14:paraId="4A96F16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1,1,1-三氯乙烷</w:t>
            </w:r>
          </w:p>
        </w:tc>
        <w:tc>
          <w:tcPr>
            <w:tcW w:w="2149" w:type="dxa"/>
            <w:tcBorders>
              <w:tl2br w:val="nil"/>
              <w:tr2bl w:val="nil"/>
            </w:tcBorders>
            <w:shd w:val="clear" w:color="auto" w:fill="auto"/>
            <w:vAlign w:val="center"/>
          </w:tcPr>
          <w:p w14:paraId="239858A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51C6048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BEBB70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4503D0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1585A9B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1,1,2-三氯乙烷</w:t>
            </w:r>
          </w:p>
        </w:tc>
        <w:tc>
          <w:tcPr>
            <w:tcW w:w="2149" w:type="dxa"/>
            <w:tcBorders>
              <w:tl2br w:val="nil"/>
              <w:tr2bl w:val="nil"/>
            </w:tcBorders>
            <w:shd w:val="clear" w:color="auto" w:fill="auto"/>
            <w:vAlign w:val="center"/>
          </w:tcPr>
          <w:p w14:paraId="55E0306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732352A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361B623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93FC4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78514DE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三氯乙烯</w:t>
            </w:r>
          </w:p>
        </w:tc>
        <w:tc>
          <w:tcPr>
            <w:tcW w:w="2149" w:type="dxa"/>
            <w:tcBorders>
              <w:tl2br w:val="nil"/>
              <w:tr2bl w:val="nil"/>
            </w:tcBorders>
            <w:shd w:val="clear" w:color="auto" w:fill="auto"/>
            <w:vAlign w:val="center"/>
          </w:tcPr>
          <w:p w14:paraId="528C43F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878F86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48DD06F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91F7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798B785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1,2,3-三氯丙烷</w:t>
            </w:r>
          </w:p>
        </w:tc>
        <w:tc>
          <w:tcPr>
            <w:tcW w:w="2149" w:type="dxa"/>
            <w:tcBorders>
              <w:tl2br w:val="nil"/>
              <w:tr2bl w:val="nil"/>
            </w:tcBorders>
            <w:shd w:val="clear" w:color="auto" w:fill="auto"/>
            <w:vAlign w:val="center"/>
          </w:tcPr>
          <w:p w14:paraId="6C261D5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F02DAC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687892B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E017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269F389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氯乙烯</w:t>
            </w:r>
          </w:p>
        </w:tc>
        <w:tc>
          <w:tcPr>
            <w:tcW w:w="2149" w:type="dxa"/>
            <w:tcBorders>
              <w:tl2br w:val="nil"/>
              <w:tr2bl w:val="nil"/>
            </w:tcBorders>
            <w:shd w:val="clear" w:color="auto" w:fill="auto"/>
            <w:vAlign w:val="center"/>
          </w:tcPr>
          <w:p w14:paraId="779A110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353F31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72C8DA0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EBD77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527B5A15">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w:t>
            </w:r>
          </w:p>
        </w:tc>
        <w:tc>
          <w:tcPr>
            <w:tcW w:w="2149" w:type="dxa"/>
            <w:tcBorders>
              <w:tl2br w:val="nil"/>
              <w:tr2bl w:val="nil"/>
            </w:tcBorders>
            <w:shd w:val="clear" w:color="auto" w:fill="auto"/>
            <w:vAlign w:val="center"/>
          </w:tcPr>
          <w:p w14:paraId="6E314AC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0F4B507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4340BCE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4513F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74055C5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氯苯</w:t>
            </w:r>
          </w:p>
        </w:tc>
        <w:tc>
          <w:tcPr>
            <w:tcW w:w="2149" w:type="dxa"/>
            <w:tcBorders>
              <w:tl2br w:val="nil"/>
              <w:tr2bl w:val="nil"/>
            </w:tcBorders>
            <w:shd w:val="clear" w:color="auto" w:fill="auto"/>
            <w:vAlign w:val="center"/>
          </w:tcPr>
          <w:p w14:paraId="5F4EA9A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1141761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5B6EA3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8157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508F200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1,2-二氯苯</w:t>
            </w:r>
          </w:p>
        </w:tc>
        <w:tc>
          <w:tcPr>
            <w:tcW w:w="2149" w:type="dxa"/>
            <w:tcBorders>
              <w:tl2br w:val="nil"/>
              <w:tr2bl w:val="nil"/>
            </w:tcBorders>
            <w:shd w:val="clear" w:color="auto" w:fill="auto"/>
            <w:vAlign w:val="center"/>
          </w:tcPr>
          <w:p w14:paraId="5D060C5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02F5E40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7269E99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5CD96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37727D9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1,4-二氯苯</w:t>
            </w:r>
          </w:p>
        </w:tc>
        <w:tc>
          <w:tcPr>
            <w:tcW w:w="2149" w:type="dxa"/>
            <w:tcBorders>
              <w:tl2br w:val="nil"/>
              <w:tr2bl w:val="nil"/>
            </w:tcBorders>
            <w:shd w:val="clear" w:color="auto" w:fill="auto"/>
            <w:vAlign w:val="center"/>
          </w:tcPr>
          <w:p w14:paraId="3592D2C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130DA6D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40DA6BF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36BDE3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4BC4C12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乙苯</w:t>
            </w:r>
          </w:p>
        </w:tc>
        <w:tc>
          <w:tcPr>
            <w:tcW w:w="2149" w:type="dxa"/>
            <w:tcBorders>
              <w:tl2br w:val="nil"/>
              <w:tr2bl w:val="nil"/>
            </w:tcBorders>
            <w:shd w:val="clear" w:color="auto" w:fill="auto"/>
            <w:vAlign w:val="center"/>
          </w:tcPr>
          <w:p w14:paraId="021544F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859B91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94E505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C8E45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5F0EF64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苯乙烯</w:t>
            </w:r>
          </w:p>
        </w:tc>
        <w:tc>
          <w:tcPr>
            <w:tcW w:w="2149" w:type="dxa"/>
            <w:tcBorders>
              <w:tl2br w:val="nil"/>
              <w:tr2bl w:val="nil"/>
            </w:tcBorders>
            <w:shd w:val="clear" w:color="auto" w:fill="auto"/>
            <w:vAlign w:val="center"/>
          </w:tcPr>
          <w:p w14:paraId="3025B3A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6451B64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4594FA6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456EA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4F55B38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甲苯</w:t>
            </w:r>
          </w:p>
        </w:tc>
        <w:tc>
          <w:tcPr>
            <w:tcW w:w="2149" w:type="dxa"/>
            <w:tcBorders>
              <w:tl2br w:val="nil"/>
              <w:tr2bl w:val="nil"/>
            </w:tcBorders>
            <w:shd w:val="clear" w:color="auto" w:fill="auto"/>
            <w:vAlign w:val="center"/>
          </w:tcPr>
          <w:p w14:paraId="7C18839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4ECC658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19E03CB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78807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59AFAD7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间二甲苯+对二甲苯</w:t>
            </w:r>
          </w:p>
        </w:tc>
        <w:tc>
          <w:tcPr>
            <w:tcW w:w="2149" w:type="dxa"/>
            <w:tcBorders>
              <w:tl2br w:val="nil"/>
              <w:tr2bl w:val="nil"/>
            </w:tcBorders>
            <w:shd w:val="clear" w:color="auto" w:fill="auto"/>
            <w:vAlign w:val="center"/>
          </w:tcPr>
          <w:p w14:paraId="631F073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1786D1E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79593B6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41A64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03D3585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邻二甲苯</w:t>
            </w:r>
          </w:p>
        </w:tc>
        <w:tc>
          <w:tcPr>
            <w:tcW w:w="2149" w:type="dxa"/>
            <w:tcBorders>
              <w:tl2br w:val="nil"/>
              <w:tr2bl w:val="nil"/>
            </w:tcBorders>
            <w:shd w:val="clear" w:color="auto" w:fill="auto"/>
            <w:vAlign w:val="center"/>
          </w:tcPr>
          <w:p w14:paraId="566E319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6F3D846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343E783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38385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5D13566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硝基苯</w:t>
            </w:r>
          </w:p>
        </w:tc>
        <w:tc>
          <w:tcPr>
            <w:tcW w:w="2149" w:type="dxa"/>
            <w:tcBorders>
              <w:tl2br w:val="nil"/>
              <w:tr2bl w:val="nil"/>
            </w:tcBorders>
            <w:shd w:val="clear" w:color="auto" w:fill="auto"/>
            <w:vAlign w:val="center"/>
          </w:tcPr>
          <w:p w14:paraId="1D5BA44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02D61A7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16EFA09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7DE3F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34A7A2C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苯胺</w:t>
            </w:r>
          </w:p>
        </w:tc>
        <w:tc>
          <w:tcPr>
            <w:tcW w:w="2149" w:type="dxa"/>
            <w:tcBorders>
              <w:tl2br w:val="nil"/>
              <w:tr2bl w:val="nil"/>
            </w:tcBorders>
            <w:shd w:val="clear" w:color="auto" w:fill="auto"/>
            <w:vAlign w:val="center"/>
          </w:tcPr>
          <w:p w14:paraId="3B41B8E4">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3276C42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6F4517F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5D4AA4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7FB90E8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2-氯酚</w:t>
            </w:r>
          </w:p>
        </w:tc>
        <w:tc>
          <w:tcPr>
            <w:tcW w:w="2149" w:type="dxa"/>
            <w:tcBorders>
              <w:tl2br w:val="nil"/>
              <w:tr2bl w:val="nil"/>
            </w:tcBorders>
            <w:shd w:val="clear" w:color="auto" w:fill="auto"/>
            <w:vAlign w:val="center"/>
          </w:tcPr>
          <w:p w14:paraId="7ADB91F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5F0670C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3DE04D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245B5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7575901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苯并[a]蒽</w:t>
            </w:r>
          </w:p>
        </w:tc>
        <w:tc>
          <w:tcPr>
            <w:tcW w:w="2149" w:type="dxa"/>
            <w:tcBorders>
              <w:tl2br w:val="nil"/>
              <w:tr2bl w:val="nil"/>
            </w:tcBorders>
            <w:shd w:val="clear" w:color="auto" w:fill="auto"/>
            <w:vAlign w:val="center"/>
          </w:tcPr>
          <w:p w14:paraId="00F14BE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0C56D3F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7B5A22C8">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5CD808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1C702E3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苯并[a]芘</w:t>
            </w:r>
          </w:p>
        </w:tc>
        <w:tc>
          <w:tcPr>
            <w:tcW w:w="2149" w:type="dxa"/>
            <w:tcBorders>
              <w:tl2br w:val="nil"/>
              <w:tr2bl w:val="nil"/>
            </w:tcBorders>
            <w:shd w:val="clear" w:color="auto" w:fill="auto"/>
            <w:vAlign w:val="center"/>
          </w:tcPr>
          <w:p w14:paraId="7112D43F">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765E8DE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6310A883">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0C2C3E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2584868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苯并[b]荧蒽</w:t>
            </w:r>
          </w:p>
        </w:tc>
        <w:tc>
          <w:tcPr>
            <w:tcW w:w="2149" w:type="dxa"/>
            <w:tcBorders>
              <w:tl2br w:val="nil"/>
              <w:tr2bl w:val="nil"/>
            </w:tcBorders>
            <w:shd w:val="clear" w:color="auto" w:fill="auto"/>
            <w:vAlign w:val="center"/>
          </w:tcPr>
          <w:p w14:paraId="2CF9A7B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669250D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E9D041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3A528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6927319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苯并[k]荧蒽</w:t>
            </w:r>
          </w:p>
        </w:tc>
        <w:tc>
          <w:tcPr>
            <w:tcW w:w="2149" w:type="dxa"/>
            <w:tcBorders>
              <w:tl2br w:val="nil"/>
              <w:tr2bl w:val="nil"/>
            </w:tcBorders>
            <w:shd w:val="clear" w:color="auto" w:fill="auto"/>
            <w:vAlign w:val="center"/>
          </w:tcPr>
          <w:p w14:paraId="10C3ED8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5E29E9CB">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77B5550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2D8BB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3E3629FE">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䓛</w:t>
            </w:r>
          </w:p>
        </w:tc>
        <w:tc>
          <w:tcPr>
            <w:tcW w:w="2149" w:type="dxa"/>
            <w:tcBorders>
              <w:tl2br w:val="nil"/>
              <w:tr2bl w:val="nil"/>
            </w:tcBorders>
            <w:shd w:val="clear" w:color="auto" w:fill="auto"/>
            <w:vAlign w:val="center"/>
          </w:tcPr>
          <w:p w14:paraId="65137882">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716F1000">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20E79A37">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2868A8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5E58F11D">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二苯并[a,h]蒽</w:t>
            </w:r>
          </w:p>
        </w:tc>
        <w:tc>
          <w:tcPr>
            <w:tcW w:w="2149" w:type="dxa"/>
            <w:tcBorders>
              <w:tl2br w:val="nil"/>
              <w:tr2bl w:val="nil"/>
            </w:tcBorders>
            <w:shd w:val="clear" w:color="auto" w:fill="auto"/>
            <w:vAlign w:val="center"/>
          </w:tcPr>
          <w:p w14:paraId="1C4A5CB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6801E07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485DDB9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7CDD84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tl2br w:val="nil"/>
              <w:tr2bl w:val="nil"/>
            </w:tcBorders>
            <w:shd w:val="clear" w:color="auto" w:fill="auto"/>
            <w:vAlign w:val="center"/>
          </w:tcPr>
          <w:p w14:paraId="6C27D75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茚并[1,2,3-cd]芘</w:t>
            </w:r>
          </w:p>
        </w:tc>
        <w:tc>
          <w:tcPr>
            <w:tcW w:w="2149" w:type="dxa"/>
            <w:tcBorders>
              <w:tl2br w:val="nil"/>
              <w:tr2bl w:val="nil"/>
            </w:tcBorders>
            <w:shd w:val="clear" w:color="auto" w:fill="auto"/>
            <w:vAlign w:val="center"/>
          </w:tcPr>
          <w:p w14:paraId="361F0C4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tl2br w:val="nil"/>
              <w:tr2bl w:val="nil"/>
            </w:tcBorders>
            <w:shd w:val="clear" w:color="auto" w:fill="auto"/>
            <w:vAlign w:val="center"/>
          </w:tcPr>
          <w:p w14:paraId="0E58F0E1">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tl2br w:val="nil"/>
              <w:tr2bl w:val="nil"/>
            </w:tcBorders>
            <w:shd w:val="clear" w:color="auto" w:fill="auto"/>
            <w:vAlign w:val="center"/>
          </w:tcPr>
          <w:p w14:paraId="5D101E2A">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r w14:paraId="14C8D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4" w:type="dxa"/>
            <w:tcBorders>
              <w:bottom w:val="single" w:color="auto" w:sz="8" w:space="0"/>
              <w:tl2br w:val="nil"/>
              <w:tr2bl w:val="nil"/>
            </w:tcBorders>
            <w:shd w:val="clear" w:color="auto" w:fill="auto"/>
            <w:vAlign w:val="center"/>
          </w:tcPr>
          <w:p w14:paraId="1D6F3A1C">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萘</w:t>
            </w:r>
          </w:p>
        </w:tc>
        <w:tc>
          <w:tcPr>
            <w:tcW w:w="2149" w:type="dxa"/>
            <w:tcBorders>
              <w:bottom w:val="single" w:color="auto" w:sz="8" w:space="0"/>
              <w:tl2br w:val="nil"/>
              <w:tr2bl w:val="nil"/>
            </w:tcBorders>
            <w:shd w:val="clear" w:color="auto" w:fill="auto"/>
            <w:vAlign w:val="center"/>
          </w:tcPr>
          <w:p w14:paraId="645D68D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298" w:type="dxa"/>
            <w:tcBorders>
              <w:bottom w:val="single" w:color="auto" w:sz="8" w:space="0"/>
              <w:tl2br w:val="nil"/>
              <w:tr2bl w:val="nil"/>
            </w:tcBorders>
            <w:shd w:val="clear" w:color="auto" w:fill="auto"/>
            <w:vAlign w:val="center"/>
          </w:tcPr>
          <w:p w14:paraId="4DBD0929">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c>
          <w:tcPr>
            <w:tcW w:w="2325" w:type="dxa"/>
            <w:tcBorders>
              <w:bottom w:val="single" w:color="auto" w:sz="8" w:space="0"/>
              <w:tl2br w:val="nil"/>
              <w:tr2bl w:val="nil"/>
            </w:tcBorders>
            <w:shd w:val="clear" w:color="auto" w:fill="auto"/>
            <w:vAlign w:val="center"/>
          </w:tcPr>
          <w:p w14:paraId="31728DC6">
            <w:pPr>
              <w:widowControl w:val="0"/>
              <w:snapToGrid w:val="0"/>
              <w:spacing w:line="240" w:lineRule="auto"/>
              <w:jc w:val="center"/>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caps w:val="0"/>
                <w:smallCaps w:val="0"/>
                <w:color w:val="auto"/>
                <w:spacing w:val="0"/>
                <w:kern w:val="0"/>
                <w:sz w:val="21"/>
                <w:highlight w:val="none"/>
              </w:rPr>
              <w:t>/</w:t>
            </w:r>
          </w:p>
        </w:tc>
      </w:tr>
    </w:tbl>
    <w:p w14:paraId="2FCAB949">
      <w:pPr>
        <w:widowControl w:val="0"/>
        <w:spacing w:before="10"/>
        <w:rPr>
          <w:rFonts w:ascii="Times New Roman" w:hAnsi="Times New Roman" w:eastAsia="宋体" w:cs="Times New Roman"/>
          <w:b/>
          <w:bCs/>
          <w:caps w:val="0"/>
          <w:smallCaps w:val="0"/>
          <w:color w:val="auto"/>
          <w:spacing w:val="0"/>
          <w:sz w:val="3"/>
          <w:szCs w:val="3"/>
          <w:highlight w:val="none"/>
        </w:rPr>
      </w:pPr>
    </w:p>
    <w:p w14:paraId="22B72B4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项目拟建厂址土壤环境质量现状满足《土壤环境质量-建设用地土壤污染风险管控标准》（GB36600-2018）中第二类用地筛选值的要求。</w:t>
      </w:r>
    </w:p>
    <w:p w14:paraId="1E3A00F2">
      <w:pPr>
        <w:pStyle w:val="5"/>
        <w:keepNext w:val="0"/>
        <w:keepLines w:val="0"/>
        <w:widowControl w:val="0"/>
        <w:spacing w:line="480" w:lineRule="exact"/>
        <w:jc w:val="both"/>
        <w:rPr>
          <w:rFonts w:eastAsia="宋体"/>
          <w:caps w:val="0"/>
          <w:smallCaps w:val="0"/>
          <w:color w:val="auto"/>
          <w:spacing w:val="0"/>
          <w:szCs w:val="22"/>
          <w:highlight w:val="none"/>
        </w:rPr>
      </w:pPr>
      <w:bookmarkStart w:id="149" w:name="_Toc8081"/>
      <w:r>
        <w:rPr>
          <w:rFonts w:eastAsia="宋体"/>
          <w:caps w:val="0"/>
          <w:smallCaps w:val="0"/>
          <w:color w:val="auto"/>
          <w:spacing w:val="0"/>
          <w:szCs w:val="22"/>
          <w:highlight w:val="none"/>
        </w:rPr>
        <w:t>4.</w:t>
      </w:r>
      <w:r>
        <w:rPr>
          <w:rFonts w:hint="eastAsia" w:eastAsia="宋体"/>
          <w:caps w:val="0"/>
          <w:smallCaps w:val="0"/>
          <w:color w:val="auto"/>
          <w:spacing w:val="0"/>
          <w:szCs w:val="22"/>
          <w:highlight w:val="none"/>
        </w:rPr>
        <w:t>4</w:t>
      </w:r>
      <w:r>
        <w:rPr>
          <w:rFonts w:eastAsia="宋体"/>
          <w:caps w:val="0"/>
          <w:smallCaps w:val="0"/>
          <w:color w:val="auto"/>
          <w:spacing w:val="0"/>
          <w:szCs w:val="22"/>
          <w:highlight w:val="none"/>
        </w:rPr>
        <w:t>.6 生态环境现状调查与评价</w:t>
      </w:r>
      <w:bookmarkEnd w:id="149"/>
    </w:p>
    <w:p w14:paraId="711E8EE5">
      <w:pPr>
        <w:pStyle w:val="234"/>
        <w:widowControl w:val="0"/>
        <w:ind w:firstLine="480"/>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经现场调查，厂址周边以工业用地为主，受人为干扰程度较大，植被类型较单一。另有少量乔灌木零星分布，无特殊保护物种，区域生物多样性较低。</w:t>
      </w:r>
    </w:p>
    <w:p w14:paraId="19ABA8BB">
      <w:pPr>
        <w:pStyle w:val="234"/>
        <w:widowControl w:val="0"/>
        <w:ind w:firstLine="480"/>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1、植被及植物资源现状调查</w:t>
      </w:r>
    </w:p>
    <w:p w14:paraId="75DB4D70">
      <w:pPr>
        <w:pStyle w:val="234"/>
        <w:widowControl w:val="0"/>
        <w:ind w:firstLine="480"/>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本次评价采用现场踏勘、搜集资料相结合的方式对厂址周边的陆生植物进行调查。根据实地调查，</w:t>
      </w:r>
      <w:r>
        <w:rPr>
          <w:rFonts w:hint="eastAsia" w:ascii="Times New Roman" w:hAnsi="Times New Roman" w:cs="Times New Roman"/>
          <w:caps w:val="0"/>
          <w:smallCaps w:val="0"/>
          <w:color w:val="auto"/>
          <w:spacing w:val="0"/>
          <w:szCs w:val="22"/>
          <w:highlight w:val="none"/>
        </w:rPr>
        <w:t>厂址</w:t>
      </w:r>
      <w:r>
        <w:rPr>
          <w:rFonts w:ascii="Times New Roman" w:hAnsi="Times New Roman" w:cs="Times New Roman"/>
          <w:caps w:val="0"/>
          <w:smallCaps w:val="0"/>
          <w:color w:val="auto"/>
          <w:spacing w:val="0"/>
          <w:szCs w:val="22"/>
          <w:highlight w:val="none"/>
        </w:rPr>
        <w:t>范围及周边评价区内受人类开发程度较大，多为自然植被分布较少，均为常见植被。</w:t>
      </w:r>
    </w:p>
    <w:p w14:paraId="2DB66238">
      <w:pPr>
        <w:pStyle w:val="234"/>
        <w:widowControl w:val="0"/>
        <w:ind w:firstLine="480"/>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（1）杨树（Populus L.）群系</w:t>
      </w:r>
    </w:p>
    <w:p w14:paraId="4F4431A2">
      <w:pPr>
        <w:pStyle w:val="234"/>
        <w:widowControl w:val="0"/>
        <w:ind w:firstLine="480"/>
        <w:jc w:val="both"/>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杨树群系主要分布在厂址外区域。群系结构分为乔木层、灌木层和草本层，乔木层以杨树为主，伴生树种为桦树(Betula)、榆树（Ulmus pumila L.）等；灌木层有绣线菊（Spiraea salicifolia）等；草本层有唐松草（Thalictrum aquilegifolium  Linn. var. sibiricum Regel et Tiling）、小叶章（Deyeuxia angustifolia (Kom.)）、修氏苔草（Carex schmidtii Meinsh）、地榆(Sanguisorba officinalis L.)等。群落高度为3-5m。</w:t>
      </w:r>
    </w:p>
    <w:p w14:paraId="02FC1B65">
      <w:pPr>
        <w:pStyle w:val="234"/>
        <w:widowControl w:val="0"/>
        <w:ind w:firstLine="480"/>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2、动物现状调查</w:t>
      </w:r>
    </w:p>
    <w:p w14:paraId="48234960">
      <w:pPr>
        <w:pStyle w:val="234"/>
        <w:widowControl w:val="0"/>
        <w:ind w:firstLine="480"/>
        <w:rPr>
          <w:rFonts w:ascii="Times New Roman" w:hAnsi="Times New Roman" w:cs="Times New Roman"/>
          <w:caps w:val="0"/>
          <w:smallCaps w:val="0"/>
          <w:color w:val="auto"/>
          <w:spacing w:val="0"/>
          <w:szCs w:val="22"/>
          <w:highlight w:val="none"/>
        </w:rPr>
      </w:pPr>
      <w:r>
        <w:rPr>
          <w:rFonts w:ascii="Times New Roman" w:hAnsi="Times New Roman" w:cs="Times New Roman"/>
          <w:caps w:val="0"/>
          <w:smallCaps w:val="0"/>
          <w:color w:val="auto"/>
          <w:spacing w:val="0"/>
          <w:szCs w:val="22"/>
          <w:highlight w:val="none"/>
        </w:rPr>
        <w:t>厂区周边建有市政道路、铁路等，人群活动频繁。根据实地调查、走访相关部门及搜集当地资料，评价范围内基本无大型兽类出没，以小型兽类、爬行类、鸟类为主，主要集中在坑塘水面。</w:t>
      </w:r>
    </w:p>
    <w:p w14:paraId="124F95BD">
      <w:pPr>
        <w:pStyle w:val="4"/>
        <w:widowControl w:val="0"/>
        <w:rPr>
          <w:rFonts w:eastAsia="宋体"/>
          <w:caps w:val="0"/>
          <w:smallCaps w:val="0"/>
          <w:color w:val="auto"/>
          <w:spacing w:val="0"/>
          <w:highlight w:val="none"/>
        </w:rPr>
      </w:pPr>
      <w:bookmarkStart w:id="150" w:name="_Toc28757"/>
      <w:r>
        <w:rPr>
          <w:rFonts w:eastAsia="宋体"/>
          <w:caps w:val="0"/>
          <w:smallCaps w:val="0"/>
          <w:color w:val="auto"/>
          <w:spacing w:val="0"/>
          <w:highlight w:val="none"/>
        </w:rPr>
        <w:t>4.5区域污染源调查</w:t>
      </w:r>
      <w:bookmarkEnd w:id="150"/>
    </w:p>
    <w:p w14:paraId="5F1019B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经现场调查，开发区内企业污染物排放情况见表4.5-1。无排放镉污染物企业。</w:t>
      </w:r>
    </w:p>
    <w:p w14:paraId="01AC675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p>
    <w:p w14:paraId="6FE34364">
      <w:pPr>
        <w:widowControl w:val="0"/>
        <w:spacing w:line="360" w:lineRule="auto"/>
        <w:ind w:firstLine="480" w:firstLineChars="200"/>
        <w:rPr>
          <w:rFonts w:ascii="Times New Roman" w:hAnsi="Times New Roman" w:eastAsia="宋体" w:cs="Times New Roman"/>
          <w:caps w:val="0"/>
          <w:smallCaps w:val="0"/>
          <w:color w:val="auto"/>
          <w:spacing w:val="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0E71878F">
      <w:pPr>
        <w:widowControl w:val="0"/>
        <w:spacing w:line="400" w:lineRule="exact"/>
        <w:jc w:val="center"/>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表4.5-1园区现有生产企业污染物排放情况列表</w:t>
      </w:r>
    </w:p>
    <w:tbl>
      <w:tblPr>
        <w:tblStyle w:val="37"/>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1"/>
        <w:gridCol w:w="497"/>
        <w:gridCol w:w="1176"/>
        <w:gridCol w:w="2039"/>
        <w:gridCol w:w="1652"/>
        <w:gridCol w:w="4519"/>
        <w:gridCol w:w="3655"/>
      </w:tblGrid>
      <w:tr w14:paraId="390ADD7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81" w:type="dxa"/>
            <w:shd w:val="clear" w:color="auto" w:fill="auto"/>
          </w:tcPr>
          <w:p w14:paraId="5E333825">
            <w:pPr>
              <w:widowControl w:val="0"/>
              <w:spacing w:line="240" w:lineRule="atLeast"/>
              <w:rPr>
                <w:rFonts w:ascii="Times New Roman" w:hAnsi="Times New Roman" w:eastAsia="宋体" w:cs="Times New Roman"/>
                <w:b/>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序号</w:t>
            </w:r>
          </w:p>
        </w:tc>
        <w:tc>
          <w:tcPr>
            <w:tcW w:w="497" w:type="dxa"/>
            <w:shd w:val="clear" w:color="auto" w:fill="auto"/>
          </w:tcPr>
          <w:p w14:paraId="360A596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序号</w:t>
            </w:r>
          </w:p>
        </w:tc>
        <w:tc>
          <w:tcPr>
            <w:tcW w:w="1176" w:type="dxa"/>
            <w:shd w:val="clear" w:color="auto" w:fill="auto"/>
          </w:tcPr>
          <w:p w14:paraId="22D008C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公司名称</w:t>
            </w:r>
          </w:p>
        </w:tc>
        <w:tc>
          <w:tcPr>
            <w:tcW w:w="2039" w:type="dxa"/>
            <w:shd w:val="clear" w:color="auto" w:fill="auto"/>
          </w:tcPr>
          <w:p w14:paraId="5E92FEA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废水污染物量</w:t>
            </w:r>
          </w:p>
        </w:tc>
        <w:tc>
          <w:tcPr>
            <w:tcW w:w="1652" w:type="dxa"/>
            <w:shd w:val="clear" w:color="auto" w:fill="auto"/>
          </w:tcPr>
          <w:p w14:paraId="49718C5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废气污染物量</w:t>
            </w:r>
          </w:p>
        </w:tc>
        <w:tc>
          <w:tcPr>
            <w:tcW w:w="4519" w:type="dxa"/>
            <w:shd w:val="clear" w:color="auto" w:fill="auto"/>
          </w:tcPr>
          <w:p w14:paraId="43FC6E3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废气措施</w:t>
            </w:r>
          </w:p>
        </w:tc>
        <w:tc>
          <w:tcPr>
            <w:tcW w:w="3655" w:type="dxa"/>
            <w:shd w:val="clear" w:color="auto" w:fill="auto"/>
          </w:tcPr>
          <w:p w14:paraId="6448D5F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
                <w:caps w:val="0"/>
                <w:smallCaps w:val="0"/>
                <w:color w:val="auto"/>
                <w:spacing w:val="0"/>
                <w:sz w:val="21"/>
                <w:highlight w:val="none"/>
              </w:rPr>
              <w:t>固废去向</w:t>
            </w:r>
          </w:p>
        </w:tc>
      </w:tr>
      <w:tr w14:paraId="5B315B4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restart"/>
            <w:shd w:val="clear" w:color="auto" w:fill="auto"/>
          </w:tcPr>
          <w:p w14:paraId="3FFF05E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农机及机械装备制造产业园</w:t>
            </w:r>
          </w:p>
        </w:tc>
        <w:tc>
          <w:tcPr>
            <w:tcW w:w="497" w:type="dxa"/>
            <w:shd w:val="clear" w:color="auto" w:fill="auto"/>
          </w:tcPr>
          <w:p w14:paraId="4CD48884">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1176" w:type="dxa"/>
            <w:shd w:val="clear" w:color="auto" w:fill="auto"/>
          </w:tcPr>
          <w:p w14:paraId="4ED3ACA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黑龙江润特科技有限公司</w:t>
            </w:r>
          </w:p>
        </w:tc>
        <w:tc>
          <w:tcPr>
            <w:tcW w:w="2039" w:type="dxa"/>
            <w:shd w:val="clear" w:color="auto" w:fill="auto"/>
          </w:tcPr>
          <w:p w14:paraId="5848202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COD：1.2467t/a</w:t>
            </w:r>
          </w:p>
          <w:p w14:paraId="15B4EED1">
            <w:pPr>
              <w:widowControl w:val="0"/>
              <w:spacing w:line="240" w:lineRule="atLeast"/>
              <w:rPr>
                <w:rFonts w:ascii="Times New Roman" w:hAnsi="Times New Roman" w:eastAsia="宋体" w:cs="Times New Roman"/>
                <w:caps w:val="0"/>
                <w:smallCaps w:val="0"/>
                <w:color w:val="auto"/>
                <w:spacing w:val="0"/>
                <w:sz w:val="21"/>
                <w:highlight w:val="none"/>
              </w:rPr>
            </w:pPr>
          </w:p>
        </w:tc>
        <w:tc>
          <w:tcPr>
            <w:tcW w:w="1652" w:type="dxa"/>
            <w:shd w:val="clear" w:color="auto" w:fill="auto"/>
          </w:tcPr>
          <w:p w14:paraId="31D35C2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:3.64t/a</w:t>
            </w:r>
          </w:p>
          <w:p w14:paraId="3EAD481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烟尘：8.04t/a</w:t>
            </w:r>
          </w:p>
          <w:p w14:paraId="4C0115F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：6.51t/a</w:t>
            </w:r>
          </w:p>
        </w:tc>
        <w:tc>
          <w:tcPr>
            <w:tcW w:w="4519" w:type="dxa"/>
            <w:shd w:val="clear" w:color="auto" w:fill="auto"/>
          </w:tcPr>
          <w:p w14:paraId="42F6F6A0">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在混炼、挤出造粒设备上方设置集气装置，对有机废气集中收集，再经活性炭吸附处理，并由15米高排气筒排放；粉状物料在投放和混合装置上方设置集气和袋式过滤装置，阻燃剂破碎配置袋式除尘器，处理后通过15米以上排气筒排放。</w:t>
            </w:r>
          </w:p>
        </w:tc>
        <w:tc>
          <w:tcPr>
            <w:tcW w:w="3655" w:type="dxa"/>
            <w:shd w:val="clear" w:color="auto" w:fill="auto"/>
          </w:tcPr>
          <w:p w14:paraId="2D30675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各种固体废物要分别采取妥善的处置措施。生产过程中产生的废弃初始投料、尾料收集后可回用于厂内其它材料生产。</w:t>
            </w:r>
          </w:p>
        </w:tc>
      </w:tr>
      <w:tr w14:paraId="55B146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3AD9FEF4">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45D9ACE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1176" w:type="dxa"/>
            <w:shd w:val="clear" w:color="auto" w:fill="auto"/>
          </w:tcPr>
          <w:p w14:paraId="4074447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佳木斯恒泰橡胶制品有限公司</w:t>
            </w:r>
          </w:p>
        </w:tc>
        <w:tc>
          <w:tcPr>
            <w:tcW w:w="2039" w:type="dxa"/>
            <w:shd w:val="clear" w:color="auto" w:fill="auto"/>
          </w:tcPr>
          <w:p w14:paraId="6C74B9F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COD0.024t/a</w:t>
            </w:r>
          </w:p>
        </w:tc>
        <w:tc>
          <w:tcPr>
            <w:tcW w:w="1652" w:type="dxa"/>
            <w:shd w:val="clear" w:color="auto" w:fill="auto"/>
          </w:tcPr>
          <w:p w14:paraId="306D7FB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：0.86t/a</w:t>
            </w:r>
          </w:p>
          <w:p w14:paraId="7C05E7B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烟尘：0.96t/a</w:t>
            </w:r>
          </w:p>
          <w:p w14:paraId="3423046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：1.44t/a</w:t>
            </w:r>
          </w:p>
          <w:p w14:paraId="2DB8144D">
            <w:pPr>
              <w:widowControl w:val="0"/>
              <w:spacing w:line="240" w:lineRule="atLeast"/>
              <w:rPr>
                <w:rFonts w:eastAsia="宋体"/>
                <w:caps w:val="0"/>
                <w:smallCaps w:val="0"/>
                <w:color w:val="auto"/>
                <w:spacing w:val="0"/>
                <w:highlight w:val="none"/>
              </w:rPr>
            </w:pPr>
            <w:r>
              <w:rPr>
                <w:rFonts w:hint="eastAsia" w:ascii="Times New Roman" w:cs="Times New Roman"/>
                <w:caps w:val="0"/>
                <w:smallCaps w:val="0"/>
                <w:color w:val="auto"/>
                <w:spacing w:val="0"/>
                <w:sz w:val="21"/>
                <w:highlight w:val="none"/>
              </w:rPr>
              <w:t>非甲烷总烃：0.024t/a</w:t>
            </w:r>
          </w:p>
        </w:tc>
        <w:tc>
          <w:tcPr>
            <w:tcW w:w="4519" w:type="dxa"/>
            <w:shd w:val="clear" w:color="auto" w:fill="auto"/>
          </w:tcPr>
          <w:p w14:paraId="7631C34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选用封闭性能良好的密炼机，配备布袋收尘器；对塑炼、硫化等橡胶加热工序挥发出的少量非甲烷总烃及臭气，要求在主要工序上方加集气罩后收集高排。机加车间打磨、车铣、焊接等工序都会产生颗粒物或烟气，在车间内集气后高排。锅炉配置干湿二级除尘装置，烟气经30米高烟囱排放。</w:t>
            </w:r>
          </w:p>
        </w:tc>
        <w:tc>
          <w:tcPr>
            <w:tcW w:w="3655" w:type="dxa"/>
            <w:shd w:val="clear" w:color="auto" w:fill="auto"/>
          </w:tcPr>
          <w:p w14:paraId="3904AA1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橡胶制品中不合格产品应作为原料回用生产，废弃包装物由原厂回收利用；金属角料外售钢厂回炉炼钢；锅炉灰渣综合利用；废乳化液、废机油及其包装物均属危险废物，按危险废物的相关规定处置。生活垃圾分类收集，由环卫部门统一集中处理。</w:t>
            </w:r>
          </w:p>
        </w:tc>
      </w:tr>
      <w:tr w14:paraId="5C652D0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67C75A06">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5DEA20C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w:t>
            </w:r>
          </w:p>
        </w:tc>
        <w:tc>
          <w:tcPr>
            <w:tcW w:w="1176" w:type="dxa"/>
            <w:shd w:val="clear" w:color="auto" w:fill="auto"/>
          </w:tcPr>
          <w:p w14:paraId="013D0AF1">
            <w:pPr>
              <w:widowControl w:val="0"/>
              <w:spacing w:line="240" w:lineRule="atLeast"/>
              <w:rPr>
                <w:rFonts w:ascii="Times New Roman" w:hAnsi="Times New Roman" w:eastAsia="宋体" w:cs="Times New Roman"/>
                <w:caps w:val="0"/>
                <w:smallCaps w:val="0"/>
                <w:strike/>
                <w:color w:val="auto"/>
                <w:spacing w:val="0"/>
                <w:sz w:val="21"/>
                <w:highlight w:val="none"/>
              </w:rPr>
            </w:pPr>
            <w:r>
              <w:rPr>
                <w:rFonts w:ascii="Times New Roman" w:hAnsi="Times New Roman" w:eastAsia="宋体" w:cs="Times New Roman"/>
                <w:caps w:val="0"/>
                <w:smallCaps w:val="0"/>
                <w:color w:val="auto"/>
                <w:spacing w:val="0"/>
                <w:sz w:val="21"/>
                <w:highlight w:val="none"/>
              </w:rPr>
              <w:t>佳木斯东极新材料有限公司</w:t>
            </w:r>
          </w:p>
        </w:tc>
        <w:tc>
          <w:tcPr>
            <w:tcW w:w="2039" w:type="dxa"/>
            <w:shd w:val="clear" w:color="auto" w:fill="auto"/>
          </w:tcPr>
          <w:p w14:paraId="7963929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COD：29.51t/a、</w:t>
            </w:r>
          </w:p>
          <w:p w14:paraId="5372BEDD">
            <w:pPr>
              <w:widowControl w:val="0"/>
              <w:spacing w:line="240" w:lineRule="atLeast"/>
              <w:rPr>
                <w:rFonts w:ascii="Times New Roman" w:hAnsi="Times New Roman" w:eastAsia="宋体" w:cs="Times New Roman"/>
                <w:caps w:val="0"/>
                <w:smallCaps w:val="0"/>
                <w:strike/>
                <w:color w:val="auto"/>
                <w:spacing w:val="0"/>
                <w:sz w:val="21"/>
                <w:highlight w:val="none"/>
              </w:rPr>
            </w:pPr>
            <w:r>
              <w:rPr>
                <w:rFonts w:ascii="Times New Roman" w:hAnsi="Times New Roman" w:eastAsia="宋体" w:cs="Times New Roman"/>
                <w:caps w:val="0"/>
                <w:smallCaps w:val="0"/>
                <w:color w:val="auto"/>
                <w:spacing w:val="0"/>
                <w:sz w:val="21"/>
                <w:highlight w:val="none"/>
              </w:rPr>
              <w:t>氨氮：0.48t/a。</w:t>
            </w:r>
          </w:p>
        </w:tc>
        <w:tc>
          <w:tcPr>
            <w:tcW w:w="1652" w:type="dxa"/>
            <w:shd w:val="clear" w:color="auto" w:fill="auto"/>
          </w:tcPr>
          <w:p w14:paraId="3D485ED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：2.49t/a</w:t>
            </w:r>
          </w:p>
          <w:p w14:paraId="3F873C58">
            <w:pPr>
              <w:widowControl w:val="0"/>
              <w:spacing w:line="240" w:lineRule="atLeast"/>
              <w:rPr>
                <w:rFonts w:ascii="Times New Roman" w:hAnsi="Times New Roman" w:eastAsia="宋体" w:cs="Times New Roman"/>
                <w:caps w:val="0"/>
                <w:smallCaps w:val="0"/>
                <w:strike/>
                <w:color w:val="auto"/>
                <w:spacing w:val="0"/>
                <w:sz w:val="21"/>
                <w:highlight w:val="none"/>
              </w:rPr>
            </w:pPr>
            <w:r>
              <w:rPr>
                <w:rFonts w:ascii="Times New Roman" w:hAnsi="Times New Roman" w:eastAsia="宋体" w:cs="Times New Roman"/>
                <w:caps w:val="0"/>
                <w:smallCaps w:val="0"/>
                <w:color w:val="auto"/>
                <w:spacing w:val="0"/>
                <w:sz w:val="21"/>
                <w:highlight w:val="none"/>
              </w:rPr>
              <w:t>NOx：10.95t/a</w:t>
            </w:r>
          </w:p>
        </w:tc>
        <w:tc>
          <w:tcPr>
            <w:tcW w:w="4519" w:type="dxa"/>
            <w:shd w:val="clear" w:color="auto" w:fill="auto"/>
          </w:tcPr>
          <w:p w14:paraId="388E3F1A">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硫酸雾吸附塔、固化炉废气排放口加装活性炭箱、建设天然气锅炉。</w:t>
            </w:r>
          </w:p>
          <w:p w14:paraId="63BECDA4">
            <w:pPr>
              <w:widowControl w:val="0"/>
              <w:rPr>
                <w:rFonts w:ascii="Times New Roman" w:hAnsi="Times New Roman" w:eastAsia="宋体" w:cs="Times New Roman"/>
                <w:caps w:val="0"/>
                <w:smallCaps w:val="0"/>
                <w:strike/>
                <w:color w:val="auto"/>
                <w:spacing w:val="0"/>
                <w:sz w:val="21"/>
                <w:highlight w:val="none"/>
              </w:rPr>
            </w:pPr>
          </w:p>
        </w:tc>
        <w:tc>
          <w:tcPr>
            <w:tcW w:w="3655" w:type="dxa"/>
            <w:shd w:val="clear" w:color="auto" w:fill="auto"/>
          </w:tcPr>
          <w:p w14:paraId="08CA28A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厂区辅助设施车间内设置一座危险废物临时储库，各类危险废物分格储存厂区辅助设施车间内设置一座危险废物临时储库，各类危险废物分格储存。</w:t>
            </w:r>
          </w:p>
        </w:tc>
      </w:tr>
      <w:tr w14:paraId="0C08A6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791FF581">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6111D59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w:t>
            </w:r>
          </w:p>
        </w:tc>
        <w:tc>
          <w:tcPr>
            <w:tcW w:w="1176" w:type="dxa"/>
            <w:shd w:val="clear" w:color="auto" w:fill="auto"/>
          </w:tcPr>
          <w:p w14:paraId="0FE1FDF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佳木斯常发佳联农机装备有限公司</w:t>
            </w:r>
          </w:p>
        </w:tc>
        <w:tc>
          <w:tcPr>
            <w:tcW w:w="2039" w:type="dxa"/>
            <w:shd w:val="clear" w:color="auto" w:fill="auto"/>
          </w:tcPr>
          <w:p w14:paraId="0949E8C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COD：0.66t/a</w:t>
            </w:r>
          </w:p>
          <w:p w14:paraId="3EC7716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氨氮：0.26t/a</w:t>
            </w:r>
          </w:p>
        </w:tc>
        <w:tc>
          <w:tcPr>
            <w:tcW w:w="1652" w:type="dxa"/>
            <w:shd w:val="clear" w:color="auto" w:fill="auto"/>
          </w:tcPr>
          <w:p w14:paraId="00F4FD9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：0.56/a</w:t>
            </w:r>
          </w:p>
          <w:p w14:paraId="23DD0497">
            <w:pPr>
              <w:widowControl w:val="0"/>
              <w:spacing w:line="240" w:lineRule="atLeast"/>
              <w:rPr>
                <w:rFonts w:ascii="Times New Roman" w:hAnsi="Times New Roman" w:eastAsia="宋体" w:cs="Times New Roman"/>
                <w:caps w:val="0"/>
                <w:smallCaps w:val="0"/>
                <w:color w:val="auto"/>
                <w:spacing w:val="0"/>
                <w:sz w:val="21"/>
                <w:highlight w:val="none"/>
              </w:rPr>
            </w:pPr>
          </w:p>
        </w:tc>
        <w:tc>
          <w:tcPr>
            <w:tcW w:w="4519" w:type="dxa"/>
            <w:shd w:val="clear" w:color="auto" w:fill="auto"/>
          </w:tcPr>
          <w:p w14:paraId="4A9147C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生产车间焊接烟气和切割、钻孔、折弯及打磨设备运行时产生的粉尘由集气罩统一收集后经15米排气筒高空排放。</w:t>
            </w:r>
          </w:p>
          <w:p w14:paraId="7B826C8D">
            <w:pPr>
              <w:widowControl w:val="0"/>
              <w:spacing w:line="240" w:lineRule="atLeast"/>
              <w:rPr>
                <w:rFonts w:ascii="Times New Roman" w:hAnsi="Times New Roman" w:eastAsia="宋体" w:cs="Times New Roman"/>
                <w:caps w:val="0"/>
                <w:smallCaps w:val="0"/>
                <w:color w:val="auto"/>
                <w:spacing w:val="0"/>
                <w:sz w:val="21"/>
                <w:highlight w:val="none"/>
              </w:rPr>
            </w:pPr>
          </w:p>
        </w:tc>
        <w:tc>
          <w:tcPr>
            <w:tcW w:w="3655" w:type="dxa"/>
            <w:shd w:val="clear" w:color="auto" w:fill="auto"/>
          </w:tcPr>
          <w:p w14:paraId="3BAA26C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边角料全部回收再利用；职工产生的生活垃圾由环卫部门及时清运；车间产生的废机油，油漆渣收集后送往有危废处理资质单位集中处置。</w:t>
            </w:r>
          </w:p>
        </w:tc>
      </w:tr>
      <w:tr w14:paraId="4CB183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06107C49">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6C5EEB4C">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w:t>
            </w:r>
          </w:p>
        </w:tc>
        <w:tc>
          <w:tcPr>
            <w:tcW w:w="1176" w:type="dxa"/>
            <w:shd w:val="clear" w:color="auto" w:fill="auto"/>
          </w:tcPr>
          <w:p w14:paraId="4ADD231C">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佳木斯佳瑞电控设备有限公司</w:t>
            </w:r>
          </w:p>
        </w:tc>
        <w:tc>
          <w:tcPr>
            <w:tcW w:w="2039" w:type="dxa"/>
            <w:shd w:val="clear" w:color="auto" w:fill="auto"/>
          </w:tcPr>
          <w:p w14:paraId="217A5F3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COD：4.456t/a</w:t>
            </w:r>
          </w:p>
        </w:tc>
        <w:tc>
          <w:tcPr>
            <w:tcW w:w="1652" w:type="dxa"/>
            <w:shd w:val="clear" w:color="auto" w:fill="auto"/>
          </w:tcPr>
          <w:p w14:paraId="0D942A8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：0.14t/a</w:t>
            </w:r>
          </w:p>
          <w:p w14:paraId="65C65F0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烟尘：0t/a</w:t>
            </w:r>
          </w:p>
          <w:p w14:paraId="70301CF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：0.73t/a</w:t>
            </w:r>
          </w:p>
        </w:tc>
        <w:tc>
          <w:tcPr>
            <w:tcW w:w="4519" w:type="dxa"/>
            <w:shd w:val="clear" w:color="auto" w:fill="auto"/>
          </w:tcPr>
          <w:p w14:paraId="0156C8B1">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粉尘经二级旋风分离和布袋式回收。食堂油烟经油烟净化器净化后高空排放；在焊接车间上方加装集气罩，焊接烟气集气罩收集后由15米高度排气筒排放。</w:t>
            </w:r>
          </w:p>
        </w:tc>
        <w:tc>
          <w:tcPr>
            <w:tcW w:w="3655" w:type="dxa"/>
            <w:shd w:val="clear" w:color="auto" w:fill="auto"/>
          </w:tcPr>
          <w:p w14:paraId="2189337F">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生活垃圾及时由环卫部门及时清运；生产时产生的边角料外售进行综合利用；危险废物主要为废机油、废布等，收集后交由有资质单位处理。</w:t>
            </w:r>
          </w:p>
        </w:tc>
      </w:tr>
      <w:tr w14:paraId="64AE9F6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1D88A71C">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7C2AD1D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w:t>
            </w:r>
          </w:p>
        </w:tc>
        <w:tc>
          <w:tcPr>
            <w:tcW w:w="1176" w:type="dxa"/>
            <w:shd w:val="clear" w:color="auto" w:fill="auto"/>
          </w:tcPr>
          <w:p w14:paraId="6FAFA90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佳木斯金兰马橡塑制品制造有限公司</w:t>
            </w:r>
          </w:p>
        </w:tc>
        <w:tc>
          <w:tcPr>
            <w:tcW w:w="2039" w:type="dxa"/>
            <w:shd w:val="clear" w:color="auto" w:fill="auto"/>
          </w:tcPr>
          <w:p w14:paraId="66AE0A2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COD：0.4t/a</w:t>
            </w:r>
          </w:p>
        </w:tc>
        <w:tc>
          <w:tcPr>
            <w:tcW w:w="1652" w:type="dxa"/>
            <w:shd w:val="clear" w:color="auto" w:fill="auto"/>
          </w:tcPr>
          <w:p w14:paraId="4C5A6E7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：3.68t/a</w:t>
            </w:r>
          </w:p>
          <w:p w14:paraId="0E7DF44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烟尘：1.2t/a</w:t>
            </w:r>
          </w:p>
          <w:p w14:paraId="367298D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：1.6t/a</w:t>
            </w:r>
          </w:p>
          <w:p w14:paraId="147B3F76">
            <w:pPr>
              <w:pStyle w:val="48"/>
              <w:spacing w:line="240" w:lineRule="auto"/>
              <w:ind w:firstLine="0" w:firstLineChars="0"/>
              <w:rPr>
                <w:caps w:val="0"/>
                <w:smallCaps w:val="0"/>
                <w:color w:val="auto"/>
                <w:spacing w:val="0"/>
                <w:highlight w:val="none"/>
              </w:rPr>
            </w:pPr>
            <w:r>
              <w:rPr>
                <w:rFonts w:hint="eastAsia" w:ascii="Times New Roman" w:cs="Times New Roman"/>
                <w:caps w:val="0"/>
                <w:smallCaps w:val="0"/>
                <w:color w:val="auto"/>
                <w:spacing w:val="0"/>
                <w:sz w:val="21"/>
                <w:highlight w:val="none"/>
              </w:rPr>
              <w:t>非甲烷总烃：0.33t/a</w:t>
            </w:r>
          </w:p>
        </w:tc>
        <w:tc>
          <w:tcPr>
            <w:tcW w:w="4519" w:type="dxa"/>
            <w:shd w:val="clear" w:color="auto" w:fill="auto"/>
          </w:tcPr>
          <w:p w14:paraId="4982F5B0">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设置通风除尘系统；并对生产中挥发出的少量非甲烷总烃及臭气进行收集，经活性炭吸附后高空排放。锅炉房两台供热锅炉均配置多管旋风加水浴除尘的二级除尘系统。</w:t>
            </w:r>
          </w:p>
          <w:p w14:paraId="71F0B993">
            <w:pPr>
              <w:widowControl w:val="0"/>
              <w:rPr>
                <w:rFonts w:ascii="Times New Roman" w:hAnsi="Times New Roman" w:eastAsia="宋体" w:cs="Times New Roman"/>
                <w:caps w:val="0"/>
                <w:smallCaps w:val="0"/>
                <w:color w:val="auto"/>
                <w:spacing w:val="0"/>
                <w:sz w:val="21"/>
                <w:highlight w:val="none"/>
              </w:rPr>
            </w:pPr>
          </w:p>
        </w:tc>
        <w:tc>
          <w:tcPr>
            <w:tcW w:w="3655" w:type="dxa"/>
            <w:shd w:val="clear" w:color="auto" w:fill="auto"/>
          </w:tcPr>
          <w:p w14:paraId="0F7F20E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锅炉灰渣外售制砖或铺路进行综合利用；机加边角料可</w:t>
            </w:r>
            <w:r>
              <w:rPr>
                <w:rFonts w:hint="eastAsia" w:ascii="Times New Roman" w:hAnsi="Times New Roman" w:eastAsia="宋体" w:cs="Times New Roman"/>
                <w:caps w:val="0"/>
                <w:smallCaps w:val="0"/>
                <w:color w:val="auto"/>
                <w:spacing w:val="0"/>
                <w:sz w:val="21"/>
                <w:highlight w:val="none"/>
              </w:rPr>
              <w:t>作为</w:t>
            </w:r>
            <w:r>
              <w:rPr>
                <w:rFonts w:ascii="Times New Roman" w:hAnsi="Times New Roman" w:eastAsia="宋体" w:cs="Times New Roman"/>
                <w:caps w:val="0"/>
                <w:smallCaps w:val="0"/>
                <w:color w:val="auto"/>
                <w:spacing w:val="0"/>
                <w:sz w:val="21"/>
                <w:highlight w:val="none"/>
              </w:rPr>
              <w:t>铸造原料全部回用；漆类包装物由原厂回收处理；漆渣、废活性炭、废机油和废乳化液及其包装物等须按危险废物的相关规定进行处置。</w:t>
            </w:r>
          </w:p>
        </w:tc>
      </w:tr>
      <w:tr w14:paraId="51DDC6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1E871B97">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ADB1DF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w:t>
            </w:r>
          </w:p>
        </w:tc>
        <w:tc>
          <w:tcPr>
            <w:tcW w:w="1176" w:type="dxa"/>
            <w:shd w:val="clear" w:color="auto" w:fill="auto"/>
          </w:tcPr>
          <w:p w14:paraId="7ADC76E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佳木斯市联合聚氨酯有限公司</w:t>
            </w:r>
          </w:p>
        </w:tc>
        <w:tc>
          <w:tcPr>
            <w:tcW w:w="2039" w:type="dxa"/>
            <w:shd w:val="clear" w:color="auto" w:fill="auto"/>
          </w:tcPr>
          <w:p w14:paraId="7E743BB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COD：0.98t/a</w:t>
            </w:r>
          </w:p>
          <w:p w14:paraId="25ABAB8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氨氮：0.06t/a</w:t>
            </w:r>
          </w:p>
        </w:tc>
        <w:tc>
          <w:tcPr>
            <w:tcW w:w="1652" w:type="dxa"/>
            <w:shd w:val="clear" w:color="auto" w:fill="auto"/>
          </w:tcPr>
          <w:p w14:paraId="64CAB37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非甲烷总烃：1.28t/a</w:t>
            </w:r>
          </w:p>
          <w:p w14:paraId="69F33001">
            <w:pPr>
              <w:pStyle w:val="6"/>
              <w:widowControl w:val="0"/>
              <w:jc w:val="both"/>
              <w:rPr>
                <w:rFonts w:eastAsia="宋体"/>
                <w:caps w:val="0"/>
                <w:smallCaps w:val="0"/>
                <w:color w:val="auto"/>
                <w:spacing w:val="0"/>
                <w:sz w:val="21"/>
                <w:szCs w:val="21"/>
                <w:highlight w:val="none"/>
              </w:rPr>
            </w:pPr>
            <w:r>
              <w:rPr>
                <w:rFonts w:eastAsia="宋体"/>
                <w:b w:val="0"/>
                <w:caps w:val="0"/>
                <w:smallCaps w:val="0"/>
                <w:color w:val="auto"/>
                <w:spacing w:val="0"/>
                <w:sz w:val="21"/>
                <w:szCs w:val="21"/>
                <w:highlight w:val="none"/>
              </w:rPr>
              <w:t>烟尘：0.023t/a</w:t>
            </w:r>
          </w:p>
        </w:tc>
        <w:tc>
          <w:tcPr>
            <w:tcW w:w="4519" w:type="dxa"/>
            <w:shd w:val="clear" w:color="auto" w:fill="auto"/>
          </w:tcPr>
          <w:p w14:paraId="13559E4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在制造发泡过程中产生少量有机废气，在车间内必须设置有机气体收集系统，有机废气收集后经活性炭吸附过滤后高空排放。项目冬季停产，不建设燃煤等产生污染的取暖设施。</w:t>
            </w:r>
          </w:p>
        </w:tc>
        <w:tc>
          <w:tcPr>
            <w:tcW w:w="3655" w:type="dxa"/>
            <w:shd w:val="clear" w:color="auto" w:fill="auto"/>
          </w:tcPr>
          <w:p w14:paraId="05713B98">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生活垃圾分类收集，由区域垃圾转运站收集后送城市垃圾填埋场处置。发泡产生的边角废料交由保温板厂回收利用。</w:t>
            </w:r>
          </w:p>
        </w:tc>
      </w:tr>
      <w:tr w14:paraId="4E71FC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24BF5619">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05F91824">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w:t>
            </w:r>
          </w:p>
        </w:tc>
        <w:tc>
          <w:tcPr>
            <w:tcW w:w="1176" w:type="dxa"/>
            <w:shd w:val="clear" w:color="auto" w:fill="auto"/>
          </w:tcPr>
          <w:p w14:paraId="5788058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佳木斯龙嘉农机制造有限公司</w:t>
            </w:r>
          </w:p>
        </w:tc>
        <w:tc>
          <w:tcPr>
            <w:tcW w:w="2039" w:type="dxa"/>
            <w:shd w:val="clear" w:color="auto" w:fill="auto"/>
          </w:tcPr>
          <w:p w14:paraId="3955CE3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COD：0.44t/a</w:t>
            </w:r>
          </w:p>
          <w:p w14:paraId="55A24B5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氨氮：0.029t/a</w:t>
            </w:r>
          </w:p>
        </w:tc>
        <w:tc>
          <w:tcPr>
            <w:tcW w:w="1652" w:type="dxa"/>
            <w:shd w:val="clear" w:color="auto" w:fill="auto"/>
          </w:tcPr>
          <w:p w14:paraId="7CB8CF4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：0.15t/a</w:t>
            </w:r>
          </w:p>
          <w:p w14:paraId="5A95D21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烟尘：1.71t/a</w:t>
            </w:r>
          </w:p>
          <w:p w14:paraId="314156B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：0.26t/a</w:t>
            </w:r>
          </w:p>
        </w:tc>
        <w:tc>
          <w:tcPr>
            <w:tcW w:w="4519" w:type="dxa"/>
            <w:shd w:val="clear" w:color="auto" w:fill="auto"/>
          </w:tcPr>
          <w:p w14:paraId="19F7F80F">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焊接烟气通过单个集气罩统一收集后经风机抽送到25米的排气筒高空排放。</w:t>
            </w:r>
          </w:p>
        </w:tc>
        <w:tc>
          <w:tcPr>
            <w:tcW w:w="3655" w:type="dxa"/>
            <w:shd w:val="clear" w:color="auto" w:fill="auto"/>
          </w:tcPr>
          <w:p w14:paraId="1FB8852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生活垃圾分类收集，统一由环卫部门及时清运。生产过程产生的钢铁废料外卖综合利用；生产车间产生的废乳化液、废机油及废弃包装物集中存放，交由有资质部门处理。</w:t>
            </w:r>
          </w:p>
        </w:tc>
      </w:tr>
      <w:tr w14:paraId="55621D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356E6DEC">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0FEFA7E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w:t>
            </w:r>
          </w:p>
        </w:tc>
        <w:tc>
          <w:tcPr>
            <w:tcW w:w="1176" w:type="dxa"/>
            <w:shd w:val="clear" w:color="auto" w:fill="auto"/>
          </w:tcPr>
          <w:p w14:paraId="5EAA53B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佳木斯龙江机械制造有限公司</w:t>
            </w:r>
          </w:p>
        </w:tc>
        <w:tc>
          <w:tcPr>
            <w:tcW w:w="2039" w:type="dxa"/>
            <w:shd w:val="clear" w:color="auto" w:fill="auto"/>
          </w:tcPr>
          <w:p w14:paraId="121E3C8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COD：0.84t/a</w:t>
            </w:r>
          </w:p>
          <w:p w14:paraId="388099E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氨氮：0.014t/a</w:t>
            </w:r>
          </w:p>
        </w:tc>
        <w:tc>
          <w:tcPr>
            <w:tcW w:w="1652" w:type="dxa"/>
            <w:shd w:val="clear" w:color="auto" w:fill="auto"/>
          </w:tcPr>
          <w:p w14:paraId="2FE8311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：0.352t/a</w:t>
            </w:r>
          </w:p>
          <w:p w14:paraId="45E75E8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烟尘：0.631t/a</w:t>
            </w:r>
          </w:p>
          <w:p w14:paraId="240E9EB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：0.1926t/a</w:t>
            </w:r>
          </w:p>
        </w:tc>
        <w:tc>
          <w:tcPr>
            <w:tcW w:w="4519" w:type="dxa"/>
            <w:shd w:val="clear" w:color="auto" w:fill="auto"/>
          </w:tcPr>
          <w:p w14:paraId="7049179F">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取暖由工业园区供热大网供给，不得另建其它取暖设施；焊接烟气通过单个集气罩统一收集后经风机抽送到25米的排气筒高空排放。大气污染物排放必须达到《大气污染物综合排放标准》（GB16297-1996）中表2中二类区标准；加工件的喷漆必须委托有喷漆资质的部门加工，不得在本厂区内从事喷漆活动。</w:t>
            </w:r>
          </w:p>
        </w:tc>
        <w:tc>
          <w:tcPr>
            <w:tcW w:w="3655" w:type="dxa"/>
            <w:shd w:val="clear" w:color="auto" w:fill="auto"/>
          </w:tcPr>
          <w:p w14:paraId="730EDF9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生活垃圾分类收集，统一由环卫部门及时清运。生产过程产生的钢铁废料外卖综合利用；生产车间产生的废乳化液、废机油及废弃包装物集中存放，交由有资质部门处理。</w:t>
            </w:r>
          </w:p>
        </w:tc>
      </w:tr>
      <w:tr w14:paraId="3BA188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05CD1814">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48F3CB4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w:t>
            </w:r>
          </w:p>
        </w:tc>
        <w:tc>
          <w:tcPr>
            <w:tcW w:w="1176" w:type="dxa"/>
            <w:shd w:val="clear" w:color="auto" w:fill="auto"/>
          </w:tcPr>
          <w:p w14:paraId="3DF9054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佳木斯新昌液压件制造有限公司</w:t>
            </w:r>
          </w:p>
        </w:tc>
        <w:tc>
          <w:tcPr>
            <w:tcW w:w="2039" w:type="dxa"/>
            <w:shd w:val="clear" w:color="auto" w:fill="auto"/>
          </w:tcPr>
          <w:p w14:paraId="62B6B77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COD：0.15t/a</w:t>
            </w:r>
          </w:p>
          <w:p w14:paraId="7E152F5A">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氨氮：0.01t/a</w:t>
            </w:r>
          </w:p>
        </w:tc>
        <w:tc>
          <w:tcPr>
            <w:tcW w:w="1652" w:type="dxa"/>
            <w:shd w:val="clear" w:color="auto" w:fill="auto"/>
          </w:tcPr>
          <w:p w14:paraId="3A14235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：0.26t/a</w:t>
            </w:r>
          </w:p>
          <w:p w14:paraId="74860E7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烟尘：0.05t/a</w:t>
            </w:r>
          </w:p>
        </w:tc>
        <w:tc>
          <w:tcPr>
            <w:tcW w:w="4519" w:type="dxa"/>
            <w:shd w:val="clear" w:color="auto" w:fill="auto"/>
          </w:tcPr>
          <w:p w14:paraId="238B00F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本项目冬季供暖拟采用1t/a型煤锅炉供给，烟气经高度不低于30米的烟囱排放，职工食堂大灶的含油烟废气经油烟净化装置净化后通过专用烟道至屋顶高空排放；焊接烟气通过单个集气罩统一收集后经风机由15米高的排气筒收集排放；手工刷漆，在工况上方安装集气罩，并通过活性炭吸附后高空排放。</w:t>
            </w:r>
          </w:p>
        </w:tc>
        <w:tc>
          <w:tcPr>
            <w:tcW w:w="3655" w:type="dxa"/>
            <w:shd w:val="clear" w:color="auto" w:fill="auto"/>
          </w:tcPr>
          <w:p w14:paraId="59E45CCF">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生产过程中产生边角料、铁屑集中收集，出售给炼钢厂重复利用。生活垃圾由环卫部门统一分类收集处理。炉渣外售制砖等综合利用。机加车间产生的废机油、废乳化液交给有危险废物处理资质的部门处理。</w:t>
            </w:r>
          </w:p>
        </w:tc>
      </w:tr>
      <w:tr w14:paraId="45B5D21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1A2911E2">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8793D4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w:t>
            </w:r>
          </w:p>
        </w:tc>
        <w:tc>
          <w:tcPr>
            <w:tcW w:w="1176" w:type="dxa"/>
            <w:shd w:val="clear" w:color="auto" w:fill="auto"/>
          </w:tcPr>
          <w:p w14:paraId="559DBC6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佳木斯鑫瑞传动机械有限公司</w:t>
            </w:r>
          </w:p>
        </w:tc>
        <w:tc>
          <w:tcPr>
            <w:tcW w:w="2039" w:type="dxa"/>
            <w:shd w:val="clear" w:color="auto" w:fill="auto"/>
          </w:tcPr>
          <w:p w14:paraId="11D26D6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COD：0.53t/a</w:t>
            </w:r>
          </w:p>
          <w:p w14:paraId="3F9A597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氨氮：0.017t/a</w:t>
            </w:r>
          </w:p>
        </w:tc>
        <w:tc>
          <w:tcPr>
            <w:tcW w:w="1652" w:type="dxa"/>
            <w:shd w:val="clear" w:color="auto" w:fill="auto"/>
          </w:tcPr>
          <w:p w14:paraId="1AE04A3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：2.657t/a</w:t>
            </w:r>
          </w:p>
          <w:p w14:paraId="035BFDB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烟尘：0.265t/a</w:t>
            </w:r>
          </w:p>
        </w:tc>
        <w:tc>
          <w:tcPr>
            <w:tcW w:w="4519" w:type="dxa"/>
            <w:shd w:val="clear" w:color="auto" w:fill="auto"/>
          </w:tcPr>
          <w:p w14:paraId="1CD67AC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焊接烟气通过单个集气罩统一收集后经风机抽送到25米的排气筒高空排放。</w:t>
            </w:r>
          </w:p>
        </w:tc>
        <w:tc>
          <w:tcPr>
            <w:tcW w:w="3655" w:type="dxa"/>
            <w:shd w:val="clear" w:color="auto" w:fill="auto"/>
          </w:tcPr>
          <w:p w14:paraId="3FAB364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生活垃圾统一由环卫部门及时清运。钢铁废料外卖综合利用；生产车间产生的废乳化液、废机油及废弃包装物集中存放，交由有资质部门处理。</w:t>
            </w:r>
          </w:p>
        </w:tc>
      </w:tr>
      <w:tr w14:paraId="6163E25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77D21CDD">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66461108">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w:t>
            </w:r>
          </w:p>
        </w:tc>
        <w:tc>
          <w:tcPr>
            <w:tcW w:w="1176" w:type="dxa"/>
            <w:shd w:val="clear" w:color="auto" w:fill="auto"/>
          </w:tcPr>
          <w:p w14:paraId="3190F7F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佳木斯阳光农业机械有限公司</w:t>
            </w:r>
          </w:p>
        </w:tc>
        <w:tc>
          <w:tcPr>
            <w:tcW w:w="2039" w:type="dxa"/>
            <w:shd w:val="clear" w:color="auto" w:fill="auto"/>
          </w:tcPr>
          <w:p w14:paraId="42FF578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COD：1.374/a</w:t>
            </w:r>
          </w:p>
          <w:p w14:paraId="1946957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氨氮：0.259t/a</w:t>
            </w:r>
          </w:p>
        </w:tc>
        <w:tc>
          <w:tcPr>
            <w:tcW w:w="1652" w:type="dxa"/>
            <w:shd w:val="clear" w:color="auto" w:fill="auto"/>
          </w:tcPr>
          <w:p w14:paraId="0106D9A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：1.444t/a</w:t>
            </w:r>
          </w:p>
          <w:p w14:paraId="12969A6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烟尘：0.783t/a</w:t>
            </w:r>
          </w:p>
        </w:tc>
        <w:tc>
          <w:tcPr>
            <w:tcW w:w="4519" w:type="dxa"/>
            <w:shd w:val="clear" w:color="auto" w:fill="auto"/>
          </w:tcPr>
          <w:p w14:paraId="2463B60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焊接烟气通过单个集气罩统一收集后经风机抽送到25米的排气筒高空排放。</w:t>
            </w:r>
          </w:p>
        </w:tc>
        <w:tc>
          <w:tcPr>
            <w:tcW w:w="3655" w:type="dxa"/>
            <w:shd w:val="clear" w:color="auto" w:fill="auto"/>
          </w:tcPr>
          <w:p w14:paraId="7F1972E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生活垃圾由环卫部门及时清运。钢铁废料外卖综合利用；生产车间产生的废乳化液、废机油及废弃包装物集中存放，交由有资质部门处理。</w:t>
            </w:r>
          </w:p>
        </w:tc>
      </w:tr>
      <w:tr w14:paraId="259620D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shd w:val="clear" w:color="auto" w:fill="auto"/>
          </w:tcPr>
          <w:p w14:paraId="43517D65">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23516D88">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w:t>
            </w:r>
          </w:p>
        </w:tc>
        <w:tc>
          <w:tcPr>
            <w:tcW w:w="1176" w:type="dxa"/>
            <w:shd w:val="clear" w:color="auto" w:fill="auto"/>
          </w:tcPr>
          <w:p w14:paraId="2623345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佳木斯兆润衡器制造有限公司</w:t>
            </w:r>
          </w:p>
        </w:tc>
        <w:tc>
          <w:tcPr>
            <w:tcW w:w="2039" w:type="dxa"/>
            <w:shd w:val="clear" w:color="auto" w:fill="auto"/>
          </w:tcPr>
          <w:p w14:paraId="3D61D93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COD：0.216t/a</w:t>
            </w:r>
          </w:p>
          <w:p w14:paraId="24CB7D5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氨氮：0.0135t/a</w:t>
            </w:r>
          </w:p>
        </w:tc>
        <w:tc>
          <w:tcPr>
            <w:tcW w:w="1652" w:type="dxa"/>
            <w:shd w:val="clear" w:color="auto" w:fill="auto"/>
          </w:tcPr>
          <w:p w14:paraId="1BCC2C6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：0.889t/a</w:t>
            </w:r>
          </w:p>
          <w:p w14:paraId="71D48D44">
            <w:pPr>
              <w:widowControl w:val="0"/>
              <w:spacing w:line="240" w:lineRule="atLeast"/>
              <w:ind w:firstLine="210" w:firstLineChars="10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烟尘：0.02t/a</w:t>
            </w:r>
          </w:p>
        </w:tc>
        <w:tc>
          <w:tcPr>
            <w:tcW w:w="4519" w:type="dxa"/>
            <w:shd w:val="clear" w:color="auto" w:fill="auto"/>
          </w:tcPr>
          <w:p w14:paraId="7D3C233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焊接工序采用CO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气体保护焊，焊接烟气通过单个集气罩统一收集后经风机抽送到25米的排气筒高空排放。</w:t>
            </w:r>
          </w:p>
        </w:tc>
        <w:tc>
          <w:tcPr>
            <w:tcW w:w="3655" w:type="dxa"/>
            <w:shd w:val="clear" w:color="auto" w:fill="auto"/>
          </w:tcPr>
          <w:p w14:paraId="2407BA11">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生产车间产生的废乳化液及废机油集中存放，交由有资质部门处理。</w:t>
            </w:r>
          </w:p>
        </w:tc>
      </w:tr>
      <w:tr w14:paraId="104082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restart"/>
            <w:shd w:val="clear" w:color="auto" w:fill="auto"/>
          </w:tcPr>
          <w:p w14:paraId="5371E16F">
            <w:pPr>
              <w:widowControl w:val="0"/>
              <w:spacing w:line="240" w:lineRule="atLeast"/>
              <w:rPr>
                <w:rFonts w:ascii="Times New Roman" w:hAnsi="Times New Roman" w:eastAsia="宋体" w:cs="Times New Roman"/>
                <w:caps w:val="0"/>
                <w:smallCaps w:val="0"/>
                <w:color w:val="auto"/>
                <w:spacing w:val="0"/>
                <w:highlight w:val="none"/>
              </w:rPr>
            </w:pPr>
          </w:p>
          <w:p w14:paraId="4AC57F52">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1"/>
                <w:highlight w:val="none"/>
              </w:rPr>
              <w:t>轻工产业园</w:t>
            </w:r>
          </w:p>
        </w:tc>
        <w:tc>
          <w:tcPr>
            <w:tcW w:w="497" w:type="dxa"/>
            <w:shd w:val="clear" w:color="auto" w:fill="auto"/>
          </w:tcPr>
          <w:p w14:paraId="722C593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w:t>
            </w:r>
          </w:p>
        </w:tc>
        <w:tc>
          <w:tcPr>
            <w:tcW w:w="1176" w:type="dxa"/>
            <w:shd w:val="clear" w:color="auto" w:fill="auto"/>
          </w:tcPr>
          <w:p w14:paraId="46400A4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百威英博（佳木斯）啤酒有限公司</w:t>
            </w:r>
          </w:p>
        </w:tc>
        <w:tc>
          <w:tcPr>
            <w:tcW w:w="2039" w:type="dxa"/>
            <w:shd w:val="clear" w:color="auto" w:fill="auto"/>
          </w:tcPr>
          <w:p w14:paraId="0680762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COD：45.17t/a</w:t>
            </w:r>
          </w:p>
          <w:p w14:paraId="15FB3EF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氨氮：11.29t/a</w:t>
            </w:r>
          </w:p>
        </w:tc>
        <w:tc>
          <w:tcPr>
            <w:tcW w:w="1652" w:type="dxa"/>
            <w:shd w:val="clear" w:color="auto" w:fill="auto"/>
          </w:tcPr>
          <w:p w14:paraId="0F5E60E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：6.91t/a</w:t>
            </w:r>
          </w:p>
          <w:p w14:paraId="6EF6DC7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烟尘：2.91t/a</w:t>
            </w:r>
          </w:p>
          <w:p w14:paraId="0DB006A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：16.3t/a</w:t>
            </w:r>
          </w:p>
        </w:tc>
        <w:tc>
          <w:tcPr>
            <w:tcW w:w="4519" w:type="dxa"/>
            <w:shd w:val="clear" w:color="auto" w:fill="auto"/>
          </w:tcPr>
          <w:p w14:paraId="05FA90B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采用电袋复合除尘器、石灰石－石膏湿法脱硫和SNCR选择性非催化还原脱硝装置。</w:t>
            </w:r>
          </w:p>
        </w:tc>
        <w:tc>
          <w:tcPr>
            <w:tcW w:w="3655" w:type="dxa"/>
            <w:shd w:val="clear" w:color="auto" w:fill="auto"/>
          </w:tcPr>
          <w:p w14:paraId="2578CD8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废麦糟、废酒花废酵母、废包装材料、灰渣等回收利用，生活垃圾由环卫部门处理。</w:t>
            </w:r>
          </w:p>
        </w:tc>
      </w:tr>
      <w:tr w14:paraId="7E8073C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1046C11D">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76AB38F6">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15</w:t>
            </w:r>
          </w:p>
        </w:tc>
        <w:tc>
          <w:tcPr>
            <w:tcW w:w="1176" w:type="dxa"/>
            <w:shd w:val="clear" w:color="auto" w:fill="auto"/>
          </w:tcPr>
          <w:p w14:paraId="03EEC18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黑龙江省华宇烘干清选设备制造有限公司</w:t>
            </w:r>
          </w:p>
        </w:tc>
        <w:tc>
          <w:tcPr>
            <w:tcW w:w="2039" w:type="dxa"/>
            <w:shd w:val="clear" w:color="auto" w:fill="auto"/>
          </w:tcPr>
          <w:p w14:paraId="28FB6B2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COD：0.846t/a</w:t>
            </w:r>
          </w:p>
          <w:p w14:paraId="4D529C6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氨氮：0.069t/a</w:t>
            </w:r>
          </w:p>
        </w:tc>
        <w:tc>
          <w:tcPr>
            <w:tcW w:w="1652" w:type="dxa"/>
            <w:shd w:val="clear" w:color="auto" w:fill="auto"/>
          </w:tcPr>
          <w:p w14:paraId="0EB982C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：0.011t/a</w:t>
            </w:r>
          </w:p>
          <w:p w14:paraId="028742A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烟尘：0.032t/a</w:t>
            </w:r>
          </w:p>
          <w:p w14:paraId="0C750B4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：0.053t/a</w:t>
            </w:r>
          </w:p>
        </w:tc>
        <w:tc>
          <w:tcPr>
            <w:tcW w:w="4519" w:type="dxa"/>
            <w:shd w:val="clear" w:color="auto" w:fill="auto"/>
          </w:tcPr>
          <w:p w14:paraId="101301C9">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粉尘经空气滤芯器和布袋除尘器处理后通过15m排气筒高空排放</w:t>
            </w:r>
          </w:p>
        </w:tc>
        <w:tc>
          <w:tcPr>
            <w:tcW w:w="3655" w:type="dxa"/>
            <w:shd w:val="clear" w:color="auto" w:fill="auto"/>
          </w:tcPr>
          <w:p w14:paraId="4715DFE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废机油、擦拭机油棉纱交给有资质的危废处理单位做无害化处理，金属废料和废包装物由回收公司回收。建筑及生活垃圾分类收集，统一由市容环卫部门及时清运。</w:t>
            </w:r>
          </w:p>
        </w:tc>
      </w:tr>
      <w:tr w14:paraId="2B5048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10C84887">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6D30C9CD">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16</w:t>
            </w:r>
          </w:p>
        </w:tc>
        <w:tc>
          <w:tcPr>
            <w:tcW w:w="1176" w:type="dxa"/>
            <w:shd w:val="clear" w:color="auto" w:fill="auto"/>
          </w:tcPr>
          <w:p w14:paraId="7A76F14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黑龙江铭翔科技有限公司</w:t>
            </w:r>
          </w:p>
        </w:tc>
        <w:tc>
          <w:tcPr>
            <w:tcW w:w="2039" w:type="dxa"/>
            <w:shd w:val="clear" w:color="auto" w:fill="auto"/>
          </w:tcPr>
          <w:p w14:paraId="6671E87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COD：0.09t/a</w:t>
            </w:r>
          </w:p>
          <w:p w14:paraId="2902FDFD">
            <w:pPr>
              <w:pStyle w:val="6"/>
              <w:widowControl w:val="0"/>
              <w:jc w:val="both"/>
              <w:rPr>
                <w:rFonts w:eastAsia="宋体"/>
                <w:caps w:val="0"/>
                <w:smallCaps w:val="0"/>
                <w:color w:val="auto"/>
                <w:spacing w:val="0"/>
                <w:sz w:val="21"/>
                <w:szCs w:val="21"/>
                <w:highlight w:val="none"/>
              </w:rPr>
            </w:pPr>
            <w:r>
              <w:rPr>
                <w:rFonts w:eastAsia="宋体"/>
                <w:b w:val="0"/>
                <w:caps w:val="0"/>
                <w:smallCaps w:val="0"/>
                <w:color w:val="auto"/>
                <w:spacing w:val="0"/>
                <w:sz w:val="21"/>
                <w:szCs w:val="21"/>
                <w:highlight w:val="none"/>
              </w:rPr>
              <w:t>氨氮：0.024t/a</w:t>
            </w:r>
          </w:p>
        </w:tc>
        <w:tc>
          <w:tcPr>
            <w:tcW w:w="1652" w:type="dxa"/>
            <w:shd w:val="clear" w:color="auto" w:fill="auto"/>
          </w:tcPr>
          <w:p w14:paraId="21DCE93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：0.961t/a</w:t>
            </w:r>
          </w:p>
          <w:p w14:paraId="2378646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烟尘：0.059t/a</w:t>
            </w:r>
          </w:p>
        </w:tc>
        <w:tc>
          <w:tcPr>
            <w:tcW w:w="4519" w:type="dxa"/>
            <w:shd w:val="clear" w:color="auto" w:fill="auto"/>
          </w:tcPr>
          <w:p w14:paraId="796C33F0">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废气主要是含有挥发性的酸雾、有机废气等，有机废气经集中收集后通过</w:t>
            </w:r>
            <w:r>
              <w:rPr>
                <w:rFonts w:hint="eastAsia" w:ascii="Times New Roman" w:hAnsi="Times New Roman" w:eastAsia="宋体" w:cs="Times New Roman"/>
                <w:caps w:val="0"/>
                <w:smallCaps w:val="0"/>
                <w:color w:val="auto"/>
                <w:spacing w:val="0"/>
                <w:sz w:val="21"/>
                <w:highlight w:val="none"/>
              </w:rPr>
              <w:t>活性炭吸附装置</w:t>
            </w:r>
            <w:r>
              <w:rPr>
                <w:rFonts w:ascii="Times New Roman" w:hAnsi="Times New Roman" w:eastAsia="宋体" w:cs="Times New Roman"/>
                <w:caps w:val="0"/>
                <w:smallCaps w:val="0"/>
                <w:color w:val="auto"/>
                <w:spacing w:val="0"/>
                <w:sz w:val="21"/>
                <w:highlight w:val="none"/>
              </w:rPr>
              <w:t>处理后排放，废气经处理达标后经不低于15m排气筒高空排放。</w:t>
            </w:r>
          </w:p>
        </w:tc>
        <w:tc>
          <w:tcPr>
            <w:tcW w:w="3655" w:type="dxa"/>
            <w:shd w:val="clear" w:color="auto" w:fill="auto"/>
          </w:tcPr>
          <w:p w14:paraId="1027EBE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生活垃圾由环卫部门统一清运处置；危险废物主要废化学试剂等，交由有危险废物处理资质单位处置。</w:t>
            </w:r>
          </w:p>
        </w:tc>
      </w:tr>
      <w:tr w14:paraId="18F35F9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39CEC469">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6CE2BEF">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w:t>
            </w:r>
          </w:p>
        </w:tc>
        <w:tc>
          <w:tcPr>
            <w:tcW w:w="1176" w:type="dxa"/>
            <w:shd w:val="clear" w:color="auto" w:fill="auto"/>
          </w:tcPr>
          <w:p w14:paraId="689BB04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佳木斯东兴煤化工有限公司</w:t>
            </w:r>
          </w:p>
        </w:tc>
        <w:tc>
          <w:tcPr>
            <w:tcW w:w="2039" w:type="dxa"/>
            <w:shd w:val="clear" w:color="auto" w:fill="auto"/>
          </w:tcPr>
          <w:p w14:paraId="15A96F06">
            <w:pPr>
              <w:widowControl w:val="0"/>
              <w:spacing w:line="240" w:lineRule="atLeast"/>
              <w:rPr>
                <w:rFonts w:ascii="Times New Roman" w:hAnsi="Times New Roman" w:eastAsia="宋体" w:cs="Times New Roman"/>
                <w:caps w:val="0"/>
                <w:smallCaps w:val="0"/>
                <w:color w:val="auto"/>
                <w:spacing w:val="0"/>
                <w:sz w:val="21"/>
                <w:highlight w:val="none"/>
                <w:lang w:val="de-DE"/>
              </w:rPr>
            </w:pPr>
            <w:r>
              <w:rPr>
                <w:rFonts w:ascii="Times New Roman" w:hAnsi="Times New Roman" w:eastAsia="宋体" w:cs="Times New Roman"/>
                <w:caps w:val="0"/>
                <w:smallCaps w:val="0"/>
                <w:color w:val="auto"/>
                <w:spacing w:val="0"/>
                <w:sz w:val="21"/>
                <w:highlight w:val="none"/>
                <w:lang w:val="de-DE"/>
              </w:rPr>
              <w:t>COD：47.50t/a</w:t>
            </w:r>
          </w:p>
          <w:p w14:paraId="6904F41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val="de-DE"/>
              </w:rPr>
              <w:t>氨氮：4.67t/a</w:t>
            </w:r>
          </w:p>
        </w:tc>
        <w:tc>
          <w:tcPr>
            <w:tcW w:w="1652" w:type="dxa"/>
            <w:shd w:val="clear" w:color="auto" w:fill="auto"/>
          </w:tcPr>
          <w:p w14:paraId="0BE9AA2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：307.71t/a</w:t>
            </w:r>
          </w:p>
          <w:p w14:paraId="5FB3527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烟尘：135.67t/a</w:t>
            </w:r>
          </w:p>
          <w:p w14:paraId="4205DB3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：790.91t/a</w:t>
            </w:r>
          </w:p>
        </w:tc>
        <w:tc>
          <w:tcPr>
            <w:tcW w:w="4519" w:type="dxa"/>
            <w:shd w:val="clear" w:color="auto" w:fill="auto"/>
          </w:tcPr>
          <w:p w14:paraId="7BFAC12C">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除尘、脱硫、脱硝</w:t>
            </w:r>
          </w:p>
        </w:tc>
        <w:tc>
          <w:tcPr>
            <w:tcW w:w="3655" w:type="dxa"/>
            <w:shd w:val="clear" w:color="auto" w:fill="auto"/>
          </w:tcPr>
          <w:p w14:paraId="10B73A5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各种固体废物要分别采取妥善的处置措施，中煤、煤尘全部作为燃料外售；煤泥外售制作型煤；矸石用于代替粘土烧结空心砖实现综合利用。</w:t>
            </w:r>
          </w:p>
        </w:tc>
      </w:tr>
      <w:tr w14:paraId="57DE22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5A8CC186">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614120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w:t>
            </w:r>
          </w:p>
        </w:tc>
        <w:tc>
          <w:tcPr>
            <w:tcW w:w="1176" w:type="dxa"/>
            <w:shd w:val="clear" w:color="auto" w:fill="auto"/>
          </w:tcPr>
          <w:p w14:paraId="2F07B8F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黑龙江佳星玻璃股份有限公司</w:t>
            </w:r>
          </w:p>
        </w:tc>
        <w:tc>
          <w:tcPr>
            <w:tcW w:w="2039" w:type="dxa"/>
            <w:shd w:val="clear" w:color="auto" w:fill="auto"/>
          </w:tcPr>
          <w:p w14:paraId="0D5DCE6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COD：19.27t/a</w:t>
            </w:r>
          </w:p>
        </w:tc>
        <w:tc>
          <w:tcPr>
            <w:tcW w:w="1652" w:type="dxa"/>
            <w:shd w:val="clear" w:color="auto" w:fill="auto"/>
          </w:tcPr>
          <w:p w14:paraId="4442EDF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：52.19t/a</w:t>
            </w:r>
          </w:p>
          <w:p w14:paraId="6B8A30A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烟尘：39.77t/a</w:t>
            </w:r>
          </w:p>
          <w:p w14:paraId="545CEFF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：556.82t/a</w:t>
            </w:r>
          </w:p>
          <w:p w14:paraId="64D2221A">
            <w:pPr>
              <w:pStyle w:val="48"/>
              <w:spacing w:line="240" w:lineRule="auto"/>
              <w:ind w:firstLine="0" w:firstLineChars="0"/>
              <w:rPr>
                <w:caps w:val="0"/>
                <w:smallCaps w:val="0"/>
                <w:color w:val="auto"/>
                <w:spacing w:val="0"/>
                <w:highlight w:val="none"/>
              </w:rPr>
            </w:pPr>
            <w:r>
              <w:rPr>
                <w:rFonts w:hint="eastAsia" w:ascii="Times New Roman" w:cs="Times New Roman"/>
                <w:caps w:val="0"/>
                <w:smallCaps w:val="0"/>
                <w:color w:val="auto"/>
                <w:spacing w:val="0"/>
                <w:sz w:val="21"/>
                <w:highlight w:val="none"/>
              </w:rPr>
              <w:t>镉及其化合物：0.00125t/a</w:t>
            </w:r>
          </w:p>
        </w:tc>
        <w:tc>
          <w:tcPr>
            <w:tcW w:w="4519" w:type="dxa"/>
            <w:shd w:val="clear" w:color="auto" w:fill="auto"/>
          </w:tcPr>
          <w:p w14:paraId="5644926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采用电除尘+SCR脱硝+RSDA脱硫+布袋除尘工艺进行烟气净化处理，由现有90m高烟囱排放</w:t>
            </w:r>
          </w:p>
        </w:tc>
        <w:tc>
          <w:tcPr>
            <w:tcW w:w="3655" w:type="dxa"/>
            <w:shd w:val="clear" w:color="auto" w:fill="auto"/>
          </w:tcPr>
          <w:p w14:paraId="1CEEA1C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脱硫产物（主要成分亚硫酸钙和硫酸钙）一部分回用于浆液制备，其余脱硫产物与除尘器收集的飞灰一同作为建材原料外售，实现综合利用；SCR法脱硝采用碱金属催化剂（活性组分为V2O5），属于《国家危险废物名录》中所列危险废物（HW50），按照危险废物的相关规定进行申报、管理、转移和处置。</w:t>
            </w:r>
          </w:p>
        </w:tc>
      </w:tr>
      <w:tr w14:paraId="70EE2B9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3D9C9042">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2A209D5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w:t>
            </w:r>
          </w:p>
        </w:tc>
        <w:tc>
          <w:tcPr>
            <w:tcW w:w="1176" w:type="dxa"/>
            <w:shd w:val="clear" w:color="auto" w:fill="auto"/>
          </w:tcPr>
          <w:p w14:paraId="3B452BC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佳木斯长城玻璃制品有限公司</w:t>
            </w:r>
          </w:p>
        </w:tc>
        <w:tc>
          <w:tcPr>
            <w:tcW w:w="2039" w:type="dxa"/>
            <w:shd w:val="clear" w:color="auto" w:fill="auto"/>
          </w:tcPr>
          <w:p w14:paraId="6004D4D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COD：19.53t/a</w:t>
            </w:r>
          </w:p>
          <w:p w14:paraId="50DCC35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氨氮：4.55t/a。</w:t>
            </w:r>
          </w:p>
        </w:tc>
        <w:tc>
          <w:tcPr>
            <w:tcW w:w="1652" w:type="dxa"/>
            <w:shd w:val="clear" w:color="auto" w:fill="auto"/>
          </w:tcPr>
          <w:p w14:paraId="0BBAB91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：4.69t/a</w:t>
            </w:r>
          </w:p>
          <w:p w14:paraId="6309F71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NOx：5.87t/a</w:t>
            </w:r>
          </w:p>
        </w:tc>
        <w:tc>
          <w:tcPr>
            <w:tcW w:w="4519" w:type="dxa"/>
            <w:shd w:val="clear" w:color="auto" w:fill="auto"/>
          </w:tcPr>
          <w:p w14:paraId="0E4F3998">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设置集气装置，收集PVB胶片、硅酮胶挥发出的有机气体，再经活性炭吸附后由不低于15米高排气筒排放，确保苯系物、非甲烷总烃的排放满足《大气污染物综合排放标准》（GB16297-1996）表2中限值要求。</w:t>
            </w:r>
          </w:p>
        </w:tc>
        <w:tc>
          <w:tcPr>
            <w:tcW w:w="3655" w:type="dxa"/>
            <w:shd w:val="clear" w:color="auto" w:fill="auto"/>
          </w:tcPr>
          <w:p w14:paraId="0536CBA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生产过程中会产生废PVB胶片、废硅酮胶及其包装物，机械设备维修、维护过程产生一定量的废机油及废棉纱，废油属于危险废物，收集后委托有危险废物处理处置资格的专业部门回收处理。</w:t>
            </w:r>
          </w:p>
        </w:tc>
      </w:tr>
      <w:tr w14:paraId="2A73DD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1C96893F">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4758987A">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1176" w:type="dxa"/>
            <w:shd w:val="clear" w:color="auto" w:fill="auto"/>
          </w:tcPr>
          <w:p w14:paraId="0207491C">
            <w:pPr>
              <w:widowControl w:val="0"/>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bidi="ar"/>
              </w:rPr>
              <w:t>益海(佳木斯)生物质能发电有限公司</w:t>
            </w:r>
          </w:p>
        </w:tc>
        <w:tc>
          <w:tcPr>
            <w:tcW w:w="2039" w:type="dxa"/>
            <w:shd w:val="clear" w:color="auto" w:fill="auto"/>
          </w:tcPr>
          <w:p w14:paraId="624B687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COD：0.9t/a</w:t>
            </w:r>
          </w:p>
        </w:tc>
        <w:tc>
          <w:tcPr>
            <w:tcW w:w="1652" w:type="dxa"/>
            <w:shd w:val="clear" w:color="auto" w:fill="auto"/>
          </w:tcPr>
          <w:p w14:paraId="2B1C6CC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：108.02t/a</w:t>
            </w:r>
          </w:p>
          <w:p w14:paraId="0F6269F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烟尘：21.60t/a</w:t>
            </w:r>
          </w:p>
          <w:p w14:paraId="6B2226B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:108.02t/a</w:t>
            </w:r>
          </w:p>
        </w:tc>
        <w:tc>
          <w:tcPr>
            <w:tcW w:w="4519" w:type="dxa"/>
            <w:shd w:val="clear" w:color="auto" w:fill="auto"/>
          </w:tcPr>
          <w:p w14:paraId="41B734CC">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袋式除尘</w:t>
            </w:r>
          </w:p>
        </w:tc>
        <w:tc>
          <w:tcPr>
            <w:tcW w:w="3655" w:type="dxa"/>
            <w:shd w:val="clear" w:color="auto" w:fill="auto"/>
          </w:tcPr>
          <w:p w14:paraId="76AE1AC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生活垃圾存放于固定的垃圾箱内，由环卫部门定期清理运至垃圾处理场处理。</w:t>
            </w:r>
          </w:p>
        </w:tc>
      </w:tr>
      <w:tr w14:paraId="2EDB897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restart"/>
            <w:shd w:val="clear" w:color="auto" w:fill="auto"/>
          </w:tcPr>
          <w:p w14:paraId="0548096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农副产品加工产业园</w:t>
            </w:r>
          </w:p>
        </w:tc>
        <w:tc>
          <w:tcPr>
            <w:tcW w:w="497" w:type="dxa"/>
            <w:shd w:val="clear" w:color="auto" w:fill="auto"/>
          </w:tcPr>
          <w:p w14:paraId="332DEB54">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1176" w:type="dxa"/>
            <w:shd w:val="clear" w:color="auto" w:fill="auto"/>
          </w:tcPr>
          <w:p w14:paraId="336B0C2A">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益海（佳木斯）粮油工业有限公司</w:t>
            </w:r>
          </w:p>
        </w:tc>
        <w:tc>
          <w:tcPr>
            <w:tcW w:w="2039" w:type="dxa"/>
            <w:shd w:val="clear" w:color="auto" w:fill="auto"/>
          </w:tcPr>
          <w:p w14:paraId="1C6D509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COD：1.44t/a</w:t>
            </w:r>
          </w:p>
        </w:tc>
        <w:tc>
          <w:tcPr>
            <w:tcW w:w="1652" w:type="dxa"/>
            <w:shd w:val="clear" w:color="auto" w:fill="auto"/>
          </w:tcPr>
          <w:p w14:paraId="0278C33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：4.67t/a</w:t>
            </w:r>
          </w:p>
          <w:p w14:paraId="7501692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粉尘：14.78t/a</w:t>
            </w:r>
          </w:p>
          <w:p w14:paraId="130F00A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烟尘：1.16t/a</w:t>
            </w:r>
          </w:p>
        </w:tc>
        <w:tc>
          <w:tcPr>
            <w:tcW w:w="4519" w:type="dxa"/>
            <w:shd w:val="clear" w:color="auto" w:fill="auto"/>
          </w:tcPr>
          <w:p w14:paraId="7D941B4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采用布袋式除尘器加炉内喷钙脱硫，净化后的烟气经由现有的电厂40m高的烟囱排放。主要产尘环节，均要安装新型的防水</w:t>
            </w:r>
            <w:r>
              <w:rPr>
                <w:rFonts w:hint="eastAsia" w:ascii="Times New Roman" w:hAnsi="Times New Roman" w:eastAsia="宋体" w:cs="Times New Roman"/>
                <w:caps w:val="0"/>
                <w:smallCaps w:val="0"/>
                <w:color w:val="auto"/>
                <w:spacing w:val="0"/>
                <w:sz w:val="21"/>
                <w:highlight w:val="none"/>
                <w:lang w:eastAsia="zh-CN"/>
              </w:rPr>
              <w:t>薄膜</w:t>
            </w:r>
            <w:r>
              <w:rPr>
                <w:rFonts w:ascii="Times New Roman" w:hAnsi="Times New Roman" w:eastAsia="宋体" w:cs="Times New Roman"/>
                <w:caps w:val="0"/>
                <w:smallCaps w:val="0"/>
                <w:color w:val="auto"/>
                <w:spacing w:val="0"/>
                <w:sz w:val="21"/>
                <w:highlight w:val="none"/>
              </w:rPr>
              <w:t>布袋除尘器，确保收集净化后的烟气满足排放要求。</w:t>
            </w:r>
          </w:p>
        </w:tc>
        <w:tc>
          <w:tcPr>
            <w:tcW w:w="3655" w:type="dxa"/>
            <w:shd w:val="clear" w:color="auto" w:fill="auto"/>
          </w:tcPr>
          <w:p w14:paraId="5814ECE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清理过程中产生的稻谷杂物送垃圾处理场处理。生活垃圾存放于固定的垃圾箱内，由环卫部门定期清理运至垃圾处理场处理。</w:t>
            </w:r>
          </w:p>
        </w:tc>
      </w:tr>
      <w:tr w14:paraId="101F96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34F1B636">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39058EA4">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22</w:t>
            </w:r>
          </w:p>
        </w:tc>
        <w:tc>
          <w:tcPr>
            <w:tcW w:w="1176" w:type="dxa"/>
            <w:shd w:val="clear" w:color="auto" w:fill="auto"/>
          </w:tcPr>
          <w:p w14:paraId="3069F95B">
            <w:pPr>
              <w:widowControl w:val="0"/>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bidi="ar"/>
              </w:rPr>
              <w:t>丰益(佳木斯)食品工业有限公司</w:t>
            </w:r>
          </w:p>
        </w:tc>
        <w:tc>
          <w:tcPr>
            <w:tcW w:w="2039" w:type="dxa"/>
            <w:shd w:val="clear" w:color="auto" w:fill="auto"/>
          </w:tcPr>
          <w:p w14:paraId="3CE6B50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COD：5.81t/a</w:t>
            </w:r>
          </w:p>
          <w:p w14:paraId="714BE25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氨氮：0.5t/a</w:t>
            </w:r>
          </w:p>
        </w:tc>
        <w:tc>
          <w:tcPr>
            <w:tcW w:w="1652" w:type="dxa"/>
            <w:shd w:val="clear" w:color="auto" w:fill="auto"/>
          </w:tcPr>
          <w:p w14:paraId="615150B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：50.18t/a</w:t>
            </w:r>
          </w:p>
          <w:p w14:paraId="25C3383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烟尘：3.77t/a</w:t>
            </w:r>
          </w:p>
          <w:p w14:paraId="2A287EF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：23.42t/a</w:t>
            </w:r>
          </w:p>
        </w:tc>
        <w:tc>
          <w:tcPr>
            <w:tcW w:w="4519" w:type="dxa"/>
            <w:shd w:val="clear" w:color="auto" w:fill="auto"/>
          </w:tcPr>
          <w:p w14:paraId="5E301F7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粉尘采用旋风+布袋除尘器除尘，由15m高排气筒排放；恶臭采用碱液喷淋方式</w:t>
            </w:r>
          </w:p>
        </w:tc>
        <w:tc>
          <w:tcPr>
            <w:tcW w:w="3655" w:type="dxa"/>
            <w:shd w:val="clear" w:color="auto" w:fill="auto"/>
          </w:tcPr>
          <w:p w14:paraId="45BD4D46">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污水处理站脱水后污泥、生活垃圾一同由环卫部门统一送至垃圾填埋场卫生填埋。脱皮工序布袋除尘器收集的粉尘、豆皮、豆渣等作为饲料原料外售。</w:t>
            </w:r>
          </w:p>
        </w:tc>
      </w:tr>
      <w:tr w14:paraId="14FCEEC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49758C09">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31D8DD8">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23</w:t>
            </w:r>
          </w:p>
        </w:tc>
        <w:tc>
          <w:tcPr>
            <w:tcW w:w="1176" w:type="dxa"/>
            <w:shd w:val="clear" w:color="auto" w:fill="auto"/>
          </w:tcPr>
          <w:p w14:paraId="0D7E6E6D">
            <w:pPr>
              <w:widowControl w:val="0"/>
              <w:textAlignment w:val="center"/>
              <w:rPr>
                <w:rFonts w:ascii="Times New Roman" w:hAnsi="Times New Roman" w:eastAsia="宋体" w:cs="Times New Roman"/>
                <w:caps w:val="0"/>
                <w:smallCaps w:val="0"/>
                <w:color w:val="auto"/>
                <w:spacing w:val="0"/>
                <w:sz w:val="21"/>
                <w:highlight w:val="none"/>
                <w:lang w:bidi="ar"/>
              </w:rPr>
            </w:pPr>
            <w:r>
              <w:rPr>
                <w:rFonts w:ascii="Times New Roman" w:hAnsi="Times New Roman" w:eastAsia="宋体" w:cs="Times New Roman"/>
                <w:caps w:val="0"/>
                <w:smallCaps w:val="0"/>
                <w:color w:val="auto"/>
                <w:spacing w:val="0"/>
                <w:sz w:val="21"/>
                <w:highlight w:val="none"/>
                <w:lang w:bidi="ar"/>
              </w:rPr>
              <w:t>佳木斯顶津饮品有限公司</w:t>
            </w:r>
          </w:p>
        </w:tc>
        <w:tc>
          <w:tcPr>
            <w:tcW w:w="2039" w:type="dxa"/>
            <w:shd w:val="clear" w:color="auto" w:fill="auto"/>
          </w:tcPr>
          <w:p w14:paraId="54C953B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COD：7.998t/a</w:t>
            </w:r>
          </w:p>
          <w:p w14:paraId="74F541E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氨氮：1.27t/a</w:t>
            </w:r>
          </w:p>
        </w:tc>
        <w:tc>
          <w:tcPr>
            <w:tcW w:w="1652" w:type="dxa"/>
            <w:shd w:val="clear" w:color="auto" w:fill="auto"/>
          </w:tcPr>
          <w:p w14:paraId="56BA9B9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：0.37t/a</w:t>
            </w:r>
          </w:p>
          <w:p w14:paraId="0DE204F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烟尘：0.28t/a</w:t>
            </w:r>
          </w:p>
          <w:p w14:paraId="44B76B1A">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：0.94t/a</w:t>
            </w:r>
          </w:p>
        </w:tc>
        <w:tc>
          <w:tcPr>
            <w:tcW w:w="4519" w:type="dxa"/>
            <w:shd w:val="clear" w:color="auto" w:fill="auto"/>
          </w:tcPr>
          <w:p w14:paraId="1EDF94D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设置废气捕</w:t>
            </w:r>
            <w:r>
              <w:rPr>
                <w:rFonts w:hint="eastAsia" w:ascii="Times New Roman" w:hAnsi="Times New Roman" w:eastAsia="宋体" w:cs="Times New Roman"/>
                <w:caps w:val="0"/>
                <w:smallCaps w:val="0"/>
                <w:color w:val="auto"/>
                <w:spacing w:val="0"/>
                <w:sz w:val="21"/>
                <w:highlight w:val="none"/>
                <w:lang w:eastAsia="zh-CN"/>
              </w:rPr>
              <w:t>集</w:t>
            </w:r>
            <w:r>
              <w:rPr>
                <w:rFonts w:ascii="Times New Roman" w:hAnsi="Times New Roman" w:eastAsia="宋体" w:cs="Times New Roman"/>
                <w:caps w:val="0"/>
                <w:smallCaps w:val="0"/>
                <w:color w:val="auto"/>
                <w:spacing w:val="0"/>
                <w:sz w:val="21"/>
                <w:highlight w:val="none"/>
              </w:rPr>
              <w:t>风机，将气体通过管道排入UV高效光解净化设备后通过污水处理站高度15m排气筒排入大气。</w:t>
            </w:r>
          </w:p>
        </w:tc>
        <w:tc>
          <w:tcPr>
            <w:tcW w:w="3655" w:type="dxa"/>
            <w:shd w:val="clear" w:color="auto" w:fill="auto"/>
          </w:tcPr>
          <w:p w14:paraId="17F992BA">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生活垃圾存放于固定的垃圾箱内，由环卫部门定期清理运至垃圾处理场处理。</w:t>
            </w:r>
          </w:p>
        </w:tc>
      </w:tr>
      <w:tr w14:paraId="5DBF50E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75972B64">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C9C880F">
            <w:pPr>
              <w:widowControl w:val="0"/>
              <w:rPr>
                <w:rFonts w:ascii="Times New Roman" w:hAnsi="Times New Roman" w:eastAsia="宋体" w:cs="Times New Roman"/>
                <w:caps w:val="0"/>
                <w:smallCaps w:val="0"/>
                <w:color w:val="auto"/>
                <w:spacing w:val="0"/>
                <w:sz w:val="21"/>
                <w:highlight w:val="none"/>
                <w:lang w:bidi="ar"/>
              </w:rPr>
            </w:pPr>
            <w:r>
              <w:rPr>
                <w:rFonts w:ascii="Times New Roman" w:hAnsi="Times New Roman" w:eastAsia="宋体" w:cs="Times New Roman"/>
                <w:caps w:val="0"/>
                <w:smallCaps w:val="0"/>
                <w:color w:val="auto"/>
                <w:spacing w:val="0"/>
                <w:sz w:val="21"/>
                <w:highlight w:val="none"/>
              </w:rPr>
              <w:t>24</w:t>
            </w:r>
          </w:p>
        </w:tc>
        <w:tc>
          <w:tcPr>
            <w:tcW w:w="1176" w:type="dxa"/>
            <w:shd w:val="clear" w:color="auto" w:fill="auto"/>
          </w:tcPr>
          <w:p w14:paraId="3521FCC5">
            <w:pPr>
              <w:widowControl w:val="0"/>
              <w:textAlignment w:val="center"/>
              <w:rPr>
                <w:rFonts w:ascii="Times New Roman" w:hAnsi="Times New Roman" w:eastAsia="宋体" w:cs="Times New Roman"/>
                <w:caps w:val="0"/>
                <w:smallCaps w:val="0"/>
                <w:color w:val="auto"/>
                <w:spacing w:val="0"/>
                <w:sz w:val="21"/>
                <w:highlight w:val="none"/>
                <w:lang w:bidi="ar"/>
              </w:rPr>
            </w:pPr>
            <w:r>
              <w:rPr>
                <w:rFonts w:ascii="Times New Roman" w:hAnsi="Times New Roman" w:eastAsia="宋体" w:cs="Times New Roman"/>
                <w:caps w:val="0"/>
                <w:smallCaps w:val="0"/>
                <w:color w:val="auto"/>
                <w:spacing w:val="0"/>
                <w:sz w:val="21"/>
                <w:highlight w:val="none"/>
                <w:lang w:bidi="ar"/>
              </w:rPr>
              <w:t>佳木斯绿沃农业科技有限公司</w:t>
            </w:r>
          </w:p>
        </w:tc>
        <w:tc>
          <w:tcPr>
            <w:tcW w:w="2039" w:type="dxa"/>
            <w:shd w:val="clear" w:color="auto" w:fill="auto"/>
          </w:tcPr>
          <w:p w14:paraId="2DD6CE2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COD：0.023t/a</w:t>
            </w:r>
          </w:p>
          <w:p w14:paraId="6CBD99A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氨氮：0.006t/a</w:t>
            </w:r>
          </w:p>
          <w:p w14:paraId="2CB5634B">
            <w:pPr>
              <w:widowControl w:val="0"/>
              <w:spacing w:line="240" w:lineRule="atLeast"/>
              <w:rPr>
                <w:rFonts w:ascii="Times New Roman" w:hAnsi="Times New Roman" w:eastAsia="宋体" w:cs="Times New Roman"/>
                <w:caps w:val="0"/>
                <w:smallCaps w:val="0"/>
                <w:color w:val="auto"/>
                <w:spacing w:val="0"/>
                <w:sz w:val="21"/>
                <w:highlight w:val="none"/>
              </w:rPr>
            </w:pPr>
          </w:p>
        </w:tc>
        <w:tc>
          <w:tcPr>
            <w:tcW w:w="1652" w:type="dxa"/>
            <w:shd w:val="clear" w:color="auto" w:fill="auto"/>
          </w:tcPr>
          <w:p w14:paraId="1232478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：0.56t/a</w:t>
            </w:r>
          </w:p>
          <w:p w14:paraId="05922AA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烟尘：0.11t/a</w:t>
            </w:r>
          </w:p>
          <w:p w14:paraId="3B5A86BA">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：0.375t/a</w:t>
            </w:r>
          </w:p>
        </w:tc>
        <w:tc>
          <w:tcPr>
            <w:tcW w:w="4519" w:type="dxa"/>
            <w:shd w:val="clear" w:color="auto" w:fill="auto"/>
          </w:tcPr>
          <w:p w14:paraId="1D832354">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项目烘干系统使用一台型号为6.5t/h燃稻壳热风炉供热，燃用稻壳，设置通风除尘系统，清理筛等粉尘集中产生部位必须配有脉冲除尘装置，除尘后的废气经35m高排气筒排放。</w:t>
            </w:r>
          </w:p>
        </w:tc>
        <w:tc>
          <w:tcPr>
            <w:tcW w:w="3655" w:type="dxa"/>
            <w:shd w:val="clear" w:color="auto" w:fill="auto"/>
          </w:tcPr>
          <w:p w14:paraId="4A3931E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产生的固体废物主要为种壳和杂质、除尘器下的粉尘及锅炉燃烧生物质的炉灰和员工产生的生活垃圾等，种壳和杂质定期外售，除尘器下的粉尘及锅炉燃烧生物质的炉灰收集后出售用于肥料，职工产生的生活垃圾由环卫部门及时清运。</w:t>
            </w:r>
          </w:p>
          <w:p w14:paraId="40F69D11">
            <w:pPr>
              <w:widowControl w:val="0"/>
              <w:spacing w:line="240" w:lineRule="atLeast"/>
              <w:rPr>
                <w:rFonts w:ascii="Times New Roman" w:hAnsi="Times New Roman" w:eastAsia="宋体" w:cs="Times New Roman"/>
                <w:caps w:val="0"/>
                <w:smallCaps w:val="0"/>
                <w:color w:val="auto"/>
                <w:spacing w:val="0"/>
                <w:sz w:val="21"/>
                <w:highlight w:val="none"/>
              </w:rPr>
            </w:pPr>
          </w:p>
        </w:tc>
      </w:tr>
      <w:tr w14:paraId="0F9267A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47EFF43C">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304F3DC">
            <w:pPr>
              <w:widowControl w:val="0"/>
              <w:rPr>
                <w:rFonts w:ascii="Times New Roman" w:hAnsi="Times New Roman" w:eastAsia="宋体" w:cs="Times New Roman"/>
                <w:caps w:val="0"/>
                <w:smallCaps w:val="0"/>
                <w:color w:val="auto"/>
                <w:spacing w:val="0"/>
                <w:sz w:val="21"/>
                <w:highlight w:val="none"/>
                <w:lang w:bidi="ar"/>
              </w:rPr>
            </w:pPr>
            <w:r>
              <w:rPr>
                <w:rFonts w:ascii="Times New Roman" w:hAnsi="Times New Roman" w:eastAsia="宋体" w:cs="Times New Roman"/>
                <w:caps w:val="0"/>
                <w:smallCaps w:val="0"/>
                <w:color w:val="auto"/>
                <w:spacing w:val="0"/>
                <w:sz w:val="21"/>
                <w:highlight w:val="none"/>
              </w:rPr>
              <w:t>25</w:t>
            </w:r>
          </w:p>
        </w:tc>
        <w:tc>
          <w:tcPr>
            <w:tcW w:w="1176" w:type="dxa"/>
            <w:shd w:val="clear" w:color="auto" w:fill="auto"/>
          </w:tcPr>
          <w:p w14:paraId="78437375">
            <w:pPr>
              <w:widowControl w:val="0"/>
              <w:textAlignment w:val="center"/>
              <w:rPr>
                <w:rFonts w:ascii="Times New Roman" w:hAnsi="Times New Roman" w:eastAsia="宋体" w:cs="Times New Roman"/>
                <w:caps w:val="0"/>
                <w:smallCaps w:val="0"/>
                <w:color w:val="auto"/>
                <w:spacing w:val="0"/>
                <w:sz w:val="21"/>
                <w:highlight w:val="none"/>
                <w:lang w:bidi="ar"/>
              </w:rPr>
            </w:pPr>
            <w:r>
              <w:rPr>
                <w:rFonts w:ascii="Times New Roman" w:hAnsi="Times New Roman" w:eastAsia="宋体" w:cs="Times New Roman"/>
                <w:caps w:val="0"/>
                <w:smallCaps w:val="0"/>
                <w:color w:val="auto"/>
                <w:spacing w:val="0"/>
                <w:sz w:val="21"/>
                <w:highlight w:val="none"/>
                <w:lang w:bidi="ar"/>
              </w:rPr>
              <w:t>佳木斯市通四海稻米油深加工有限公司</w:t>
            </w:r>
          </w:p>
        </w:tc>
        <w:tc>
          <w:tcPr>
            <w:tcW w:w="2039" w:type="dxa"/>
            <w:shd w:val="clear" w:color="auto" w:fill="auto"/>
          </w:tcPr>
          <w:p w14:paraId="4477F03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COD1.19t/a</w:t>
            </w:r>
          </w:p>
          <w:p w14:paraId="0E8DB33E">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氨氮0.299t/a</w:t>
            </w:r>
          </w:p>
        </w:tc>
        <w:tc>
          <w:tcPr>
            <w:tcW w:w="1652" w:type="dxa"/>
            <w:shd w:val="clear" w:color="auto" w:fill="auto"/>
          </w:tcPr>
          <w:p w14:paraId="67961D6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：5.76t/a</w:t>
            </w:r>
          </w:p>
          <w:p w14:paraId="7C729B8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：4.08t/a</w:t>
            </w:r>
          </w:p>
        </w:tc>
        <w:tc>
          <w:tcPr>
            <w:tcW w:w="4519" w:type="dxa"/>
            <w:shd w:val="clear" w:color="auto" w:fill="auto"/>
          </w:tcPr>
          <w:p w14:paraId="6F0A293F">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安装1台10t/h链条锅炉，燃用稻壳，配备布袋除尘器+水膜除尘器。副产品糠粕包装工序及白土加料工序采取有效的防尘措施，输送机、提升机要求进行密闭，米糠浸出后经湿粕蒸脱、蒸发、汽提产生的溶剂油气体经两级冷凝+冷冻回收。</w:t>
            </w:r>
          </w:p>
          <w:p w14:paraId="5D81A0EB">
            <w:pPr>
              <w:widowControl w:val="0"/>
              <w:rPr>
                <w:rFonts w:ascii="Times New Roman" w:hAnsi="Times New Roman" w:eastAsia="宋体" w:cs="Times New Roman"/>
                <w:caps w:val="0"/>
                <w:smallCaps w:val="0"/>
                <w:color w:val="auto"/>
                <w:spacing w:val="0"/>
                <w:sz w:val="21"/>
                <w:highlight w:val="none"/>
              </w:rPr>
            </w:pPr>
          </w:p>
        </w:tc>
        <w:tc>
          <w:tcPr>
            <w:tcW w:w="3655" w:type="dxa"/>
            <w:shd w:val="clear" w:color="auto" w:fill="auto"/>
          </w:tcPr>
          <w:p w14:paraId="1EB6704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皂角、滤渣、糠粕等</w:t>
            </w:r>
            <w:r>
              <w:rPr>
                <w:rFonts w:hint="eastAsia" w:ascii="Times New Roman" w:hAnsi="Times New Roman" w:eastAsia="宋体" w:cs="Times New Roman"/>
                <w:caps w:val="0"/>
                <w:smallCaps w:val="0"/>
                <w:color w:val="auto"/>
                <w:spacing w:val="0"/>
                <w:sz w:val="21"/>
                <w:highlight w:val="none"/>
                <w:lang w:eastAsia="zh-CN"/>
              </w:rPr>
              <w:t>作为</w:t>
            </w:r>
            <w:r>
              <w:rPr>
                <w:rFonts w:ascii="Times New Roman" w:hAnsi="Times New Roman" w:eastAsia="宋体" w:cs="Times New Roman"/>
                <w:caps w:val="0"/>
                <w:smallCaps w:val="0"/>
                <w:color w:val="auto"/>
                <w:spacing w:val="0"/>
                <w:sz w:val="21"/>
                <w:highlight w:val="none"/>
              </w:rPr>
              <w:t>副产品外售；废白土由废工业油加工厂收购提炼油脂；锅炉稻壳灰要求建设封闭储存场所，在运输过程要采取密闭防护措施，避免造成扬尘污染；少量污泥经脱水处理后与稻壳灰、生活垃圾一同交由环卫部门卫生填埋；废活性炭属危险废物须按危险废物的相关规定进行申报、管理、转移和处置。</w:t>
            </w:r>
          </w:p>
        </w:tc>
      </w:tr>
      <w:tr w14:paraId="6AC2A2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34458462">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5CE31A8D">
            <w:pPr>
              <w:widowControl w:val="0"/>
              <w:rPr>
                <w:rFonts w:ascii="Times New Roman" w:hAnsi="Times New Roman" w:eastAsia="宋体" w:cs="Times New Roman"/>
                <w:caps w:val="0"/>
                <w:smallCaps w:val="0"/>
                <w:color w:val="auto"/>
                <w:spacing w:val="0"/>
                <w:sz w:val="21"/>
                <w:highlight w:val="none"/>
                <w:lang w:bidi="ar"/>
              </w:rPr>
            </w:pPr>
            <w:r>
              <w:rPr>
                <w:rFonts w:ascii="Times New Roman" w:hAnsi="Times New Roman" w:eastAsia="宋体" w:cs="Times New Roman"/>
                <w:caps w:val="0"/>
                <w:smallCaps w:val="0"/>
                <w:color w:val="auto"/>
                <w:spacing w:val="0"/>
                <w:sz w:val="21"/>
                <w:highlight w:val="none"/>
              </w:rPr>
              <w:t>26</w:t>
            </w:r>
          </w:p>
        </w:tc>
        <w:tc>
          <w:tcPr>
            <w:tcW w:w="1176" w:type="dxa"/>
            <w:shd w:val="clear" w:color="auto" w:fill="auto"/>
          </w:tcPr>
          <w:p w14:paraId="0814BB3A">
            <w:pPr>
              <w:widowControl w:val="0"/>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bidi="ar"/>
              </w:rPr>
              <w:t>葵花药业集团佳木斯鹿灵制药有限公司</w:t>
            </w:r>
          </w:p>
        </w:tc>
        <w:tc>
          <w:tcPr>
            <w:tcW w:w="2039" w:type="dxa"/>
            <w:shd w:val="clear" w:color="auto" w:fill="auto"/>
          </w:tcPr>
          <w:p w14:paraId="5198E25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COD：1.5/a</w:t>
            </w:r>
          </w:p>
        </w:tc>
        <w:tc>
          <w:tcPr>
            <w:tcW w:w="1652" w:type="dxa"/>
            <w:shd w:val="clear" w:color="auto" w:fill="auto"/>
          </w:tcPr>
          <w:p w14:paraId="4C8689D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：18.64t/a</w:t>
            </w:r>
          </w:p>
          <w:p w14:paraId="2AD333A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烟尘：4.97t/a</w:t>
            </w:r>
          </w:p>
          <w:p w14:paraId="226A7E61">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：8.06t/a</w:t>
            </w:r>
          </w:p>
        </w:tc>
        <w:tc>
          <w:tcPr>
            <w:tcW w:w="4519" w:type="dxa"/>
            <w:shd w:val="clear" w:color="auto" w:fill="auto"/>
          </w:tcPr>
          <w:p w14:paraId="539295E0">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干湿二级除尘</w:t>
            </w:r>
          </w:p>
        </w:tc>
        <w:tc>
          <w:tcPr>
            <w:tcW w:w="3655" w:type="dxa"/>
            <w:shd w:val="clear" w:color="auto" w:fill="auto"/>
          </w:tcPr>
          <w:p w14:paraId="4B523B7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生活垃圾存放于固定的垃圾箱内，由环卫部门定期清理运至垃圾处理场处理。</w:t>
            </w:r>
          </w:p>
        </w:tc>
      </w:tr>
      <w:tr w14:paraId="45761A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202D86E0">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63F47EB4">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27</w:t>
            </w:r>
          </w:p>
        </w:tc>
        <w:tc>
          <w:tcPr>
            <w:tcW w:w="1176" w:type="dxa"/>
            <w:shd w:val="clear" w:color="auto" w:fill="auto"/>
          </w:tcPr>
          <w:p w14:paraId="6DD5399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佳木斯兴宇生物技术开发有限公司</w:t>
            </w:r>
          </w:p>
        </w:tc>
        <w:tc>
          <w:tcPr>
            <w:tcW w:w="2039" w:type="dxa"/>
            <w:shd w:val="clear" w:color="auto" w:fill="auto"/>
          </w:tcPr>
          <w:p w14:paraId="0F43676C">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COD：0.04t/a</w:t>
            </w:r>
          </w:p>
        </w:tc>
        <w:tc>
          <w:tcPr>
            <w:tcW w:w="1652" w:type="dxa"/>
            <w:shd w:val="clear" w:color="auto" w:fill="auto"/>
          </w:tcPr>
          <w:p w14:paraId="7908C19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：3.38t/a</w:t>
            </w:r>
          </w:p>
          <w:p w14:paraId="2697BDF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烟尘：0.88t/a</w:t>
            </w:r>
          </w:p>
          <w:p w14:paraId="08917F2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：1.46t/a</w:t>
            </w:r>
          </w:p>
        </w:tc>
        <w:tc>
          <w:tcPr>
            <w:tcW w:w="4519" w:type="dxa"/>
            <w:shd w:val="clear" w:color="auto" w:fill="auto"/>
          </w:tcPr>
          <w:p w14:paraId="3D6BC39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燃料为生物质压块，采用布袋除尘器后经35m高排气筒排放；恶臭污染物采取加盖挡板，并定期喷洒生物除臭剂，产生的恶臭气体经集气罩收集，再通过管路经离心风机集中收集经活性炭过滤后，少量的氨、硫化氢经距地面15m高的排气筒排放。</w:t>
            </w:r>
          </w:p>
        </w:tc>
        <w:tc>
          <w:tcPr>
            <w:tcW w:w="3655" w:type="dxa"/>
            <w:shd w:val="clear" w:color="auto" w:fill="auto"/>
          </w:tcPr>
          <w:p w14:paraId="6BCCB46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污泥、废活性炭属于危险废物，需单独储存，并按危险废物的相关规定进行申报、管理、转移和处置。生物质锅炉产生灰渣外售综合利用。</w:t>
            </w:r>
          </w:p>
        </w:tc>
      </w:tr>
      <w:tr w14:paraId="2BBCCC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7BB52791">
            <w:pPr>
              <w:widowControl w:val="0"/>
              <w:spacing w:line="240" w:lineRule="atLeast"/>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23D9C635">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w:t>
            </w:r>
          </w:p>
        </w:tc>
        <w:tc>
          <w:tcPr>
            <w:tcW w:w="1176" w:type="dxa"/>
            <w:shd w:val="clear" w:color="auto" w:fill="auto"/>
          </w:tcPr>
          <w:p w14:paraId="20B16D32">
            <w:pPr>
              <w:widowControl w:val="0"/>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bidi="ar"/>
              </w:rPr>
              <w:t>佳木斯森源医疗器械仓储有限公司</w:t>
            </w:r>
          </w:p>
        </w:tc>
        <w:tc>
          <w:tcPr>
            <w:tcW w:w="2039" w:type="dxa"/>
            <w:shd w:val="clear" w:color="auto" w:fill="auto"/>
          </w:tcPr>
          <w:p w14:paraId="219569D6">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COD：0.6t/a</w:t>
            </w:r>
          </w:p>
          <w:p w14:paraId="7C51DE22">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氨氮：0.04t/a</w:t>
            </w:r>
          </w:p>
        </w:tc>
        <w:tc>
          <w:tcPr>
            <w:tcW w:w="1652" w:type="dxa"/>
            <w:shd w:val="clear" w:color="auto" w:fill="auto"/>
          </w:tcPr>
          <w:p w14:paraId="1F92C70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：1.47t/a</w:t>
            </w:r>
          </w:p>
          <w:p w14:paraId="0EE047C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：0.35t/a</w:t>
            </w:r>
          </w:p>
        </w:tc>
        <w:tc>
          <w:tcPr>
            <w:tcW w:w="4519" w:type="dxa"/>
            <w:shd w:val="clear" w:color="auto" w:fill="auto"/>
          </w:tcPr>
          <w:p w14:paraId="0DEC492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本项目安装临时4t/h型煤锅炉1台，用于冬季厂区供暖，烟囱高度不低于35m；食堂厨房</w:t>
            </w:r>
            <w:r>
              <w:rPr>
                <w:rFonts w:hint="eastAsia" w:ascii="Times New Roman" w:hAnsi="Times New Roman" w:eastAsia="宋体" w:cs="Times New Roman"/>
                <w:caps w:val="0"/>
                <w:smallCaps w:val="0"/>
                <w:color w:val="auto"/>
                <w:spacing w:val="0"/>
                <w:sz w:val="21"/>
                <w:highlight w:val="none"/>
              </w:rPr>
              <w:t>必须</w:t>
            </w:r>
            <w:r>
              <w:rPr>
                <w:rFonts w:ascii="Times New Roman" w:hAnsi="Times New Roman" w:eastAsia="宋体" w:cs="Times New Roman"/>
                <w:caps w:val="0"/>
                <w:smallCaps w:val="0"/>
                <w:color w:val="auto"/>
                <w:spacing w:val="0"/>
                <w:sz w:val="21"/>
                <w:highlight w:val="none"/>
              </w:rPr>
              <w:t>使用清洁能源，并安装油烟净化装置设立独立烟道，高空排放。</w:t>
            </w:r>
          </w:p>
        </w:tc>
        <w:tc>
          <w:tcPr>
            <w:tcW w:w="3655" w:type="dxa"/>
            <w:shd w:val="clear" w:color="auto" w:fill="auto"/>
          </w:tcPr>
          <w:p w14:paraId="750F78A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生活垃圾实行分类定点收集，定期由环卫部门清运处理；废诊断试剂属危险废物须按危险废物的相关规定进行申报、管理、转移和处置。</w:t>
            </w:r>
          </w:p>
        </w:tc>
      </w:tr>
      <w:tr w14:paraId="5892831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shd w:val="clear" w:color="auto" w:fill="auto"/>
          </w:tcPr>
          <w:p w14:paraId="604DA6B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秸秆综合利用示范产业园</w:t>
            </w:r>
          </w:p>
        </w:tc>
        <w:tc>
          <w:tcPr>
            <w:tcW w:w="497" w:type="dxa"/>
            <w:shd w:val="clear" w:color="auto" w:fill="auto"/>
          </w:tcPr>
          <w:p w14:paraId="5A1BBF7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w:t>
            </w:r>
          </w:p>
        </w:tc>
        <w:tc>
          <w:tcPr>
            <w:tcW w:w="1176" w:type="dxa"/>
            <w:shd w:val="clear" w:color="auto" w:fill="auto"/>
          </w:tcPr>
          <w:p w14:paraId="1CB9477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黑龙江泉林生态农业有限公司</w:t>
            </w:r>
          </w:p>
        </w:tc>
        <w:tc>
          <w:tcPr>
            <w:tcW w:w="2039" w:type="dxa"/>
            <w:shd w:val="clear" w:color="auto" w:fill="auto"/>
          </w:tcPr>
          <w:p w14:paraId="6D57DA9B">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COD：677.13t/a</w:t>
            </w:r>
          </w:p>
          <w:p w14:paraId="3C214EDD">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氨氮：30.80t/a</w:t>
            </w:r>
          </w:p>
        </w:tc>
        <w:tc>
          <w:tcPr>
            <w:tcW w:w="1652" w:type="dxa"/>
            <w:shd w:val="clear" w:color="auto" w:fill="auto"/>
          </w:tcPr>
          <w:p w14:paraId="0B4D707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：536.40t/a</w:t>
            </w:r>
          </w:p>
          <w:p w14:paraId="4BA5FCD8">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烟尘：138t/a</w:t>
            </w:r>
          </w:p>
          <w:p w14:paraId="6AFB044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：781.46t/a</w:t>
            </w:r>
          </w:p>
        </w:tc>
        <w:tc>
          <w:tcPr>
            <w:tcW w:w="4519" w:type="dxa"/>
            <w:shd w:val="clear" w:color="auto" w:fill="auto"/>
          </w:tcPr>
          <w:p w14:paraId="3AD00B2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秸秆破碎过程产生的含尘废气经旋风除尘器处理，排气筒高15m；亚硫酸铵制浆采用冷喷放，挥发出的氨气经稀硫酸喷淋装置吸收后排放，排气筒高度20m；有机肥车间不合格颗粒粉碎产生的含尘尾气采用布袋除尘器收集，排气筒高15m。烘干尾气经布袋除尘器除尘、氨水喷淋装置脱硫后排放。制浆车间无组织排放的氨气，有机肥车间和污水处理站排放的恶臭气体，由通风装置直接由屋顶排放。</w:t>
            </w:r>
          </w:p>
        </w:tc>
        <w:tc>
          <w:tcPr>
            <w:tcW w:w="3655" w:type="dxa"/>
            <w:shd w:val="clear" w:color="auto" w:fill="auto"/>
          </w:tcPr>
          <w:p w14:paraId="332E2D4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固体废物应做到资源化、无害化和减量化。制浆黑液、污水站污泥作为有机肥原料送有机肥生产车间；制浆车间和造纸车间产生的浆渣、热风炉燃煤炉渣均外售综合利用；备料系统和制浆除砂器筛出的砂石、有机肥车间热干燥机回收的粉尘均送至垃圾场卫生填埋。</w:t>
            </w:r>
          </w:p>
        </w:tc>
      </w:tr>
      <w:tr w14:paraId="63A5E77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restart"/>
            <w:shd w:val="clear" w:color="auto" w:fill="auto"/>
          </w:tcPr>
          <w:p w14:paraId="22DC8E3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综合服务区</w:t>
            </w:r>
          </w:p>
        </w:tc>
        <w:tc>
          <w:tcPr>
            <w:tcW w:w="497" w:type="dxa"/>
            <w:shd w:val="clear" w:color="auto" w:fill="auto"/>
          </w:tcPr>
          <w:p w14:paraId="14171286">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w:t>
            </w:r>
          </w:p>
        </w:tc>
        <w:tc>
          <w:tcPr>
            <w:tcW w:w="1176" w:type="dxa"/>
            <w:shd w:val="clear" w:color="auto" w:fill="auto"/>
          </w:tcPr>
          <w:p w14:paraId="6ACA107C">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黑龙江省兴发水泥有限公司</w:t>
            </w:r>
          </w:p>
        </w:tc>
        <w:tc>
          <w:tcPr>
            <w:tcW w:w="2039" w:type="dxa"/>
            <w:shd w:val="clear" w:color="auto" w:fill="auto"/>
          </w:tcPr>
          <w:p w14:paraId="51927670">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COD：0.38t/a</w:t>
            </w:r>
          </w:p>
          <w:p w14:paraId="166E3024">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氨氮：0.06t/a</w:t>
            </w:r>
          </w:p>
        </w:tc>
        <w:tc>
          <w:tcPr>
            <w:tcW w:w="1652" w:type="dxa"/>
            <w:shd w:val="clear" w:color="auto" w:fill="auto"/>
          </w:tcPr>
          <w:p w14:paraId="31260AC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：55.93t/a</w:t>
            </w:r>
          </w:p>
          <w:p w14:paraId="137491E6">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：28.92t/a</w:t>
            </w:r>
          </w:p>
          <w:p w14:paraId="55691BD1">
            <w:pPr>
              <w:pStyle w:val="6"/>
              <w:widowControl w:val="0"/>
              <w:jc w:val="both"/>
              <w:rPr>
                <w:rFonts w:eastAsia="宋体"/>
                <w:caps w:val="0"/>
                <w:smallCaps w:val="0"/>
                <w:color w:val="auto"/>
                <w:spacing w:val="0"/>
                <w:sz w:val="21"/>
                <w:szCs w:val="21"/>
                <w:highlight w:val="none"/>
              </w:rPr>
            </w:pPr>
            <w:r>
              <w:rPr>
                <w:rFonts w:eastAsia="宋体"/>
                <w:b w:val="0"/>
                <w:caps w:val="0"/>
                <w:smallCaps w:val="0"/>
                <w:color w:val="auto"/>
                <w:spacing w:val="0"/>
                <w:sz w:val="21"/>
                <w:szCs w:val="21"/>
                <w:highlight w:val="none"/>
              </w:rPr>
              <w:t>烟尘：566.38t/a</w:t>
            </w:r>
          </w:p>
        </w:tc>
        <w:tc>
          <w:tcPr>
            <w:tcW w:w="4519" w:type="dxa"/>
            <w:shd w:val="clear" w:color="auto" w:fill="auto"/>
          </w:tcPr>
          <w:p w14:paraId="45E522A1">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采用布袋除尘器对粉尘收集处理，采用不同的防治对策，减少各种棚、物料卸料、运转、物料厂内运输。</w:t>
            </w:r>
          </w:p>
        </w:tc>
        <w:tc>
          <w:tcPr>
            <w:tcW w:w="3655" w:type="dxa"/>
            <w:shd w:val="clear" w:color="auto" w:fill="auto"/>
          </w:tcPr>
          <w:p w14:paraId="3B2AF236">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危险废物由指定危险废物存放间暂存，定期交由有资质单位回收处置。生活垃圾统一回收，交由环卫部门处理。</w:t>
            </w:r>
          </w:p>
        </w:tc>
      </w:tr>
      <w:tr w14:paraId="3E03BDB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47A87636">
            <w:pPr>
              <w:widowControl w:val="0"/>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1F7A660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31</w:t>
            </w:r>
          </w:p>
        </w:tc>
        <w:tc>
          <w:tcPr>
            <w:tcW w:w="1176" w:type="dxa"/>
            <w:shd w:val="clear" w:color="auto" w:fill="auto"/>
          </w:tcPr>
          <w:p w14:paraId="73E19C03">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佳木斯市恺乐农药有限公司</w:t>
            </w:r>
          </w:p>
        </w:tc>
        <w:tc>
          <w:tcPr>
            <w:tcW w:w="2039" w:type="dxa"/>
            <w:shd w:val="clear" w:color="auto" w:fill="auto"/>
          </w:tcPr>
          <w:p w14:paraId="552B3E2F">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COD：0.003t/a</w:t>
            </w:r>
          </w:p>
          <w:p w14:paraId="1B7BA88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氨氮：0.0006t/a</w:t>
            </w:r>
          </w:p>
        </w:tc>
        <w:tc>
          <w:tcPr>
            <w:tcW w:w="1652" w:type="dxa"/>
            <w:shd w:val="clear" w:color="auto" w:fill="auto"/>
          </w:tcPr>
          <w:p w14:paraId="572CEB65">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：0.32t/a</w:t>
            </w:r>
          </w:p>
          <w:p w14:paraId="1194720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：0.68t/a</w:t>
            </w:r>
          </w:p>
        </w:tc>
        <w:tc>
          <w:tcPr>
            <w:tcW w:w="4519" w:type="dxa"/>
            <w:shd w:val="clear" w:color="auto" w:fill="auto"/>
          </w:tcPr>
          <w:p w14:paraId="511A475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粉状原料在配料、投料工序及粉剂产品的干燥、袋装工序均有粉尘产生，要求在各产尘工序设置集气罩，经布袋除尘器收集后，通过不低于15m高排气筒排放。菌种发酵过程产生的恶臭气体，集气罩收集经活性炭吸附后排放，排气筒高度不低于15m。</w:t>
            </w:r>
          </w:p>
        </w:tc>
        <w:tc>
          <w:tcPr>
            <w:tcW w:w="3655" w:type="dxa"/>
            <w:shd w:val="clear" w:color="auto" w:fill="auto"/>
          </w:tcPr>
          <w:p w14:paraId="33ED5A15">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试验过程产生的失败菌种、液体菌剂过滤产生的少量废菌、除尘器收集的原料粉尘均外售有机肥厂作为有机肥原料实现综合利用；饱和活性炭交由厂家回收再生处理；生活垃圾统一交由环卫部门处理。无法再利用的废原料、废产品属危险废物，送到有危废处理资质的单位处置。</w:t>
            </w:r>
          </w:p>
        </w:tc>
      </w:tr>
      <w:tr w14:paraId="72C40B6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1" w:type="dxa"/>
            <w:vMerge w:val="continue"/>
            <w:shd w:val="clear" w:color="auto" w:fill="auto"/>
          </w:tcPr>
          <w:p w14:paraId="63408D2D">
            <w:pPr>
              <w:widowControl w:val="0"/>
              <w:rPr>
                <w:rFonts w:ascii="Times New Roman" w:hAnsi="Times New Roman" w:eastAsia="宋体" w:cs="Times New Roman"/>
                <w:caps w:val="0"/>
                <w:smallCaps w:val="0"/>
                <w:color w:val="auto"/>
                <w:spacing w:val="0"/>
                <w:sz w:val="21"/>
                <w:highlight w:val="none"/>
              </w:rPr>
            </w:pPr>
          </w:p>
        </w:tc>
        <w:tc>
          <w:tcPr>
            <w:tcW w:w="497" w:type="dxa"/>
            <w:shd w:val="clear" w:color="auto" w:fill="auto"/>
          </w:tcPr>
          <w:p w14:paraId="35B9A9E7">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w:t>
            </w:r>
          </w:p>
        </w:tc>
        <w:tc>
          <w:tcPr>
            <w:tcW w:w="1176" w:type="dxa"/>
            <w:shd w:val="clear" w:color="auto" w:fill="auto"/>
          </w:tcPr>
          <w:p w14:paraId="7316ABAB">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佳木斯北方水泥有限公司</w:t>
            </w:r>
          </w:p>
        </w:tc>
        <w:tc>
          <w:tcPr>
            <w:tcW w:w="2039" w:type="dxa"/>
            <w:shd w:val="clear" w:color="auto" w:fill="auto"/>
          </w:tcPr>
          <w:p w14:paraId="1283C217">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COD：0.974t/a</w:t>
            </w:r>
          </w:p>
          <w:p w14:paraId="1EA6E373">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氨氮：0.0144t/a</w:t>
            </w:r>
          </w:p>
        </w:tc>
        <w:tc>
          <w:tcPr>
            <w:tcW w:w="1652" w:type="dxa"/>
            <w:shd w:val="clear" w:color="auto" w:fill="auto"/>
          </w:tcPr>
          <w:p w14:paraId="13088079">
            <w:pPr>
              <w:widowControl w:val="0"/>
              <w:spacing w:line="240" w:lineRule="atLeas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SO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：39.57t/a</w:t>
            </w:r>
          </w:p>
          <w:p w14:paraId="49D1FAC1">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NO</w:t>
            </w:r>
            <w:r>
              <w:rPr>
                <w:rFonts w:ascii="Times New Roman" w:hAnsi="Times New Roman" w:eastAsia="宋体" w:cs="Times New Roman"/>
                <w:caps w:val="0"/>
                <w:smallCaps w:val="0"/>
                <w:color w:val="auto"/>
                <w:spacing w:val="0"/>
                <w:sz w:val="21"/>
                <w:highlight w:val="none"/>
                <w:vertAlign w:val="subscript"/>
              </w:rPr>
              <w:t>X</w:t>
            </w:r>
            <w:r>
              <w:rPr>
                <w:rFonts w:ascii="Times New Roman" w:hAnsi="Times New Roman" w:eastAsia="宋体" w:cs="Times New Roman"/>
                <w:caps w:val="0"/>
                <w:smallCaps w:val="0"/>
                <w:color w:val="auto"/>
                <w:spacing w:val="0"/>
                <w:sz w:val="21"/>
                <w:highlight w:val="none"/>
              </w:rPr>
              <w:t>：28.92t/a</w:t>
            </w:r>
          </w:p>
          <w:p w14:paraId="4AAEB2D7">
            <w:pPr>
              <w:pStyle w:val="6"/>
              <w:widowControl w:val="0"/>
              <w:jc w:val="both"/>
              <w:rPr>
                <w:rFonts w:eastAsia="宋体"/>
                <w:caps w:val="0"/>
                <w:smallCaps w:val="0"/>
                <w:color w:val="auto"/>
                <w:spacing w:val="0"/>
                <w:sz w:val="21"/>
                <w:szCs w:val="21"/>
                <w:highlight w:val="none"/>
              </w:rPr>
            </w:pPr>
            <w:r>
              <w:rPr>
                <w:rFonts w:eastAsia="宋体"/>
                <w:b w:val="0"/>
                <w:caps w:val="0"/>
                <w:smallCaps w:val="0"/>
                <w:color w:val="auto"/>
                <w:spacing w:val="0"/>
                <w:sz w:val="21"/>
                <w:szCs w:val="21"/>
                <w:highlight w:val="none"/>
              </w:rPr>
              <w:t>烟尘：59.94t/a</w:t>
            </w:r>
          </w:p>
        </w:tc>
        <w:tc>
          <w:tcPr>
            <w:tcW w:w="4519" w:type="dxa"/>
            <w:shd w:val="clear" w:color="auto" w:fill="auto"/>
          </w:tcPr>
          <w:p w14:paraId="665E09DE">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严禁矿渣、炉渣、原煤等原材料露天散放，须采取封闭或苫盖措施；立式辊磨各传输环节均要密封，沸腾炉热风直接进入立磨系统烘干矿粉，磨尾设布袋收尘装置，收尘后烟气经30m高排气筒排放；沸腾炉混合室烟道要求配置除尘装置。</w:t>
            </w:r>
          </w:p>
        </w:tc>
        <w:tc>
          <w:tcPr>
            <w:tcW w:w="3655" w:type="dxa"/>
            <w:shd w:val="clear" w:color="auto" w:fill="auto"/>
          </w:tcPr>
          <w:p w14:paraId="6BAFCDB2">
            <w:pPr>
              <w:widowControl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布袋除尘器收集的粉尘作为原料和产品全部回收利用；燃煤炉渣作为原料按配比掺入矿渣中一同粉磨实现固废综合利用；电磁除铁器分离出的铁屑可外售做废旧资源再次利用；生活垃圾由环卫部门统一处置。</w:t>
            </w:r>
          </w:p>
        </w:tc>
      </w:tr>
    </w:tbl>
    <w:p w14:paraId="4AD61D2A">
      <w:pPr>
        <w:widowControl w:val="0"/>
        <w:spacing w:line="400" w:lineRule="exact"/>
        <w:rPr>
          <w:rFonts w:ascii="Times New Roman" w:hAnsi="Times New Roman" w:eastAsia="宋体" w:cs="Times New Roman"/>
          <w:b/>
          <w:caps w:val="0"/>
          <w:smallCaps w:val="0"/>
          <w:color w:val="auto"/>
          <w:spacing w:val="0"/>
          <w:highlight w:val="none"/>
        </w:rPr>
      </w:pPr>
    </w:p>
    <w:p w14:paraId="0C68726D">
      <w:pPr>
        <w:widowControl w:val="0"/>
        <w:spacing w:line="400" w:lineRule="exact"/>
        <w:jc w:val="center"/>
        <w:rPr>
          <w:rFonts w:ascii="Times New Roman" w:hAnsi="Times New Roman" w:eastAsia="宋体" w:cs="Times New Roman"/>
          <w:b/>
          <w:caps w:val="0"/>
          <w:smallCaps w:val="0"/>
          <w:color w:val="auto"/>
          <w:spacing w:val="0"/>
          <w:szCs w:val="24"/>
          <w:highlight w:val="none"/>
        </w:rPr>
      </w:pPr>
    </w:p>
    <w:p w14:paraId="23B0F990">
      <w:pPr>
        <w:widowControl w:val="0"/>
        <w:spacing w:line="360" w:lineRule="auto"/>
        <w:ind w:firstLine="442"/>
        <w:rPr>
          <w:rFonts w:ascii="Times New Roman" w:hAnsi="Times New Roman" w:eastAsia="宋体" w:cs="Times New Roman"/>
          <w:caps w:val="0"/>
          <w:smallCaps w:val="0"/>
          <w:color w:val="auto"/>
          <w:spacing w:val="0"/>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6052E8C8">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151" w:name="_Toc477951976"/>
      <w:bookmarkStart w:id="152" w:name="_Toc21537"/>
      <w:r>
        <w:rPr>
          <w:rFonts w:ascii="Times New Roman" w:hAnsi="Times New Roman" w:eastAsia="宋体" w:cs="Times New Roman"/>
          <w:caps w:val="0"/>
          <w:smallCaps w:val="0"/>
          <w:color w:val="auto"/>
          <w:spacing w:val="0"/>
          <w:highlight w:val="none"/>
        </w:rPr>
        <w:t>5环境影响预测与评价</w:t>
      </w:r>
      <w:bookmarkEnd w:id="151"/>
      <w:bookmarkEnd w:id="152"/>
    </w:p>
    <w:p w14:paraId="36F8AE1F">
      <w:pPr>
        <w:pStyle w:val="4"/>
        <w:widowControl w:val="0"/>
        <w:rPr>
          <w:rFonts w:eastAsia="宋体"/>
          <w:bCs w:val="0"/>
          <w:caps w:val="0"/>
          <w:smallCaps w:val="0"/>
          <w:color w:val="auto"/>
          <w:spacing w:val="0"/>
          <w:highlight w:val="none"/>
        </w:rPr>
      </w:pPr>
      <w:bookmarkStart w:id="153" w:name="_Toc26967833"/>
      <w:bookmarkStart w:id="154" w:name="_Toc994"/>
      <w:bookmarkStart w:id="155" w:name="_Toc2919"/>
      <w:bookmarkStart w:id="156" w:name="_Toc5887"/>
      <w:bookmarkStart w:id="157" w:name="_Toc678"/>
      <w:r>
        <w:rPr>
          <w:rFonts w:eastAsia="宋体"/>
          <w:bCs w:val="0"/>
          <w:caps w:val="0"/>
          <w:smallCaps w:val="0"/>
          <w:color w:val="auto"/>
          <w:spacing w:val="0"/>
          <w:highlight w:val="none"/>
        </w:rPr>
        <w:t>5.1施工期环境影响分析</w:t>
      </w:r>
      <w:bookmarkEnd w:id="153"/>
      <w:bookmarkEnd w:id="154"/>
    </w:p>
    <w:p w14:paraId="32C684F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bookmarkStart w:id="158" w:name="_Toc26967835"/>
      <w:r>
        <w:rPr>
          <w:rFonts w:ascii="Times New Roman" w:hAnsi="Times New Roman" w:eastAsia="宋体" w:cs="Times New Roman"/>
          <w:caps w:val="0"/>
          <w:smallCaps w:val="0"/>
          <w:color w:val="auto"/>
          <w:spacing w:val="0"/>
          <w:highlight w:val="none"/>
        </w:rPr>
        <w:t>本项目主体工程已建设完成，</w:t>
      </w:r>
      <w:r>
        <w:rPr>
          <w:rFonts w:ascii="Times New Roman" w:hAnsi="Times New Roman" w:eastAsia="宋体" w:cs="Times New Roman"/>
          <w:caps w:val="0"/>
          <w:smallCaps w:val="0"/>
          <w:color w:val="auto"/>
          <w:spacing w:val="0"/>
          <w:highlight w:val="none"/>
        </w:rPr>
        <w:t>本次主要进行</w:t>
      </w:r>
      <w:r>
        <w:rPr>
          <w:rFonts w:hint="eastAsia" w:ascii="Times New Roman" w:hAnsi="Times New Roman" w:eastAsia="宋体" w:cs="Times New Roman"/>
          <w:caps w:val="0"/>
          <w:smallCaps w:val="0"/>
          <w:color w:val="auto"/>
          <w:spacing w:val="0"/>
          <w:highlight w:val="none"/>
        </w:rPr>
        <w:t>部分</w:t>
      </w:r>
      <w:r>
        <w:rPr>
          <w:rFonts w:ascii="Times New Roman" w:hAnsi="Times New Roman" w:eastAsia="宋体" w:cs="Times New Roman"/>
          <w:caps w:val="0"/>
          <w:smallCaps w:val="0"/>
          <w:color w:val="auto"/>
          <w:spacing w:val="0"/>
          <w:highlight w:val="none"/>
        </w:rPr>
        <w:t>仪器设备的安装，无施工废气产生，</w:t>
      </w:r>
      <w:r>
        <w:rPr>
          <w:rFonts w:hint="eastAsia" w:ascii="Times New Roman" w:hAnsi="Times New Roman" w:eastAsia="宋体" w:cs="Times New Roman"/>
          <w:caps w:val="0"/>
          <w:smallCaps w:val="0"/>
          <w:color w:val="auto"/>
          <w:spacing w:val="0"/>
          <w:highlight w:val="none"/>
        </w:rPr>
        <w:t>不涉及土建，不进行土壤剥离，无生态影响，</w:t>
      </w:r>
      <w:r>
        <w:rPr>
          <w:rFonts w:ascii="Times New Roman" w:hAnsi="Times New Roman" w:eastAsia="宋体" w:cs="Times New Roman"/>
          <w:caps w:val="0"/>
          <w:smallCaps w:val="0"/>
          <w:color w:val="auto"/>
          <w:spacing w:val="0"/>
          <w:highlight w:val="none"/>
        </w:rPr>
        <w:t>主要施工期间施工人员产生的生活污水、设备安装产生的噪声以及设备安装过程中产生的生活垃圾。</w:t>
      </w:r>
    </w:p>
    <w:p w14:paraId="69751015">
      <w:pPr>
        <w:pStyle w:val="5"/>
        <w:widowControl w:val="0"/>
        <w:rPr>
          <w:rFonts w:eastAsia="宋体"/>
          <w:caps w:val="0"/>
          <w:smallCaps w:val="0"/>
          <w:color w:val="auto"/>
          <w:spacing w:val="0"/>
          <w:sz w:val="30"/>
          <w:szCs w:val="30"/>
          <w:highlight w:val="none"/>
        </w:rPr>
      </w:pPr>
      <w:bookmarkStart w:id="159" w:name="_Toc26967837"/>
      <w:bookmarkStart w:id="160" w:name="_Toc2781"/>
      <w:r>
        <w:rPr>
          <w:rFonts w:eastAsia="宋体"/>
          <w:caps w:val="0"/>
          <w:smallCaps w:val="0"/>
          <w:color w:val="auto"/>
          <w:spacing w:val="0"/>
          <w:sz w:val="30"/>
          <w:szCs w:val="30"/>
          <w:highlight w:val="none"/>
        </w:rPr>
        <w:t>5.1.1废水的影响分析</w:t>
      </w:r>
      <w:bookmarkEnd w:id="159"/>
      <w:bookmarkEnd w:id="160"/>
    </w:p>
    <w:p w14:paraId="075A16D9">
      <w:pPr>
        <w:pStyle w:val="211"/>
        <w:widowControl w:val="0"/>
        <w:spacing w:line="500" w:lineRule="exact"/>
        <w:contextualSpacing/>
        <w:rPr>
          <w:rFonts w:ascii="Times New Roman" w:hAnsi="Times New Roman" w:eastAsia="宋体" w:cs="Times New Roman"/>
          <w:caps w:val="0"/>
          <w:smallCaps w:val="0"/>
          <w:color w:val="auto"/>
          <w:spacing w:val="0"/>
          <w:kern w:val="0"/>
          <w:szCs w:val="24"/>
          <w:highlight w:val="none"/>
        </w:rPr>
      </w:pPr>
      <w:r>
        <w:rPr>
          <w:rFonts w:ascii="Times New Roman" w:hAnsi="Times New Roman" w:eastAsia="宋体" w:cs="Times New Roman"/>
          <w:caps w:val="0"/>
          <w:smallCaps w:val="0"/>
          <w:color w:val="auto"/>
          <w:spacing w:val="0"/>
          <w:highlight w:val="none"/>
        </w:rPr>
        <w:t>建设项目施工期间产生的污水</w:t>
      </w:r>
      <w:r>
        <w:rPr>
          <w:rFonts w:ascii="Times New Roman" w:hAnsi="Times New Roman" w:eastAsia="宋体" w:cs="Times New Roman"/>
          <w:caps w:val="0"/>
          <w:smallCaps w:val="0"/>
          <w:color w:val="auto"/>
          <w:spacing w:val="0"/>
          <w:szCs w:val="24"/>
          <w:highlight w:val="none"/>
        </w:rPr>
        <w:t>主要为施工人员的生活污水，施工人员生活污水排入化粪池处理，全部排入高新区污水处理厂，因此，</w:t>
      </w:r>
      <w:r>
        <w:rPr>
          <w:rFonts w:ascii="Times New Roman" w:hAnsi="Times New Roman" w:eastAsia="宋体" w:cs="Times New Roman"/>
          <w:caps w:val="0"/>
          <w:smallCaps w:val="0"/>
          <w:color w:val="auto"/>
          <w:spacing w:val="0"/>
          <w:highlight w:val="none"/>
        </w:rPr>
        <w:t>施工期不会对地表水环境产生不良影响。</w:t>
      </w:r>
    </w:p>
    <w:p w14:paraId="05536557">
      <w:pPr>
        <w:pStyle w:val="5"/>
        <w:widowControl w:val="0"/>
        <w:rPr>
          <w:rFonts w:eastAsia="宋体"/>
          <w:caps w:val="0"/>
          <w:smallCaps w:val="0"/>
          <w:color w:val="auto"/>
          <w:spacing w:val="0"/>
          <w:sz w:val="30"/>
          <w:szCs w:val="30"/>
          <w:highlight w:val="none"/>
        </w:rPr>
      </w:pPr>
      <w:bookmarkStart w:id="161" w:name="_Toc31782"/>
      <w:r>
        <w:rPr>
          <w:rFonts w:eastAsia="宋体"/>
          <w:caps w:val="0"/>
          <w:smallCaps w:val="0"/>
          <w:color w:val="auto"/>
          <w:spacing w:val="0"/>
          <w:sz w:val="30"/>
          <w:szCs w:val="30"/>
          <w:highlight w:val="none"/>
        </w:rPr>
        <w:t>5.1.2噪声影响分析</w:t>
      </w:r>
      <w:bookmarkEnd w:id="158"/>
      <w:bookmarkEnd w:id="161"/>
    </w:p>
    <w:p w14:paraId="525D10E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162" w:name="_Toc26967836"/>
      <w:r>
        <w:rPr>
          <w:rFonts w:ascii="Times New Roman" w:hAnsi="Times New Roman" w:eastAsia="宋体" w:cs="Times New Roman"/>
          <w:caps w:val="0"/>
          <w:smallCaps w:val="0"/>
          <w:color w:val="auto"/>
          <w:spacing w:val="0"/>
          <w:highlight w:val="none"/>
        </w:rPr>
        <w:t>施工期噪声主要来源于设备安装过程中的电锤、电锯等仪器噪声和运输车辆噪声。本项目施工过程中，施工单位必须选择符合国家有关标准的施工机械及运输车辆，尽量选用低噪音、低振动的各类施工机械设备，注意维修养护及正确使用，使之保持较好工作状态和低声级水平，在保证施工进度的前提下，合理安排作业时间，禁止夜间施工。本项目厂界周边200m范围内无声敏感目标。施工厂界噪声排放满足</w:t>
      </w:r>
      <w:r>
        <w:rPr>
          <w:rFonts w:hint="eastAsia" w:ascii="Times New Roman" w:hAnsi="Times New Roman" w:eastAsia="宋体" w:cs="Times New Roman"/>
          <w:caps w:val="0"/>
          <w:smallCaps w:val="0"/>
          <w:color w:val="auto"/>
          <w:spacing w:val="0"/>
          <w:highlight w:val="none"/>
          <w:lang w:eastAsia="zh-CN"/>
        </w:rPr>
        <w:t>《建筑施工噪声排放标准》（GB12523-2025）</w:t>
      </w:r>
      <w:r>
        <w:rPr>
          <w:rFonts w:ascii="Times New Roman" w:hAnsi="Times New Roman" w:eastAsia="宋体" w:cs="Times New Roman"/>
          <w:caps w:val="0"/>
          <w:smallCaps w:val="0"/>
          <w:color w:val="auto"/>
          <w:spacing w:val="0"/>
          <w:highlight w:val="none"/>
        </w:rPr>
        <w:t>，对环境影响可被环境接受。所以本项目施工期对声环境影响较小。</w:t>
      </w:r>
    </w:p>
    <w:p w14:paraId="152A932E">
      <w:pPr>
        <w:pStyle w:val="5"/>
        <w:widowControl w:val="0"/>
        <w:rPr>
          <w:rFonts w:eastAsia="宋体"/>
          <w:caps w:val="0"/>
          <w:smallCaps w:val="0"/>
          <w:color w:val="auto"/>
          <w:spacing w:val="0"/>
          <w:sz w:val="30"/>
          <w:szCs w:val="30"/>
          <w:highlight w:val="none"/>
        </w:rPr>
      </w:pPr>
      <w:bookmarkStart w:id="163" w:name="_Toc31444"/>
      <w:r>
        <w:rPr>
          <w:rFonts w:eastAsia="宋体"/>
          <w:caps w:val="0"/>
          <w:smallCaps w:val="0"/>
          <w:color w:val="auto"/>
          <w:spacing w:val="0"/>
          <w:sz w:val="30"/>
          <w:szCs w:val="30"/>
          <w:highlight w:val="none"/>
        </w:rPr>
        <w:t>5.1.3固废影响分析</w:t>
      </w:r>
      <w:bookmarkEnd w:id="162"/>
      <w:bookmarkEnd w:id="163"/>
    </w:p>
    <w:p w14:paraId="4B45E54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施工垃圾主要来自施工场所产生的由于施工人员活动带来的生活垃圾等，施工期间产生的生活垃圾如不及时处理不仅有碍观瞻，影响景观，而且在遇大风干燥天气时，将产生扬尘，生活垃圾如不及时处理，在气温适宜的条件下则会滋生蚊虫、产生恶臭并传播疾病，对周围环境产生不利影响。</w:t>
      </w:r>
    </w:p>
    <w:p w14:paraId="4EEBD34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因此，工程在施工期间要坚持对施工垃圾的及时清理，</w:t>
      </w:r>
      <w:r>
        <w:rPr>
          <w:rFonts w:ascii="Times New Roman" w:hAnsi="Times New Roman" w:eastAsia="宋体" w:cs="Times New Roman"/>
          <w:bCs/>
          <w:caps w:val="0"/>
          <w:smallCaps w:val="0"/>
          <w:color w:val="auto"/>
          <w:spacing w:val="0"/>
          <w:szCs w:val="24"/>
          <w:highlight w:val="none"/>
        </w:rPr>
        <w:t>生活垃圾统一收集后，运至市政</w:t>
      </w:r>
      <w:r>
        <w:rPr>
          <w:rFonts w:ascii="Times New Roman" w:hAnsi="Times New Roman" w:eastAsia="宋体" w:cs="Times New Roman"/>
          <w:caps w:val="0"/>
          <w:smallCaps w:val="0"/>
          <w:color w:val="auto"/>
          <w:spacing w:val="0"/>
          <w:szCs w:val="24"/>
          <w:highlight w:val="none"/>
        </w:rPr>
        <w:t>指定转运站，由市政统一处理。</w:t>
      </w:r>
    </w:p>
    <w:bookmarkEnd w:id="155"/>
    <w:bookmarkEnd w:id="156"/>
    <w:bookmarkEnd w:id="157"/>
    <w:p w14:paraId="5206EF76">
      <w:pPr>
        <w:pStyle w:val="4"/>
        <w:widowControl w:val="0"/>
        <w:rPr>
          <w:rFonts w:eastAsia="宋体"/>
          <w:bCs w:val="0"/>
          <w:caps w:val="0"/>
          <w:smallCaps w:val="0"/>
          <w:color w:val="auto"/>
          <w:spacing w:val="0"/>
          <w:highlight w:val="none"/>
        </w:rPr>
      </w:pPr>
      <w:bookmarkStart w:id="164" w:name="_Toc477951978"/>
      <w:bookmarkStart w:id="165" w:name="_Toc6045"/>
      <w:r>
        <w:rPr>
          <w:rFonts w:eastAsia="宋体"/>
          <w:bCs w:val="0"/>
          <w:caps w:val="0"/>
          <w:smallCaps w:val="0"/>
          <w:color w:val="auto"/>
          <w:spacing w:val="0"/>
          <w:highlight w:val="none"/>
        </w:rPr>
        <w:t>5.2运营期环境影响</w:t>
      </w:r>
      <w:bookmarkEnd w:id="164"/>
      <w:r>
        <w:rPr>
          <w:rFonts w:eastAsia="宋体"/>
          <w:bCs w:val="0"/>
          <w:caps w:val="0"/>
          <w:smallCaps w:val="0"/>
          <w:color w:val="auto"/>
          <w:spacing w:val="0"/>
          <w:highlight w:val="none"/>
        </w:rPr>
        <w:t>预测与评价</w:t>
      </w:r>
      <w:bookmarkEnd w:id="165"/>
    </w:p>
    <w:p w14:paraId="2EA01B14">
      <w:pPr>
        <w:pStyle w:val="65"/>
        <w:widowControl w:val="0"/>
        <w:ind w:firstLine="0" w:firstLineChars="0"/>
        <w:outlineLvl w:val="2"/>
        <w:rPr>
          <w:rFonts w:eastAsia="宋体"/>
          <w:b/>
          <w:bCs/>
          <w:caps w:val="0"/>
          <w:smallCaps w:val="0"/>
          <w:color w:val="auto"/>
          <w:spacing w:val="0"/>
          <w:sz w:val="30"/>
          <w:szCs w:val="30"/>
          <w:highlight w:val="none"/>
        </w:rPr>
      </w:pPr>
      <w:bookmarkStart w:id="166" w:name="_Toc1399"/>
      <w:r>
        <w:rPr>
          <w:rFonts w:eastAsia="宋体"/>
          <w:b/>
          <w:bCs/>
          <w:caps w:val="0"/>
          <w:smallCaps w:val="0"/>
          <w:color w:val="auto"/>
          <w:spacing w:val="0"/>
          <w:sz w:val="30"/>
          <w:szCs w:val="30"/>
          <w:highlight w:val="none"/>
        </w:rPr>
        <w:t>5.2.1地表水环境影响预测与评价</w:t>
      </w:r>
      <w:bookmarkEnd w:id="166"/>
    </w:p>
    <w:p w14:paraId="409FE7A5">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根据前文污染分析，本项目外排废水为基片清洗废水及纯水制备废水，本项目废水组成及污水源强见下表。</w:t>
      </w:r>
    </w:p>
    <w:p w14:paraId="7C3C1C27">
      <w:pPr>
        <w:pStyle w:val="66"/>
        <w:spacing w:after="48" w:afterLines="20"/>
        <w:ind w:firstLine="442"/>
        <w:rPr>
          <w:rFonts w:ascii="Times New Roman" w:hAnsi="Times New Roman" w:eastAsia="宋体" w:cs="Times New Roman"/>
          <w:b/>
          <w:bCs/>
          <w:caps w:val="0"/>
          <w:smallCaps w:val="0"/>
          <w:color w:val="auto"/>
          <w:spacing w:val="0"/>
          <w:sz w:val="24"/>
          <w:szCs w:val="24"/>
          <w:highlight w:val="none"/>
        </w:rPr>
      </w:pPr>
      <w:r>
        <w:rPr>
          <w:rFonts w:ascii="Times New Roman" w:hAnsi="Times New Roman" w:eastAsia="宋体" w:cs="Times New Roman"/>
          <w:b/>
          <w:bCs/>
          <w:caps w:val="0"/>
          <w:smallCaps w:val="0"/>
          <w:color w:val="auto"/>
          <w:spacing w:val="0"/>
          <w:sz w:val="24"/>
          <w:szCs w:val="24"/>
          <w:highlight w:val="none"/>
        </w:rPr>
        <w:t>表</w:t>
      </w:r>
      <w:r>
        <w:rPr>
          <w:rFonts w:hint="eastAsia" w:ascii="Times New Roman" w:hAnsi="Times New Roman" w:eastAsia="宋体" w:cs="Times New Roman"/>
          <w:b/>
          <w:bCs/>
          <w:caps w:val="0"/>
          <w:smallCaps w:val="0"/>
          <w:color w:val="auto"/>
          <w:spacing w:val="0"/>
          <w:sz w:val="24"/>
          <w:szCs w:val="24"/>
          <w:highlight w:val="none"/>
        </w:rPr>
        <w:t>5.2-1</w:t>
      </w:r>
      <w:r>
        <w:rPr>
          <w:rFonts w:ascii="Times New Roman" w:hAnsi="Times New Roman" w:eastAsia="宋体" w:cs="Times New Roman"/>
          <w:b/>
          <w:bCs/>
          <w:caps w:val="0"/>
          <w:smallCaps w:val="0"/>
          <w:color w:val="auto"/>
          <w:spacing w:val="0"/>
          <w:sz w:val="24"/>
          <w:szCs w:val="24"/>
          <w:highlight w:val="none"/>
        </w:rPr>
        <w:t>本项目污水污染物源强一览表</w:t>
      </w:r>
    </w:p>
    <w:tbl>
      <w:tblPr>
        <w:tblStyle w:val="37"/>
        <w:tblW w:w="5000" w:type="pct"/>
        <w:jc w:val="center"/>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48"/>
        <w:gridCol w:w="859"/>
        <w:gridCol w:w="821"/>
        <w:gridCol w:w="2172"/>
        <w:gridCol w:w="1069"/>
        <w:gridCol w:w="923"/>
        <w:gridCol w:w="938"/>
        <w:gridCol w:w="984"/>
        <w:gridCol w:w="973"/>
      </w:tblGrid>
      <w:tr w14:paraId="3C31CF9F">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PrEx>
        <w:trPr>
          <w:trHeight w:val="397" w:hRule="atLeast"/>
          <w:jc w:val="center"/>
        </w:trPr>
        <w:tc>
          <w:tcPr>
            <w:tcW w:w="549" w:type="dxa"/>
            <w:vMerge w:val="restart"/>
            <w:tcBorders>
              <w:tl2br w:val="nil"/>
              <w:tr2bl w:val="nil"/>
            </w:tcBorders>
            <w:vAlign w:val="center"/>
          </w:tcPr>
          <w:p w14:paraId="0FAF49D7">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序号</w:t>
            </w:r>
          </w:p>
        </w:tc>
        <w:tc>
          <w:tcPr>
            <w:tcW w:w="859" w:type="dxa"/>
            <w:vMerge w:val="restart"/>
            <w:tcBorders>
              <w:tl2br w:val="nil"/>
              <w:tr2bl w:val="nil"/>
            </w:tcBorders>
            <w:vAlign w:val="center"/>
          </w:tcPr>
          <w:p w14:paraId="184F1266">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污染源名称</w:t>
            </w:r>
          </w:p>
        </w:tc>
        <w:tc>
          <w:tcPr>
            <w:tcW w:w="820" w:type="dxa"/>
            <w:vMerge w:val="restart"/>
            <w:tcBorders>
              <w:tl2br w:val="nil"/>
              <w:tr2bl w:val="nil"/>
            </w:tcBorders>
            <w:vAlign w:val="center"/>
          </w:tcPr>
          <w:p w14:paraId="0B08CA73">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污水来源</w:t>
            </w:r>
          </w:p>
        </w:tc>
        <w:tc>
          <w:tcPr>
            <w:tcW w:w="2172" w:type="dxa"/>
            <w:vMerge w:val="restart"/>
            <w:tcBorders>
              <w:tl2br w:val="nil"/>
              <w:tr2bl w:val="nil"/>
            </w:tcBorders>
            <w:vAlign w:val="center"/>
          </w:tcPr>
          <w:p w14:paraId="2F4FF18A">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污水去向</w:t>
            </w:r>
          </w:p>
        </w:tc>
        <w:tc>
          <w:tcPr>
            <w:tcW w:w="1069" w:type="dxa"/>
            <w:tcBorders>
              <w:tl2br w:val="nil"/>
              <w:tr2bl w:val="nil"/>
            </w:tcBorders>
            <w:vAlign w:val="center"/>
          </w:tcPr>
          <w:p w14:paraId="1AFED1C0">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污水产生量</w:t>
            </w:r>
          </w:p>
        </w:tc>
        <w:tc>
          <w:tcPr>
            <w:tcW w:w="3818" w:type="dxa"/>
            <w:gridSpan w:val="4"/>
            <w:tcBorders>
              <w:tl2br w:val="nil"/>
              <w:tr2bl w:val="nil"/>
            </w:tcBorders>
            <w:vAlign w:val="center"/>
          </w:tcPr>
          <w:p w14:paraId="3FF6D3B3">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污染物浓度（mg/L）</w:t>
            </w:r>
          </w:p>
        </w:tc>
      </w:tr>
      <w:tr w14:paraId="1AFF3B15">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49" w:type="dxa"/>
            <w:vMerge w:val="continue"/>
            <w:tcBorders>
              <w:tl2br w:val="nil"/>
              <w:tr2bl w:val="nil"/>
            </w:tcBorders>
            <w:vAlign w:val="center"/>
          </w:tcPr>
          <w:p w14:paraId="389295FC">
            <w:pPr>
              <w:pStyle w:val="66"/>
              <w:ind w:left="0"/>
              <w:rPr>
                <w:rFonts w:ascii="Times New Roman" w:hAnsi="Times New Roman" w:eastAsia="宋体" w:cs="Times New Roman"/>
                <w:bCs/>
                <w:caps w:val="0"/>
                <w:smallCaps w:val="0"/>
                <w:color w:val="auto"/>
                <w:spacing w:val="0"/>
                <w:highlight w:val="none"/>
              </w:rPr>
            </w:pPr>
          </w:p>
        </w:tc>
        <w:tc>
          <w:tcPr>
            <w:tcW w:w="859" w:type="dxa"/>
            <w:vMerge w:val="continue"/>
            <w:tcBorders>
              <w:tl2br w:val="nil"/>
              <w:tr2bl w:val="nil"/>
            </w:tcBorders>
            <w:vAlign w:val="center"/>
          </w:tcPr>
          <w:p w14:paraId="7879D2A3">
            <w:pPr>
              <w:pStyle w:val="66"/>
              <w:ind w:left="0"/>
              <w:rPr>
                <w:rFonts w:ascii="Times New Roman" w:hAnsi="Times New Roman" w:eastAsia="宋体" w:cs="Times New Roman"/>
                <w:bCs/>
                <w:caps w:val="0"/>
                <w:smallCaps w:val="0"/>
                <w:color w:val="auto"/>
                <w:spacing w:val="0"/>
                <w:highlight w:val="none"/>
              </w:rPr>
            </w:pPr>
          </w:p>
        </w:tc>
        <w:tc>
          <w:tcPr>
            <w:tcW w:w="820" w:type="dxa"/>
            <w:vMerge w:val="continue"/>
            <w:tcBorders>
              <w:tl2br w:val="nil"/>
              <w:tr2bl w:val="nil"/>
            </w:tcBorders>
            <w:vAlign w:val="center"/>
          </w:tcPr>
          <w:p w14:paraId="3BDC2E9A">
            <w:pPr>
              <w:pStyle w:val="66"/>
              <w:ind w:left="0"/>
              <w:rPr>
                <w:rFonts w:ascii="Times New Roman" w:hAnsi="Times New Roman" w:eastAsia="宋体" w:cs="Times New Roman"/>
                <w:bCs/>
                <w:caps w:val="0"/>
                <w:smallCaps w:val="0"/>
                <w:color w:val="auto"/>
                <w:spacing w:val="0"/>
                <w:highlight w:val="none"/>
              </w:rPr>
            </w:pPr>
          </w:p>
        </w:tc>
        <w:tc>
          <w:tcPr>
            <w:tcW w:w="2172" w:type="dxa"/>
            <w:vMerge w:val="continue"/>
            <w:tcBorders>
              <w:tl2br w:val="nil"/>
              <w:tr2bl w:val="nil"/>
            </w:tcBorders>
            <w:vAlign w:val="center"/>
          </w:tcPr>
          <w:p w14:paraId="1317CA5C">
            <w:pPr>
              <w:pStyle w:val="66"/>
              <w:ind w:left="0"/>
              <w:rPr>
                <w:rFonts w:ascii="Times New Roman" w:hAnsi="Times New Roman" w:eastAsia="宋体" w:cs="Times New Roman"/>
                <w:bCs/>
                <w:caps w:val="0"/>
                <w:smallCaps w:val="0"/>
                <w:color w:val="auto"/>
                <w:spacing w:val="0"/>
                <w:highlight w:val="none"/>
              </w:rPr>
            </w:pPr>
          </w:p>
        </w:tc>
        <w:tc>
          <w:tcPr>
            <w:tcW w:w="1069" w:type="dxa"/>
            <w:tcBorders>
              <w:tl2br w:val="nil"/>
              <w:tr2bl w:val="nil"/>
            </w:tcBorders>
            <w:vAlign w:val="center"/>
          </w:tcPr>
          <w:p w14:paraId="76AB6F63">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（t/a）</w:t>
            </w:r>
          </w:p>
        </w:tc>
        <w:tc>
          <w:tcPr>
            <w:tcW w:w="923" w:type="dxa"/>
            <w:tcBorders>
              <w:tl2br w:val="nil"/>
              <w:tr2bl w:val="nil"/>
            </w:tcBorders>
            <w:vAlign w:val="center"/>
          </w:tcPr>
          <w:p w14:paraId="01FBD65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COD</w:t>
            </w:r>
          </w:p>
        </w:tc>
        <w:tc>
          <w:tcPr>
            <w:tcW w:w="938" w:type="dxa"/>
            <w:tcBorders>
              <w:tl2br w:val="nil"/>
              <w:tr2bl w:val="nil"/>
            </w:tcBorders>
            <w:vAlign w:val="center"/>
          </w:tcPr>
          <w:p w14:paraId="6975EB90">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BOD</w:t>
            </w:r>
            <w:r>
              <w:rPr>
                <w:rFonts w:ascii="Times New Roman" w:hAnsi="Times New Roman" w:eastAsia="宋体" w:cs="Times New Roman"/>
                <w:bCs/>
                <w:caps w:val="0"/>
                <w:smallCaps w:val="0"/>
                <w:color w:val="auto"/>
                <w:spacing w:val="0"/>
                <w:highlight w:val="none"/>
                <w:vertAlign w:val="subscript"/>
              </w:rPr>
              <w:t>5</w:t>
            </w:r>
          </w:p>
        </w:tc>
        <w:tc>
          <w:tcPr>
            <w:tcW w:w="984" w:type="dxa"/>
            <w:tcBorders>
              <w:tl2br w:val="nil"/>
              <w:tr2bl w:val="nil"/>
            </w:tcBorders>
            <w:vAlign w:val="center"/>
          </w:tcPr>
          <w:p w14:paraId="6AEC7CFA">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氨氮</w:t>
            </w:r>
          </w:p>
        </w:tc>
        <w:tc>
          <w:tcPr>
            <w:tcW w:w="973" w:type="dxa"/>
            <w:tcBorders>
              <w:tl2br w:val="nil"/>
              <w:tr2bl w:val="nil"/>
            </w:tcBorders>
            <w:vAlign w:val="center"/>
          </w:tcPr>
          <w:p w14:paraId="6DD15599">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SS</w:t>
            </w:r>
          </w:p>
        </w:tc>
      </w:tr>
      <w:tr w14:paraId="67D6A72A">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49" w:type="dxa"/>
            <w:tcBorders>
              <w:tl2br w:val="nil"/>
              <w:tr2bl w:val="nil"/>
            </w:tcBorders>
            <w:vAlign w:val="center"/>
          </w:tcPr>
          <w:p w14:paraId="5DDD5738">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w:t>
            </w:r>
          </w:p>
        </w:tc>
        <w:tc>
          <w:tcPr>
            <w:tcW w:w="859" w:type="dxa"/>
            <w:tcBorders>
              <w:tl2br w:val="nil"/>
              <w:tr2bl w:val="nil"/>
            </w:tcBorders>
            <w:vAlign w:val="center"/>
          </w:tcPr>
          <w:p w14:paraId="24CE3181">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生产</w:t>
            </w:r>
          </w:p>
          <w:p w14:paraId="0EA71321">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污水</w:t>
            </w:r>
          </w:p>
        </w:tc>
        <w:tc>
          <w:tcPr>
            <w:tcW w:w="820" w:type="dxa"/>
            <w:tcBorders>
              <w:tl2br w:val="nil"/>
              <w:tr2bl w:val="nil"/>
            </w:tcBorders>
            <w:vAlign w:val="center"/>
          </w:tcPr>
          <w:p w14:paraId="73EA8C07">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基片清洗废水</w:t>
            </w:r>
          </w:p>
        </w:tc>
        <w:tc>
          <w:tcPr>
            <w:tcW w:w="2172" w:type="dxa"/>
            <w:tcBorders>
              <w:tl2br w:val="nil"/>
              <w:tr2bl w:val="nil"/>
            </w:tcBorders>
            <w:vAlign w:val="center"/>
          </w:tcPr>
          <w:p w14:paraId="241D0D63">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经厂区污水处理站收集pH中和调节后达标排放至园区污水管网，进入佳木斯市高新区污水处理厂</w:t>
            </w:r>
          </w:p>
        </w:tc>
        <w:tc>
          <w:tcPr>
            <w:tcW w:w="1069" w:type="dxa"/>
            <w:tcBorders>
              <w:tl2br w:val="nil"/>
              <w:tr2bl w:val="nil"/>
            </w:tcBorders>
            <w:vAlign w:val="center"/>
          </w:tcPr>
          <w:p w14:paraId="1CDD7B3C">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5513.7</w:t>
            </w:r>
          </w:p>
        </w:tc>
        <w:tc>
          <w:tcPr>
            <w:tcW w:w="923" w:type="dxa"/>
            <w:tcBorders>
              <w:tl2br w:val="nil"/>
              <w:tr2bl w:val="nil"/>
            </w:tcBorders>
            <w:vAlign w:val="center"/>
          </w:tcPr>
          <w:p w14:paraId="7F3B1370">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938" w:type="dxa"/>
            <w:tcBorders>
              <w:tl2br w:val="nil"/>
              <w:tr2bl w:val="nil"/>
            </w:tcBorders>
            <w:vAlign w:val="center"/>
          </w:tcPr>
          <w:p w14:paraId="4681DCFF">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984" w:type="dxa"/>
            <w:tcBorders>
              <w:tl2br w:val="nil"/>
              <w:tr2bl w:val="nil"/>
            </w:tcBorders>
            <w:vAlign w:val="center"/>
          </w:tcPr>
          <w:p w14:paraId="2D1813C9">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73" w:type="dxa"/>
            <w:tcBorders>
              <w:tl2br w:val="nil"/>
              <w:tr2bl w:val="nil"/>
            </w:tcBorders>
            <w:vAlign w:val="center"/>
          </w:tcPr>
          <w:p w14:paraId="2DEDE88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4A472A81">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49" w:type="dxa"/>
            <w:tcBorders>
              <w:tl2br w:val="nil"/>
              <w:tr2bl w:val="nil"/>
            </w:tcBorders>
            <w:vAlign w:val="center"/>
          </w:tcPr>
          <w:p w14:paraId="1B47779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w:t>
            </w:r>
          </w:p>
        </w:tc>
        <w:tc>
          <w:tcPr>
            <w:tcW w:w="859" w:type="dxa"/>
            <w:tcBorders>
              <w:tl2br w:val="nil"/>
              <w:tr2bl w:val="nil"/>
            </w:tcBorders>
            <w:vAlign w:val="center"/>
          </w:tcPr>
          <w:p w14:paraId="6B249E7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辅助</w:t>
            </w:r>
          </w:p>
          <w:p w14:paraId="766637D6">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设施</w:t>
            </w:r>
          </w:p>
        </w:tc>
        <w:tc>
          <w:tcPr>
            <w:tcW w:w="820" w:type="dxa"/>
            <w:tcBorders>
              <w:tl2br w:val="nil"/>
              <w:tr2bl w:val="nil"/>
            </w:tcBorders>
            <w:vAlign w:val="center"/>
          </w:tcPr>
          <w:p w14:paraId="3F40F503">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纯水制备废水</w:t>
            </w:r>
          </w:p>
        </w:tc>
        <w:tc>
          <w:tcPr>
            <w:tcW w:w="2172" w:type="dxa"/>
            <w:tcBorders>
              <w:tl2br w:val="nil"/>
              <w:tr2bl w:val="nil"/>
            </w:tcBorders>
            <w:vAlign w:val="center"/>
          </w:tcPr>
          <w:p w14:paraId="4755FC7A">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排放至园区污水管网，进入佳木斯市高新区污水处理厂</w:t>
            </w:r>
          </w:p>
        </w:tc>
        <w:tc>
          <w:tcPr>
            <w:tcW w:w="1069" w:type="dxa"/>
            <w:tcBorders>
              <w:tl2br w:val="nil"/>
              <w:tr2bl w:val="nil"/>
            </w:tcBorders>
            <w:vAlign w:val="center"/>
          </w:tcPr>
          <w:p w14:paraId="32C4AD91">
            <w:pPr>
              <w:pStyle w:val="66"/>
              <w:ind w:left="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rPr>
              <w:t>4542.3</w:t>
            </w:r>
          </w:p>
        </w:tc>
        <w:tc>
          <w:tcPr>
            <w:tcW w:w="923" w:type="dxa"/>
            <w:tcBorders>
              <w:tl2br w:val="nil"/>
              <w:tr2bl w:val="nil"/>
            </w:tcBorders>
            <w:vAlign w:val="center"/>
          </w:tcPr>
          <w:p w14:paraId="737A8596">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938" w:type="dxa"/>
            <w:tcBorders>
              <w:tl2br w:val="nil"/>
              <w:tr2bl w:val="nil"/>
            </w:tcBorders>
            <w:vAlign w:val="center"/>
          </w:tcPr>
          <w:p w14:paraId="32964A54">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984" w:type="dxa"/>
            <w:tcBorders>
              <w:tl2br w:val="nil"/>
              <w:tr2bl w:val="nil"/>
            </w:tcBorders>
            <w:vAlign w:val="center"/>
          </w:tcPr>
          <w:p w14:paraId="7F7A071D">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73" w:type="dxa"/>
            <w:tcBorders>
              <w:tl2br w:val="nil"/>
              <w:tr2bl w:val="nil"/>
            </w:tcBorders>
            <w:vAlign w:val="center"/>
          </w:tcPr>
          <w:p w14:paraId="7CF9B145">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445CD5A2">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49" w:type="dxa"/>
            <w:tcBorders>
              <w:tl2br w:val="nil"/>
              <w:tr2bl w:val="nil"/>
            </w:tcBorders>
            <w:vAlign w:val="center"/>
          </w:tcPr>
          <w:p w14:paraId="13164AC3">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3</w:t>
            </w:r>
          </w:p>
        </w:tc>
        <w:tc>
          <w:tcPr>
            <w:tcW w:w="859" w:type="dxa"/>
            <w:tcBorders>
              <w:tl2br w:val="nil"/>
              <w:tr2bl w:val="nil"/>
            </w:tcBorders>
            <w:vAlign w:val="center"/>
          </w:tcPr>
          <w:p w14:paraId="41F96B93">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生活污水</w:t>
            </w:r>
          </w:p>
        </w:tc>
        <w:tc>
          <w:tcPr>
            <w:tcW w:w="820" w:type="dxa"/>
            <w:tcBorders>
              <w:tl2br w:val="nil"/>
              <w:tr2bl w:val="nil"/>
            </w:tcBorders>
            <w:vAlign w:val="center"/>
          </w:tcPr>
          <w:p w14:paraId="786C077A">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生活废水</w:t>
            </w:r>
          </w:p>
        </w:tc>
        <w:tc>
          <w:tcPr>
            <w:tcW w:w="2172" w:type="dxa"/>
            <w:tcBorders>
              <w:tl2br w:val="nil"/>
              <w:tr2bl w:val="nil"/>
            </w:tcBorders>
            <w:vAlign w:val="center"/>
          </w:tcPr>
          <w:p w14:paraId="5DAA2100">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排放至园区污水管网，进入佳木斯市高新区污水处理厂</w:t>
            </w:r>
          </w:p>
        </w:tc>
        <w:tc>
          <w:tcPr>
            <w:tcW w:w="1069" w:type="dxa"/>
            <w:tcBorders>
              <w:tl2br w:val="nil"/>
              <w:tr2bl w:val="nil"/>
            </w:tcBorders>
            <w:vAlign w:val="center"/>
          </w:tcPr>
          <w:p w14:paraId="25EDE155">
            <w:pPr>
              <w:pStyle w:val="66"/>
              <w:ind w:left="0" w:leftChars="0"/>
              <w:rPr>
                <w:rFonts w:hint="eastAsia"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14400</w:t>
            </w:r>
          </w:p>
        </w:tc>
        <w:tc>
          <w:tcPr>
            <w:tcW w:w="923" w:type="dxa"/>
            <w:tcBorders>
              <w:tl2br w:val="nil"/>
              <w:tr2bl w:val="nil"/>
            </w:tcBorders>
            <w:vAlign w:val="center"/>
          </w:tcPr>
          <w:p w14:paraId="38153BF5">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85</w:t>
            </w:r>
          </w:p>
        </w:tc>
        <w:tc>
          <w:tcPr>
            <w:tcW w:w="938" w:type="dxa"/>
            <w:tcBorders>
              <w:tl2br w:val="nil"/>
              <w:tr2bl w:val="nil"/>
            </w:tcBorders>
            <w:vAlign w:val="center"/>
          </w:tcPr>
          <w:p w14:paraId="78699200">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26.5</w:t>
            </w:r>
          </w:p>
        </w:tc>
        <w:tc>
          <w:tcPr>
            <w:tcW w:w="984" w:type="dxa"/>
            <w:tcBorders>
              <w:tl2br w:val="nil"/>
              <w:tr2bl w:val="nil"/>
            </w:tcBorders>
            <w:vAlign w:val="center"/>
          </w:tcPr>
          <w:p w14:paraId="569CE489">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10.0</w:t>
            </w:r>
          </w:p>
        </w:tc>
        <w:tc>
          <w:tcPr>
            <w:tcW w:w="973" w:type="dxa"/>
            <w:tcBorders>
              <w:tl2br w:val="nil"/>
              <w:tr2bl w:val="nil"/>
            </w:tcBorders>
            <w:vAlign w:val="center"/>
          </w:tcPr>
          <w:p w14:paraId="5E884140">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32</w:t>
            </w:r>
          </w:p>
        </w:tc>
      </w:tr>
      <w:tr w14:paraId="78842B44">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400" w:type="dxa"/>
            <w:gridSpan w:val="4"/>
            <w:tcBorders>
              <w:tl2br w:val="nil"/>
              <w:tr2bl w:val="nil"/>
            </w:tcBorders>
            <w:vAlign w:val="center"/>
          </w:tcPr>
          <w:p w14:paraId="559B2977">
            <w:pPr>
              <w:pStyle w:val="66"/>
              <w:ind w:left="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合计（t/a）</w:t>
            </w:r>
          </w:p>
        </w:tc>
        <w:tc>
          <w:tcPr>
            <w:tcW w:w="1069" w:type="dxa"/>
            <w:tcBorders>
              <w:tl2br w:val="nil"/>
              <w:tr2bl w:val="nil"/>
            </w:tcBorders>
            <w:vAlign w:val="center"/>
          </w:tcPr>
          <w:p w14:paraId="44B4438C">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244</w:t>
            </w:r>
            <w:r>
              <w:rPr>
                <w:rFonts w:hint="eastAsia" w:ascii="Times New Roman" w:hAnsi="Times New Roman" w:eastAsia="宋体" w:cs="Times New Roman"/>
                <w:bCs/>
                <w:caps w:val="0"/>
                <w:smallCaps w:val="0"/>
                <w:color w:val="auto"/>
                <w:spacing w:val="0"/>
                <w:highlight w:val="none"/>
              </w:rPr>
              <w:t>56</w:t>
            </w:r>
          </w:p>
        </w:tc>
        <w:tc>
          <w:tcPr>
            <w:tcW w:w="923" w:type="dxa"/>
            <w:tcBorders>
              <w:tl2br w:val="nil"/>
              <w:tr2bl w:val="nil"/>
            </w:tcBorders>
            <w:vAlign w:val="center"/>
          </w:tcPr>
          <w:p w14:paraId="409687AC">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2.079</w:t>
            </w:r>
          </w:p>
        </w:tc>
        <w:tc>
          <w:tcPr>
            <w:tcW w:w="938" w:type="dxa"/>
            <w:tcBorders>
              <w:tl2br w:val="nil"/>
              <w:tr2bl w:val="nil"/>
            </w:tcBorders>
            <w:vAlign w:val="center"/>
          </w:tcPr>
          <w:p w14:paraId="034CCB48">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0.</w:t>
            </w:r>
            <w:r>
              <w:rPr>
                <w:rFonts w:hint="eastAsia" w:ascii="Times New Roman" w:hAnsi="Times New Roman" w:eastAsia="宋体" w:cs="Times New Roman"/>
                <w:bCs/>
                <w:caps w:val="0"/>
                <w:smallCaps w:val="0"/>
                <w:color w:val="auto"/>
                <w:spacing w:val="0"/>
                <w:highlight w:val="none"/>
                <w:lang w:val="en-US" w:eastAsia="zh-CN"/>
              </w:rPr>
              <w:t>648</w:t>
            </w:r>
          </w:p>
        </w:tc>
        <w:tc>
          <w:tcPr>
            <w:tcW w:w="984" w:type="dxa"/>
            <w:tcBorders>
              <w:tl2br w:val="nil"/>
              <w:tr2bl w:val="nil"/>
            </w:tcBorders>
            <w:vAlign w:val="center"/>
          </w:tcPr>
          <w:p w14:paraId="79275770">
            <w:pPr>
              <w:pStyle w:val="66"/>
              <w:ind w:left="0" w:leftChars="0"/>
              <w:rPr>
                <w:rFonts w:ascii="Times New Roman" w:hAnsi="Times New Roman" w:eastAsia="宋体" w:cs="Times New Roman"/>
                <w:bCs/>
                <w:caps w:val="0"/>
                <w:smallCaps w:val="0"/>
                <w:color w:val="auto"/>
                <w:spacing w:val="0"/>
                <w:highlight w:val="none"/>
              </w:rPr>
            </w:pPr>
            <w:r>
              <w:rPr>
                <w:rFonts w:hint="eastAsia" w:ascii="Times New Roman" w:hAnsi="Times New Roman" w:eastAsia="宋体" w:cs="Times New Roman"/>
                <w:bCs/>
                <w:caps w:val="0"/>
                <w:smallCaps w:val="0"/>
                <w:color w:val="auto"/>
                <w:spacing w:val="0"/>
                <w:highlight w:val="none"/>
                <w:lang w:val="en-US" w:eastAsia="zh-CN"/>
              </w:rPr>
              <w:t>0.245</w:t>
            </w:r>
          </w:p>
        </w:tc>
        <w:tc>
          <w:tcPr>
            <w:tcW w:w="973" w:type="dxa"/>
            <w:tcBorders>
              <w:tl2br w:val="nil"/>
              <w:tr2bl w:val="nil"/>
            </w:tcBorders>
            <w:vAlign w:val="center"/>
          </w:tcPr>
          <w:p w14:paraId="2FDBEBBA">
            <w:pPr>
              <w:pStyle w:val="66"/>
              <w:ind w:left="0" w:leftChars="0"/>
              <w:rPr>
                <w:rFonts w:ascii="Times New Roman" w:hAnsi="Times New Roman" w:eastAsia="宋体" w:cs="Times New Roman"/>
                <w:bCs/>
                <w:caps w:val="0"/>
                <w:smallCaps w:val="0"/>
                <w:color w:val="auto"/>
                <w:spacing w:val="0"/>
                <w:highlight w:val="none"/>
              </w:rPr>
            </w:pPr>
            <w:r>
              <w:rPr>
                <w:rFonts w:ascii="Times New Roman" w:hAnsi="Times New Roman" w:eastAsia="宋体" w:cs="Times New Roman"/>
                <w:bCs/>
                <w:caps w:val="0"/>
                <w:smallCaps w:val="0"/>
                <w:color w:val="auto"/>
                <w:spacing w:val="0"/>
                <w:highlight w:val="none"/>
              </w:rPr>
              <w:t>0.</w:t>
            </w:r>
            <w:r>
              <w:rPr>
                <w:rFonts w:hint="eastAsia" w:ascii="Times New Roman" w:hAnsi="Times New Roman" w:eastAsia="宋体" w:cs="Times New Roman"/>
                <w:bCs/>
                <w:caps w:val="0"/>
                <w:smallCaps w:val="0"/>
                <w:color w:val="auto"/>
                <w:spacing w:val="0"/>
                <w:highlight w:val="none"/>
                <w:lang w:val="en-US" w:eastAsia="zh-CN"/>
              </w:rPr>
              <w:t>783</w:t>
            </w:r>
          </w:p>
        </w:tc>
      </w:tr>
    </w:tbl>
    <w:p w14:paraId="30FCE3DC">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项目含镉污水经污水处理站处理后回用于生产工艺，不外排，基片清洗废水经厂区污水处理站调节pH后与纯水制备废水一同排放至园区污水管网，</w:t>
      </w:r>
      <w:r>
        <w:rPr>
          <w:rFonts w:hint="eastAsia" w:ascii="Times New Roman" w:hAnsi="Times New Roman" w:eastAsia="宋体" w:cs="Times New Roman"/>
          <w:caps w:val="0"/>
          <w:smallCaps w:val="0"/>
          <w:color w:val="auto"/>
          <w:spacing w:val="0"/>
          <w:highlight w:val="none"/>
        </w:rPr>
        <w:t>排放废水污染物简单，</w:t>
      </w:r>
      <w:r>
        <w:rPr>
          <w:rFonts w:ascii="Times New Roman" w:hAnsi="Times New Roman" w:eastAsia="宋体" w:cs="Times New Roman"/>
          <w:caps w:val="0"/>
          <w:smallCaps w:val="0"/>
          <w:color w:val="auto"/>
          <w:spacing w:val="0"/>
          <w:highlight w:val="none"/>
        </w:rPr>
        <w:t>经污水处理厂处理达标后，排放至</w:t>
      </w:r>
      <w:r>
        <w:rPr>
          <w:rFonts w:hint="eastAsia" w:ascii="Times New Roman" w:hAnsi="Times New Roman" w:eastAsia="宋体" w:cs="Times New Roman"/>
          <w:caps w:val="0"/>
          <w:smallCaps w:val="0"/>
          <w:color w:val="auto"/>
          <w:spacing w:val="0"/>
          <w:highlight w:val="none"/>
          <w:lang w:eastAsia="zh-CN"/>
        </w:rPr>
        <w:t>铃铛麦河途经音达木河</w:t>
      </w:r>
      <w:r>
        <w:rPr>
          <w:rFonts w:ascii="Times New Roman" w:hAnsi="Times New Roman" w:eastAsia="宋体" w:cs="Times New Roman"/>
          <w:caps w:val="0"/>
          <w:smallCaps w:val="0"/>
          <w:color w:val="auto"/>
          <w:spacing w:val="0"/>
          <w:highlight w:val="none"/>
        </w:rPr>
        <w:t>最终</w:t>
      </w:r>
      <w:r>
        <w:rPr>
          <w:rFonts w:hint="eastAsia" w:ascii="Times New Roman" w:hAnsi="Times New Roman" w:eastAsia="宋体" w:cs="Times New Roman"/>
          <w:caps w:val="0"/>
          <w:smallCaps w:val="0"/>
          <w:color w:val="auto"/>
          <w:spacing w:val="0"/>
          <w:highlight w:val="none"/>
          <w:lang w:val="en-US" w:eastAsia="zh-CN"/>
        </w:rPr>
        <w:t>汇入</w:t>
      </w:r>
      <w:r>
        <w:rPr>
          <w:rFonts w:ascii="Times New Roman" w:hAnsi="Times New Roman" w:eastAsia="宋体" w:cs="Times New Roman"/>
          <w:caps w:val="0"/>
          <w:smallCaps w:val="0"/>
          <w:color w:val="auto"/>
          <w:spacing w:val="0"/>
          <w:highlight w:val="none"/>
        </w:rPr>
        <w:t>松花江，</w:t>
      </w:r>
      <w:r>
        <w:rPr>
          <w:rFonts w:hint="eastAsia" w:ascii="Times New Roman" w:hAnsi="Times New Roman" w:eastAsia="宋体" w:cs="Times New Roman"/>
          <w:caps w:val="0"/>
          <w:smallCaps w:val="0"/>
          <w:color w:val="auto"/>
          <w:spacing w:val="0"/>
          <w:highlight w:val="none"/>
        </w:rPr>
        <w:t>不会对地表水体造成影响，经过类比成都中建材光电材料有限公司年产80兆瓦碲化镉薄膜太阳能电池生产线项目验收检测数据，外排废水能够满足</w:t>
      </w:r>
      <w:r>
        <w:rPr>
          <w:rFonts w:ascii="Times New Roman" w:hAnsi="Times New Roman" w:eastAsia="宋体" w:cs="Times New Roman"/>
          <w:caps w:val="0"/>
          <w:smallCaps w:val="0"/>
          <w:color w:val="auto"/>
          <w:spacing w:val="0"/>
          <w:highlight w:val="none"/>
        </w:rPr>
        <w:t>《电池工业污染物排放标准》（GB3</w:t>
      </w:r>
      <w:r>
        <w:rPr>
          <w:rFonts w:ascii="Times New Roman" w:hAnsi="Times New Roman" w:eastAsia="宋体" w:cs="Times New Roman"/>
          <w:caps w:val="0"/>
          <w:smallCaps w:val="0"/>
          <w:color w:val="auto"/>
          <w:spacing w:val="0"/>
          <w:highlight w:val="none"/>
        </w:rPr>
        <w:t>0484-2013）表2太</w:t>
      </w:r>
      <w:r>
        <w:rPr>
          <w:rFonts w:hint="eastAsia" w:ascii="Times New Roman" w:hAnsi="Times New Roman" w:eastAsia="宋体" w:cs="Times New Roman"/>
          <w:caps w:val="0"/>
          <w:smallCaps w:val="0"/>
          <w:color w:val="auto"/>
          <w:spacing w:val="0"/>
          <w:highlight w:val="none"/>
        </w:rPr>
        <w:t>阳能</w:t>
      </w:r>
      <w:r>
        <w:rPr>
          <w:rFonts w:ascii="Times New Roman" w:hAnsi="Times New Roman" w:eastAsia="宋体" w:cs="Times New Roman"/>
          <w:caps w:val="0"/>
          <w:smallCaps w:val="0"/>
          <w:color w:val="auto"/>
          <w:spacing w:val="0"/>
          <w:highlight w:val="none"/>
        </w:rPr>
        <w:t>电池</w:t>
      </w:r>
      <w:r>
        <w:rPr>
          <w:rFonts w:hint="eastAsia" w:ascii="Times New Roman" w:hAnsi="Times New Roman" w:eastAsia="宋体" w:cs="Times New Roman"/>
          <w:caps w:val="0"/>
          <w:smallCaps w:val="0"/>
          <w:color w:val="auto"/>
          <w:spacing w:val="0"/>
          <w:highlight w:val="none"/>
        </w:rPr>
        <w:t>浓度限值要求，</w:t>
      </w:r>
      <w:r>
        <w:rPr>
          <w:rFonts w:ascii="Times New Roman" w:hAnsi="Times New Roman" w:eastAsia="宋体" w:cs="Times New Roman"/>
          <w:caps w:val="0"/>
          <w:smallCaps w:val="0"/>
          <w:color w:val="auto"/>
          <w:spacing w:val="0"/>
          <w:highlight w:val="none"/>
        </w:rPr>
        <w:t>根据上表中污染物浓度计算本项目污染物的排放量（间接排放量）为</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COD：</w:t>
      </w:r>
      <w:r>
        <w:rPr>
          <w:rFonts w:hint="eastAsia" w:ascii="Times New Roman" w:hAnsi="Times New Roman" w:eastAsia="宋体" w:cs="Times New Roman"/>
          <w:caps w:val="0"/>
          <w:smallCaps w:val="0"/>
          <w:color w:val="auto"/>
          <w:spacing w:val="0"/>
          <w:highlight w:val="none"/>
          <w:lang w:val="en-US" w:eastAsia="zh-CN"/>
        </w:rPr>
        <w:t>2.079</w:t>
      </w:r>
      <w:r>
        <w:rPr>
          <w:rFonts w:ascii="Times New Roman" w:hAnsi="Times New Roman" w:eastAsia="宋体" w:cs="Times New Roman"/>
          <w:caps w:val="0"/>
          <w:smallCaps w:val="0"/>
          <w:color w:val="auto"/>
          <w:spacing w:val="0"/>
          <w:highlight w:val="none"/>
        </w:rPr>
        <w:t>t/a、BOD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：0.</w:t>
      </w:r>
      <w:r>
        <w:rPr>
          <w:rFonts w:hint="eastAsia" w:ascii="Times New Roman" w:hAnsi="Times New Roman" w:eastAsia="宋体" w:cs="Times New Roman"/>
          <w:caps w:val="0"/>
          <w:smallCaps w:val="0"/>
          <w:color w:val="auto"/>
          <w:spacing w:val="0"/>
          <w:highlight w:val="none"/>
          <w:lang w:val="en-US" w:eastAsia="zh-CN"/>
        </w:rPr>
        <w:t>648</w:t>
      </w:r>
      <w:r>
        <w:rPr>
          <w:rFonts w:ascii="Times New Roman" w:hAnsi="Times New Roman" w:eastAsia="宋体" w:cs="Times New Roman"/>
          <w:caps w:val="0"/>
          <w:smallCaps w:val="0"/>
          <w:color w:val="auto"/>
          <w:spacing w:val="0"/>
          <w:highlight w:val="none"/>
        </w:rPr>
        <w:t>t/a、氨氮：0</w:t>
      </w:r>
      <w:r>
        <w:rPr>
          <w:rFonts w:hint="eastAsia" w:ascii="Times New Roman" w:hAnsi="Times New Roman" w:eastAsia="宋体" w:cs="Times New Roman"/>
          <w:caps w:val="0"/>
          <w:smallCaps w:val="0"/>
          <w:color w:val="auto"/>
          <w:spacing w:val="0"/>
          <w:highlight w:val="none"/>
          <w:lang w:val="en-US" w:eastAsia="zh-CN"/>
        </w:rPr>
        <w:t>.245</w:t>
      </w:r>
      <w:r>
        <w:rPr>
          <w:rFonts w:ascii="Times New Roman" w:hAnsi="Times New Roman" w:eastAsia="宋体" w:cs="Times New Roman"/>
          <w:caps w:val="0"/>
          <w:smallCaps w:val="0"/>
          <w:color w:val="auto"/>
          <w:spacing w:val="0"/>
          <w:highlight w:val="none"/>
        </w:rPr>
        <w:t>t/a、SS：0.</w:t>
      </w:r>
      <w:r>
        <w:rPr>
          <w:rFonts w:hint="eastAsia" w:ascii="Times New Roman" w:hAnsi="Times New Roman" w:eastAsia="宋体" w:cs="Times New Roman"/>
          <w:caps w:val="0"/>
          <w:smallCaps w:val="0"/>
          <w:color w:val="auto"/>
          <w:spacing w:val="0"/>
          <w:highlight w:val="none"/>
          <w:lang w:val="en-US" w:eastAsia="zh-CN"/>
        </w:rPr>
        <w:t>783</w:t>
      </w:r>
      <w:r>
        <w:rPr>
          <w:rFonts w:ascii="Times New Roman" w:hAnsi="Times New Roman" w:eastAsia="宋体" w:cs="Times New Roman"/>
          <w:caps w:val="0"/>
          <w:smallCaps w:val="0"/>
          <w:color w:val="auto"/>
          <w:spacing w:val="0"/>
          <w:highlight w:val="none"/>
        </w:rPr>
        <w:t>t/a</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position w:val="2"/>
          <w:highlight w:val="none"/>
          <w:lang w:val="en-US" w:eastAsia="zh-CN"/>
        </w:rPr>
        <w:t>本工程废水换算为基准排水量排放浓度满足《电池工业污染物排放标准》（</w:t>
      </w:r>
      <w:r>
        <w:rPr>
          <w:rFonts w:ascii="Times New Roman" w:hAnsi="Times New Roman" w:eastAsia="宋体" w:cs="Times New Roman"/>
          <w:caps w:val="0"/>
          <w:smallCaps w:val="0"/>
          <w:color w:val="auto"/>
          <w:spacing w:val="0"/>
          <w:position w:val="2"/>
          <w:highlight w:val="none"/>
          <w:lang w:val="en-US" w:eastAsia="zh-CN"/>
        </w:rPr>
        <w:t>GB30484-2013</w:t>
      </w:r>
      <w:r>
        <w:rPr>
          <w:rFonts w:hint="eastAsia" w:ascii="Times New Roman" w:hAnsi="Times New Roman" w:eastAsia="宋体" w:cs="Times New Roman"/>
          <w:caps w:val="0"/>
          <w:smallCaps w:val="0"/>
          <w:color w:val="auto"/>
          <w:spacing w:val="0"/>
          <w:position w:val="2"/>
          <w:highlight w:val="none"/>
          <w:lang w:val="en-US" w:eastAsia="zh-CN"/>
        </w:rPr>
        <w:t>）表</w:t>
      </w:r>
      <w:r>
        <w:rPr>
          <w:rFonts w:hint="default" w:ascii="Times New Roman" w:hAnsi="Times New Roman" w:eastAsia="宋体" w:cs="Times New Roman"/>
          <w:caps w:val="0"/>
          <w:smallCaps w:val="0"/>
          <w:color w:val="auto"/>
          <w:spacing w:val="0"/>
          <w:position w:val="2"/>
          <w:highlight w:val="none"/>
          <w:lang w:val="en-US" w:eastAsia="zh-CN"/>
        </w:rPr>
        <w:t>2</w:t>
      </w:r>
      <w:r>
        <w:rPr>
          <w:rFonts w:hint="eastAsia" w:ascii="Times New Roman" w:hAnsi="Times New Roman" w:eastAsia="宋体" w:cs="Times New Roman"/>
          <w:caps w:val="0"/>
          <w:smallCaps w:val="0"/>
          <w:color w:val="auto"/>
          <w:spacing w:val="0"/>
          <w:position w:val="2"/>
          <w:highlight w:val="none"/>
          <w:lang w:val="en-US" w:eastAsia="zh-CN"/>
        </w:rPr>
        <w:t>间接排放限值要求</w:t>
      </w:r>
      <w:r>
        <w:rPr>
          <w:rFonts w:hint="eastAsia" w:ascii="Times New Roman" w:hAnsi="Times New Roman" w:eastAsia="宋体" w:cs="Times New Roman"/>
          <w:caps w:val="0"/>
          <w:smallCaps w:val="0"/>
          <w:color w:val="auto"/>
          <w:spacing w:val="0"/>
          <w:highlight w:val="none"/>
        </w:rPr>
        <w:t>。</w:t>
      </w:r>
    </w:p>
    <w:p w14:paraId="35AAE3FE">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本项目不新增员工无生活废水产生，本次废水主要</w:t>
      </w:r>
      <w:r>
        <w:rPr>
          <w:rFonts w:hint="eastAsia" w:ascii="Times New Roman" w:hAnsi="Times New Roman" w:eastAsia="宋体" w:cs="Times New Roman"/>
          <w:caps w:val="0"/>
          <w:smallCaps w:val="0"/>
          <w:color w:val="auto"/>
          <w:spacing w:val="0"/>
          <w:kern w:val="0"/>
          <w:szCs w:val="24"/>
          <w:highlight w:val="none"/>
          <w:lang w:bidi="ar"/>
        </w:rPr>
        <w:t>为</w:t>
      </w:r>
      <w:r>
        <w:rPr>
          <w:rFonts w:ascii="Times New Roman" w:hAnsi="Times New Roman" w:eastAsia="宋体" w:cs="Times New Roman"/>
          <w:caps w:val="0"/>
          <w:smallCaps w:val="0"/>
          <w:color w:val="auto"/>
          <w:spacing w:val="0"/>
          <w:kern w:val="0"/>
          <w:szCs w:val="24"/>
          <w:highlight w:val="none"/>
          <w:lang w:bidi="ar"/>
        </w:rPr>
        <w:t>生产废水，生产废水根据废水产生工艺及污染物分为碱性废水、显影废水、低浓度含镉废水及高浓度含镉废水。本项目建设废水处理设施一间采用“调节+沉淀+TMF膜+催化+气浮+生化+MBR+RO反渗透+三效蒸发”工艺。</w:t>
      </w:r>
    </w:p>
    <w:p w14:paraId="6487E1AD">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显影及显影清洗废水进入显影废水收集池+预沉淀+催化+气浮+生化+MBR+RO反渗透+三效蒸发处理；涂覆前清洗废水、ZnTe膜层溅射后清洗废水及背电极镀膜前清洗废水均为低浓度含镉废水，进入低浓度废水收集池+调节pH+TMF膜系统+RO反渗透+三效蒸发处理；活化层喷涂废液及活化层清洗、蚀刻废水为高浓度含镉废水，高浓度含镉废水进入高浓废水收集池+调节pH+高效沉淀+RO反渗透+三效蒸发处理。上述废水处理后经废水处理设施处理后产生的纯水全部回用于生产工序，实现含镉废水零排放。</w:t>
      </w:r>
    </w:p>
    <w:p w14:paraId="2D587B5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基片清洗废水经碱性废水处理系统收集，pH中和后与纯水制备废水统一经园区污水管网进入佳木斯高新区污水处理厂。</w:t>
      </w:r>
      <w:r>
        <w:rPr>
          <w:rFonts w:ascii="Times New Roman" w:hAnsi="Times New Roman" w:eastAsia="宋体" w:cs="Times New Roman"/>
          <w:caps w:val="0"/>
          <w:smallCaps w:val="0"/>
          <w:color w:val="auto"/>
          <w:spacing w:val="0"/>
          <w:szCs w:val="24"/>
          <w:highlight w:val="none"/>
        </w:rPr>
        <w:t>本项目生产废水、生活污水不直接进入地表水体，对地表水影响较小</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因此，本</w:t>
      </w:r>
      <w:r>
        <w:rPr>
          <w:rFonts w:hint="eastAsia" w:ascii="Times New Roman" w:hAnsi="Times New Roman" w:eastAsia="宋体" w:cs="Times New Roman"/>
          <w:caps w:val="0"/>
          <w:smallCaps w:val="0"/>
          <w:color w:val="auto"/>
          <w:spacing w:val="0"/>
          <w:szCs w:val="24"/>
          <w:highlight w:val="none"/>
        </w:rPr>
        <w:t>项目</w:t>
      </w:r>
      <w:r>
        <w:rPr>
          <w:rFonts w:ascii="Times New Roman" w:hAnsi="Times New Roman" w:eastAsia="宋体" w:cs="Times New Roman"/>
          <w:caps w:val="0"/>
          <w:smallCaps w:val="0"/>
          <w:color w:val="auto"/>
          <w:spacing w:val="0"/>
          <w:szCs w:val="24"/>
          <w:highlight w:val="none"/>
        </w:rPr>
        <w:t>废水采取对水环境影响较小。</w:t>
      </w:r>
    </w:p>
    <w:p w14:paraId="720C09B5">
      <w:pPr>
        <w:widowControl w:val="0"/>
        <w:spacing w:line="360" w:lineRule="auto"/>
        <w:ind w:firstLine="480" w:firstLineChars="200"/>
        <w:jc w:val="both"/>
        <w:rPr>
          <w:rFonts w:eastAsia="宋体"/>
          <w:caps w:val="0"/>
          <w:smallCaps w:val="0"/>
          <w:color w:val="auto"/>
          <w:spacing w:val="0"/>
          <w:highlight w:val="none"/>
        </w:rPr>
      </w:pPr>
      <w:r>
        <w:rPr>
          <w:rFonts w:hint="eastAsia" w:eastAsia="宋体"/>
          <w:caps w:val="0"/>
          <w:smallCaps w:val="0"/>
          <w:color w:val="auto"/>
          <w:spacing w:val="0"/>
          <w:highlight w:val="none"/>
        </w:rPr>
        <w:t>本项目污水污染物产生及排放情况见下表。</w:t>
      </w:r>
    </w:p>
    <w:p w14:paraId="0DA76C03">
      <w:pPr>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w:t>
      </w:r>
      <w:r>
        <w:rPr>
          <w:rFonts w:hint="eastAsia" w:ascii="Times New Roman" w:hAnsi="Times New Roman" w:eastAsia="宋体" w:cs="Times New Roman"/>
          <w:b/>
          <w:bCs/>
          <w:caps w:val="0"/>
          <w:smallCaps w:val="0"/>
          <w:color w:val="auto"/>
          <w:spacing w:val="0"/>
          <w:szCs w:val="24"/>
          <w:highlight w:val="none"/>
        </w:rPr>
        <w:t>5.2-2</w:t>
      </w:r>
      <w:r>
        <w:rPr>
          <w:rFonts w:ascii="Times New Roman" w:hAnsi="Times New Roman" w:eastAsia="宋体" w:cs="Times New Roman"/>
          <w:b/>
          <w:bCs/>
          <w:caps w:val="0"/>
          <w:smallCaps w:val="0"/>
          <w:color w:val="auto"/>
          <w:spacing w:val="0"/>
          <w:szCs w:val="24"/>
          <w:highlight w:val="none"/>
        </w:rPr>
        <w:t>本项目污水污染物产生及排放情况一览表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62"/>
        <w:gridCol w:w="1132"/>
        <w:gridCol w:w="917"/>
        <w:gridCol w:w="1013"/>
        <w:gridCol w:w="1404"/>
        <w:gridCol w:w="816"/>
        <w:gridCol w:w="878"/>
        <w:gridCol w:w="832"/>
        <w:gridCol w:w="760"/>
      </w:tblGrid>
      <w:tr w14:paraId="39C2F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414" w:type="pct"/>
            <w:vMerge w:val="restart"/>
            <w:vAlign w:val="center"/>
          </w:tcPr>
          <w:p w14:paraId="6C4007C2">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工序</w:t>
            </w:r>
          </w:p>
        </w:tc>
        <w:tc>
          <w:tcPr>
            <w:tcW w:w="410" w:type="pct"/>
            <w:vMerge w:val="restart"/>
            <w:vAlign w:val="center"/>
          </w:tcPr>
          <w:p w14:paraId="59856020">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废水量</w:t>
            </w:r>
          </w:p>
        </w:tc>
        <w:tc>
          <w:tcPr>
            <w:tcW w:w="609" w:type="pct"/>
            <w:vMerge w:val="restart"/>
            <w:vAlign w:val="center"/>
          </w:tcPr>
          <w:p w14:paraId="710282C0">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污染物</w:t>
            </w:r>
          </w:p>
        </w:tc>
        <w:tc>
          <w:tcPr>
            <w:tcW w:w="1038" w:type="pct"/>
            <w:gridSpan w:val="2"/>
            <w:vAlign w:val="center"/>
          </w:tcPr>
          <w:p w14:paraId="0F233D94">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污染物产生</w:t>
            </w:r>
          </w:p>
        </w:tc>
        <w:tc>
          <w:tcPr>
            <w:tcW w:w="1195" w:type="pct"/>
            <w:gridSpan w:val="2"/>
            <w:vAlign w:val="center"/>
          </w:tcPr>
          <w:p w14:paraId="006398EF">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治理措施</w:t>
            </w:r>
          </w:p>
        </w:tc>
        <w:tc>
          <w:tcPr>
            <w:tcW w:w="921" w:type="pct"/>
            <w:gridSpan w:val="2"/>
            <w:vAlign w:val="center"/>
          </w:tcPr>
          <w:p w14:paraId="7252A4B7">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污染物排放</w:t>
            </w:r>
          </w:p>
        </w:tc>
        <w:tc>
          <w:tcPr>
            <w:tcW w:w="410" w:type="pct"/>
            <w:vMerge w:val="restart"/>
            <w:vAlign w:val="center"/>
          </w:tcPr>
          <w:p w14:paraId="2D1E3C8C">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排放时间</w:t>
            </w:r>
          </w:p>
        </w:tc>
      </w:tr>
      <w:tr w14:paraId="14F328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45055588">
            <w:pPr>
              <w:pStyle w:val="210"/>
              <w:rPr>
                <w:rFonts w:ascii="Times New Roman" w:hAnsi="Times New Roman" w:eastAsia="宋体" w:cs="Times New Roman"/>
                <w:caps w:val="0"/>
                <w:smallCaps w:val="0"/>
                <w:color w:val="auto"/>
                <w:spacing w:val="0"/>
                <w:sz w:val="21"/>
                <w:szCs w:val="21"/>
                <w:highlight w:val="none"/>
              </w:rPr>
            </w:pPr>
          </w:p>
        </w:tc>
        <w:tc>
          <w:tcPr>
            <w:tcW w:w="410" w:type="pct"/>
            <w:vMerge w:val="continue"/>
            <w:vAlign w:val="center"/>
          </w:tcPr>
          <w:p w14:paraId="231FDED1">
            <w:pPr>
              <w:pStyle w:val="210"/>
              <w:rPr>
                <w:rFonts w:ascii="Times New Roman" w:hAnsi="Times New Roman" w:eastAsia="宋体" w:cs="Times New Roman"/>
                <w:caps w:val="0"/>
                <w:smallCaps w:val="0"/>
                <w:color w:val="auto"/>
                <w:spacing w:val="0"/>
                <w:sz w:val="21"/>
                <w:szCs w:val="21"/>
                <w:highlight w:val="none"/>
              </w:rPr>
            </w:pPr>
          </w:p>
        </w:tc>
        <w:tc>
          <w:tcPr>
            <w:tcW w:w="609" w:type="pct"/>
            <w:vMerge w:val="continue"/>
            <w:vAlign w:val="center"/>
          </w:tcPr>
          <w:p w14:paraId="66AFF0E5">
            <w:pPr>
              <w:pStyle w:val="210"/>
              <w:rPr>
                <w:rFonts w:ascii="Times New Roman" w:hAnsi="Times New Roman" w:eastAsia="宋体" w:cs="Times New Roman"/>
                <w:caps w:val="0"/>
                <w:smallCaps w:val="0"/>
                <w:color w:val="auto"/>
                <w:spacing w:val="0"/>
                <w:sz w:val="21"/>
                <w:szCs w:val="21"/>
                <w:highlight w:val="none"/>
              </w:rPr>
            </w:pPr>
          </w:p>
        </w:tc>
        <w:tc>
          <w:tcPr>
            <w:tcW w:w="493" w:type="pct"/>
            <w:vAlign w:val="center"/>
          </w:tcPr>
          <w:p w14:paraId="7B052A6C">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产生浓度mg/L</w:t>
            </w:r>
          </w:p>
        </w:tc>
        <w:tc>
          <w:tcPr>
            <w:tcW w:w="545" w:type="pct"/>
            <w:vAlign w:val="center"/>
          </w:tcPr>
          <w:p w14:paraId="60B29077">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产生量t/a</w:t>
            </w:r>
          </w:p>
        </w:tc>
        <w:tc>
          <w:tcPr>
            <w:tcW w:w="756" w:type="pct"/>
            <w:vAlign w:val="center"/>
          </w:tcPr>
          <w:p w14:paraId="2DB38F73">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工艺</w:t>
            </w:r>
          </w:p>
        </w:tc>
        <w:tc>
          <w:tcPr>
            <w:tcW w:w="439" w:type="pct"/>
            <w:vAlign w:val="center"/>
          </w:tcPr>
          <w:p w14:paraId="53C634B2">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效率</w:t>
            </w:r>
          </w:p>
          <w:p w14:paraId="18BFFEC8">
            <w:pPr>
              <w:pStyle w:val="13"/>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3" w:type="pct"/>
            <w:vAlign w:val="center"/>
          </w:tcPr>
          <w:p w14:paraId="2C495D26">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排放浓度mg/L</w:t>
            </w:r>
          </w:p>
        </w:tc>
        <w:tc>
          <w:tcPr>
            <w:tcW w:w="447" w:type="pct"/>
            <w:vAlign w:val="center"/>
          </w:tcPr>
          <w:p w14:paraId="326E8CE9">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排放量t/a</w:t>
            </w:r>
          </w:p>
        </w:tc>
        <w:tc>
          <w:tcPr>
            <w:tcW w:w="410" w:type="pct"/>
            <w:vMerge w:val="continue"/>
            <w:vAlign w:val="center"/>
          </w:tcPr>
          <w:p w14:paraId="1B412B8E">
            <w:pPr>
              <w:pStyle w:val="210"/>
              <w:rPr>
                <w:rFonts w:ascii="Times New Roman" w:hAnsi="Times New Roman" w:eastAsia="宋体" w:cs="Times New Roman"/>
                <w:caps w:val="0"/>
                <w:smallCaps w:val="0"/>
                <w:color w:val="auto"/>
                <w:spacing w:val="0"/>
                <w:sz w:val="21"/>
                <w:szCs w:val="21"/>
                <w:highlight w:val="none"/>
              </w:rPr>
            </w:pPr>
          </w:p>
        </w:tc>
      </w:tr>
      <w:tr w14:paraId="0999A9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07" w:hRule="atLeast"/>
          <w:jc w:val="center"/>
        </w:trPr>
        <w:tc>
          <w:tcPr>
            <w:tcW w:w="414" w:type="pct"/>
            <w:vMerge w:val="restart"/>
            <w:vAlign w:val="center"/>
          </w:tcPr>
          <w:p w14:paraId="328168A8">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生产废水</w:t>
            </w:r>
          </w:p>
        </w:tc>
        <w:tc>
          <w:tcPr>
            <w:tcW w:w="410" w:type="pct"/>
            <w:vMerge w:val="restart"/>
            <w:vAlign w:val="center"/>
          </w:tcPr>
          <w:p w14:paraId="2AA3C813">
            <w:pPr>
              <w:pStyle w:val="21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244</w:t>
            </w:r>
            <w:r>
              <w:rPr>
                <w:rFonts w:ascii="Times New Roman" w:hAnsi="Times New Roman" w:eastAsia="宋体" w:cs="Times New Roman"/>
                <w:caps w:val="0"/>
                <w:smallCaps w:val="0"/>
                <w:color w:val="auto"/>
                <w:spacing w:val="0"/>
                <w:sz w:val="21"/>
                <w:szCs w:val="21"/>
                <w:highlight w:val="none"/>
              </w:rPr>
              <w:t>56</w:t>
            </w:r>
          </w:p>
        </w:tc>
        <w:tc>
          <w:tcPr>
            <w:tcW w:w="609" w:type="pct"/>
            <w:vAlign w:val="center"/>
          </w:tcPr>
          <w:p w14:paraId="1B964A4D">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pH</w:t>
            </w:r>
          </w:p>
        </w:tc>
        <w:tc>
          <w:tcPr>
            <w:tcW w:w="493" w:type="pct"/>
            <w:vAlign w:val="center"/>
          </w:tcPr>
          <w:p w14:paraId="3035A2AE">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545" w:type="pct"/>
            <w:vAlign w:val="center"/>
          </w:tcPr>
          <w:p w14:paraId="330A89E4">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756" w:type="pct"/>
            <w:vMerge w:val="restart"/>
            <w:vAlign w:val="center"/>
          </w:tcPr>
          <w:p w14:paraId="0BE447D1">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pH中和</w:t>
            </w:r>
          </w:p>
        </w:tc>
        <w:tc>
          <w:tcPr>
            <w:tcW w:w="439" w:type="pct"/>
            <w:vAlign w:val="center"/>
          </w:tcPr>
          <w:p w14:paraId="100BD55B">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3" w:type="pct"/>
            <w:vAlign w:val="center"/>
          </w:tcPr>
          <w:p w14:paraId="0A97F5D9">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6-9</w:t>
            </w:r>
          </w:p>
        </w:tc>
        <w:tc>
          <w:tcPr>
            <w:tcW w:w="447" w:type="pct"/>
            <w:vAlign w:val="center"/>
          </w:tcPr>
          <w:p w14:paraId="4C50A40A">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10" w:type="pct"/>
            <w:vMerge w:val="restart"/>
            <w:vAlign w:val="center"/>
          </w:tcPr>
          <w:p w14:paraId="21CEDCE3">
            <w:pPr>
              <w:pStyle w:val="21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720</w:t>
            </w:r>
            <w:r>
              <w:rPr>
                <w:rFonts w:ascii="Times New Roman" w:hAnsi="Times New Roman" w:eastAsia="宋体" w:cs="Times New Roman"/>
                <w:caps w:val="0"/>
                <w:smallCaps w:val="0"/>
                <w:color w:val="auto"/>
                <w:spacing w:val="0"/>
                <w:sz w:val="21"/>
                <w:szCs w:val="21"/>
                <w:highlight w:val="none"/>
              </w:rPr>
              <w:t>0h</w:t>
            </w:r>
          </w:p>
        </w:tc>
      </w:tr>
      <w:tr w14:paraId="5AAD19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1107F443">
            <w:pPr>
              <w:pStyle w:val="210"/>
              <w:rPr>
                <w:rFonts w:ascii="Times New Roman" w:hAnsi="Times New Roman" w:eastAsia="宋体" w:cs="Times New Roman"/>
                <w:caps w:val="0"/>
                <w:smallCaps w:val="0"/>
                <w:color w:val="auto"/>
                <w:spacing w:val="0"/>
                <w:sz w:val="21"/>
                <w:szCs w:val="21"/>
                <w:highlight w:val="none"/>
              </w:rPr>
            </w:pPr>
          </w:p>
        </w:tc>
        <w:tc>
          <w:tcPr>
            <w:tcW w:w="410" w:type="pct"/>
            <w:vMerge w:val="continue"/>
            <w:vAlign w:val="center"/>
          </w:tcPr>
          <w:p w14:paraId="71F6F8BF">
            <w:pPr>
              <w:pStyle w:val="210"/>
              <w:rPr>
                <w:rFonts w:ascii="Times New Roman" w:hAnsi="Times New Roman" w:eastAsia="宋体" w:cs="Times New Roman"/>
                <w:caps w:val="0"/>
                <w:smallCaps w:val="0"/>
                <w:color w:val="auto"/>
                <w:spacing w:val="0"/>
                <w:sz w:val="21"/>
                <w:szCs w:val="21"/>
                <w:highlight w:val="none"/>
              </w:rPr>
            </w:pPr>
          </w:p>
        </w:tc>
        <w:tc>
          <w:tcPr>
            <w:tcW w:w="609" w:type="pct"/>
            <w:vAlign w:val="center"/>
          </w:tcPr>
          <w:p w14:paraId="52E7EF7F">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COD</w:t>
            </w:r>
          </w:p>
        </w:tc>
        <w:tc>
          <w:tcPr>
            <w:tcW w:w="493" w:type="pct"/>
            <w:vAlign w:val="center"/>
          </w:tcPr>
          <w:p w14:paraId="1C4CB88D">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85</w:t>
            </w:r>
          </w:p>
        </w:tc>
        <w:tc>
          <w:tcPr>
            <w:tcW w:w="1013" w:type="dxa"/>
            <w:vAlign w:val="center"/>
          </w:tcPr>
          <w:p w14:paraId="09D10701">
            <w:pPr>
              <w:pStyle w:val="21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2.079</w:t>
            </w:r>
          </w:p>
        </w:tc>
        <w:tc>
          <w:tcPr>
            <w:tcW w:w="756" w:type="pct"/>
            <w:vMerge w:val="continue"/>
            <w:vAlign w:val="center"/>
          </w:tcPr>
          <w:p w14:paraId="4BF89191">
            <w:pPr>
              <w:pStyle w:val="210"/>
              <w:jc w:val="both"/>
              <w:rPr>
                <w:rFonts w:ascii="Times New Roman" w:hAnsi="Times New Roman" w:eastAsia="宋体" w:cs="Times New Roman"/>
                <w:caps w:val="0"/>
                <w:smallCaps w:val="0"/>
                <w:color w:val="auto"/>
                <w:spacing w:val="0"/>
                <w:sz w:val="21"/>
                <w:szCs w:val="21"/>
                <w:highlight w:val="none"/>
              </w:rPr>
            </w:pPr>
          </w:p>
        </w:tc>
        <w:tc>
          <w:tcPr>
            <w:tcW w:w="439" w:type="pct"/>
            <w:vAlign w:val="center"/>
          </w:tcPr>
          <w:p w14:paraId="036AE66D">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879" w:type="dxa"/>
            <w:vAlign w:val="center"/>
          </w:tcPr>
          <w:p w14:paraId="20298399">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85</w:t>
            </w:r>
          </w:p>
        </w:tc>
        <w:tc>
          <w:tcPr>
            <w:tcW w:w="832" w:type="dxa"/>
            <w:vAlign w:val="center"/>
          </w:tcPr>
          <w:p w14:paraId="78B241CD">
            <w:pPr>
              <w:pStyle w:val="21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2.079</w:t>
            </w:r>
          </w:p>
        </w:tc>
        <w:tc>
          <w:tcPr>
            <w:tcW w:w="410" w:type="pct"/>
            <w:vMerge w:val="continue"/>
            <w:vAlign w:val="center"/>
          </w:tcPr>
          <w:p w14:paraId="61D0B266">
            <w:pPr>
              <w:pStyle w:val="210"/>
              <w:rPr>
                <w:rFonts w:ascii="Times New Roman" w:hAnsi="Times New Roman" w:eastAsia="宋体" w:cs="Times New Roman"/>
                <w:caps w:val="0"/>
                <w:smallCaps w:val="0"/>
                <w:color w:val="auto"/>
                <w:spacing w:val="0"/>
                <w:sz w:val="21"/>
                <w:szCs w:val="21"/>
                <w:highlight w:val="none"/>
              </w:rPr>
            </w:pPr>
          </w:p>
        </w:tc>
      </w:tr>
      <w:tr w14:paraId="3C238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3D7D0915">
            <w:pPr>
              <w:pStyle w:val="210"/>
              <w:rPr>
                <w:rFonts w:ascii="Times New Roman" w:hAnsi="Times New Roman" w:eastAsia="宋体" w:cs="Times New Roman"/>
                <w:caps w:val="0"/>
                <w:smallCaps w:val="0"/>
                <w:color w:val="auto"/>
                <w:spacing w:val="0"/>
                <w:sz w:val="21"/>
                <w:szCs w:val="21"/>
                <w:highlight w:val="none"/>
              </w:rPr>
            </w:pPr>
          </w:p>
        </w:tc>
        <w:tc>
          <w:tcPr>
            <w:tcW w:w="410" w:type="pct"/>
            <w:vMerge w:val="continue"/>
            <w:vAlign w:val="center"/>
          </w:tcPr>
          <w:p w14:paraId="6547F860">
            <w:pPr>
              <w:pStyle w:val="210"/>
              <w:rPr>
                <w:rFonts w:ascii="Times New Roman" w:hAnsi="Times New Roman" w:eastAsia="宋体" w:cs="Times New Roman"/>
                <w:caps w:val="0"/>
                <w:smallCaps w:val="0"/>
                <w:color w:val="auto"/>
                <w:spacing w:val="0"/>
                <w:sz w:val="21"/>
                <w:szCs w:val="21"/>
                <w:highlight w:val="none"/>
              </w:rPr>
            </w:pPr>
          </w:p>
        </w:tc>
        <w:tc>
          <w:tcPr>
            <w:tcW w:w="609" w:type="pct"/>
            <w:vAlign w:val="center"/>
          </w:tcPr>
          <w:p w14:paraId="1015EDE9">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NH</w:t>
            </w:r>
            <w:r>
              <w:rPr>
                <w:rFonts w:ascii="Times New Roman" w:hAnsi="Times New Roman" w:eastAsia="宋体" w:cs="Times New Roman"/>
                <w:caps w:val="0"/>
                <w:smallCaps w:val="0"/>
                <w:color w:val="auto"/>
                <w:spacing w:val="0"/>
                <w:sz w:val="21"/>
                <w:szCs w:val="21"/>
                <w:highlight w:val="none"/>
                <w:vertAlign w:val="subscript"/>
              </w:rPr>
              <w:t>3</w:t>
            </w:r>
            <w:r>
              <w:rPr>
                <w:rFonts w:ascii="Times New Roman" w:hAnsi="Times New Roman" w:eastAsia="宋体" w:cs="Times New Roman"/>
                <w:caps w:val="0"/>
                <w:smallCaps w:val="0"/>
                <w:color w:val="auto"/>
                <w:spacing w:val="0"/>
                <w:sz w:val="21"/>
                <w:szCs w:val="21"/>
                <w:highlight w:val="none"/>
              </w:rPr>
              <w:t>-N</w:t>
            </w:r>
          </w:p>
        </w:tc>
        <w:tc>
          <w:tcPr>
            <w:tcW w:w="493" w:type="pct"/>
            <w:vAlign w:val="center"/>
          </w:tcPr>
          <w:p w14:paraId="2950D16A">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10</w:t>
            </w:r>
          </w:p>
        </w:tc>
        <w:tc>
          <w:tcPr>
            <w:tcW w:w="1013" w:type="dxa"/>
            <w:vAlign w:val="center"/>
          </w:tcPr>
          <w:p w14:paraId="4AA7D767">
            <w:pPr>
              <w:pStyle w:val="21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0.245</w:t>
            </w:r>
          </w:p>
        </w:tc>
        <w:tc>
          <w:tcPr>
            <w:tcW w:w="756" w:type="pct"/>
            <w:vMerge w:val="continue"/>
            <w:vAlign w:val="center"/>
          </w:tcPr>
          <w:p w14:paraId="715B9F64">
            <w:pPr>
              <w:pStyle w:val="210"/>
              <w:rPr>
                <w:rFonts w:ascii="Times New Roman" w:hAnsi="Times New Roman" w:eastAsia="宋体" w:cs="Times New Roman"/>
                <w:caps w:val="0"/>
                <w:smallCaps w:val="0"/>
                <w:color w:val="auto"/>
                <w:spacing w:val="0"/>
                <w:sz w:val="21"/>
                <w:szCs w:val="21"/>
                <w:highlight w:val="none"/>
              </w:rPr>
            </w:pPr>
          </w:p>
        </w:tc>
        <w:tc>
          <w:tcPr>
            <w:tcW w:w="439" w:type="pct"/>
            <w:vAlign w:val="center"/>
          </w:tcPr>
          <w:p w14:paraId="041F4EDF">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879" w:type="dxa"/>
            <w:vAlign w:val="center"/>
          </w:tcPr>
          <w:p w14:paraId="0440B588">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10</w:t>
            </w:r>
          </w:p>
        </w:tc>
        <w:tc>
          <w:tcPr>
            <w:tcW w:w="832" w:type="dxa"/>
            <w:vAlign w:val="center"/>
          </w:tcPr>
          <w:p w14:paraId="450DEA46">
            <w:pPr>
              <w:pStyle w:val="21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lang w:val="en-US" w:eastAsia="zh-CN"/>
              </w:rPr>
              <w:t>0.245</w:t>
            </w:r>
          </w:p>
        </w:tc>
        <w:tc>
          <w:tcPr>
            <w:tcW w:w="410" w:type="pct"/>
            <w:vMerge w:val="continue"/>
            <w:vAlign w:val="center"/>
          </w:tcPr>
          <w:p w14:paraId="38E53ED8">
            <w:pPr>
              <w:pStyle w:val="210"/>
              <w:rPr>
                <w:rFonts w:ascii="Times New Roman" w:hAnsi="Times New Roman" w:eastAsia="宋体" w:cs="Times New Roman"/>
                <w:caps w:val="0"/>
                <w:smallCaps w:val="0"/>
                <w:color w:val="auto"/>
                <w:spacing w:val="0"/>
                <w:sz w:val="21"/>
                <w:szCs w:val="21"/>
                <w:highlight w:val="none"/>
              </w:rPr>
            </w:pPr>
          </w:p>
        </w:tc>
      </w:tr>
      <w:tr w14:paraId="3E946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714063BD">
            <w:pPr>
              <w:pStyle w:val="210"/>
              <w:rPr>
                <w:rFonts w:ascii="Times New Roman" w:hAnsi="Times New Roman" w:eastAsia="宋体" w:cs="Times New Roman"/>
                <w:caps w:val="0"/>
                <w:smallCaps w:val="0"/>
                <w:color w:val="auto"/>
                <w:spacing w:val="0"/>
                <w:sz w:val="21"/>
                <w:szCs w:val="21"/>
                <w:highlight w:val="none"/>
              </w:rPr>
            </w:pPr>
          </w:p>
        </w:tc>
        <w:tc>
          <w:tcPr>
            <w:tcW w:w="410" w:type="pct"/>
            <w:vMerge w:val="continue"/>
            <w:vAlign w:val="center"/>
          </w:tcPr>
          <w:p w14:paraId="5EF5E4DA">
            <w:pPr>
              <w:pStyle w:val="210"/>
              <w:rPr>
                <w:rFonts w:ascii="Times New Roman" w:hAnsi="Times New Roman" w:eastAsia="宋体" w:cs="Times New Roman"/>
                <w:caps w:val="0"/>
                <w:smallCaps w:val="0"/>
                <w:color w:val="auto"/>
                <w:spacing w:val="0"/>
                <w:sz w:val="21"/>
                <w:szCs w:val="21"/>
                <w:highlight w:val="none"/>
              </w:rPr>
            </w:pPr>
          </w:p>
        </w:tc>
        <w:tc>
          <w:tcPr>
            <w:tcW w:w="609" w:type="pct"/>
            <w:vAlign w:val="center"/>
          </w:tcPr>
          <w:p w14:paraId="0D4971C9">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SS</w:t>
            </w:r>
          </w:p>
        </w:tc>
        <w:tc>
          <w:tcPr>
            <w:tcW w:w="493" w:type="pct"/>
            <w:vAlign w:val="center"/>
          </w:tcPr>
          <w:p w14:paraId="00CF8E78">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32</w:t>
            </w:r>
          </w:p>
        </w:tc>
        <w:tc>
          <w:tcPr>
            <w:tcW w:w="1013" w:type="dxa"/>
            <w:vAlign w:val="center"/>
          </w:tcPr>
          <w:p w14:paraId="1362EA89">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0.</w:t>
            </w:r>
            <w:r>
              <w:rPr>
                <w:rFonts w:hint="eastAsia" w:ascii="Times New Roman" w:hAnsi="Times New Roman" w:eastAsia="宋体" w:cs="Times New Roman"/>
                <w:caps w:val="0"/>
                <w:smallCaps w:val="0"/>
                <w:color w:val="auto"/>
                <w:spacing w:val="0"/>
                <w:sz w:val="21"/>
                <w:szCs w:val="21"/>
                <w:highlight w:val="none"/>
                <w:lang w:val="en-US" w:eastAsia="zh-CN"/>
              </w:rPr>
              <w:t>783</w:t>
            </w:r>
          </w:p>
        </w:tc>
        <w:tc>
          <w:tcPr>
            <w:tcW w:w="756" w:type="pct"/>
            <w:vMerge w:val="continue"/>
            <w:vAlign w:val="center"/>
          </w:tcPr>
          <w:p w14:paraId="4A2CAD99">
            <w:pPr>
              <w:pStyle w:val="210"/>
              <w:rPr>
                <w:rFonts w:ascii="Times New Roman" w:hAnsi="Times New Roman" w:eastAsia="宋体" w:cs="Times New Roman"/>
                <w:caps w:val="0"/>
                <w:smallCaps w:val="0"/>
                <w:color w:val="auto"/>
                <w:spacing w:val="0"/>
                <w:sz w:val="21"/>
                <w:szCs w:val="21"/>
                <w:highlight w:val="none"/>
              </w:rPr>
            </w:pPr>
          </w:p>
        </w:tc>
        <w:tc>
          <w:tcPr>
            <w:tcW w:w="439" w:type="pct"/>
            <w:vAlign w:val="center"/>
          </w:tcPr>
          <w:p w14:paraId="4C6B88E2">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879" w:type="dxa"/>
            <w:vAlign w:val="center"/>
          </w:tcPr>
          <w:p w14:paraId="1A89A146">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32</w:t>
            </w:r>
          </w:p>
        </w:tc>
        <w:tc>
          <w:tcPr>
            <w:tcW w:w="832" w:type="dxa"/>
            <w:vAlign w:val="center"/>
          </w:tcPr>
          <w:p w14:paraId="71223384">
            <w:pPr>
              <w:pStyle w:val="210"/>
              <w:rPr>
                <w:rFonts w:hint="default" w:ascii="Times New Roman" w:hAnsi="Times New Roman" w:eastAsia="宋体" w:cs="Times New Roman"/>
                <w:caps w:val="0"/>
                <w:smallCaps w:val="0"/>
                <w:color w:val="auto"/>
                <w:spacing w:val="0"/>
                <w:sz w:val="21"/>
                <w:szCs w:val="21"/>
                <w:highlight w:val="none"/>
                <w:lang w:val="en-US" w:eastAsia="zh-CN"/>
              </w:rPr>
            </w:pPr>
            <w:r>
              <w:rPr>
                <w:rFonts w:ascii="Times New Roman" w:hAnsi="Times New Roman" w:eastAsia="宋体" w:cs="Times New Roman"/>
                <w:caps w:val="0"/>
                <w:smallCaps w:val="0"/>
                <w:color w:val="auto"/>
                <w:spacing w:val="0"/>
                <w:sz w:val="21"/>
                <w:szCs w:val="21"/>
                <w:highlight w:val="none"/>
              </w:rPr>
              <w:t>0.</w:t>
            </w:r>
            <w:r>
              <w:rPr>
                <w:rFonts w:hint="eastAsia" w:ascii="Times New Roman" w:hAnsi="Times New Roman" w:eastAsia="宋体" w:cs="Times New Roman"/>
                <w:caps w:val="0"/>
                <w:smallCaps w:val="0"/>
                <w:color w:val="auto"/>
                <w:spacing w:val="0"/>
                <w:sz w:val="21"/>
                <w:szCs w:val="21"/>
                <w:highlight w:val="none"/>
                <w:lang w:val="en-US" w:eastAsia="zh-CN"/>
              </w:rPr>
              <w:t>783</w:t>
            </w:r>
          </w:p>
        </w:tc>
        <w:tc>
          <w:tcPr>
            <w:tcW w:w="410" w:type="pct"/>
            <w:vMerge w:val="continue"/>
            <w:vAlign w:val="center"/>
          </w:tcPr>
          <w:p w14:paraId="17D78A92">
            <w:pPr>
              <w:pStyle w:val="210"/>
              <w:rPr>
                <w:rFonts w:ascii="Times New Roman" w:hAnsi="Times New Roman" w:eastAsia="宋体" w:cs="Times New Roman"/>
                <w:caps w:val="0"/>
                <w:smallCaps w:val="0"/>
                <w:color w:val="auto"/>
                <w:spacing w:val="0"/>
                <w:sz w:val="21"/>
                <w:szCs w:val="21"/>
                <w:highlight w:val="none"/>
              </w:rPr>
            </w:pPr>
          </w:p>
        </w:tc>
      </w:tr>
      <w:tr w14:paraId="7EF226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14" w:type="pct"/>
            <w:vMerge w:val="continue"/>
            <w:vAlign w:val="center"/>
          </w:tcPr>
          <w:p w14:paraId="34BFCE5B">
            <w:pPr>
              <w:pStyle w:val="210"/>
              <w:rPr>
                <w:rFonts w:ascii="Times New Roman" w:hAnsi="Times New Roman" w:eastAsia="宋体" w:cs="Times New Roman"/>
                <w:caps w:val="0"/>
                <w:smallCaps w:val="0"/>
                <w:color w:val="auto"/>
                <w:spacing w:val="0"/>
                <w:sz w:val="21"/>
                <w:szCs w:val="21"/>
                <w:highlight w:val="none"/>
              </w:rPr>
            </w:pPr>
          </w:p>
        </w:tc>
        <w:tc>
          <w:tcPr>
            <w:tcW w:w="410" w:type="pct"/>
            <w:vMerge w:val="continue"/>
            <w:vAlign w:val="center"/>
          </w:tcPr>
          <w:p w14:paraId="6C1A4CA0">
            <w:pPr>
              <w:pStyle w:val="210"/>
              <w:rPr>
                <w:rFonts w:ascii="Times New Roman" w:hAnsi="Times New Roman" w:eastAsia="宋体" w:cs="Times New Roman"/>
                <w:caps w:val="0"/>
                <w:smallCaps w:val="0"/>
                <w:color w:val="auto"/>
                <w:spacing w:val="0"/>
                <w:sz w:val="21"/>
                <w:szCs w:val="21"/>
                <w:highlight w:val="none"/>
              </w:rPr>
            </w:pPr>
          </w:p>
        </w:tc>
        <w:tc>
          <w:tcPr>
            <w:tcW w:w="609" w:type="pct"/>
            <w:vAlign w:val="center"/>
          </w:tcPr>
          <w:p w14:paraId="0BD3003E">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BOD</w:t>
            </w:r>
            <w:r>
              <w:rPr>
                <w:rFonts w:ascii="Times New Roman" w:hAnsi="Times New Roman" w:eastAsia="宋体" w:cs="Times New Roman"/>
                <w:caps w:val="0"/>
                <w:smallCaps w:val="0"/>
                <w:color w:val="auto"/>
                <w:spacing w:val="0"/>
                <w:sz w:val="21"/>
                <w:szCs w:val="21"/>
                <w:highlight w:val="none"/>
                <w:vertAlign w:val="subscript"/>
              </w:rPr>
              <w:t>5</w:t>
            </w:r>
          </w:p>
        </w:tc>
        <w:tc>
          <w:tcPr>
            <w:tcW w:w="493" w:type="pct"/>
            <w:vAlign w:val="center"/>
          </w:tcPr>
          <w:p w14:paraId="5AE15226">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26.5</w:t>
            </w:r>
          </w:p>
        </w:tc>
        <w:tc>
          <w:tcPr>
            <w:tcW w:w="1013" w:type="dxa"/>
            <w:vAlign w:val="center"/>
          </w:tcPr>
          <w:p w14:paraId="3C223E74">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0.</w:t>
            </w:r>
            <w:r>
              <w:rPr>
                <w:rFonts w:hint="eastAsia" w:ascii="Times New Roman" w:hAnsi="Times New Roman" w:eastAsia="宋体" w:cs="Times New Roman"/>
                <w:caps w:val="0"/>
                <w:smallCaps w:val="0"/>
                <w:color w:val="auto"/>
                <w:spacing w:val="0"/>
                <w:sz w:val="21"/>
                <w:szCs w:val="21"/>
                <w:highlight w:val="none"/>
                <w:lang w:val="en-US" w:eastAsia="zh-CN"/>
              </w:rPr>
              <w:t>648</w:t>
            </w:r>
          </w:p>
        </w:tc>
        <w:tc>
          <w:tcPr>
            <w:tcW w:w="756" w:type="pct"/>
            <w:vMerge w:val="continue"/>
            <w:vAlign w:val="center"/>
          </w:tcPr>
          <w:p w14:paraId="0D97801D">
            <w:pPr>
              <w:pStyle w:val="210"/>
              <w:rPr>
                <w:rFonts w:ascii="Times New Roman" w:hAnsi="Times New Roman" w:eastAsia="宋体" w:cs="Times New Roman"/>
                <w:caps w:val="0"/>
                <w:smallCaps w:val="0"/>
                <w:color w:val="auto"/>
                <w:spacing w:val="0"/>
                <w:sz w:val="21"/>
                <w:szCs w:val="21"/>
                <w:highlight w:val="none"/>
              </w:rPr>
            </w:pPr>
          </w:p>
        </w:tc>
        <w:tc>
          <w:tcPr>
            <w:tcW w:w="439" w:type="pct"/>
            <w:vAlign w:val="center"/>
          </w:tcPr>
          <w:p w14:paraId="0C7C98E6">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879" w:type="dxa"/>
            <w:vAlign w:val="center"/>
          </w:tcPr>
          <w:p w14:paraId="5A3E6625">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26.5</w:t>
            </w:r>
          </w:p>
        </w:tc>
        <w:tc>
          <w:tcPr>
            <w:tcW w:w="832" w:type="dxa"/>
            <w:vAlign w:val="center"/>
          </w:tcPr>
          <w:p w14:paraId="11FDA52B">
            <w:pPr>
              <w:pStyle w:val="210"/>
              <w:rPr>
                <w:rFonts w:hint="default" w:ascii="Times New Roman" w:hAnsi="Times New Roman" w:eastAsia="宋体" w:cs="Times New Roman"/>
                <w:caps w:val="0"/>
                <w:smallCaps w:val="0"/>
                <w:color w:val="auto"/>
                <w:spacing w:val="0"/>
                <w:sz w:val="21"/>
                <w:szCs w:val="21"/>
                <w:highlight w:val="none"/>
                <w:lang w:val="en-US" w:eastAsia="zh-CN"/>
              </w:rPr>
            </w:pPr>
            <w:r>
              <w:rPr>
                <w:rFonts w:ascii="Times New Roman" w:hAnsi="Times New Roman" w:eastAsia="宋体" w:cs="Times New Roman"/>
                <w:caps w:val="0"/>
                <w:smallCaps w:val="0"/>
                <w:color w:val="auto"/>
                <w:spacing w:val="0"/>
                <w:sz w:val="21"/>
                <w:szCs w:val="21"/>
                <w:highlight w:val="none"/>
              </w:rPr>
              <w:t>0.</w:t>
            </w:r>
            <w:r>
              <w:rPr>
                <w:rFonts w:hint="eastAsia" w:ascii="Times New Roman" w:hAnsi="Times New Roman" w:eastAsia="宋体" w:cs="Times New Roman"/>
                <w:caps w:val="0"/>
                <w:smallCaps w:val="0"/>
                <w:color w:val="auto"/>
                <w:spacing w:val="0"/>
                <w:sz w:val="21"/>
                <w:szCs w:val="21"/>
                <w:highlight w:val="none"/>
                <w:lang w:val="en-US" w:eastAsia="zh-CN"/>
              </w:rPr>
              <w:t>648</w:t>
            </w:r>
          </w:p>
        </w:tc>
        <w:tc>
          <w:tcPr>
            <w:tcW w:w="410" w:type="pct"/>
            <w:vMerge w:val="continue"/>
            <w:vAlign w:val="center"/>
          </w:tcPr>
          <w:p w14:paraId="19D9B93D">
            <w:pPr>
              <w:pStyle w:val="210"/>
              <w:rPr>
                <w:rFonts w:ascii="Times New Roman" w:hAnsi="Times New Roman" w:eastAsia="宋体" w:cs="Times New Roman"/>
                <w:caps w:val="0"/>
                <w:smallCaps w:val="0"/>
                <w:color w:val="auto"/>
                <w:spacing w:val="0"/>
                <w:sz w:val="21"/>
                <w:szCs w:val="21"/>
                <w:highlight w:val="none"/>
              </w:rPr>
            </w:pPr>
          </w:p>
        </w:tc>
      </w:tr>
    </w:tbl>
    <w:p w14:paraId="773D6F77">
      <w:pPr>
        <w:pStyle w:val="13"/>
        <w:widowControl w:val="0"/>
        <w:wordWrap w:val="0"/>
        <w:spacing w:after="0" w:line="360" w:lineRule="auto"/>
        <w:ind w:firstLine="480" w:firstLineChars="200"/>
        <w:jc w:val="both"/>
        <w:rPr>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佳木斯高新区污水处理厂经园区内管网收集本项目污水处理达到（GB18918-2002）《城镇污水处理厂污染物排放标准》一级A标准后排入</w:t>
      </w:r>
      <w:r>
        <w:rPr>
          <w:rFonts w:hint="eastAsia" w:ascii="Times New Roman" w:hAnsi="Times New Roman" w:eastAsia="宋体" w:cs="Times New Roman"/>
          <w:caps w:val="0"/>
          <w:smallCaps w:val="0"/>
          <w:color w:val="auto"/>
          <w:spacing w:val="0"/>
          <w:highlight w:val="none"/>
          <w:lang w:eastAsia="zh-CN"/>
        </w:rPr>
        <w:t>铃铛麦河途经音达木河</w:t>
      </w:r>
      <w:r>
        <w:rPr>
          <w:rFonts w:ascii="Times New Roman" w:hAnsi="Times New Roman" w:eastAsia="宋体" w:cs="Times New Roman"/>
          <w:caps w:val="0"/>
          <w:smallCaps w:val="0"/>
          <w:color w:val="auto"/>
          <w:spacing w:val="0"/>
          <w:highlight w:val="none"/>
        </w:rPr>
        <w:t>最终汇入松花江。佳木斯高新区污水处理厂，近期建设规模为3.5万m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/d，远期总处理规模为7.5万m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配套新建污水管道8500m。主体采用“强化预处理工艺+主体生化处理工艺（生物脱氮除磷）+深度处理工艺”，消毒采用紫外线消毒，处理后水质可以达到《城镇污水处理厂污染物排放标准（GB18918-2002）一级A标准。本项目污水可以进入佳木斯高新区污水处理厂进行处理后达标外排</w:t>
      </w:r>
      <w:r>
        <w:rPr>
          <w:caps w:val="0"/>
          <w:smallCaps w:val="0"/>
          <w:color w:val="auto"/>
          <w:spacing w:val="0"/>
          <w:highlight w:val="none"/>
        </w:rPr>
        <w:t>，且本项目污水处理站出水水质符合</w:t>
      </w:r>
      <w:r>
        <w:rPr>
          <w:rFonts w:ascii="Times New Roman" w:hAnsi="Times New Roman" w:eastAsia="宋体" w:cs="Times New Roman"/>
          <w:caps w:val="0"/>
          <w:smallCaps w:val="0"/>
          <w:color w:val="auto"/>
          <w:spacing w:val="0"/>
          <w:highlight w:val="none"/>
        </w:rPr>
        <w:t>佳木斯高新区污水处理厂</w:t>
      </w:r>
      <w:r>
        <w:rPr>
          <w:caps w:val="0"/>
          <w:smallCaps w:val="0"/>
          <w:color w:val="auto"/>
          <w:spacing w:val="0"/>
          <w:highlight w:val="none"/>
        </w:rPr>
        <w:t>进水水质要求，因此本项目的污水排放不会对</w:t>
      </w:r>
      <w:r>
        <w:rPr>
          <w:rFonts w:ascii="Times New Roman" w:hAnsi="Times New Roman" w:eastAsia="宋体" w:cs="Times New Roman"/>
          <w:caps w:val="0"/>
          <w:smallCaps w:val="0"/>
          <w:color w:val="auto"/>
          <w:spacing w:val="0"/>
          <w:highlight w:val="none"/>
        </w:rPr>
        <w:t>佳木斯高新区污水处理厂</w:t>
      </w:r>
      <w:r>
        <w:rPr>
          <w:caps w:val="0"/>
          <w:smallCaps w:val="0"/>
          <w:color w:val="auto"/>
          <w:spacing w:val="0"/>
          <w:highlight w:val="none"/>
        </w:rPr>
        <w:t>处理能力造成大的冲击，因此项目污水的接管水量可行。</w:t>
      </w:r>
    </w:p>
    <w:p w14:paraId="4FDEB950">
      <w:pPr>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综合厂区现有工程，废水排放口基本情况见下表。</w:t>
      </w:r>
    </w:p>
    <w:p w14:paraId="154A53C1">
      <w:pPr>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w:t>
      </w:r>
      <w:r>
        <w:rPr>
          <w:rFonts w:hint="eastAsia" w:ascii="Times New Roman" w:hAnsi="Times New Roman" w:eastAsia="宋体" w:cs="Times New Roman"/>
          <w:b/>
          <w:bCs/>
          <w:caps w:val="0"/>
          <w:smallCaps w:val="0"/>
          <w:color w:val="auto"/>
          <w:spacing w:val="0"/>
          <w:szCs w:val="24"/>
          <w:highlight w:val="none"/>
        </w:rPr>
        <w:t>5.2-3废水</w:t>
      </w:r>
      <w:r>
        <w:rPr>
          <w:rFonts w:ascii="Times New Roman" w:hAnsi="Times New Roman" w:eastAsia="宋体" w:cs="Times New Roman"/>
          <w:b/>
          <w:bCs/>
          <w:caps w:val="0"/>
          <w:smallCaps w:val="0"/>
          <w:color w:val="auto"/>
          <w:spacing w:val="0"/>
          <w:szCs w:val="24"/>
          <w:highlight w:val="none"/>
        </w:rPr>
        <w:t>排放口基本情况表</w:t>
      </w:r>
    </w:p>
    <w:tbl>
      <w:tblPr>
        <w:tblStyle w:val="3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26"/>
        <w:gridCol w:w="1342"/>
        <w:gridCol w:w="1465"/>
        <w:gridCol w:w="1368"/>
        <w:gridCol w:w="804"/>
        <w:gridCol w:w="1151"/>
        <w:gridCol w:w="733"/>
        <w:gridCol w:w="525"/>
      </w:tblGrid>
      <w:tr w14:paraId="7A03FF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2" w:type="pct"/>
            <w:vMerge w:val="restart"/>
            <w:vAlign w:val="center"/>
          </w:tcPr>
          <w:p w14:paraId="37A16F18">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排放口编号</w:t>
            </w:r>
          </w:p>
        </w:tc>
        <w:tc>
          <w:tcPr>
            <w:tcW w:w="498" w:type="pct"/>
            <w:vMerge w:val="restart"/>
            <w:vAlign w:val="center"/>
          </w:tcPr>
          <w:p w14:paraId="4B8404C3">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排放口名称</w:t>
            </w:r>
          </w:p>
        </w:tc>
        <w:tc>
          <w:tcPr>
            <w:tcW w:w="722" w:type="pct"/>
            <w:vMerge w:val="restart"/>
            <w:vAlign w:val="center"/>
          </w:tcPr>
          <w:p w14:paraId="665965EB">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污染物种类</w:t>
            </w:r>
          </w:p>
        </w:tc>
        <w:tc>
          <w:tcPr>
            <w:tcW w:w="1523" w:type="pct"/>
            <w:gridSpan w:val="2"/>
            <w:vAlign w:val="center"/>
          </w:tcPr>
          <w:p w14:paraId="0445BF32">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排放口地理坐标</w:t>
            </w:r>
          </w:p>
        </w:tc>
        <w:tc>
          <w:tcPr>
            <w:tcW w:w="433" w:type="pct"/>
            <w:vMerge w:val="restart"/>
            <w:vAlign w:val="center"/>
          </w:tcPr>
          <w:p w14:paraId="6CD827F2">
            <w:pPr>
              <w:pStyle w:val="21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排放去向</w:t>
            </w:r>
          </w:p>
        </w:tc>
        <w:tc>
          <w:tcPr>
            <w:tcW w:w="620" w:type="pct"/>
            <w:vMerge w:val="restart"/>
            <w:vAlign w:val="center"/>
          </w:tcPr>
          <w:p w14:paraId="05983E22">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排放规律</w:t>
            </w:r>
          </w:p>
        </w:tc>
        <w:tc>
          <w:tcPr>
            <w:tcW w:w="395" w:type="pct"/>
            <w:vMerge w:val="restart"/>
            <w:vAlign w:val="center"/>
          </w:tcPr>
          <w:p w14:paraId="5D7794E5">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间歇排放时段</w:t>
            </w:r>
          </w:p>
        </w:tc>
        <w:tc>
          <w:tcPr>
            <w:tcW w:w="283" w:type="pct"/>
            <w:vMerge w:val="restart"/>
            <w:vAlign w:val="center"/>
          </w:tcPr>
          <w:p w14:paraId="4D63F3BC">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其他</w:t>
            </w:r>
          </w:p>
        </w:tc>
      </w:tr>
      <w:tr w14:paraId="0D79C5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2" w:type="pct"/>
            <w:vMerge w:val="continue"/>
            <w:vAlign w:val="center"/>
          </w:tcPr>
          <w:p w14:paraId="64E57953">
            <w:pPr>
              <w:pStyle w:val="210"/>
              <w:rPr>
                <w:rFonts w:ascii="Times New Roman" w:hAnsi="Times New Roman" w:eastAsia="宋体" w:cs="Times New Roman"/>
                <w:caps w:val="0"/>
                <w:smallCaps w:val="0"/>
                <w:color w:val="auto"/>
                <w:spacing w:val="0"/>
                <w:sz w:val="21"/>
                <w:szCs w:val="21"/>
                <w:highlight w:val="none"/>
              </w:rPr>
            </w:pPr>
          </w:p>
        </w:tc>
        <w:tc>
          <w:tcPr>
            <w:tcW w:w="498" w:type="pct"/>
            <w:vMerge w:val="continue"/>
            <w:vAlign w:val="center"/>
          </w:tcPr>
          <w:p w14:paraId="40DBDF0E">
            <w:pPr>
              <w:pStyle w:val="210"/>
              <w:rPr>
                <w:rFonts w:ascii="Times New Roman" w:hAnsi="Times New Roman" w:eastAsia="宋体" w:cs="Times New Roman"/>
                <w:caps w:val="0"/>
                <w:smallCaps w:val="0"/>
                <w:color w:val="auto"/>
                <w:spacing w:val="0"/>
                <w:sz w:val="21"/>
                <w:szCs w:val="21"/>
                <w:highlight w:val="none"/>
              </w:rPr>
            </w:pPr>
          </w:p>
        </w:tc>
        <w:tc>
          <w:tcPr>
            <w:tcW w:w="722" w:type="pct"/>
            <w:vMerge w:val="continue"/>
            <w:vAlign w:val="center"/>
          </w:tcPr>
          <w:p w14:paraId="66132E96">
            <w:pPr>
              <w:pStyle w:val="210"/>
              <w:rPr>
                <w:rFonts w:ascii="Times New Roman" w:hAnsi="Times New Roman" w:eastAsia="宋体" w:cs="Times New Roman"/>
                <w:caps w:val="0"/>
                <w:smallCaps w:val="0"/>
                <w:color w:val="auto"/>
                <w:spacing w:val="0"/>
                <w:sz w:val="21"/>
                <w:szCs w:val="21"/>
                <w:highlight w:val="none"/>
              </w:rPr>
            </w:pPr>
          </w:p>
        </w:tc>
        <w:tc>
          <w:tcPr>
            <w:tcW w:w="788" w:type="pct"/>
            <w:vAlign w:val="center"/>
          </w:tcPr>
          <w:p w14:paraId="3AA2499B">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经度</w:t>
            </w:r>
          </w:p>
        </w:tc>
        <w:tc>
          <w:tcPr>
            <w:tcW w:w="735" w:type="pct"/>
            <w:vAlign w:val="center"/>
          </w:tcPr>
          <w:p w14:paraId="493E32A6">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纬度</w:t>
            </w:r>
          </w:p>
        </w:tc>
        <w:tc>
          <w:tcPr>
            <w:tcW w:w="433" w:type="pct"/>
            <w:vMerge w:val="continue"/>
            <w:vAlign w:val="center"/>
          </w:tcPr>
          <w:p w14:paraId="240EFFF6">
            <w:pPr>
              <w:pStyle w:val="210"/>
              <w:rPr>
                <w:rFonts w:ascii="Times New Roman" w:hAnsi="Times New Roman" w:eastAsia="宋体" w:cs="Times New Roman"/>
                <w:caps w:val="0"/>
                <w:smallCaps w:val="0"/>
                <w:color w:val="auto"/>
                <w:spacing w:val="0"/>
                <w:sz w:val="21"/>
                <w:szCs w:val="21"/>
                <w:highlight w:val="none"/>
              </w:rPr>
            </w:pPr>
          </w:p>
        </w:tc>
        <w:tc>
          <w:tcPr>
            <w:tcW w:w="620" w:type="pct"/>
            <w:vMerge w:val="continue"/>
            <w:vAlign w:val="center"/>
          </w:tcPr>
          <w:p w14:paraId="0C3ABC69">
            <w:pPr>
              <w:pStyle w:val="210"/>
              <w:rPr>
                <w:rFonts w:ascii="Times New Roman" w:hAnsi="Times New Roman" w:eastAsia="宋体" w:cs="Times New Roman"/>
                <w:caps w:val="0"/>
                <w:smallCaps w:val="0"/>
                <w:color w:val="auto"/>
                <w:spacing w:val="0"/>
                <w:sz w:val="21"/>
                <w:szCs w:val="21"/>
                <w:highlight w:val="none"/>
              </w:rPr>
            </w:pPr>
          </w:p>
        </w:tc>
        <w:tc>
          <w:tcPr>
            <w:tcW w:w="395" w:type="pct"/>
            <w:vMerge w:val="continue"/>
            <w:vAlign w:val="center"/>
          </w:tcPr>
          <w:p w14:paraId="43D30F4E">
            <w:pPr>
              <w:pStyle w:val="210"/>
              <w:rPr>
                <w:rFonts w:ascii="Times New Roman" w:hAnsi="Times New Roman" w:eastAsia="宋体" w:cs="Times New Roman"/>
                <w:caps w:val="0"/>
                <w:smallCaps w:val="0"/>
                <w:color w:val="auto"/>
                <w:spacing w:val="0"/>
                <w:sz w:val="21"/>
                <w:szCs w:val="21"/>
                <w:highlight w:val="none"/>
              </w:rPr>
            </w:pPr>
          </w:p>
        </w:tc>
        <w:tc>
          <w:tcPr>
            <w:tcW w:w="283" w:type="pct"/>
            <w:vMerge w:val="continue"/>
            <w:vAlign w:val="center"/>
          </w:tcPr>
          <w:p w14:paraId="3EFEA82C">
            <w:pPr>
              <w:pStyle w:val="210"/>
              <w:rPr>
                <w:rFonts w:ascii="Times New Roman" w:hAnsi="Times New Roman" w:eastAsia="宋体" w:cs="Times New Roman"/>
                <w:caps w:val="0"/>
                <w:smallCaps w:val="0"/>
                <w:color w:val="auto"/>
                <w:spacing w:val="0"/>
                <w:sz w:val="21"/>
                <w:szCs w:val="21"/>
                <w:highlight w:val="none"/>
              </w:rPr>
            </w:pPr>
          </w:p>
        </w:tc>
      </w:tr>
      <w:tr w14:paraId="0F26CD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2" w:type="pct"/>
            <w:vAlign w:val="center"/>
          </w:tcPr>
          <w:p w14:paraId="65C5D3A3">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DW001</w:t>
            </w:r>
          </w:p>
        </w:tc>
        <w:tc>
          <w:tcPr>
            <w:tcW w:w="498" w:type="pct"/>
            <w:vAlign w:val="center"/>
          </w:tcPr>
          <w:p w14:paraId="79AB0FBC">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污水</w:t>
            </w:r>
          </w:p>
          <w:p w14:paraId="0A288ADE">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排口</w:t>
            </w:r>
          </w:p>
        </w:tc>
        <w:tc>
          <w:tcPr>
            <w:tcW w:w="722" w:type="pct"/>
            <w:vAlign w:val="center"/>
          </w:tcPr>
          <w:p w14:paraId="655170D5">
            <w:pPr>
              <w:pStyle w:val="21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COD、SS、NH</w:t>
            </w:r>
            <w:r>
              <w:rPr>
                <w:rFonts w:ascii="Times New Roman" w:hAnsi="Times New Roman" w:eastAsia="宋体" w:cs="Times New Roman"/>
                <w:caps w:val="0"/>
                <w:smallCaps w:val="0"/>
                <w:color w:val="auto"/>
                <w:spacing w:val="0"/>
                <w:sz w:val="21"/>
                <w:szCs w:val="21"/>
                <w:highlight w:val="none"/>
                <w:vertAlign w:val="subscript"/>
              </w:rPr>
              <w:t>3</w:t>
            </w:r>
            <w:r>
              <w:rPr>
                <w:rFonts w:ascii="Times New Roman" w:hAnsi="Times New Roman" w:eastAsia="宋体" w:cs="Times New Roman"/>
                <w:caps w:val="0"/>
                <w:smallCaps w:val="0"/>
                <w:color w:val="auto"/>
                <w:spacing w:val="0"/>
                <w:sz w:val="21"/>
                <w:szCs w:val="21"/>
                <w:highlight w:val="none"/>
              </w:rPr>
              <w:t>-N、pH、T-N、T-P、动植物油</w:t>
            </w:r>
          </w:p>
        </w:tc>
        <w:tc>
          <w:tcPr>
            <w:tcW w:w="788" w:type="pct"/>
            <w:vAlign w:val="center"/>
          </w:tcPr>
          <w:p w14:paraId="535D719E">
            <w:pP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130.46867120</w:t>
            </w:r>
          </w:p>
        </w:tc>
        <w:tc>
          <w:tcPr>
            <w:tcW w:w="735" w:type="pct"/>
            <w:vAlign w:val="center"/>
          </w:tcPr>
          <w:p w14:paraId="7F268ACF">
            <w:pPr>
              <w:pStyle w:val="21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46.81824599</w:t>
            </w:r>
          </w:p>
        </w:tc>
        <w:tc>
          <w:tcPr>
            <w:tcW w:w="433" w:type="pct"/>
            <w:vAlign w:val="center"/>
          </w:tcPr>
          <w:p w14:paraId="4C06E8DB">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佳木斯高新区污水处理厂</w:t>
            </w:r>
          </w:p>
        </w:tc>
        <w:tc>
          <w:tcPr>
            <w:tcW w:w="620" w:type="pct"/>
            <w:vAlign w:val="center"/>
          </w:tcPr>
          <w:p w14:paraId="54A09DAF">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间断排放，排放期间流量不稳定，但有规律，且不属于非周期性规律</w:t>
            </w:r>
          </w:p>
        </w:tc>
        <w:tc>
          <w:tcPr>
            <w:tcW w:w="395" w:type="pct"/>
            <w:vAlign w:val="center"/>
          </w:tcPr>
          <w:p w14:paraId="130DB3C8">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生产时进行排放</w:t>
            </w:r>
          </w:p>
        </w:tc>
        <w:tc>
          <w:tcPr>
            <w:tcW w:w="283" w:type="pct"/>
            <w:vAlign w:val="center"/>
          </w:tcPr>
          <w:p w14:paraId="6D68A95A">
            <w:pPr>
              <w:pStyle w:val="21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r>
    </w:tbl>
    <w:p w14:paraId="22906442">
      <w:pPr>
        <w:pStyle w:val="65"/>
        <w:widowControl w:val="0"/>
        <w:ind w:firstLine="0" w:firstLineChars="0"/>
        <w:outlineLvl w:val="2"/>
        <w:rPr>
          <w:rFonts w:eastAsia="宋体"/>
          <w:b/>
          <w:bCs/>
          <w:caps w:val="0"/>
          <w:smallCaps w:val="0"/>
          <w:color w:val="auto"/>
          <w:spacing w:val="0"/>
          <w:kern w:val="0"/>
          <w:sz w:val="30"/>
          <w:szCs w:val="30"/>
          <w:highlight w:val="none"/>
          <w:lang w:bidi="ar"/>
        </w:rPr>
      </w:pPr>
      <w:bookmarkStart w:id="167" w:name="_Toc477951979"/>
      <w:bookmarkStart w:id="168" w:name="_Toc827"/>
      <w:r>
        <w:rPr>
          <w:rFonts w:eastAsia="宋体"/>
          <w:b/>
          <w:bCs/>
          <w:caps w:val="0"/>
          <w:smallCaps w:val="0"/>
          <w:color w:val="auto"/>
          <w:spacing w:val="0"/>
          <w:kern w:val="0"/>
          <w:sz w:val="30"/>
          <w:szCs w:val="30"/>
          <w:highlight w:val="none"/>
          <w:lang w:bidi="ar"/>
        </w:rPr>
        <w:t>5.2.2运营期大气环境影响预测与评价</w:t>
      </w:r>
      <w:bookmarkEnd w:id="167"/>
      <w:bookmarkEnd w:id="168"/>
    </w:p>
    <w:p w14:paraId="1A2FEA12">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bookmarkStart w:id="169" w:name="_Hlk6926034"/>
      <w:r>
        <w:rPr>
          <w:rFonts w:ascii="Times New Roman" w:hAnsi="Times New Roman" w:eastAsia="宋体" w:cs="Times New Roman"/>
          <w:caps w:val="0"/>
          <w:smallCaps w:val="0"/>
          <w:color w:val="auto"/>
          <w:spacing w:val="0"/>
          <w:szCs w:val="24"/>
          <w:highlight w:val="none"/>
        </w:rPr>
        <w:t>根据《环境影响评价技术导则大气环境》（HJ2.2-2018）中附录A推荐的估算模式进行计算，由估算模式计算结果可知，本项目排放污染物</w:t>
      </w:r>
      <w:r>
        <w:rPr>
          <w:rFonts w:ascii="Times New Roman" w:hAnsi="Times New Roman" w:eastAsia="宋体" w:cs="Times New Roman"/>
          <w:caps w:val="0"/>
          <w:smallCaps w:val="0"/>
          <w:color w:val="auto"/>
          <w:spacing w:val="0"/>
          <w:szCs w:val="24"/>
          <w:highlight w:val="none"/>
          <w:lang w:val="zh-CN"/>
        </w:rPr>
        <w:t>的</w:t>
      </w:r>
      <w:r>
        <w:rPr>
          <w:rFonts w:ascii="Times New Roman" w:hAnsi="Times New Roman" w:eastAsia="宋体" w:cs="Times New Roman"/>
          <w:caps w:val="0"/>
          <w:smallCaps w:val="0"/>
          <w:color w:val="auto"/>
          <w:spacing w:val="0"/>
          <w:szCs w:val="24"/>
          <w:highlight w:val="none"/>
        </w:rPr>
        <w:t>最大地面空气质量浓度占标率</w:t>
      </w:r>
      <w:r>
        <w:rPr>
          <w:rFonts w:ascii="Times New Roman" w:hAnsi="Times New Roman" w:eastAsia="宋体" w:cs="Times New Roman"/>
          <w:caps w:val="0"/>
          <w:smallCaps w:val="0"/>
          <w:color w:val="auto"/>
          <w:spacing w:val="0"/>
          <w:szCs w:val="24"/>
          <w:highlight w:val="none"/>
          <w:lang w:val="zh-CN"/>
        </w:rPr>
        <w:t>Pmax＜1%</w:t>
      </w:r>
      <w:r>
        <w:rPr>
          <w:rFonts w:ascii="Times New Roman" w:hAnsi="Times New Roman" w:eastAsia="宋体" w:cs="Times New Roman"/>
          <w:caps w:val="0"/>
          <w:smallCaps w:val="0"/>
          <w:color w:val="auto"/>
          <w:spacing w:val="0"/>
          <w:szCs w:val="24"/>
          <w:highlight w:val="none"/>
        </w:rPr>
        <w:t>。因此，本项目大气环境影响评价等级为</w:t>
      </w:r>
      <w:r>
        <w:rPr>
          <w:rFonts w:hint="eastAsia" w:ascii="Times New Roman" w:hAnsi="Times New Roman" w:eastAsia="宋体" w:cs="Times New Roman"/>
          <w:caps w:val="0"/>
          <w:smallCaps w:val="0"/>
          <w:color w:val="auto"/>
          <w:spacing w:val="0"/>
          <w:szCs w:val="24"/>
          <w:highlight w:val="none"/>
          <w:lang w:val="en-US" w:eastAsia="zh-CN"/>
        </w:rPr>
        <w:t>三</w:t>
      </w:r>
      <w:r>
        <w:rPr>
          <w:rFonts w:ascii="Times New Roman" w:hAnsi="Times New Roman" w:eastAsia="宋体" w:cs="Times New Roman"/>
          <w:caps w:val="0"/>
          <w:smallCaps w:val="0"/>
          <w:color w:val="auto"/>
          <w:spacing w:val="0"/>
          <w:szCs w:val="24"/>
          <w:highlight w:val="none"/>
        </w:rPr>
        <w:t>级。根据《环境影响评价技术导则大气环境》（HJ2.2-2018）中要求，</w:t>
      </w:r>
      <w:r>
        <w:rPr>
          <w:rFonts w:hint="eastAsia" w:ascii="Times New Roman" w:hAnsi="Times New Roman" w:eastAsia="宋体" w:cs="Times New Roman"/>
          <w:caps w:val="0"/>
          <w:smallCaps w:val="0"/>
          <w:color w:val="auto"/>
          <w:spacing w:val="0"/>
          <w:szCs w:val="24"/>
          <w:highlight w:val="none"/>
          <w:lang w:val="en-US" w:eastAsia="zh-CN"/>
        </w:rPr>
        <w:t>三</w:t>
      </w:r>
      <w:r>
        <w:rPr>
          <w:rFonts w:ascii="Times New Roman" w:hAnsi="Times New Roman" w:eastAsia="宋体" w:cs="Times New Roman"/>
          <w:caps w:val="0"/>
          <w:smallCaps w:val="0"/>
          <w:color w:val="auto"/>
          <w:spacing w:val="0"/>
          <w:szCs w:val="24"/>
          <w:highlight w:val="none"/>
        </w:rPr>
        <w:t>级评价项目不进行进一步预测与评价。</w:t>
      </w:r>
      <w:bookmarkEnd w:id="169"/>
    </w:p>
    <w:p w14:paraId="7BB27B4E">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5.2.2.1</w:t>
      </w:r>
      <w:r>
        <w:rPr>
          <w:rFonts w:hint="eastAsia" w:ascii="Times New Roman" w:hAnsi="Times New Roman" w:cs="Times New Roman"/>
          <w:caps w:val="0"/>
          <w:smallCaps w:val="0"/>
          <w:color w:val="auto"/>
          <w:spacing w:val="0"/>
          <w:sz w:val="28"/>
          <w:szCs w:val="28"/>
          <w:highlight w:val="none"/>
        </w:rPr>
        <w:t>估算模型参数</w:t>
      </w:r>
    </w:p>
    <w:p w14:paraId="6E09D6BA">
      <w:pPr>
        <w:pStyle w:val="65"/>
        <w:widowControl w:val="0"/>
        <w:ind w:firstLine="480"/>
        <w:rPr>
          <w:rFonts w:eastAsia="宋体"/>
          <w:caps w:val="0"/>
          <w:smallCaps w:val="0"/>
          <w:color w:val="auto"/>
          <w:spacing w:val="0"/>
          <w:szCs w:val="24"/>
          <w:highlight w:val="none"/>
        </w:rPr>
      </w:pPr>
      <w:r>
        <w:rPr>
          <w:rFonts w:eastAsia="宋体"/>
          <w:caps w:val="0"/>
          <w:smallCaps w:val="0"/>
          <w:color w:val="auto"/>
          <w:spacing w:val="0"/>
          <w:szCs w:val="24"/>
          <w:highlight w:val="none"/>
        </w:rPr>
        <w:t>污染源参数见表5.2-</w:t>
      </w:r>
      <w:r>
        <w:rPr>
          <w:rFonts w:hint="eastAsia" w:eastAsia="宋体"/>
          <w:caps w:val="0"/>
          <w:smallCaps w:val="0"/>
          <w:color w:val="auto"/>
          <w:spacing w:val="0"/>
          <w:szCs w:val="24"/>
          <w:highlight w:val="none"/>
        </w:rPr>
        <w:t>4及表5.2-5。</w:t>
      </w:r>
    </w:p>
    <w:p w14:paraId="4CEEC693">
      <w:pPr>
        <w:pStyle w:val="96"/>
        <w:tabs>
          <w:tab w:val="left" w:pos="6033"/>
          <w:tab w:val="left" w:pos="6271"/>
        </w:tabs>
        <w:autoSpaceDE w:val="0"/>
        <w:autoSpaceDN w:val="0"/>
        <w:spacing w:line="360" w:lineRule="auto"/>
        <w:jc w:val="center"/>
        <w:textAlignment w:val="bottom"/>
        <w:rPr>
          <w:rFonts w:ascii="Times New Roman" w:hAnsi="Times New Roman" w:eastAsia="宋体" w:cs="Times New Roman"/>
          <w:b/>
          <w:caps w:val="0"/>
          <w:smallCaps w:val="0"/>
          <w:color w:val="auto"/>
          <w:spacing w:val="0"/>
          <w:szCs w:val="24"/>
          <w:highlight w:val="none"/>
        </w:rPr>
      </w:pPr>
      <w:r>
        <w:rPr>
          <w:rFonts w:ascii="Times New Roman" w:hAnsi="Times New Roman" w:eastAsia="宋体" w:cs="Times New Roman"/>
          <w:b/>
          <w:caps w:val="0"/>
          <w:smallCaps w:val="0"/>
          <w:color w:val="auto"/>
          <w:spacing w:val="0"/>
          <w:szCs w:val="24"/>
          <w:highlight w:val="none"/>
        </w:rPr>
        <w:t>表5.2-</w:t>
      </w:r>
      <w:r>
        <w:rPr>
          <w:rFonts w:hint="eastAsia" w:ascii="Times New Roman" w:hAnsi="Times New Roman" w:eastAsia="宋体" w:cs="Times New Roman"/>
          <w:b/>
          <w:caps w:val="0"/>
          <w:smallCaps w:val="0"/>
          <w:color w:val="auto"/>
          <w:spacing w:val="0"/>
          <w:szCs w:val="24"/>
          <w:highlight w:val="none"/>
        </w:rPr>
        <w:t>4</w:t>
      </w:r>
      <w:r>
        <w:rPr>
          <w:rFonts w:ascii="Times New Roman" w:hAnsi="Times New Roman" w:eastAsia="宋体" w:cs="Times New Roman"/>
          <w:b/>
          <w:caps w:val="0"/>
          <w:smallCaps w:val="0"/>
          <w:color w:val="auto"/>
          <w:spacing w:val="0"/>
          <w:szCs w:val="24"/>
          <w:highlight w:val="none"/>
        </w:rPr>
        <w:t>点源参数表</w:t>
      </w:r>
    </w:p>
    <w:tbl>
      <w:tblPr>
        <w:tblStyle w:val="172"/>
        <w:tblW w:w="5001"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311"/>
        <w:gridCol w:w="552"/>
        <w:gridCol w:w="450"/>
        <w:gridCol w:w="434"/>
        <w:gridCol w:w="420"/>
        <w:gridCol w:w="471"/>
        <w:gridCol w:w="505"/>
        <w:gridCol w:w="522"/>
        <w:gridCol w:w="450"/>
        <w:gridCol w:w="600"/>
        <w:gridCol w:w="366"/>
        <w:gridCol w:w="445"/>
        <w:gridCol w:w="574"/>
        <w:gridCol w:w="471"/>
        <w:gridCol w:w="461"/>
        <w:gridCol w:w="465"/>
        <w:gridCol w:w="639"/>
        <w:gridCol w:w="643"/>
        <w:gridCol w:w="509"/>
      </w:tblGrid>
      <w:tr w14:paraId="4BE160D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690" w:hRule="atLeast"/>
          <w:tblHeader/>
          <w:jc w:val="center"/>
        </w:trPr>
        <w:tc>
          <w:tcPr>
            <w:tcW w:w="311" w:type="dxa"/>
            <w:vMerge w:val="restart"/>
            <w:shd w:val="clear" w:color="auto" w:fill="auto"/>
            <w:vAlign w:val="center"/>
          </w:tcPr>
          <w:p w14:paraId="2592FE4B">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序号</w:t>
            </w:r>
          </w:p>
        </w:tc>
        <w:tc>
          <w:tcPr>
            <w:tcW w:w="552" w:type="dxa"/>
            <w:vMerge w:val="restart"/>
            <w:shd w:val="clear" w:color="auto" w:fill="auto"/>
            <w:vAlign w:val="center"/>
          </w:tcPr>
          <w:p w14:paraId="5CF2F48B">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名称</w:t>
            </w:r>
          </w:p>
        </w:tc>
        <w:tc>
          <w:tcPr>
            <w:tcW w:w="884" w:type="dxa"/>
            <w:gridSpan w:val="2"/>
            <w:shd w:val="clear" w:color="auto" w:fill="auto"/>
            <w:vAlign w:val="center"/>
          </w:tcPr>
          <w:p w14:paraId="4B28034D">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排气筒底部中心坐标/m</w:t>
            </w:r>
          </w:p>
        </w:tc>
        <w:tc>
          <w:tcPr>
            <w:tcW w:w="420" w:type="dxa"/>
            <w:vMerge w:val="restart"/>
            <w:shd w:val="clear" w:color="auto" w:fill="auto"/>
            <w:vAlign w:val="center"/>
          </w:tcPr>
          <w:p w14:paraId="34AE3FEB">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排气筒底部海拔高度/m</w:t>
            </w:r>
          </w:p>
        </w:tc>
        <w:tc>
          <w:tcPr>
            <w:tcW w:w="471" w:type="dxa"/>
            <w:vMerge w:val="restart"/>
            <w:shd w:val="clear" w:color="auto" w:fill="auto"/>
            <w:vAlign w:val="center"/>
          </w:tcPr>
          <w:p w14:paraId="71161601">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排气筒高度/m</w:t>
            </w:r>
          </w:p>
        </w:tc>
        <w:tc>
          <w:tcPr>
            <w:tcW w:w="505" w:type="dxa"/>
            <w:vMerge w:val="restart"/>
            <w:shd w:val="clear" w:color="auto" w:fill="auto"/>
            <w:vAlign w:val="center"/>
          </w:tcPr>
          <w:p w14:paraId="34BB5F16">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排气筒出口内径/m</w:t>
            </w:r>
          </w:p>
        </w:tc>
        <w:tc>
          <w:tcPr>
            <w:tcW w:w="522" w:type="dxa"/>
            <w:vMerge w:val="restart"/>
            <w:shd w:val="clear" w:color="auto" w:fill="auto"/>
            <w:vAlign w:val="center"/>
          </w:tcPr>
          <w:p w14:paraId="45066F29">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烟气流速/（m/s）</w:t>
            </w:r>
          </w:p>
        </w:tc>
        <w:tc>
          <w:tcPr>
            <w:tcW w:w="450" w:type="dxa"/>
            <w:vMerge w:val="restart"/>
            <w:shd w:val="clear" w:color="auto" w:fill="auto"/>
            <w:vAlign w:val="center"/>
          </w:tcPr>
          <w:p w14:paraId="3702219A">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烟气温度/℃</w:t>
            </w:r>
          </w:p>
        </w:tc>
        <w:tc>
          <w:tcPr>
            <w:tcW w:w="600" w:type="dxa"/>
            <w:vMerge w:val="restart"/>
            <w:shd w:val="clear" w:color="auto" w:fill="auto"/>
            <w:vAlign w:val="center"/>
          </w:tcPr>
          <w:p w14:paraId="5F43C070">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年排放小时数/h</w:t>
            </w:r>
          </w:p>
        </w:tc>
        <w:tc>
          <w:tcPr>
            <w:tcW w:w="366" w:type="dxa"/>
            <w:vMerge w:val="restart"/>
            <w:shd w:val="clear" w:color="auto" w:fill="auto"/>
            <w:vAlign w:val="center"/>
          </w:tcPr>
          <w:p w14:paraId="7F55FA27">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排放工况</w:t>
            </w:r>
          </w:p>
        </w:tc>
        <w:tc>
          <w:tcPr>
            <w:tcW w:w="4207" w:type="dxa"/>
            <w:gridSpan w:val="8"/>
            <w:shd w:val="clear" w:color="auto" w:fill="auto"/>
            <w:vAlign w:val="center"/>
          </w:tcPr>
          <w:p w14:paraId="6262E3BB">
            <w:pPr>
              <w:pStyle w:val="171"/>
              <w:widowControl/>
              <w:wordWrap/>
              <w:adjustRightInd/>
              <w:spacing w:before="0" w:beforeLines="0" w:beforeAutospacing="0" w:after="0" w:afterLines="0" w:afterAutospacing="0" w:line="240" w:lineRule="auto"/>
              <w:ind w:left="0" w:leftChars="0" w:right="0" w:rightChars="0" w:firstLine="0" w:firstLineChars="0"/>
              <w:rPr>
                <w:caps w:val="0"/>
                <w:smallCaps w:val="0"/>
                <w:color w:val="auto"/>
                <w:spacing w:val="0"/>
                <w:sz w:val="21"/>
                <w:highlight w:val="none"/>
              </w:rPr>
            </w:pPr>
            <w:r>
              <w:rPr>
                <w:caps w:val="0"/>
                <w:smallCaps w:val="0"/>
                <w:color w:val="auto"/>
                <w:spacing w:val="0"/>
                <w:sz w:val="21"/>
                <w:highlight w:val="none"/>
              </w:rPr>
              <w:t>污染物排放速率/(kg/h)</w:t>
            </w:r>
          </w:p>
        </w:tc>
      </w:tr>
      <w:tr w14:paraId="7A87DCB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80" w:hRule="atLeast"/>
          <w:jc w:val="center"/>
        </w:trPr>
        <w:tc>
          <w:tcPr>
            <w:tcW w:w="311" w:type="dxa"/>
            <w:vMerge w:val="continue"/>
            <w:shd w:val="clear" w:color="auto" w:fill="auto"/>
            <w:vAlign w:val="center"/>
          </w:tcPr>
          <w:p w14:paraId="6162C651">
            <w:pPr>
              <w:pStyle w:val="171"/>
              <w:widowControl/>
              <w:adjustRightInd/>
              <w:spacing w:before="0" w:beforeLines="0" w:after="0" w:afterLines="0" w:line="240" w:lineRule="auto"/>
              <w:ind w:firstLine="0"/>
              <w:rPr>
                <w:caps w:val="0"/>
                <w:smallCaps w:val="0"/>
                <w:color w:val="auto"/>
                <w:spacing w:val="0"/>
                <w:sz w:val="21"/>
                <w:highlight w:val="none"/>
              </w:rPr>
            </w:pPr>
          </w:p>
        </w:tc>
        <w:tc>
          <w:tcPr>
            <w:tcW w:w="552" w:type="dxa"/>
            <w:vMerge w:val="continue"/>
            <w:shd w:val="clear" w:color="auto" w:fill="auto"/>
            <w:vAlign w:val="center"/>
          </w:tcPr>
          <w:p w14:paraId="4FE11079">
            <w:pPr>
              <w:pStyle w:val="171"/>
              <w:widowControl/>
              <w:adjustRightInd/>
              <w:spacing w:before="0" w:beforeLines="0" w:after="0" w:afterLines="0" w:line="240" w:lineRule="auto"/>
              <w:ind w:firstLine="0"/>
              <w:rPr>
                <w:caps w:val="0"/>
                <w:smallCaps w:val="0"/>
                <w:color w:val="auto"/>
                <w:spacing w:val="0"/>
                <w:sz w:val="21"/>
                <w:highlight w:val="none"/>
              </w:rPr>
            </w:pPr>
          </w:p>
        </w:tc>
        <w:tc>
          <w:tcPr>
            <w:tcW w:w="450" w:type="dxa"/>
            <w:shd w:val="clear" w:color="auto" w:fill="auto"/>
            <w:vAlign w:val="center"/>
          </w:tcPr>
          <w:p w14:paraId="2D7AD24C">
            <w:pPr>
              <w:pStyle w:val="171"/>
              <w:widowControl/>
              <w:adjustRightInd/>
              <w:spacing w:before="0" w:beforeLines="0" w:after="0" w:afterLines="0" w:line="240" w:lineRule="auto"/>
              <w:ind w:firstLine="0"/>
              <w:rPr>
                <w:i/>
                <w:caps w:val="0"/>
                <w:smallCaps w:val="0"/>
                <w:color w:val="auto"/>
                <w:spacing w:val="0"/>
                <w:sz w:val="21"/>
                <w:highlight w:val="none"/>
              </w:rPr>
            </w:pPr>
            <w:r>
              <w:rPr>
                <w:i/>
                <w:caps w:val="0"/>
                <w:smallCaps w:val="0"/>
                <w:color w:val="auto"/>
                <w:spacing w:val="0"/>
                <w:sz w:val="21"/>
                <w:highlight w:val="none"/>
              </w:rPr>
              <w:t>X</w:t>
            </w:r>
          </w:p>
        </w:tc>
        <w:tc>
          <w:tcPr>
            <w:tcW w:w="434" w:type="dxa"/>
            <w:shd w:val="clear" w:color="auto" w:fill="auto"/>
            <w:vAlign w:val="center"/>
          </w:tcPr>
          <w:p w14:paraId="33C2D170">
            <w:pPr>
              <w:pStyle w:val="171"/>
              <w:widowControl/>
              <w:adjustRightInd/>
              <w:spacing w:before="0" w:beforeLines="0" w:after="0" w:afterLines="0" w:line="240" w:lineRule="auto"/>
              <w:ind w:firstLine="0"/>
              <w:rPr>
                <w:i/>
                <w:caps w:val="0"/>
                <w:smallCaps w:val="0"/>
                <w:color w:val="auto"/>
                <w:spacing w:val="0"/>
                <w:sz w:val="21"/>
                <w:highlight w:val="none"/>
              </w:rPr>
            </w:pPr>
            <w:r>
              <w:rPr>
                <w:i/>
                <w:caps w:val="0"/>
                <w:smallCaps w:val="0"/>
                <w:color w:val="auto"/>
                <w:spacing w:val="0"/>
                <w:sz w:val="21"/>
                <w:highlight w:val="none"/>
              </w:rPr>
              <w:t>Y</w:t>
            </w:r>
          </w:p>
        </w:tc>
        <w:tc>
          <w:tcPr>
            <w:tcW w:w="420" w:type="dxa"/>
            <w:vMerge w:val="continue"/>
            <w:shd w:val="clear" w:color="auto" w:fill="auto"/>
            <w:vAlign w:val="center"/>
          </w:tcPr>
          <w:p w14:paraId="65ECC3F8">
            <w:pPr>
              <w:pStyle w:val="171"/>
              <w:widowControl/>
              <w:adjustRightInd/>
              <w:spacing w:before="0" w:beforeLines="0" w:after="0" w:afterLines="0" w:line="240" w:lineRule="auto"/>
              <w:ind w:firstLine="0"/>
              <w:rPr>
                <w:caps w:val="0"/>
                <w:smallCaps w:val="0"/>
                <w:color w:val="auto"/>
                <w:spacing w:val="0"/>
                <w:sz w:val="21"/>
                <w:highlight w:val="none"/>
              </w:rPr>
            </w:pPr>
          </w:p>
        </w:tc>
        <w:tc>
          <w:tcPr>
            <w:tcW w:w="471" w:type="dxa"/>
            <w:vMerge w:val="continue"/>
            <w:shd w:val="clear" w:color="auto" w:fill="auto"/>
            <w:vAlign w:val="center"/>
          </w:tcPr>
          <w:p w14:paraId="3283F906">
            <w:pPr>
              <w:pStyle w:val="171"/>
              <w:widowControl/>
              <w:adjustRightInd/>
              <w:spacing w:before="0" w:beforeLines="0" w:after="0" w:afterLines="0" w:line="240" w:lineRule="auto"/>
              <w:ind w:firstLine="0"/>
              <w:rPr>
                <w:caps w:val="0"/>
                <w:smallCaps w:val="0"/>
                <w:color w:val="auto"/>
                <w:spacing w:val="0"/>
                <w:sz w:val="21"/>
                <w:highlight w:val="none"/>
              </w:rPr>
            </w:pPr>
          </w:p>
        </w:tc>
        <w:tc>
          <w:tcPr>
            <w:tcW w:w="505" w:type="dxa"/>
            <w:vMerge w:val="continue"/>
            <w:shd w:val="clear" w:color="auto" w:fill="auto"/>
            <w:vAlign w:val="center"/>
          </w:tcPr>
          <w:p w14:paraId="5107A1F1">
            <w:pPr>
              <w:pStyle w:val="171"/>
              <w:widowControl/>
              <w:adjustRightInd/>
              <w:spacing w:before="0" w:beforeLines="0" w:after="0" w:afterLines="0" w:line="240" w:lineRule="auto"/>
              <w:ind w:firstLine="0"/>
              <w:rPr>
                <w:caps w:val="0"/>
                <w:smallCaps w:val="0"/>
                <w:color w:val="auto"/>
                <w:spacing w:val="0"/>
                <w:sz w:val="21"/>
                <w:highlight w:val="none"/>
              </w:rPr>
            </w:pPr>
          </w:p>
        </w:tc>
        <w:tc>
          <w:tcPr>
            <w:tcW w:w="522" w:type="dxa"/>
            <w:vMerge w:val="continue"/>
            <w:shd w:val="clear" w:color="auto" w:fill="auto"/>
            <w:vAlign w:val="center"/>
          </w:tcPr>
          <w:p w14:paraId="15E6B908">
            <w:pPr>
              <w:pStyle w:val="171"/>
              <w:widowControl/>
              <w:adjustRightInd/>
              <w:spacing w:before="0" w:beforeLines="0" w:after="0" w:afterLines="0" w:line="240" w:lineRule="auto"/>
              <w:ind w:firstLine="0"/>
              <w:rPr>
                <w:caps w:val="0"/>
                <w:smallCaps w:val="0"/>
                <w:color w:val="auto"/>
                <w:spacing w:val="0"/>
                <w:sz w:val="21"/>
                <w:highlight w:val="none"/>
              </w:rPr>
            </w:pPr>
          </w:p>
        </w:tc>
        <w:tc>
          <w:tcPr>
            <w:tcW w:w="450" w:type="dxa"/>
            <w:vMerge w:val="continue"/>
            <w:shd w:val="clear" w:color="auto" w:fill="auto"/>
            <w:vAlign w:val="center"/>
          </w:tcPr>
          <w:p w14:paraId="16E906C3">
            <w:pPr>
              <w:pStyle w:val="171"/>
              <w:widowControl/>
              <w:adjustRightInd/>
              <w:spacing w:before="0" w:beforeLines="0" w:after="0" w:afterLines="0" w:line="240" w:lineRule="auto"/>
              <w:ind w:firstLine="0"/>
              <w:rPr>
                <w:caps w:val="0"/>
                <w:smallCaps w:val="0"/>
                <w:color w:val="auto"/>
                <w:spacing w:val="0"/>
                <w:sz w:val="21"/>
                <w:highlight w:val="none"/>
              </w:rPr>
            </w:pPr>
          </w:p>
        </w:tc>
        <w:tc>
          <w:tcPr>
            <w:tcW w:w="600" w:type="dxa"/>
            <w:vMerge w:val="continue"/>
            <w:shd w:val="clear" w:color="auto" w:fill="auto"/>
            <w:vAlign w:val="center"/>
          </w:tcPr>
          <w:p w14:paraId="63885B88">
            <w:pPr>
              <w:pStyle w:val="171"/>
              <w:widowControl/>
              <w:adjustRightInd/>
              <w:spacing w:before="0" w:beforeLines="0" w:after="0" w:afterLines="0" w:line="240" w:lineRule="auto"/>
              <w:ind w:firstLine="0"/>
              <w:rPr>
                <w:caps w:val="0"/>
                <w:smallCaps w:val="0"/>
                <w:color w:val="auto"/>
                <w:spacing w:val="0"/>
                <w:sz w:val="21"/>
                <w:highlight w:val="none"/>
              </w:rPr>
            </w:pPr>
          </w:p>
        </w:tc>
        <w:tc>
          <w:tcPr>
            <w:tcW w:w="366" w:type="dxa"/>
            <w:vMerge w:val="continue"/>
            <w:shd w:val="clear" w:color="auto" w:fill="auto"/>
            <w:vAlign w:val="center"/>
          </w:tcPr>
          <w:p w14:paraId="536BAE5D">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0F4E3DC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NO</w:t>
            </w:r>
            <w:r>
              <w:rPr>
                <w:caps w:val="0"/>
                <w:smallCaps w:val="0"/>
                <w:color w:val="auto"/>
                <w:spacing w:val="0"/>
                <w:sz w:val="21"/>
                <w:highlight w:val="none"/>
                <w:vertAlign w:val="subscript"/>
              </w:rPr>
              <w:t>2</w:t>
            </w:r>
          </w:p>
        </w:tc>
        <w:tc>
          <w:tcPr>
            <w:tcW w:w="574" w:type="dxa"/>
            <w:shd w:val="clear" w:color="auto" w:fill="auto"/>
            <w:vAlign w:val="center"/>
          </w:tcPr>
          <w:p w14:paraId="239BC26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氯化氢</w:t>
            </w:r>
          </w:p>
        </w:tc>
        <w:tc>
          <w:tcPr>
            <w:tcW w:w="471" w:type="dxa"/>
            <w:shd w:val="clear" w:color="auto" w:fill="auto"/>
            <w:vAlign w:val="center"/>
          </w:tcPr>
          <w:p w14:paraId="57D09A2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非甲烷总烃</w:t>
            </w:r>
          </w:p>
        </w:tc>
        <w:tc>
          <w:tcPr>
            <w:tcW w:w="461" w:type="dxa"/>
            <w:shd w:val="clear" w:color="auto" w:fill="auto"/>
            <w:vAlign w:val="center"/>
          </w:tcPr>
          <w:p w14:paraId="7133F63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二甲苯</w:t>
            </w:r>
          </w:p>
        </w:tc>
        <w:tc>
          <w:tcPr>
            <w:tcW w:w="465" w:type="dxa"/>
            <w:shd w:val="clear" w:color="auto" w:fill="auto"/>
            <w:vAlign w:val="center"/>
          </w:tcPr>
          <w:p w14:paraId="3E6647E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氨气</w:t>
            </w:r>
          </w:p>
        </w:tc>
        <w:tc>
          <w:tcPr>
            <w:tcW w:w="639" w:type="dxa"/>
            <w:shd w:val="clear" w:color="auto" w:fill="auto"/>
            <w:vAlign w:val="center"/>
          </w:tcPr>
          <w:p w14:paraId="5BD436F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PM</w:t>
            </w:r>
            <w:r>
              <w:rPr>
                <w:caps w:val="0"/>
                <w:smallCaps w:val="0"/>
                <w:color w:val="auto"/>
                <w:spacing w:val="0"/>
                <w:sz w:val="21"/>
                <w:highlight w:val="none"/>
                <w:vertAlign w:val="subscript"/>
              </w:rPr>
              <w:t>10</w:t>
            </w:r>
          </w:p>
        </w:tc>
        <w:tc>
          <w:tcPr>
            <w:tcW w:w="643" w:type="dxa"/>
            <w:shd w:val="clear" w:color="auto" w:fill="auto"/>
            <w:vAlign w:val="center"/>
          </w:tcPr>
          <w:p w14:paraId="0A2F554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镉及其化合物</w:t>
            </w:r>
          </w:p>
        </w:tc>
        <w:tc>
          <w:tcPr>
            <w:tcW w:w="509" w:type="dxa"/>
            <w:shd w:val="clear" w:color="auto" w:fill="auto"/>
            <w:vAlign w:val="center"/>
          </w:tcPr>
          <w:p w14:paraId="544BF33E">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硫化氢</w:t>
            </w:r>
          </w:p>
        </w:tc>
      </w:tr>
      <w:tr w14:paraId="1859419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49F23E2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w:t>
            </w:r>
          </w:p>
        </w:tc>
        <w:tc>
          <w:tcPr>
            <w:tcW w:w="552" w:type="dxa"/>
            <w:shd w:val="clear" w:color="auto" w:fill="auto"/>
            <w:vAlign w:val="center"/>
          </w:tcPr>
          <w:p w14:paraId="0137EFD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DA001</w:t>
            </w:r>
          </w:p>
        </w:tc>
        <w:tc>
          <w:tcPr>
            <w:tcW w:w="450" w:type="dxa"/>
            <w:shd w:val="clear" w:color="auto" w:fill="auto"/>
            <w:vAlign w:val="center"/>
          </w:tcPr>
          <w:p w14:paraId="1F005CE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113</w:t>
            </w:r>
          </w:p>
        </w:tc>
        <w:tc>
          <w:tcPr>
            <w:tcW w:w="434" w:type="dxa"/>
            <w:shd w:val="clear" w:color="auto" w:fill="auto"/>
            <w:vAlign w:val="center"/>
          </w:tcPr>
          <w:p w14:paraId="6D0F5AC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82</w:t>
            </w:r>
          </w:p>
        </w:tc>
        <w:tc>
          <w:tcPr>
            <w:tcW w:w="420" w:type="dxa"/>
            <w:shd w:val="clear" w:color="auto" w:fill="auto"/>
            <w:vAlign w:val="center"/>
          </w:tcPr>
          <w:p w14:paraId="72E1C0A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30F5185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21</w:t>
            </w:r>
          </w:p>
        </w:tc>
        <w:tc>
          <w:tcPr>
            <w:tcW w:w="505" w:type="dxa"/>
            <w:shd w:val="clear" w:color="auto" w:fill="auto"/>
            <w:vAlign w:val="center"/>
          </w:tcPr>
          <w:p w14:paraId="340489BA">
            <w:pPr>
              <w:pStyle w:val="171"/>
              <w:widowControl/>
              <w:adjustRightInd/>
              <w:spacing w:before="0" w:beforeLines="0" w:after="0" w:afterLines="0" w:line="240" w:lineRule="auto"/>
              <w:ind w:firstLine="0"/>
              <w:rPr>
                <w:rFonts w:hint="eastAsia" w:eastAsia="宋体"/>
                <w:caps w:val="0"/>
                <w:smallCaps w:val="0"/>
                <w:color w:val="auto"/>
                <w:spacing w:val="0"/>
                <w:sz w:val="21"/>
                <w:highlight w:val="none"/>
                <w:lang w:val="en-US" w:eastAsia="zh-CN"/>
              </w:rPr>
            </w:pPr>
            <w:r>
              <w:rPr>
                <w:caps w:val="0"/>
                <w:smallCaps w:val="0"/>
                <w:color w:val="auto"/>
                <w:spacing w:val="0"/>
                <w:sz w:val="21"/>
                <w:highlight w:val="none"/>
              </w:rPr>
              <w:t>0.</w:t>
            </w:r>
            <w:r>
              <w:rPr>
                <w:rFonts w:hint="eastAsia"/>
                <w:caps w:val="0"/>
                <w:smallCaps w:val="0"/>
                <w:color w:val="auto"/>
                <w:spacing w:val="0"/>
                <w:sz w:val="21"/>
                <w:highlight w:val="none"/>
                <w:lang w:val="en-US" w:eastAsia="zh-CN"/>
              </w:rPr>
              <w:t>5</w:t>
            </w:r>
          </w:p>
        </w:tc>
        <w:tc>
          <w:tcPr>
            <w:tcW w:w="522" w:type="dxa"/>
            <w:shd w:val="clear" w:color="auto" w:fill="auto"/>
            <w:vAlign w:val="center"/>
          </w:tcPr>
          <w:p w14:paraId="3863AF7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17.68</w:t>
            </w:r>
          </w:p>
        </w:tc>
        <w:tc>
          <w:tcPr>
            <w:tcW w:w="450" w:type="dxa"/>
            <w:shd w:val="clear" w:color="auto" w:fill="auto"/>
            <w:vAlign w:val="center"/>
          </w:tcPr>
          <w:p w14:paraId="5159C83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0AAAC28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restart"/>
            <w:shd w:val="clear" w:color="auto" w:fill="auto"/>
            <w:vAlign w:val="center"/>
          </w:tcPr>
          <w:p w14:paraId="00BDB08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正常工况</w:t>
            </w:r>
          </w:p>
        </w:tc>
        <w:tc>
          <w:tcPr>
            <w:tcW w:w="445" w:type="dxa"/>
            <w:shd w:val="clear" w:color="auto" w:fill="auto"/>
            <w:vAlign w:val="center"/>
          </w:tcPr>
          <w:p w14:paraId="6FE5447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3C0679B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6AAE7F5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03F6A06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7603012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3F36D24D">
            <w:pPr>
              <w:pStyle w:val="171"/>
              <w:widowControl/>
              <w:adjustRightInd/>
              <w:spacing w:before="0" w:beforeLines="0" w:after="0" w:afterLines="0" w:line="240" w:lineRule="auto"/>
              <w:ind w:firstLine="0"/>
              <w:jc w:val="both"/>
              <w:rPr>
                <w:rFonts w:hint="default" w:eastAsia="宋体"/>
                <w:caps w:val="0"/>
                <w:smallCaps w:val="0"/>
                <w:color w:val="auto"/>
                <w:spacing w:val="0"/>
                <w:sz w:val="21"/>
                <w:highlight w:val="none"/>
                <w:lang w:val="en-US" w:eastAsia="zh-CN"/>
              </w:rPr>
            </w:pPr>
            <w:r>
              <w:rPr>
                <w:rFonts w:hint="eastAsia"/>
                <w:caps w:val="0"/>
                <w:smallCaps w:val="0"/>
                <w:color w:val="auto"/>
                <w:spacing w:val="0"/>
                <w:sz w:val="21"/>
                <w:highlight w:val="none"/>
                <w:lang w:val="en-US" w:eastAsia="zh-CN"/>
              </w:rPr>
              <w:t>0.0190</w:t>
            </w:r>
          </w:p>
        </w:tc>
        <w:tc>
          <w:tcPr>
            <w:tcW w:w="643" w:type="dxa"/>
            <w:shd w:val="clear" w:color="auto" w:fill="auto"/>
            <w:vAlign w:val="center"/>
          </w:tcPr>
          <w:p w14:paraId="502B845C">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1.82</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5</w:t>
            </w:r>
          </w:p>
        </w:tc>
        <w:tc>
          <w:tcPr>
            <w:tcW w:w="509" w:type="dxa"/>
            <w:shd w:val="clear" w:color="auto" w:fill="auto"/>
            <w:vAlign w:val="center"/>
          </w:tcPr>
          <w:p w14:paraId="2D45FAD4">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34AFCC7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25953AD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w:t>
            </w:r>
          </w:p>
        </w:tc>
        <w:tc>
          <w:tcPr>
            <w:tcW w:w="552" w:type="dxa"/>
            <w:shd w:val="clear" w:color="auto" w:fill="auto"/>
            <w:vAlign w:val="center"/>
          </w:tcPr>
          <w:p w14:paraId="127EAE2F">
            <w:pPr>
              <w:snapToGrid w:val="0"/>
              <w:spacing w:before="74"/>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DA002</w:t>
            </w:r>
          </w:p>
        </w:tc>
        <w:tc>
          <w:tcPr>
            <w:tcW w:w="450" w:type="dxa"/>
            <w:shd w:val="clear" w:color="auto" w:fill="auto"/>
            <w:vAlign w:val="center"/>
          </w:tcPr>
          <w:p w14:paraId="0E5BBD3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27</w:t>
            </w:r>
          </w:p>
        </w:tc>
        <w:tc>
          <w:tcPr>
            <w:tcW w:w="434" w:type="dxa"/>
            <w:shd w:val="clear" w:color="auto" w:fill="auto"/>
            <w:vAlign w:val="center"/>
          </w:tcPr>
          <w:p w14:paraId="252BBF1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146</w:t>
            </w:r>
          </w:p>
        </w:tc>
        <w:tc>
          <w:tcPr>
            <w:tcW w:w="420" w:type="dxa"/>
            <w:shd w:val="clear" w:color="auto" w:fill="auto"/>
            <w:vAlign w:val="center"/>
          </w:tcPr>
          <w:p w14:paraId="09AA3AD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255F89CA">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78C63CB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08C19DA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11.79</w:t>
            </w:r>
          </w:p>
        </w:tc>
        <w:tc>
          <w:tcPr>
            <w:tcW w:w="450" w:type="dxa"/>
            <w:shd w:val="clear" w:color="auto" w:fill="auto"/>
            <w:vAlign w:val="center"/>
          </w:tcPr>
          <w:p w14:paraId="751D03D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4CE641B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29C42709">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463E5CB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0E15C7F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0694E9F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0057139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580E86D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70F4C096">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caps w:val="0"/>
                <w:smallCaps w:val="0"/>
                <w:color w:val="auto"/>
                <w:spacing w:val="0"/>
                <w:sz w:val="21"/>
                <w:highlight w:val="none"/>
              </w:rPr>
              <w:t>9.</w:t>
            </w:r>
            <w:r>
              <w:rPr>
                <w:rFonts w:hint="eastAsia"/>
                <w:caps w:val="0"/>
                <w:smallCaps w:val="0"/>
                <w:color w:val="auto"/>
                <w:spacing w:val="0"/>
                <w:sz w:val="21"/>
                <w:highlight w:val="none"/>
                <w:lang w:val="en-US" w:eastAsia="zh-CN"/>
              </w:rPr>
              <w:t>00</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4</w:t>
            </w:r>
          </w:p>
        </w:tc>
        <w:tc>
          <w:tcPr>
            <w:tcW w:w="643" w:type="dxa"/>
            <w:shd w:val="clear" w:color="auto" w:fill="auto"/>
            <w:vAlign w:val="center"/>
          </w:tcPr>
          <w:p w14:paraId="3CA5CA6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0E0DFAFC">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0E9FBC8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25D14D61">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w:t>
            </w:r>
          </w:p>
        </w:tc>
        <w:tc>
          <w:tcPr>
            <w:tcW w:w="552" w:type="dxa"/>
            <w:shd w:val="clear" w:color="auto" w:fill="auto"/>
            <w:vAlign w:val="center"/>
          </w:tcPr>
          <w:p w14:paraId="77AD1409">
            <w:pPr>
              <w:snapToGrid w:val="0"/>
              <w:spacing w:before="74"/>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DA003</w:t>
            </w:r>
          </w:p>
        </w:tc>
        <w:tc>
          <w:tcPr>
            <w:tcW w:w="450" w:type="dxa"/>
            <w:shd w:val="clear" w:color="auto" w:fill="auto"/>
            <w:vAlign w:val="center"/>
          </w:tcPr>
          <w:p w14:paraId="4A49EDA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348</w:t>
            </w:r>
          </w:p>
        </w:tc>
        <w:tc>
          <w:tcPr>
            <w:tcW w:w="434" w:type="dxa"/>
            <w:shd w:val="clear" w:color="auto" w:fill="auto"/>
            <w:vAlign w:val="center"/>
          </w:tcPr>
          <w:p w14:paraId="1B54C0D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119</w:t>
            </w:r>
          </w:p>
        </w:tc>
        <w:tc>
          <w:tcPr>
            <w:tcW w:w="420" w:type="dxa"/>
            <w:shd w:val="clear" w:color="auto" w:fill="auto"/>
            <w:vAlign w:val="center"/>
          </w:tcPr>
          <w:p w14:paraId="6F4A5F0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377E2FA2">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27AAC40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3A4356A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4.44</w:t>
            </w:r>
          </w:p>
        </w:tc>
        <w:tc>
          <w:tcPr>
            <w:tcW w:w="450" w:type="dxa"/>
            <w:shd w:val="clear" w:color="auto" w:fill="auto"/>
            <w:vAlign w:val="center"/>
          </w:tcPr>
          <w:p w14:paraId="0E3FE17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2F8A860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025220E0">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53E662C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03CAF2C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37ED207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2E8DFED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60AE08D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5CD96A8B">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caps w:val="0"/>
                <w:smallCaps w:val="0"/>
                <w:color w:val="auto"/>
                <w:spacing w:val="0"/>
                <w:sz w:val="21"/>
                <w:highlight w:val="none"/>
              </w:rPr>
              <w:t>1.</w:t>
            </w:r>
            <w:r>
              <w:rPr>
                <w:rFonts w:hint="eastAsia"/>
                <w:caps w:val="0"/>
                <w:smallCaps w:val="0"/>
                <w:color w:val="auto"/>
                <w:spacing w:val="0"/>
                <w:sz w:val="21"/>
                <w:highlight w:val="none"/>
                <w:lang w:val="en-US" w:eastAsia="zh-CN"/>
              </w:rPr>
              <w:t>41</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469A2493">
            <w:pPr>
              <w:pStyle w:val="171"/>
              <w:widowControl/>
              <w:adjustRightInd/>
              <w:spacing w:before="0" w:beforeLines="0" w:after="0" w:afterLines="0" w:line="240" w:lineRule="auto"/>
              <w:ind w:firstLine="0"/>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5.66</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7</w:t>
            </w:r>
          </w:p>
        </w:tc>
        <w:tc>
          <w:tcPr>
            <w:tcW w:w="509" w:type="dxa"/>
            <w:shd w:val="clear" w:color="auto" w:fill="auto"/>
            <w:vAlign w:val="center"/>
          </w:tcPr>
          <w:p w14:paraId="0AAB6D6C">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7549C0F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5DA0A20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w:t>
            </w:r>
          </w:p>
        </w:tc>
        <w:tc>
          <w:tcPr>
            <w:tcW w:w="552" w:type="dxa"/>
            <w:shd w:val="clear" w:color="auto" w:fill="auto"/>
            <w:vAlign w:val="center"/>
          </w:tcPr>
          <w:p w14:paraId="0BF01FB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DA004</w:t>
            </w:r>
          </w:p>
        </w:tc>
        <w:tc>
          <w:tcPr>
            <w:tcW w:w="450" w:type="dxa"/>
            <w:shd w:val="clear" w:color="auto" w:fill="auto"/>
            <w:vAlign w:val="center"/>
          </w:tcPr>
          <w:p w14:paraId="22A0385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114</w:t>
            </w:r>
          </w:p>
        </w:tc>
        <w:tc>
          <w:tcPr>
            <w:tcW w:w="434" w:type="dxa"/>
            <w:shd w:val="clear" w:color="auto" w:fill="auto"/>
            <w:vAlign w:val="center"/>
          </w:tcPr>
          <w:p w14:paraId="05A340D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219</w:t>
            </w:r>
          </w:p>
        </w:tc>
        <w:tc>
          <w:tcPr>
            <w:tcW w:w="420" w:type="dxa"/>
            <w:shd w:val="clear" w:color="auto" w:fill="auto"/>
            <w:vAlign w:val="center"/>
          </w:tcPr>
          <w:p w14:paraId="5C82769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33A683D0">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71A0027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5AEFF76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4.44</w:t>
            </w:r>
          </w:p>
        </w:tc>
        <w:tc>
          <w:tcPr>
            <w:tcW w:w="450" w:type="dxa"/>
            <w:shd w:val="clear" w:color="auto" w:fill="auto"/>
            <w:vAlign w:val="center"/>
          </w:tcPr>
          <w:p w14:paraId="01E18DA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1822F4B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13E72A58">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198BEBA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54A23401">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395A707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265C309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008E651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6A65AA55">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caps w:val="0"/>
                <w:smallCaps w:val="0"/>
                <w:color w:val="auto"/>
                <w:spacing w:val="0"/>
                <w:sz w:val="21"/>
                <w:highlight w:val="none"/>
              </w:rPr>
              <w:t>1.</w:t>
            </w:r>
            <w:r>
              <w:rPr>
                <w:rFonts w:hint="eastAsia"/>
                <w:caps w:val="0"/>
                <w:smallCaps w:val="0"/>
                <w:color w:val="auto"/>
                <w:spacing w:val="0"/>
                <w:sz w:val="21"/>
                <w:highlight w:val="none"/>
                <w:lang w:val="en-US" w:eastAsia="zh-CN"/>
              </w:rPr>
              <w:t>41</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16A671CA">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5.66</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7</w:t>
            </w:r>
          </w:p>
        </w:tc>
        <w:tc>
          <w:tcPr>
            <w:tcW w:w="509" w:type="dxa"/>
            <w:shd w:val="clear" w:color="auto" w:fill="auto"/>
            <w:vAlign w:val="center"/>
          </w:tcPr>
          <w:p w14:paraId="2FBA19A1">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57C6C08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54B4331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w:t>
            </w:r>
          </w:p>
        </w:tc>
        <w:tc>
          <w:tcPr>
            <w:tcW w:w="552" w:type="dxa"/>
            <w:shd w:val="clear" w:color="auto" w:fill="auto"/>
            <w:vAlign w:val="center"/>
          </w:tcPr>
          <w:p w14:paraId="53CD4AD7">
            <w:pPr>
              <w:snapToGrid w:val="0"/>
              <w:spacing w:before="74"/>
              <w:jc w:val="center"/>
              <w:textAlignment w:val="center"/>
              <w:rPr>
                <w:rFonts w:hint="eastAsia" w:ascii="Times New Roman" w:hAnsi="Times New Roman" w:eastAsia="宋体" w:cs="Times New Roman"/>
                <w:caps w:val="0"/>
                <w:smallCaps w:val="0"/>
                <w:color w:val="auto"/>
                <w:spacing w:val="0"/>
                <w:sz w:val="21"/>
                <w:highlight w:val="none"/>
                <w:lang w:eastAsia="zh-CN"/>
              </w:rPr>
            </w:pPr>
            <w:r>
              <w:rPr>
                <w:rStyle w:val="218"/>
                <w:rFonts w:ascii="Times New Roman" w:hAnsi="Times New Roman" w:cs="Times New Roman"/>
                <w:caps w:val="0"/>
                <w:smallCaps w:val="0"/>
                <w:color w:val="auto"/>
                <w:spacing w:val="0"/>
                <w:sz w:val="21"/>
                <w:szCs w:val="21"/>
                <w:highlight w:val="none"/>
                <w:lang w:bidi="ar"/>
              </w:rPr>
              <w:t>DA00</w:t>
            </w:r>
            <w:r>
              <w:rPr>
                <w:rStyle w:val="218"/>
                <w:rFonts w:hint="eastAsia" w:ascii="Times New Roman" w:hAnsi="Times New Roman" w:eastAsia="宋体" w:cs="Times New Roman"/>
                <w:caps w:val="0"/>
                <w:smallCaps w:val="0"/>
                <w:color w:val="auto"/>
                <w:spacing w:val="0"/>
                <w:sz w:val="21"/>
                <w:szCs w:val="21"/>
                <w:highlight w:val="none"/>
                <w:lang w:val="en-US" w:eastAsia="zh-CN" w:bidi="ar"/>
              </w:rPr>
              <w:t>5</w:t>
            </w:r>
          </w:p>
        </w:tc>
        <w:tc>
          <w:tcPr>
            <w:tcW w:w="450" w:type="dxa"/>
            <w:shd w:val="clear" w:color="auto" w:fill="auto"/>
            <w:vAlign w:val="center"/>
          </w:tcPr>
          <w:p w14:paraId="5FDF4357">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271</w:t>
            </w:r>
          </w:p>
        </w:tc>
        <w:tc>
          <w:tcPr>
            <w:tcW w:w="434" w:type="dxa"/>
            <w:shd w:val="clear" w:color="auto" w:fill="auto"/>
            <w:vAlign w:val="center"/>
          </w:tcPr>
          <w:p w14:paraId="05E24222">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84</w:t>
            </w:r>
          </w:p>
        </w:tc>
        <w:tc>
          <w:tcPr>
            <w:tcW w:w="420" w:type="dxa"/>
            <w:shd w:val="clear" w:color="auto" w:fill="auto"/>
            <w:vAlign w:val="center"/>
          </w:tcPr>
          <w:p w14:paraId="046C29B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1AEAA6E5">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1AFDE6B3">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228DC0EC">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highlight w:val="none"/>
              </w:rPr>
              <w:t>11.79</w:t>
            </w:r>
          </w:p>
        </w:tc>
        <w:tc>
          <w:tcPr>
            <w:tcW w:w="450" w:type="dxa"/>
            <w:shd w:val="clear" w:color="auto" w:fill="auto"/>
            <w:vAlign w:val="center"/>
          </w:tcPr>
          <w:p w14:paraId="6C120130">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56155BE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7AF271D4">
            <w:pPr>
              <w:pStyle w:val="171"/>
              <w:widowControl/>
              <w:adjustRightInd/>
              <w:spacing w:before="0" w:beforeLines="0" w:after="0" w:afterLines="0" w:line="240" w:lineRule="auto"/>
              <w:ind w:firstLine="0" w:firstLineChars="0"/>
              <w:rPr>
                <w:caps w:val="0"/>
                <w:smallCaps w:val="0"/>
                <w:color w:val="auto"/>
                <w:spacing w:val="0"/>
                <w:sz w:val="21"/>
                <w:highlight w:val="none"/>
              </w:rPr>
            </w:pPr>
          </w:p>
        </w:tc>
        <w:tc>
          <w:tcPr>
            <w:tcW w:w="445" w:type="dxa"/>
            <w:shd w:val="clear" w:color="auto" w:fill="auto"/>
            <w:vAlign w:val="center"/>
          </w:tcPr>
          <w:p w14:paraId="17903F6C">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4FB63EC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6ADE759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1C9C2314">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277C6EF4">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27484CE2">
            <w:pPr>
              <w:pStyle w:val="171"/>
              <w:widowControl/>
              <w:adjustRightInd/>
              <w:spacing w:before="0" w:beforeLines="0" w:after="0" w:afterLines="0" w:line="240" w:lineRule="auto"/>
              <w:ind w:firstLine="0" w:firstLineChars="0"/>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1.80</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3C3CB4B1">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7A736A6D">
            <w:pPr>
              <w:pStyle w:val="171"/>
              <w:widowControl/>
              <w:adjustRightInd/>
              <w:spacing w:before="0" w:beforeLines="0" w:after="0" w:afterLines="0" w:line="240" w:lineRule="auto"/>
              <w:ind w:firstLine="0" w:firstLineChars="0"/>
              <w:rPr>
                <w:caps w:val="0"/>
                <w:smallCaps w:val="0"/>
                <w:color w:val="auto"/>
                <w:spacing w:val="0"/>
                <w:sz w:val="21"/>
                <w:highlight w:val="none"/>
              </w:rPr>
            </w:pPr>
            <w:r>
              <w:rPr>
                <w:rFonts w:hint="eastAsia"/>
                <w:caps w:val="0"/>
                <w:smallCaps w:val="0"/>
                <w:color w:val="auto"/>
                <w:spacing w:val="0"/>
                <w:sz w:val="21"/>
                <w:highlight w:val="none"/>
              </w:rPr>
              <w:t>-</w:t>
            </w:r>
          </w:p>
        </w:tc>
      </w:tr>
      <w:tr w14:paraId="1D39175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3C69886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6</w:t>
            </w:r>
          </w:p>
        </w:tc>
        <w:tc>
          <w:tcPr>
            <w:tcW w:w="552" w:type="dxa"/>
            <w:shd w:val="clear" w:color="auto" w:fill="auto"/>
            <w:vAlign w:val="center"/>
          </w:tcPr>
          <w:p w14:paraId="7649EBE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DA006</w:t>
            </w:r>
          </w:p>
        </w:tc>
        <w:tc>
          <w:tcPr>
            <w:tcW w:w="450" w:type="dxa"/>
            <w:shd w:val="clear" w:color="auto" w:fill="auto"/>
            <w:vAlign w:val="center"/>
          </w:tcPr>
          <w:p w14:paraId="44F9D7B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129</w:t>
            </w:r>
          </w:p>
        </w:tc>
        <w:tc>
          <w:tcPr>
            <w:tcW w:w="434" w:type="dxa"/>
            <w:shd w:val="clear" w:color="auto" w:fill="auto"/>
            <w:vAlign w:val="center"/>
          </w:tcPr>
          <w:p w14:paraId="465E656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84</w:t>
            </w:r>
          </w:p>
        </w:tc>
        <w:tc>
          <w:tcPr>
            <w:tcW w:w="420" w:type="dxa"/>
            <w:shd w:val="clear" w:color="auto" w:fill="auto"/>
            <w:vAlign w:val="center"/>
          </w:tcPr>
          <w:p w14:paraId="4099F8B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34256BD5">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2918D1A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41EA01C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8.89</w:t>
            </w:r>
          </w:p>
        </w:tc>
        <w:tc>
          <w:tcPr>
            <w:tcW w:w="450" w:type="dxa"/>
            <w:shd w:val="clear" w:color="auto" w:fill="auto"/>
            <w:vAlign w:val="center"/>
          </w:tcPr>
          <w:p w14:paraId="2C51A05A">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0A6AEC8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04435F83">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4E14167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41C909E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57C36D0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7419C2D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2D4E794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2D10F381">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1.30</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3</w:t>
            </w:r>
          </w:p>
        </w:tc>
        <w:tc>
          <w:tcPr>
            <w:tcW w:w="643" w:type="dxa"/>
            <w:shd w:val="clear" w:color="auto" w:fill="auto"/>
            <w:vAlign w:val="center"/>
          </w:tcPr>
          <w:p w14:paraId="3D7D4BBE">
            <w:pPr>
              <w:pStyle w:val="171"/>
              <w:widowControl/>
              <w:adjustRightInd/>
              <w:spacing w:before="0" w:beforeLines="0" w:after="0" w:afterLines="0" w:line="240" w:lineRule="auto"/>
              <w:ind w:firstLine="0"/>
              <w:jc w:val="both"/>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5.66</w:t>
            </w:r>
            <w:r>
              <w:rPr>
                <w:caps w:val="0"/>
                <w:smallCaps w:val="0"/>
                <w:color w:val="auto"/>
                <w:spacing w:val="0"/>
                <w:sz w:val="21"/>
                <w:highlight w:val="none"/>
              </w:rPr>
              <w:t>×10</w:t>
            </w:r>
            <w:r>
              <w:rPr>
                <w:caps w:val="0"/>
                <w:smallCaps w:val="0"/>
                <w:color w:val="auto"/>
                <w:spacing w:val="0"/>
                <w:sz w:val="21"/>
                <w:highlight w:val="none"/>
                <w:vertAlign w:val="superscript"/>
              </w:rPr>
              <w:t>-</w:t>
            </w:r>
            <w:r>
              <w:rPr>
                <w:rFonts w:hint="eastAsia"/>
                <w:caps w:val="0"/>
                <w:smallCaps w:val="0"/>
                <w:color w:val="auto"/>
                <w:spacing w:val="0"/>
                <w:sz w:val="21"/>
                <w:highlight w:val="none"/>
                <w:vertAlign w:val="superscript"/>
                <w:lang w:val="en-US" w:eastAsia="zh-CN"/>
              </w:rPr>
              <w:t>7</w:t>
            </w:r>
          </w:p>
        </w:tc>
        <w:tc>
          <w:tcPr>
            <w:tcW w:w="509" w:type="dxa"/>
            <w:shd w:val="clear" w:color="auto" w:fill="auto"/>
            <w:vAlign w:val="center"/>
          </w:tcPr>
          <w:p w14:paraId="234FCE52">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7E868E6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7E82D1C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w:t>
            </w:r>
          </w:p>
        </w:tc>
        <w:tc>
          <w:tcPr>
            <w:tcW w:w="552" w:type="dxa"/>
            <w:shd w:val="clear" w:color="auto" w:fill="auto"/>
            <w:vAlign w:val="center"/>
          </w:tcPr>
          <w:p w14:paraId="1D1957A7">
            <w:pPr>
              <w:snapToGrid w:val="0"/>
              <w:spacing w:before="74"/>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DA007</w:t>
            </w:r>
          </w:p>
        </w:tc>
        <w:tc>
          <w:tcPr>
            <w:tcW w:w="450" w:type="dxa"/>
            <w:shd w:val="clear" w:color="auto" w:fill="auto"/>
            <w:vAlign w:val="center"/>
          </w:tcPr>
          <w:p w14:paraId="5261F33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348</w:t>
            </w:r>
          </w:p>
        </w:tc>
        <w:tc>
          <w:tcPr>
            <w:tcW w:w="434" w:type="dxa"/>
            <w:shd w:val="clear" w:color="auto" w:fill="auto"/>
            <w:vAlign w:val="center"/>
          </w:tcPr>
          <w:p w14:paraId="758D4FA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124</w:t>
            </w:r>
          </w:p>
        </w:tc>
        <w:tc>
          <w:tcPr>
            <w:tcW w:w="420" w:type="dxa"/>
            <w:shd w:val="clear" w:color="auto" w:fill="auto"/>
            <w:vAlign w:val="center"/>
          </w:tcPr>
          <w:p w14:paraId="2164685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2A72F730">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5411ACD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279A463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17.71</w:t>
            </w:r>
          </w:p>
        </w:tc>
        <w:tc>
          <w:tcPr>
            <w:tcW w:w="450" w:type="dxa"/>
            <w:shd w:val="clear" w:color="auto" w:fill="auto"/>
            <w:vAlign w:val="center"/>
          </w:tcPr>
          <w:p w14:paraId="74239EAC">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7B5E4505">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1D34D2D2">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0162115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653E007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0BE86372">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0.022</w:t>
            </w:r>
          </w:p>
        </w:tc>
        <w:tc>
          <w:tcPr>
            <w:tcW w:w="461" w:type="dxa"/>
            <w:shd w:val="clear" w:color="auto" w:fill="auto"/>
            <w:vAlign w:val="center"/>
          </w:tcPr>
          <w:p w14:paraId="5A9ECA1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209DE86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39" w:type="dxa"/>
            <w:shd w:val="clear" w:color="auto" w:fill="auto"/>
            <w:vAlign w:val="center"/>
          </w:tcPr>
          <w:p w14:paraId="3EE9047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43" w:type="dxa"/>
            <w:shd w:val="clear" w:color="auto" w:fill="auto"/>
            <w:vAlign w:val="center"/>
          </w:tcPr>
          <w:p w14:paraId="527B4A9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0F5902F5">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r w14:paraId="747051B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65983457">
            <w:pPr>
              <w:pStyle w:val="171"/>
              <w:widowControl/>
              <w:adjustRightInd/>
              <w:spacing w:before="0" w:beforeLines="0" w:after="0" w:afterLines="0" w:line="240" w:lineRule="auto"/>
              <w:ind w:firstLine="0"/>
              <w:rPr>
                <w:rFonts w:hint="eastAsia" w:eastAsia="宋体"/>
                <w:caps w:val="0"/>
                <w:smallCaps w:val="0"/>
                <w:color w:val="auto"/>
                <w:spacing w:val="0"/>
                <w:sz w:val="21"/>
                <w:highlight w:val="none"/>
                <w:lang w:val="en-US" w:eastAsia="zh-CN"/>
              </w:rPr>
            </w:pPr>
            <w:r>
              <w:rPr>
                <w:rFonts w:hint="eastAsia"/>
                <w:caps w:val="0"/>
                <w:smallCaps w:val="0"/>
                <w:color w:val="auto"/>
                <w:spacing w:val="0"/>
                <w:sz w:val="21"/>
                <w:highlight w:val="none"/>
                <w:lang w:val="en-US" w:eastAsia="zh-CN"/>
              </w:rPr>
              <w:t>8</w:t>
            </w:r>
          </w:p>
        </w:tc>
        <w:tc>
          <w:tcPr>
            <w:tcW w:w="552" w:type="dxa"/>
            <w:shd w:val="clear" w:color="auto" w:fill="auto"/>
            <w:vAlign w:val="center"/>
          </w:tcPr>
          <w:p w14:paraId="5E4E62AD">
            <w:pPr>
              <w:snapToGrid w:val="0"/>
              <w:spacing w:before="74"/>
              <w:jc w:val="center"/>
              <w:textAlignment w:val="center"/>
              <w:rPr>
                <w:rStyle w:val="218"/>
                <w:rFonts w:ascii="Times New Roman" w:hAnsi="Times New Roman" w:cs="Times New Roman"/>
                <w:caps w:val="0"/>
                <w:smallCaps w:val="0"/>
                <w:color w:val="auto"/>
                <w:spacing w:val="0"/>
                <w:sz w:val="21"/>
                <w:szCs w:val="21"/>
                <w:highlight w:val="none"/>
                <w:lang w:bidi="ar"/>
              </w:rPr>
            </w:pPr>
            <w:r>
              <w:rPr>
                <w:rStyle w:val="218"/>
                <w:rFonts w:ascii="Times New Roman" w:hAnsi="Times New Roman" w:cs="Times New Roman"/>
                <w:caps w:val="0"/>
                <w:smallCaps w:val="0"/>
                <w:color w:val="auto"/>
                <w:spacing w:val="0"/>
                <w:sz w:val="21"/>
                <w:szCs w:val="21"/>
                <w:highlight w:val="none"/>
                <w:lang w:bidi="ar"/>
              </w:rPr>
              <w:t>DA00</w:t>
            </w:r>
            <w:r>
              <w:rPr>
                <w:rStyle w:val="218"/>
                <w:rFonts w:hint="eastAsia" w:ascii="Times New Roman" w:hAnsi="Times New Roman" w:eastAsia="宋体" w:cs="Times New Roman"/>
                <w:caps w:val="0"/>
                <w:smallCaps w:val="0"/>
                <w:color w:val="auto"/>
                <w:spacing w:val="0"/>
                <w:sz w:val="21"/>
                <w:szCs w:val="21"/>
                <w:highlight w:val="none"/>
                <w:lang w:val="en-US" w:eastAsia="zh-CN" w:bidi="ar"/>
              </w:rPr>
              <w:t>8</w:t>
            </w:r>
          </w:p>
        </w:tc>
        <w:tc>
          <w:tcPr>
            <w:tcW w:w="450" w:type="dxa"/>
            <w:shd w:val="clear" w:color="auto" w:fill="auto"/>
            <w:vAlign w:val="center"/>
          </w:tcPr>
          <w:p w14:paraId="620410C1">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97</w:t>
            </w:r>
          </w:p>
        </w:tc>
        <w:tc>
          <w:tcPr>
            <w:tcW w:w="434" w:type="dxa"/>
            <w:shd w:val="clear" w:color="auto" w:fill="auto"/>
            <w:vAlign w:val="center"/>
          </w:tcPr>
          <w:p w14:paraId="1A63F885">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81</w:t>
            </w:r>
          </w:p>
        </w:tc>
        <w:tc>
          <w:tcPr>
            <w:tcW w:w="420" w:type="dxa"/>
            <w:shd w:val="clear" w:color="auto" w:fill="auto"/>
            <w:vAlign w:val="center"/>
          </w:tcPr>
          <w:p w14:paraId="17A9C7D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058D0506">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740507B4">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34977077">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highlight w:val="none"/>
              </w:rPr>
              <w:t>14.88</w:t>
            </w:r>
          </w:p>
        </w:tc>
        <w:tc>
          <w:tcPr>
            <w:tcW w:w="450" w:type="dxa"/>
            <w:shd w:val="clear" w:color="auto" w:fill="auto"/>
            <w:vAlign w:val="center"/>
          </w:tcPr>
          <w:p w14:paraId="35F93260">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0891A9DA">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7200</w:t>
            </w:r>
          </w:p>
        </w:tc>
        <w:tc>
          <w:tcPr>
            <w:tcW w:w="366" w:type="dxa"/>
            <w:vMerge w:val="continue"/>
            <w:shd w:val="clear" w:color="auto" w:fill="auto"/>
            <w:vAlign w:val="center"/>
          </w:tcPr>
          <w:p w14:paraId="2AA17D1A">
            <w:pPr>
              <w:pStyle w:val="171"/>
              <w:widowControl/>
              <w:adjustRightInd/>
              <w:spacing w:before="0" w:beforeLines="0" w:after="0" w:afterLines="0" w:line="240" w:lineRule="auto"/>
              <w:ind w:firstLine="0" w:firstLineChars="0"/>
              <w:rPr>
                <w:caps w:val="0"/>
                <w:smallCaps w:val="0"/>
                <w:color w:val="auto"/>
                <w:spacing w:val="0"/>
                <w:sz w:val="21"/>
                <w:highlight w:val="none"/>
              </w:rPr>
            </w:pPr>
          </w:p>
        </w:tc>
        <w:tc>
          <w:tcPr>
            <w:tcW w:w="445" w:type="dxa"/>
            <w:shd w:val="clear" w:color="auto" w:fill="auto"/>
            <w:vAlign w:val="center"/>
          </w:tcPr>
          <w:p w14:paraId="656920C6">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0.00953</w:t>
            </w:r>
          </w:p>
        </w:tc>
        <w:tc>
          <w:tcPr>
            <w:tcW w:w="574" w:type="dxa"/>
            <w:shd w:val="clear" w:color="auto" w:fill="auto"/>
            <w:vAlign w:val="center"/>
          </w:tcPr>
          <w:p w14:paraId="74CC2B3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0.00153</w:t>
            </w:r>
          </w:p>
        </w:tc>
        <w:tc>
          <w:tcPr>
            <w:tcW w:w="471" w:type="dxa"/>
            <w:shd w:val="clear" w:color="auto" w:fill="auto"/>
            <w:vAlign w:val="center"/>
          </w:tcPr>
          <w:p w14:paraId="0D176FFB">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1" w:type="dxa"/>
            <w:shd w:val="clear" w:color="auto" w:fill="auto"/>
            <w:vAlign w:val="center"/>
          </w:tcPr>
          <w:p w14:paraId="258FCBD3">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465" w:type="dxa"/>
            <w:shd w:val="clear" w:color="auto" w:fill="auto"/>
            <w:vAlign w:val="center"/>
          </w:tcPr>
          <w:p w14:paraId="2DCBF4FF">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kern w:val="0"/>
                <w:sz w:val="21"/>
                <w:highlight w:val="none"/>
                <w:lang w:bidi="ar"/>
              </w:rPr>
              <w:t>7</w:t>
            </w:r>
            <w:r>
              <w:rPr>
                <w:rFonts w:hint="eastAsia"/>
                <w:caps w:val="0"/>
                <w:smallCaps w:val="0"/>
                <w:color w:val="auto"/>
                <w:spacing w:val="0"/>
                <w:kern w:val="0"/>
                <w:sz w:val="21"/>
                <w:highlight w:val="none"/>
                <w:lang w:bidi="ar"/>
              </w:rPr>
              <w:t>.</w:t>
            </w:r>
            <w:r>
              <w:rPr>
                <w:caps w:val="0"/>
                <w:smallCaps w:val="0"/>
                <w:color w:val="auto"/>
                <w:spacing w:val="0"/>
                <w:kern w:val="0"/>
                <w:sz w:val="21"/>
                <w:highlight w:val="none"/>
                <w:lang w:bidi="ar"/>
              </w:rPr>
              <w:t>89×10</w:t>
            </w:r>
            <w:r>
              <w:rPr>
                <w:caps w:val="0"/>
                <w:smallCaps w:val="0"/>
                <w:color w:val="auto"/>
                <w:spacing w:val="0"/>
                <w:kern w:val="0"/>
                <w:sz w:val="21"/>
                <w:highlight w:val="none"/>
                <w:vertAlign w:val="superscript"/>
                <w:lang w:bidi="ar"/>
              </w:rPr>
              <w:t>-</w:t>
            </w:r>
            <w:r>
              <w:rPr>
                <w:rFonts w:hint="eastAsia"/>
                <w:caps w:val="0"/>
                <w:smallCaps w:val="0"/>
                <w:color w:val="auto"/>
                <w:spacing w:val="0"/>
                <w:kern w:val="0"/>
                <w:sz w:val="21"/>
                <w:highlight w:val="none"/>
                <w:vertAlign w:val="superscript"/>
                <w:lang w:bidi="ar"/>
              </w:rPr>
              <w:t>6</w:t>
            </w:r>
          </w:p>
        </w:tc>
        <w:tc>
          <w:tcPr>
            <w:tcW w:w="639" w:type="dxa"/>
            <w:shd w:val="clear" w:color="auto" w:fill="auto"/>
            <w:vAlign w:val="center"/>
          </w:tcPr>
          <w:p w14:paraId="4FE1F880">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643" w:type="dxa"/>
            <w:shd w:val="clear" w:color="auto" w:fill="auto"/>
            <w:vAlign w:val="center"/>
          </w:tcPr>
          <w:p w14:paraId="76569E76">
            <w:pPr>
              <w:pStyle w:val="171"/>
              <w:widowControl/>
              <w:adjustRightInd/>
              <w:spacing w:before="0" w:beforeLines="0" w:after="0" w:afterLines="0" w:line="240" w:lineRule="auto"/>
              <w:ind w:firstLine="0" w:firstLineChars="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3B4E610F">
            <w:pPr>
              <w:pStyle w:val="171"/>
              <w:widowControl/>
              <w:adjustRightInd/>
              <w:spacing w:before="0" w:beforeLines="0" w:after="0" w:afterLines="0" w:line="240" w:lineRule="auto"/>
              <w:ind w:firstLine="0" w:firstLineChars="0"/>
              <w:rPr>
                <w:rFonts w:hint="eastAsia"/>
                <w:caps w:val="0"/>
                <w:smallCaps w:val="0"/>
                <w:color w:val="auto"/>
                <w:spacing w:val="0"/>
                <w:sz w:val="21"/>
                <w:highlight w:val="none"/>
              </w:rPr>
            </w:pPr>
            <w:r>
              <w:rPr>
                <w:rFonts w:hint="eastAsia"/>
                <w:caps w:val="0"/>
                <w:smallCaps w:val="0"/>
                <w:color w:val="auto"/>
                <w:spacing w:val="0"/>
                <w:kern w:val="0"/>
                <w:sz w:val="21"/>
                <w:highlight w:val="none"/>
                <w:lang w:bidi="ar"/>
              </w:rPr>
              <w:t>3.06</w:t>
            </w:r>
            <w:r>
              <w:rPr>
                <w:caps w:val="0"/>
                <w:smallCaps w:val="0"/>
                <w:color w:val="auto"/>
                <w:spacing w:val="0"/>
                <w:kern w:val="0"/>
                <w:sz w:val="21"/>
                <w:highlight w:val="none"/>
                <w:lang w:bidi="ar"/>
              </w:rPr>
              <w:t>×10</w:t>
            </w:r>
            <w:r>
              <w:rPr>
                <w:caps w:val="0"/>
                <w:smallCaps w:val="0"/>
                <w:color w:val="auto"/>
                <w:spacing w:val="0"/>
                <w:kern w:val="0"/>
                <w:sz w:val="21"/>
                <w:highlight w:val="none"/>
                <w:vertAlign w:val="superscript"/>
                <w:lang w:bidi="ar"/>
              </w:rPr>
              <w:t>-</w:t>
            </w:r>
            <w:r>
              <w:rPr>
                <w:rFonts w:hint="eastAsia"/>
                <w:caps w:val="0"/>
                <w:smallCaps w:val="0"/>
                <w:color w:val="auto"/>
                <w:spacing w:val="0"/>
                <w:kern w:val="0"/>
                <w:sz w:val="21"/>
                <w:highlight w:val="none"/>
                <w:vertAlign w:val="superscript"/>
                <w:lang w:bidi="ar"/>
              </w:rPr>
              <w:t>7</w:t>
            </w:r>
          </w:p>
        </w:tc>
      </w:tr>
      <w:tr w14:paraId="7436200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72" w:hRule="atLeast"/>
          <w:jc w:val="center"/>
        </w:trPr>
        <w:tc>
          <w:tcPr>
            <w:tcW w:w="311" w:type="dxa"/>
            <w:shd w:val="clear" w:color="auto" w:fill="auto"/>
            <w:vAlign w:val="center"/>
          </w:tcPr>
          <w:p w14:paraId="2700CB18">
            <w:pPr>
              <w:pStyle w:val="171"/>
              <w:widowControl/>
              <w:adjustRightInd/>
              <w:spacing w:before="0" w:beforeLines="0" w:after="0" w:afterLines="0" w:line="240" w:lineRule="auto"/>
              <w:ind w:firstLine="0"/>
              <w:rPr>
                <w:rFonts w:hint="eastAsia" w:eastAsia="宋体"/>
                <w:caps w:val="0"/>
                <w:smallCaps w:val="0"/>
                <w:color w:val="auto"/>
                <w:spacing w:val="0"/>
                <w:sz w:val="21"/>
                <w:highlight w:val="none"/>
                <w:lang w:eastAsia="zh-CN"/>
              </w:rPr>
            </w:pPr>
            <w:r>
              <w:rPr>
                <w:rFonts w:hint="eastAsia"/>
                <w:caps w:val="0"/>
                <w:smallCaps w:val="0"/>
                <w:color w:val="auto"/>
                <w:spacing w:val="0"/>
                <w:sz w:val="21"/>
                <w:highlight w:val="none"/>
                <w:lang w:val="en-US" w:eastAsia="zh-CN"/>
              </w:rPr>
              <w:t>9</w:t>
            </w:r>
          </w:p>
        </w:tc>
        <w:tc>
          <w:tcPr>
            <w:tcW w:w="552" w:type="dxa"/>
            <w:shd w:val="clear" w:color="auto" w:fill="auto"/>
            <w:vAlign w:val="center"/>
          </w:tcPr>
          <w:p w14:paraId="1FD29AD6">
            <w:pPr>
              <w:pStyle w:val="171"/>
              <w:widowControl/>
              <w:adjustRightInd/>
              <w:spacing w:before="0" w:beforeLines="0" w:after="0" w:afterLines="0" w:line="240" w:lineRule="auto"/>
              <w:ind w:firstLine="0"/>
              <w:rPr>
                <w:rStyle w:val="218"/>
                <w:rFonts w:hint="eastAsia" w:ascii="Times New Roman" w:hAnsi="Times New Roman" w:eastAsia="宋体" w:cs="Times New Roman"/>
                <w:caps w:val="0"/>
                <w:smallCaps w:val="0"/>
                <w:color w:val="auto"/>
                <w:spacing w:val="0"/>
                <w:sz w:val="21"/>
                <w:szCs w:val="21"/>
                <w:highlight w:val="none"/>
                <w:lang w:eastAsia="zh-CN" w:bidi="ar"/>
              </w:rPr>
            </w:pPr>
            <w:r>
              <w:rPr>
                <w:caps w:val="0"/>
                <w:smallCaps w:val="0"/>
                <w:color w:val="auto"/>
                <w:spacing w:val="0"/>
                <w:sz w:val="21"/>
                <w:highlight w:val="none"/>
              </w:rPr>
              <w:t>DA00</w:t>
            </w:r>
            <w:r>
              <w:rPr>
                <w:rFonts w:hint="eastAsia"/>
                <w:caps w:val="0"/>
                <w:smallCaps w:val="0"/>
                <w:color w:val="auto"/>
                <w:spacing w:val="0"/>
                <w:sz w:val="21"/>
                <w:highlight w:val="none"/>
                <w:lang w:val="en-US" w:eastAsia="zh-CN"/>
              </w:rPr>
              <w:t>9</w:t>
            </w:r>
          </w:p>
        </w:tc>
        <w:tc>
          <w:tcPr>
            <w:tcW w:w="450" w:type="dxa"/>
            <w:shd w:val="clear" w:color="auto" w:fill="auto"/>
            <w:vAlign w:val="center"/>
          </w:tcPr>
          <w:p w14:paraId="22071BCF">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348</w:t>
            </w:r>
          </w:p>
        </w:tc>
        <w:tc>
          <w:tcPr>
            <w:tcW w:w="434" w:type="dxa"/>
            <w:shd w:val="clear" w:color="auto" w:fill="auto"/>
            <w:vAlign w:val="center"/>
          </w:tcPr>
          <w:p w14:paraId="237BFF48">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136</w:t>
            </w:r>
          </w:p>
        </w:tc>
        <w:tc>
          <w:tcPr>
            <w:tcW w:w="420" w:type="dxa"/>
            <w:shd w:val="clear" w:color="auto" w:fill="auto"/>
            <w:vAlign w:val="center"/>
          </w:tcPr>
          <w:p w14:paraId="03CC1FC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83</w:t>
            </w:r>
          </w:p>
        </w:tc>
        <w:tc>
          <w:tcPr>
            <w:tcW w:w="471" w:type="dxa"/>
            <w:shd w:val="clear" w:color="auto" w:fill="auto"/>
            <w:vAlign w:val="center"/>
          </w:tcPr>
          <w:p w14:paraId="54FDF39D">
            <w:pPr>
              <w:snapToGrid w:val="0"/>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w:t>
            </w:r>
          </w:p>
        </w:tc>
        <w:tc>
          <w:tcPr>
            <w:tcW w:w="505" w:type="dxa"/>
            <w:shd w:val="clear" w:color="auto" w:fill="auto"/>
            <w:vAlign w:val="center"/>
          </w:tcPr>
          <w:p w14:paraId="07A04C8B">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0.3</w:t>
            </w:r>
          </w:p>
        </w:tc>
        <w:tc>
          <w:tcPr>
            <w:tcW w:w="522" w:type="dxa"/>
            <w:shd w:val="clear" w:color="auto" w:fill="auto"/>
            <w:vAlign w:val="center"/>
          </w:tcPr>
          <w:p w14:paraId="27509900">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7.86</w:t>
            </w:r>
          </w:p>
        </w:tc>
        <w:tc>
          <w:tcPr>
            <w:tcW w:w="450" w:type="dxa"/>
            <w:shd w:val="clear" w:color="auto" w:fill="auto"/>
            <w:vAlign w:val="center"/>
          </w:tcPr>
          <w:p w14:paraId="43B118F4">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600" w:type="dxa"/>
            <w:shd w:val="clear" w:color="auto" w:fill="auto"/>
            <w:vAlign w:val="center"/>
          </w:tcPr>
          <w:p w14:paraId="60290BFD">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2400</w:t>
            </w:r>
          </w:p>
        </w:tc>
        <w:tc>
          <w:tcPr>
            <w:tcW w:w="366" w:type="dxa"/>
            <w:vMerge w:val="continue"/>
            <w:shd w:val="clear" w:color="auto" w:fill="auto"/>
            <w:vAlign w:val="center"/>
          </w:tcPr>
          <w:p w14:paraId="26B6FCD7">
            <w:pPr>
              <w:pStyle w:val="171"/>
              <w:widowControl/>
              <w:adjustRightInd/>
              <w:spacing w:before="0" w:beforeLines="0" w:after="0" w:afterLines="0" w:line="240" w:lineRule="auto"/>
              <w:ind w:firstLine="0"/>
              <w:rPr>
                <w:caps w:val="0"/>
                <w:smallCaps w:val="0"/>
                <w:color w:val="auto"/>
                <w:spacing w:val="0"/>
                <w:sz w:val="21"/>
                <w:highlight w:val="none"/>
              </w:rPr>
            </w:pPr>
          </w:p>
        </w:tc>
        <w:tc>
          <w:tcPr>
            <w:tcW w:w="445" w:type="dxa"/>
            <w:shd w:val="clear" w:color="auto" w:fill="auto"/>
            <w:vAlign w:val="center"/>
          </w:tcPr>
          <w:p w14:paraId="56771EB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74" w:type="dxa"/>
            <w:shd w:val="clear" w:color="auto" w:fill="auto"/>
            <w:vAlign w:val="center"/>
          </w:tcPr>
          <w:p w14:paraId="63239E93">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471" w:type="dxa"/>
            <w:shd w:val="clear" w:color="auto" w:fill="auto"/>
            <w:vAlign w:val="center"/>
          </w:tcPr>
          <w:p w14:paraId="576C80F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4.40×10</w:t>
            </w:r>
            <w:r>
              <w:rPr>
                <w:caps w:val="0"/>
                <w:smallCaps w:val="0"/>
                <w:color w:val="auto"/>
                <w:spacing w:val="0"/>
                <w:sz w:val="21"/>
                <w:highlight w:val="none"/>
                <w:vertAlign w:val="superscript"/>
              </w:rPr>
              <w:t>-6</w:t>
            </w:r>
          </w:p>
        </w:tc>
        <w:tc>
          <w:tcPr>
            <w:tcW w:w="461" w:type="dxa"/>
            <w:shd w:val="clear" w:color="auto" w:fill="auto"/>
            <w:vAlign w:val="center"/>
          </w:tcPr>
          <w:p w14:paraId="7CF03F56">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8.06×10</w:t>
            </w:r>
            <w:r>
              <w:rPr>
                <w:caps w:val="0"/>
                <w:smallCaps w:val="0"/>
                <w:color w:val="auto"/>
                <w:spacing w:val="0"/>
                <w:sz w:val="21"/>
                <w:highlight w:val="none"/>
                <w:vertAlign w:val="superscript"/>
              </w:rPr>
              <w:t>-6</w:t>
            </w:r>
          </w:p>
        </w:tc>
        <w:tc>
          <w:tcPr>
            <w:tcW w:w="465" w:type="dxa"/>
            <w:shd w:val="clear" w:color="auto" w:fill="auto"/>
            <w:vAlign w:val="center"/>
          </w:tcPr>
          <w:p w14:paraId="3C2BBC0E">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8.51×10</w:t>
            </w:r>
            <w:r>
              <w:rPr>
                <w:caps w:val="0"/>
                <w:smallCaps w:val="0"/>
                <w:color w:val="auto"/>
                <w:spacing w:val="0"/>
                <w:sz w:val="21"/>
                <w:highlight w:val="none"/>
                <w:vertAlign w:val="superscript"/>
              </w:rPr>
              <w:t>-7</w:t>
            </w:r>
          </w:p>
        </w:tc>
        <w:tc>
          <w:tcPr>
            <w:tcW w:w="639" w:type="dxa"/>
            <w:shd w:val="clear" w:color="auto" w:fill="auto"/>
            <w:vAlign w:val="center"/>
          </w:tcPr>
          <w:p w14:paraId="701DBB29">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643" w:type="dxa"/>
            <w:shd w:val="clear" w:color="auto" w:fill="auto"/>
            <w:vAlign w:val="center"/>
          </w:tcPr>
          <w:p w14:paraId="6D9A2057">
            <w:pPr>
              <w:pStyle w:val="171"/>
              <w:widowControl/>
              <w:adjustRightIn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509" w:type="dxa"/>
            <w:shd w:val="clear" w:color="auto" w:fill="auto"/>
            <w:vAlign w:val="center"/>
          </w:tcPr>
          <w:p w14:paraId="2463C369">
            <w:pPr>
              <w:pStyle w:val="171"/>
              <w:widowControl/>
              <w:adjustRightInd/>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bl>
    <w:p w14:paraId="27484F8D">
      <w:pPr>
        <w:pStyle w:val="204"/>
        <w:rPr>
          <w:rFonts w:hint="default" w:ascii="Times New Roman" w:hAnsi="Times New Roman" w:cs="Times New Roman" w:eastAsiaTheme="minorEastAsia"/>
          <w:caps w:val="0"/>
          <w:smallCaps w:val="0"/>
          <w:color w:val="auto"/>
          <w:spacing w:val="0"/>
          <w:highlight w:val="none"/>
        </w:rPr>
      </w:pPr>
      <w:r>
        <w:rPr>
          <w:rFonts w:hint="default" w:ascii="Times New Roman" w:hAnsi="Times New Roman" w:cs="Times New Roman" w:eastAsiaTheme="minorEastAsia"/>
          <w:caps w:val="0"/>
          <w:smallCaps w:val="0"/>
          <w:color w:val="auto"/>
          <w:spacing w:val="0"/>
          <w:highlight w:val="none"/>
        </w:rPr>
        <w:t>表5.2-5多边形面源参数表（面源）</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1"/>
        <w:gridCol w:w="900"/>
        <w:gridCol w:w="1584"/>
        <w:gridCol w:w="1423"/>
        <w:gridCol w:w="737"/>
        <w:gridCol w:w="737"/>
        <w:gridCol w:w="680"/>
        <w:gridCol w:w="388"/>
        <w:gridCol w:w="604"/>
        <w:gridCol w:w="676"/>
        <w:gridCol w:w="630"/>
        <w:gridCol w:w="457"/>
      </w:tblGrid>
      <w:tr w14:paraId="3D22F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53" w:type="pct"/>
            <w:vMerge w:val="restart"/>
            <w:vAlign w:val="center"/>
          </w:tcPr>
          <w:p w14:paraId="326AC194">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编号</w:t>
            </w:r>
          </w:p>
        </w:tc>
        <w:tc>
          <w:tcPr>
            <w:tcW w:w="484" w:type="pct"/>
            <w:vMerge w:val="restart"/>
            <w:vAlign w:val="center"/>
          </w:tcPr>
          <w:p w14:paraId="6C51EF03">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名称</w:t>
            </w:r>
          </w:p>
        </w:tc>
        <w:tc>
          <w:tcPr>
            <w:tcW w:w="1616" w:type="pct"/>
            <w:gridSpan w:val="2"/>
            <w:vAlign w:val="center"/>
          </w:tcPr>
          <w:p w14:paraId="5E3AF54D">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面源各顶点坐标（°）</w:t>
            </w:r>
          </w:p>
        </w:tc>
        <w:tc>
          <w:tcPr>
            <w:tcW w:w="397" w:type="pct"/>
            <w:vMerge w:val="restart"/>
            <w:vAlign w:val="center"/>
          </w:tcPr>
          <w:p w14:paraId="314C10F4">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面源海拔高度（m）</w:t>
            </w:r>
          </w:p>
        </w:tc>
        <w:tc>
          <w:tcPr>
            <w:tcW w:w="397" w:type="pct"/>
            <w:vMerge w:val="restart"/>
            <w:vAlign w:val="center"/>
          </w:tcPr>
          <w:p w14:paraId="67E2F24F">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面源有效排放高度（m）</w:t>
            </w:r>
          </w:p>
        </w:tc>
        <w:tc>
          <w:tcPr>
            <w:tcW w:w="366" w:type="pct"/>
            <w:vMerge w:val="restart"/>
            <w:vAlign w:val="center"/>
          </w:tcPr>
          <w:p w14:paraId="3B4F584F">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年排放小时数（h）</w:t>
            </w:r>
          </w:p>
        </w:tc>
        <w:tc>
          <w:tcPr>
            <w:tcW w:w="209" w:type="pct"/>
            <w:vMerge w:val="restart"/>
            <w:vAlign w:val="center"/>
          </w:tcPr>
          <w:p w14:paraId="58227848">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排放工况</w:t>
            </w:r>
          </w:p>
        </w:tc>
        <w:tc>
          <w:tcPr>
            <w:tcW w:w="1274" w:type="pct"/>
            <w:gridSpan w:val="4"/>
            <w:vAlign w:val="center"/>
          </w:tcPr>
          <w:p w14:paraId="1B75FFE1">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污染物排放速率（kg/h）</w:t>
            </w:r>
          </w:p>
        </w:tc>
      </w:tr>
      <w:tr w14:paraId="3E347B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Merge w:val="continue"/>
            <w:vAlign w:val="center"/>
          </w:tcPr>
          <w:p w14:paraId="5ABD1731">
            <w:pPr>
              <w:spacing w:line="0" w:lineRule="atLeast"/>
              <w:jc w:val="center"/>
              <w:rPr>
                <w:rFonts w:ascii="Times New Roman" w:hAnsi="宋体" w:eastAsia="宋体"/>
                <w:caps w:val="0"/>
                <w:smallCaps w:val="0"/>
                <w:color w:val="auto"/>
                <w:spacing w:val="0"/>
                <w:sz w:val="21"/>
                <w:highlight w:val="none"/>
              </w:rPr>
            </w:pPr>
          </w:p>
        </w:tc>
        <w:tc>
          <w:tcPr>
            <w:tcW w:w="484" w:type="pct"/>
            <w:vMerge w:val="continue"/>
            <w:vAlign w:val="center"/>
          </w:tcPr>
          <w:p w14:paraId="52AF094A">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1B293A22">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经度</w:t>
            </w:r>
          </w:p>
        </w:tc>
        <w:tc>
          <w:tcPr>
            <w:tcW w:w="765" w:type="pct"/>
            <w:vAlign w:val="center"/>
          </w:tcPr>
          <w:p w14:paraId="40A68727">
            <w:pPr>
              <w:spacing w:line="0" w:lineRule="atLeast"/>
              <w:jc w:val="center"/>
              <w:rPr>
                <w:rFonts w:ascii="Times New Roman" w:hAnsi="宋体" w:eastAsia="宋体"/>
                <w:caps w:val="0"/>
                <w:smallCaps w:val="0"/>
                <w:color w:val="auto"/>
                <w:spacing w:val="0"/>
                <w:sz w:val="21"/>
                <w:highlight w:val="none"/>
              </w:rPr>
            </w:pPr>
            <w:r>
              <w:rPr>
                <w:rFonts w:ascii="Times New Roman" w:hAnsi="宋体" w:eastAsia="宋体"/>
                <w:caps w:val="0"/>
                <w:smallCaps w:val="0"/>
                <w:color w:val="auto"/>
                <w:spacing w:val="0"/>
                <w:sz w:val="21"/>
                <w:highlight w:val="none"/>
              </w:rPr>
              <w:t>纬度</w:t>
            </w:r>
          </w:p>
        </w:tc>
        <w:tc>
          <w:tcPr>
            <w:tcW w:w="397" w:type="pct"/>
            <w:vMerge w:val="continue"/>
            <w:vAlign w:val="center"/>
          </w:tcPr>
          <w:p w14:paraId="63DEDB5B">
            <w:pPr>
              <w:spacing w:line="0" w:lineRule="atLeast"/>
              <w:jc w:val="center"/>
              <w:rPr>
                <w:rFonts w:ascii="Times New Roman" w:hAnsi="宋体" w:eastAsia="宋体"/>
                <w:caps w:val="0"/>
                <w:smallCaps w:val="0"/>
                <w:color w:val="auto"/>
                <w:spacing w:val="0"/>
                <w:sz w:val="21"/>
                <w:highlight w:val="none"/>
              </w:rPr>
            </w:pPr>
          </w:p>
        </w:tc>
        <w:tc>
          <w:tcPr>
            <w:tcW w:w="397" w:type="pct"/>
            <w:vMerge w:val="continue"/>
            <w:vAlign w:val="center"/>
          </w:tcPr>
          <w:p w14:paraId="379ABC2D">
            <w:pPr>
              <w:spacing w:line="0" w:lineRule="atLeast"/>
              <w:jc w:val="center"/>
              <w:rPr>
                <w:rFonts w:ascii="Times New Roman" w:hAnsi="宋体" w:eastAsia="宋体"/>
                <w:caps w:val="0"/>
                <w:smallCaps w:val="0"/>
                <w:color w:val="auto"/>
                <w:spacing w:val="0"/>
                <w:sz w:val="21"/>
                <w:highlight w:val="none"/>
              </w:rPr>
            </w:pPr>
          </w:p>
        </w:tc>
        <w:tc>
          <w:tcPr>
            <w:tcW w:w="366" w:type="pct"/>
            <w:vMerge w:val="continue"/>
            <w:vAlign w:val="center"/>
          </w:tcPr>
          <w:p w14:paraId="5CC51507">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170B5C39">
            <w:pPr>
              <w:spacing w:line="0" w:lineRule="atLeast"/>
              <w:jc w:val="center"/>
              <w:rPr>
                <w:rFonts w:ascii="Times New Roman" w:hAnsi="宋体" w:eastAsia="宋体"/>
                <w:caps w:val="0"/>
                <w:smallCaps w:val="0"/>
                <w:color w:val="auto"/>
                <w:spacing w:val="0"/>
                <w:sz w:val="21"/>
                <w:highlight w:val="none"/>
              </w:rPr>
            </w:pPr>
          </w:p>
        </w:tc>
        <w:tc>
          <w:tcPr>
            <w:tcW w:w="325" w:type="pct"/>
            <w:vAlign w:val="center"/>
          </w:tcPr>
          <w:p w14:paraId="663D7E81">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非甲烷总烃</w:t>
            </w:r>
          </w:p>
        </w:tc>
        <w:tc>
          <w:tcPr>
            <w:tcW w:w="364" w:type="pct"/>
            <w:vAlign w:val="center"/>
          </w:tcPr>
          <w:p w14:paraId="7387C307">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二甲苯</w:t>
            </w:r>
          </w:p>
        </w:tc>
        <w:tc>
          <w:tcPr>
            <w:tcW w:w="339" w:type="pct"/>
            <w:vAlign w:val="center"/>
          </w:tcPr>
          <w:p w14:paraId="17973B73">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氨气</w:t>
            </w:r>
          </w:p>
        </w:tc>
        <w:tc>
          <w:tcPr>
            <w:tcW w:w="245" w:type="pct"/>
            <w:vAlign w:val="center"/>
          </w:tcPr>
          <w:p w14:paraId="3CAB14D5">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硫化氢</w:t>
            </w:r>
          </w:p>
        </w:tc>
      </w:tr>
      <w:tr w14:paraId="187999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2D82126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w:t>
            </w:r>
          </w:p>
        </w:tc>
        <w:tc>
          <w:tcPr>
            <w:tcW w:w="484" w:type="pct"/>
            <w:vMerge w:val="restart"/>
            <w:vAlign w:val="center"/>
          </w:tcPr>
          <w:p w14:paraId="6C22D27C">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Fonts w:hint="eastAsia"/>
                <w:caps w:val="0"/>
                <w:smallCaps w:val="0"/>
                <w:color w:val="auto"/>
                <w:spacing w:val="0"/>
                <w:sz w:val="21"/>
                <w:highlight w:val="none"/>
              </w:rPr>
              <w:t>实验室废气</w:t>
            </w:r>
          </w:p>
        </w:tc>
        <w:tc>
          <w:tcPr>
            <w:tcW w:w="851" w:type="pct"/>
            <w:vAlign w:val="center"/>
          </w:tcPr>
          <w:p w14:paraId="031B1B5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130.46995433</w:t>
            </w:r>
          </w:p>
        </w:tc>
        <w:tc>
          <w:tcPr>
            <w:tcW w:w="765" w:type="pct"/>
            <w:vAlign w:val="center"/>
          </w:tcPr>
          <w:p w14:paraId="073F967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46.81852939</w:t>
            </w:r>
          </w:p>
        </w:tc>
        <w:tc>
          <w:tcPr>
            <w:tcW w:w="397" w:type="pct"/>
            <w:vAlign w:val="center"/>
          </w:tcPr>
          <w:p w14:paraId="22EB6E5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2F886165">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restart"/>
            <w:vAlign w:val="center"/>
          </w:tcPr>
          <w:p w14:paraId="4622DC5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7200</w:t>
            </w:r>
          </w:p>
        </w:tc>
        <w:tc>
          <w:tcPr>
            <w:tcW w:w="209" w:type="pct"/>
            <w:vMerge w:val="continue"/>
            <w:vAlign w:val="center"/>
          </w:tcPr>
          <w:p w14:paraId="14BC3315">
            <w:pPr>
              <w:spacing w:line="0" w:lineRule="atLeast"/>
              <w:jc w:val="center"/>
              <w:rPr>
                <w:rFonts w:ascii="Times New Roman" w:hAnsi="宋体" w:eastAsia="宋体"/>
                <w:caps w:val="0"/>
                <w:smallCaps w:val="0"/>
                <w:color w:val="auto"/>
                <w:spacing w:val="0"/>
                <w:sz w:val="21"/>
                <w:highlight w:val="none"/>
              </w:rPr>
            </w:pPr>
          </w:p>
        </w:tc>
        <w:tc>
          <w:tcPr>
            <w:tcW w:w="325" w:type="pct"/>
            <w:vMerge w:val="restart"/>
            <w:vAlign w:val="center"/>
          </w:tcPr>
          <w:p w14:paraId="779D8FF0">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364" w:type="pct"/>
            <w:vMerge w:val="restart"/>
            <w:vAlign w:val="center"/>
          </w:tcPr>
          <w:p w14:paraId="7172EB07">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8.96×10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339" w:type="pct"/>
            <w:vMerge w:val="restart"/>
            <w:vAlign w:val="center"/>
          </w:tcPr>
          <w:p w14:paraId="2AFE4F35">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245" w:type="pct"/>
            <w:vMerge w:val="restart"/>
            <w:vAlign w:val="center"/>
          </w:tcPr>
          <w:p w14:paraId="65BAE39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r>
      <w:tr w14:paraId="3189D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5FBA370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2</w:t>
            </w:r>
          </w:p>
        </w:tc>
        <w:tc>
          <w:tcPr>
            <w:tcW w:w="484" w:type="pct"/>
            <w:vMerge w:val="continue"/>
            <w:vAlign w:val="center"/>
          </w:tcPr>
          <w:p w14:paraId="067D5776">
            <w:pPr>
              <w:pStyle w:val="212"/>
              <w:rPr>
                <w:caps w:val="0"/>
                <w:smallCaps w:val="0"/>
                <w:color w:val="auto"/>
                <w:spacing w:val="0"/>
                <w:highlight w:val="none"/>
              </w:rPr>
            </w:pPr>
          </w:p>
        </w:tc>
        <w:tc>
          <w:tcPr>
            <w:tcW w:w="851" w:type="pct"/>
            <w:vAlign w:val="center"/>
          </w:tcPr>
          <w:p w14:paraId="75080ED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130.47006123</w:t>
            </w:r>
          </w:p>
        </w:tc>
        <w:tc>
          <w:tcPr>
            <w:tcW w:w="765" w:type="pct"/>
            <w:vAlign w:val="center"/>
          </w:tcPr>
          <w:p w14:paraId="1244CD4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46.81844098</w:t>
            </w:r>
          </w:p>
        </w:tc>
        <w:tc>
          <w:tcPr>
            <w:tcW w:w="397" w:type="pct"/>
            <w:vAlign w:val="center"/>
          </w:tcPr>
          <w:p w14:paraId="47B59653">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5E65977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7387EA10">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2B3A3367">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63321218">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360A3911">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035AFE17">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2DBBFA30">
            <w:pPr>
              <w:spacing w:line="0" w:lineRule="atLeast"/>
              <w:jc w:val="center"/>
              <w:rPr>
                <w:rFonts w:ascii="Times New Roman" w:hAnsi="宋体" w:eastAsia="宋体"/>
                <w:caps w:val="0"/>
                <w:smallCaps w:val="0"/>
                <w:color w:val="auto"/>
                <w:spacing w:val="0"/>
                <w:sz w:val="21"/>
                <w:highlight w:val="none"/>
              </w:rPr>
            </w:pPr>
          </w:p>
        </w:tc>
      </w:tr>
      <w:tr w14:paraId="0F49D6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312C10E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3</w:t>
            </w:r>
          </w:p>
        </w:tc>
        <w:tc>
          <w:tcPr>
            <w:tcW w:w="484" w:type="pct"/>
            <w:vMerge w:val="continue"/>
            <w:vAlign w:val="center"/>
          </w:tcPr>
          <w:p w14:paraId="1C096943">
            <w:pPr>
              <w:pStyle w:val="212"/>
              <w:rPr>
                <w:caps w:val="0"/>
                <w:smallCaps w:val="0"/>
                <w:color w:val="auto"/>
                <w:spacing w:val="0"/>
                <w:highlight w:val="none"/>
              </w:rPr>
            </w:pPr>
          </w:p>
        </w:tc>
        <w:tc>
          <w:tcPr>
            <w:tcW w:w="851" w:type="pct"/>
            <w:vAlign w:val="center"/>
          </w:tcPr>
          <w:p w14:paraId="2CB9F99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130.47026439</w:t>
            </w:r>
          </w:p>
        </w:tc>
        <w:tc>
          <w:tcPr>
            <w:tcW w:w="765" w:type="pct"/>
            <w:vAlign w:val="center"/>
          </w:tcPr>
          <w:p w14:paraId="6BC935F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46.81850660</w:t>
            </w:r>
          </w:p>
        </w:tc>
        <w:tc>
          <w:tcPr>
            <w:tcW w:w="397" w:type="pct"/>
            <w:vAlign w:val="center"/>
          </w:tcPr>
          <w:p w14:paraId="310776C5">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34F7A0A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4CA12ED8">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71DC2C15">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596887D0">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3C0B0B8A">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77DF58C1">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6F146DB1">
            <w:pPr>
              <w:spacing w:line="0" w:lineRule="atLeast"/>
              <w:jc w:val="center"/>
              <w:rPr>
                <w:rFonts w:ascii="Times New Roman" w:hAnsi="宋体" w:eastAsia="宋体"/>
                <w:caps w:val="0"/>
                <w:smallCaps w:val="0"/>
                <w:color w:val="auto"/>
                <w:spacing w:val="0"/>
                <w:sz w:val="21"/>
                <w:highlight w:val="none"/>
              </w:rPr>
            </w:pPr>
          </w:p>
        </w:tc>
      </w:tr>
      <w:tr w14:paraId="2DA33B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3" w:type="pct"/>
            <w:vAlign w:val="center"/>
          </w:tcPr>
          <w:p w14:paraId="21E29B5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w:t>
            </w:r>
          </w:p>
        </w:tc>
        <w:tc>
          <w:tcPr>
            <w:tcW w:w="484" w:type="pct"/>
            <w:vMerge w:val="continue"/>
            <w:vAlign w:val="center"/>
          </w:tcPr>
          <w:p w14:paraId="5AA2F342">
            <w:pPr>
              <w:pStyle w:val="212"/>
              <w:rPr>
                <w:caps w:val="0"/>
                <w:smallCaps w:val="0"/>
                <w:color w:val="auto"/>
                <w:spacing w:val="0"/>
                <w:highlight w:val="none"/>
              </w:rPr>
            </w:pPr>
          </w:p>
        </w:tc>
        <w:tc>
          <w:tcPr>
            <w:tcW w:w="851" w:type="pct"/>
            <w:vAlign w:val="center"/>
          </w:tcPr>
          <w:p w14:paraId="7C5FD9C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130.47011473,</w:t>
            </w:r>
          </w:p>
        </w:tc>
        <w:tc>
          <w:tcPr>
            <w:tcW w:w="765" w:type="pct"/>
            <w:vAlign w:val="center"/>
          </w:tcPr>
          <w:p w14:paraId="7C87AF1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46.81864653</w:t>
            </w:r>
          </w:p>
        </w:tc>
        <w:tc>
          <w:tcPr>
            <w:tcW w:w="397" w:type="pct"/>
            <w:vAlign w:val="center"/>
          </w:tcPr>
          <w:p w14:paraId="1656C94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24801F4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7EF88245">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5B44B9B8">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57E95ADD">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24A4DC69">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1426F1E0">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6D30033C">
            <w:pPr>
              <w:spacing w:line="0" w:lineRule="atLeast"/>
              <w:jc w:val="center"/>
              <w:rPr>
                <w:rFonts w:ascii="Times New Roman" w:hAnsi="宋体" w:eastAsia="宋体"/>
                <w:caps w:val="0"/>
                <w:smallCaps w:val="0"/>
                <w:color w:val="auto"/>
                <w:spacing w:val="0"/>
                <w:sz w:val="21"/>
                <w:highlight w:val="none"/>
              </w:rPr>
            </w:pPr>
          </w:p>
        </w:tc>
      </w:tr>
      <w:tr w14:paraId="22FEC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5802A21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5</w:t>
            </w:r>
          </w:p>
        </w:tc>
        <w:tc>
          <w:tcPr>
            <w:tcW w:w="484" w:type="pct"/>
            <w:vMerge w:val="restart"/>
            <w:vAlign w:val="center"/>
          </w:tcPr>
          <w:p w14:paraId="267A9790">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光刻胶涂覆曝光固化废气</w:t>
            </w:r>
          </w:p>
        </w:tc>
        <w:tc>
          <w:tcPr>
            <w:tcW w:w="851" w:type="pct"/>
            <w:vAlign w:val="center"/>
          </w:tcPr>
          <w:p w14:paraId="2A6EAB5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130.46706694</w:t>
            </w:r>
          </w:p>
        </w:tc>
        <w:tc>
          <w:tcPr>
            <w:tcW w:w="765" w:type="pct"/>
            <w:vAlign w:val="center"/>
          </w:tcPr>
          <w:p w14:paraId="36D7669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46.81669247</w:t>
            </w:r>
          </w:p>
        </w:tc>
        <w:tc>
          <w:tcPr>
            <w:tcW w:w="397" w:type="pct"/>
            <w:vAlign w:val="center"/>
          </w:tcPr>
          <w:p w14:paraId="37348B7F">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52981ED">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25C3280F">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3DECCAA8">
            <w:pPr>
              <w:spacing w:line="0" w:lineRule="atLeast"/>
              <w:jc w:val="center"/>
              <w:rPr>
                <w:rFonts w:ascii="Times New Roman" w:hAnsi="宋体" w:eastAsia="宋体"/>
                <w:caps w:val="0"/>
                <w:smallCaps w:val="0"/>
                <w:color w:val="auto"/>
                <w:spacing w:val="0"/>
                <w:sz w:val="21"/>
                <w:highlight w:val="none"/>
              </w:rPr>
            </w:pPr>
          </w:p>
        </w:tc>
        <w:tc>
          <w:tcPr>
            <w:tcW w:w="325" w:type="pct"/>
            <w:vMerge w:val="restart"/>
            <w:vAlign w:val="center"/>
          </w:tcPr>
          <w:p w14:paraId="1C127A11">
            <w:pPr>
              <w:spacing w:line="0" w:lineRule="atLeast"/>
              <w:jc w:val="center"/>
              <w:rPr>
                <w:rFonts w:ascii="Times New Roman" w:hAnsi="宋体" w:eastAsia="宋体"/>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0.00578</w:t>
            </w:r>
          </w:p>
        </w:tc>
        <w:tc>
          <w:tcPr>
            <w:tcW w:w="364" w:type="pct"/>
            <w:vMerge w:val="restart"/>
            <w:vAlign w:val="center"/>
          </w:tcPr>
          <w:p w14:paraId="4644CC3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339" w:type="pct"/>
            <w:vMerge w:val="restart"/>
            <w:vAlign w:val="center"/>
          </w:tcPr>
          <w:p w14:paraId="5027B5E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245" w:type="pct"/>
            <w:vMerge w:val="restart"/>
            <w:vAlign w:val="center"/>
          </w:tcPr>
          <w:p w14:paraId="2D1CE8E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r>
      <w:tr w14:paraId="68405A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4622990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6</w:t>
            </w:r>
          </w:p>
        </w:tc>
        <w:tc>
          <w:tcPr>
            <w:tcW w:w="484" w:type="pct"/>
            <w:vMerge w:val="continue"/>
            <w:vAlign w:val="center"/>
          </w:tcPr>
          <w:p w14:paraId="4888EB0C">
            <w:pPr>
              <w:pStyle w:val="212"/>
              <w:rPr>
                <w:caps w:val="0"/>
                <w:smallCaps w:val="0"/>
                <w:color w:val="auto"/>
                <w:spacing w:val="0"/>
                <w:highlight w:val="none"/>
              </w:rPr>
            </w:pPr>
          </w:p>
        </w:tc>
        <w:tc>
          <w:tcPr>
            <w:tcW w:w="851" w:type="pct"/>
            <w:vAlign w:val="center"/>
          </w:tcPr>
          <w:p w14:paraId="7A97CDB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130.47033911</w:t>
            </w:r>
          </w:p>
        </w:tc>
        <w:tc>
          <w:tcPr>
            <w:tcW w:w="765" w:type="pct"/>
            <w:vAlign w:val="center"/>
          </w:tcPr>
          <w:p w14:paraId="35B66635">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46.81794080</w:t>
            </w:r>
          </w:p>
        </w:tc>
        <w:tc>
          <w:tcPr>
            <w:tcW w:w="397" w:type="pct"/>
            <w:vAlign w:val="center"/>
          </w:tcPr>
          <w:p w14:paraId="5D997C7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F66625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05287743">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2F4966B0">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78F43E3F">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6D7BEB08">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23A0D598">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54C8E461">
            <w:pPr>
              <w:spacing w:line="0" w:lineRule="atLeast"/>
              <w:jc w:val="center"/>
              <w:rPr>
                <w:rFonts w:ascii="Times New Roman" w:hAnsi="宋体" w:eastAsia="宋体"/>
                <w:caps w:val="0"/>
                <w:smallCaps w:val="0"/>
                <w:color w:val="auto"/>
                <w:spacing w:val="0"/>
                <w:sz w:val="21"/>
                <w:highlight w:val="none"/>
              </w:rPr>
            </w:pPr>
          </w:p>
        </w:tc>
      </w:tr>
      <w:tr w14:paraId="7092A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75BADF9D">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w:t>
            </w:r>
          </w:p>
        </w:tc>
        <w:tc>
          <w:tcPr>
            <w:tcW w:w="484" w:type="pct"/>
            <w:vMerge w:val="continue"/>
            <w:vAlign w:val="center"/>
          </w:tcPr>
          <w:p w14:paraId="5691DC1F">
            <w:pPr>
              <w:pStyle w:val="212"/>
              <w:rPr>
                <w:caps w:val="0"/>
                <w:smallCaps w:val="0"/>
                <w:color w:val="auto"/>
                <w:spacing w:val="0"/>
                <w:highlight w:val="none"/>
              </w:rPr>
            </w:pPr>
          </w:p>
        </w:tc>
        <w:tc>
          <w:tcPr>
            <w:tcW w:w="851" w:type="pct"/>
            <w:vAlign w:val="center"/>
          </w:tcPr>
          <w:p w14:paraId="51DDE504">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130.46980464</w:t>
            </w:r>
          </w:p>
        </w:tc>
        <w:tc>
          <w:tcPr>
            <w:tcW w:w="765" w:type="pct"/>
            <w:vAlign w:val="center"/>
          </w:tcPr>
          <w:p w14:paraId="227DF28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46.81854444</w:t>
            </w:r>
          </w:p>
        </w:tc>
        <w:tc>
          <w:tcPr>
            <w:tcW w:w="397" w:type="pct"/>
            <w:vAlign w:val="center"/>
          </w:tcPr>
          <w:p w14:paraId="1D0BE2D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0238EE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441C8415">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574D11D6">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53B8252E">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1802B12A">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3453F820">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590B5BCD">
            <w:pPr>
              <w:spacing w:line="0" w:lineRule="atLeast"/>
              <w:jc w:val="center"/>
              <w:rPr>
                <w:rFonts w:ascii="Times New Roman" w:hAnsi="宋体" w:eastAsia="宋体"/>
                <w:caps w:val="0"/>
                <w:smallCaps w:val="0"/>
                <w:color w:val="auto"/>
                <w:spacing w:val="0"/>
                <w:sz w:val="21"/>
                <w:highlight w:val="none"/>
              </w:rPr>
            </w:pPr>
          </w:p>
        </w:tc>
      </w:tr>
      <w:tr w14:paraId="4B836B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1BCEB488">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8</w:t>
            </w:r>
          </w:p>
        </w:tc>
        <w:tc>
          <w:tcPr>
            <w:tcW w:w="484" w:type="pct"/>
            <w:vMerge w:val="continue"/>
            <w:vAlign w:val="center"/>
          </w:tcPr>
          <w:p w14:paraId="03359134">
            <w:pPr>
              <w:pStyle w:val="212"/>
              <w:rPr>
                <w:caps w:val="0"/>
                <w:smallCaps w:val="0"/>
                <w:color w:val="auto"/>
                <w:spacing w:val="0"/>
                <w:highlight w:val="none"/>
              </w:rPr>
            </w:pPr>
          </w:p>
        </w:tc>
        <w:tc>
          <w:tcPr>
            <w:tcW w:w="851" w:type="pct"/>
            <w:vAlign w:val="center"/>
          </w:tcPr>
          <w:p w14:paraId="77410FE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130.46671418</w:t>
            </w:r>
          </w:p>
        </w:tc>
        <w:tc>
          <w:tcPr>
            <w:tcW w:w="765" w:type="pct"/>
            <w:vAlign w:val="center"/>
          </w:tcPr>
          <w:p w14:paraId="766E800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46.81726626</w:t>
            </w:r>
          </w:p>
        </w:tc>
        <w:tc>
          <w:tcPr>
            <w:tcW w:w="397" w:type="pct"/>
            <w:vAlign w:val="center"/>
          </w:tcPr>
          <w:p w14:paraId="654E786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0DD245DD">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7134CCA1">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47816A96">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20CB6077">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5919662C">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0F76F923">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10BB9557">
            <w:pPr>
              <w:spacing w:line="0" w:lineRule="atLeast"/>
              <w:jc w:val="center"/>
              <w:rPr>
                <w:rFonts w:ascii="Times New Roman" w:hAnsi="宋体" w:eastAsia="宋体"/>
                <w:caps w:val="0"/>
                <w:smallCaps w:val="0"/>
                <w:color w:val="auto"/>
                <w:spacing w:val="0"/>
                <w:sz w:val="21"/>
                <w:highlight w:val="none"/>
              </w:rPr>
            </w:pPr>
          </w:p>
        </w:tc>
      </w:tr>
      <w:tr w14:paraId="651F8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04C7977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9</w:t>
            </w:r>
          </w:p>
        </w:tc>
        <w:tc>
          <w:tcPr>
            <w:tcW w:w="484" w:type="pct"/>
            <w:vMerge w:val="restart"/>
            <w:vAlign w:val="center"/>
          </w:tcPr>
          <w:p w14:paraId="666A7256">
            <w:pPr>
              <w:pStyle w:val="171"/>
              <w:widowControl/>
              <w:adjustRightInd/>
              <w:spacing w:before="0" w:beforeLines="0" w:after="0" w:afterLines="0" w:line="240" w:lineRule="auto"/>
              <w:ind w:firstLine="0"/>
              <w:rPr>
                <w:rFonts w:hAnsi="宋体"/>
                <w:caps w:val="0"/>
                <w:smallCaps w:val="0"/>
                <w:color w:val="auto"/>
                <w:spacing w:val="0"/>
                <w:sz w:val="21"/>
                <w:highlight w:val="none"/>
              </w:rPr>
            </w:pPr>
            <w:r>
              <w:rPr>
                <w:rStyle w:val="218"/>
                <w:rFonts w:hint="eastAsia" w:cs="Times New Roman"/>
                <w:caps w:val="0"/>
                <w:smallCaps w:val="0"/>
                <w:color w:val="auto"/>
                <w:spacing w:val="0"/>
                <w:sz w:val="21"/>
                <w:szCs w:val="21"/>
                <w:highlight w:val="none"/>
                <w:lang w:bidi="ar"/>
              </w:rPr>
              <w:t>污水处理站废气</w:t>
            </w:r>
          </w:p>
        </w:tc>
        <w:tc>
          <w:tcPr>
            <w:tcW w:w="851" w:type="pct"/>
            <w:vAlign w:val="center"/>
          </w:tcPr>
          <w:p w14:paraId="471641FD">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130.46739840</w:t>
            </w:r>
          </w:p>
        </w:tc>
        <w:tc>
          <w:tcPr>
            <w:tcW w:w="765" w:type="pct"/>
            <w:vAlign w:val="center"/>
          </w:tcPr>
          <w:p w14:paraId="2DA7479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46.81655212</w:t>
            </w:r>
          </w:p>
        </w:tc>
        <w:tc>
          <w:tcPr>
            <w:tcW w:w="397" w:type="pct"/>
            <w:vAlign w:val="center"/>
          </w:tcPr>
          <w:p w14:paraId="660460C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323F8A4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03E00816">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19276A6C">
            <w:pPr>
              <w:spacing w:line="0" w:lineRule="atLeast"/>
              <w:jc w:val="center"/>
              <w:rPr>
                <w:rFonts w:ascii="Times New Roman" w:hAnsi="宋体" w:eastAsia="宋体"/>
                <w:caps w:val="0"/>
                <w:smallCaps w:val="0"/>
                <w:color w:val="auto"/>
                <w:spacing w:val="0"/>
                <w:sz w:val="21"/>
                <w:highlight w:val="none"/>
              </w:rPr>
            </w:pPr>
          </w:p>
        </w:tc>
        <w:tc>
          <w:tcPr>
            <w:tcW w:w="325" w:type="pct"/>
            <w:vMerge w:val="restart"/>
            <w:vAlign w:val="center"/>
          </w:tcPr>
          <w:p w14:paraId="568C8E9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364" w:type="pct"/>
            <w:vMerge w:val="restart"/>
            <w:vAlign w:val="center"/>
          </w:tcPr>
          <w:p w14:paraId="2E00071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w:t>
            </w:r>
          </w:p>
        </w:tc>
        <w:tc>
          <w:tcPr>
            <w:tcW w:w="339" w:type="pct"/>
            <w:vMerge w:val="restart"/>
            <w:vAlign w:val="center"/>
          </w:tcPr>
          <w:p w14:paraId="1F559565">
            <w:pPr>
              <w:spacing w:line="0" w:lineRule="atLeast"/>
              <w:jc w:val="center"/>
              <w:rPr>
                <w:rFonts w:ascii="Times New Roman" w:hAnsi="宋体" w:eastAsia="宋体"/>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2.08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245" w:type="pct"/>
            <w:vMerge w:val="restart"/>
            <w:vAlign w:val="center"/>
          </w:tcPr>
          <w:p w14:paraId="63016D70">
            <w:pPr>
              <w:spacing w:line="0" w:lineRule="atLeast"/>
              <w:jc w:val="center"/>
              <w:rPr>
                <w:rFonts w:ascii="Times New Roman" w:hAnsi="宋体" w:eastAsia="宋体"/>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8.05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r>
      <w:tr w14:paraId="1E880E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57336915">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10</w:t>
            </w:r>
          </w:p>
        </w:tc>
        <w:tc>
          <w:tcPr>
            <w:tcW w:w="484" w:type="pct"/>
            <w:vMerge w:val="continue"/>
            <w:vAlign w:val="center"/>
          </w:tcPr>
          <w:p w14:paraId="69A99978">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12EDDAE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130.46767644</w:t>
            </w:r>
          </w:p>
        </w:tc>
        <w:tc>
          <w:tcPr>
            <w:tcW w:w="765" w:type="pct"/>
            <w:vAlign w:val="center"/>
          </w:tcPr>
          <w:p w14:paraId="130C8D89">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46.81665431</w:t>
            </w:r>
          </w:p>
        </w:tc>
        <w:tc>
          <w:tcPr>
            <w:tcW w:w="397" w:type="pct"/>
            <w:vAlign w:val="center"/>
          </w:tcPr>
          <w:p w14:paraId="6E07AAFA">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1F5E788B">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26316A30">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496598F9">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030DEC61">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1E2D6247">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03A7212A">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123F93FB">
            <w:pPr>
              <w:spacing w:line="0" w:lineRule="atLeast"/>
              <w:jc w:val="center"/>
              <w:rPr>
                <w:rFonts w:ascii="Times New Roman" w:hAnsi="宋体" w:eastAsia="宋体"/>
                <w:caps w:val="0"/>
                <w:smallCaps w:val="0"/>
                <w:color w:val="auto"/>
                <w:spacing w:val="0"/>
                <w:sz w:val="21"/>
                <w:highlight w:val="none"/>
              </w:rPr>
            </w:pPr>
          </w:p>
        </w:tc>
      </w:tr>
      <w:tr w14:paraId="1526DD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2" w:hRule="atLeast"/>
          <w:jc w:val="center"/>
        </w:trPr>
        <w:tc>
          <w:tcPr>
            <w:tcW w:w="253" w:type="pct"/>
            <w:vAlign w:val="center"/>
          </w:tcPr>
          <w:p w14:paraId="5950DE8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11</w:t>
            </w:r>
          </w:p>
        </w:tc>
        <w:tc>
          <w:tcPr>
            <w:tcW w:w="484" w:type="pct"/>
            <w:vMerge w:val="continue"/>
            <w:vAlign w:val="center"/>
          </w:tcPr>
          <w:p w14:paraId="3E3E6F04">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4F403D4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130.46759093</w:t>
            </w:r>
          </w:p>
        </w:tc>
        <w:tc>
          <w:tcPr>
            <w:tcW w:w="765" w:type="pct"/>
            <w:vAlign w:val="center"/>
          </w:tcPr>
          <w:p w14:paraId="46193250">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46.81680877</w:t>
            </w:r>
          </w:p>
        </w:tc>
        <w:tc>
          <w:tcPr>
            <w:tcW w:w="397" w:type="pct"/>
            <w:vAlign w:val="center"/>
          </w:tcPr>
          <w:p w14:paraId="0AB8EC0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0155B22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58B6F871">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3E1090AD">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1C1499C3">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2E891F46">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401FD293">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0ACFE3FF">
            <w:pPr>
              <w:spacing w:line="0" w:lineRule="atLeast"/>
              <w:jc w:val="center"/>
              <w:rPr>
                <w:rFonts w:ascii="Times New Roman" w:hAnsi="宋体" w:eastAsia="宋体"/>
                <w:caps w:val="0"/>
                <w:smallCaps w:val="0"/>
                <w:color w:val="auto"/>
                <w:spacing w:val="0"/>
                <w:sz w:val="21"/>
                <w:highlight w:val="none"/>
              </w:rPr>
            </w:pPr>
          </w:p>
        </w:tc>
      </w:tr>
      <w:tr w14:paraId="50591E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253" w:type="pct"/>
            <w:vAlign w:val="center"/>
          </w:tcPr>
          <w:p w14:paraId="3EA257A6">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484" w:type="pct"/>
            <w:vMerge w:val="continue"/>
            <w:vAlign w:val="center"/>
          </w:tcPr>
          <w:p w14:paraId="65F5E2CF">
            <w:pPr>
              <w:spacing w:line="0" w:lineRule="atLeast"/>
              <w:jc w:val="center"/>
              <w:rPr>
                <w:rFonts w:ascii="Times New Roman" w:hAnsi="宋体" w:eastAsia="宋体"/>
                <w:caps w:val="0"/>
                <w:smallCaps w:val="0"/>
                <w:color w:val="auto"/>
                <w:spacing w:val="0"/>
                <w:sz w:val="21"/>
                <w:highlight w:val="none"/>
              </w:rPr>
            </w:pPr>
          </w:p>
        </w:tc>
        <w:tc>
          <w:tcPr>
            <w:tcW w:w="851" w:type="pct"/>
            <w:vAlign w:val="center"/>
          </w:tcPr>
          <w:p w14:paraId="6AE39937">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130.46727011</w:t>
            </w:r>
          </w:p>
        </w:tc>
        <w:tc>
          <w:tcPr>
            <w:tcW w:w="765" w:type="pct"/>
            <w:vAlign w:val="center"/>
          </w:tcPr>
          <w:p w14:paraId="49BC6012">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46.81665526</w:t>
            </w:r>
          </w:p>
        </w:tc>
        <w:tc>
          <w:tcPr>
            <w:tcW w:w="397" w:type="pct"/>
            <w:vAlign w:val="center"/>
          </w:tcPr>
          <w:p w14:paraId="0CD1BC3E">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77</w:t>
            </w:r>
          </w:p>
        </w:tc>
        <w:tc>
          <w:tcPr>
            <w:tcW w:w="397" w:type="pct"/>
            <w:vAlign w:val="center"/>
          </w:tcPr>
          <w:p w14:paraId="640B4E41">
            <w:pPr>
              <w:spacing w:line="0" w:lineRule="atLeast"/>
              <w:jc w:val="center"/>
              <w:rPr>
                <w:rFonts w:ascii="Times New Roman" w:hAnsi="宋体" w:eastAsia="宋体"/>
                <w:caps w:val="0"/>
                <w:smallCaps w:val="0"/>
                <w:color w:val="auto"/>
                <w:spacing w:val="0"/>
                <w:sz w:val="21"/>
                <w:highlight w:val="none"/>
              </w:rPr>
            </w:pPr>
            <w:r>
              <w:rPr>
                <w:rFonts w:hint="eastAsia" w:ascii="Times New Roman" w:hAnsi="宋体" w:eastAsia="宋体"/>
                <w:caps w:val="0"/>
                <w:smallCaps w:val="0"/>
                <w:color w:val="auto"/>
                <w:spacing w:val="0"/>
                <w:sz w:val="21"/>
                <w:highlight w:val="none"/>
              </w:rPr>
              <w:t>1.2</w:t>
            </w:r>
          </w:p>
        </w:tc>
        <w:tc>
          <w:tcPr>
            <w:tcW w:w="366" w:type="pct"/>
            <w:vMerge w:val="continue"/>
            <w:vAlign w:val="center"/>
          </w:tcPr>
          <w:p w14:paraId="0F8EEF9D">
            <w:pPr>
              <w:spacing w:line="0" w:lineRule="atLeast"/>
              <w:jc w:val="center"/>
              <w:rPr>
                <w:rFonts w:ascii="Times New Roman" w:hAnsi="宋体" w:eastAsia="宋体"/>
                <w:caps w:val="0"/>
                <w:smallCaps w:val="0"/>
                <w:color w:val="auto"/>
                <w:spacing w:val="0"/>
                <w:sz w:val="21"/>
                <w:highlight w:val="none"/>
              </w:rPr>
            </w:pPr>
          </w:p>
        </w:tc>
        <w:tc>
          <w:tcPr>
            <w:tcW w:w="209" w:type="pct"/>
            <w:vMerge w:val="continue"/>
            <w:vAlign w:val="center"/>
          </w:tcPr>
          <w:p w14:paraId="30D7004F">
            <w:pPr>
              <w:spacing w:line="0" w:lineRule="atLeast"/>
              <w:jc w:val="center"/>
              <w:rPr>
                <w:rFonts w:ascii="Times New Roman" w:hAnsi="宋体" w:eastAsia="宋体"/>
                <w:caps w:val="0"/>
                <w:smallCaps w:val="0"/>
                <w:color w:val="auto"/>
                <w:spacing w:val="0"/>
                <w:sz w:val="21"/>
                <w:highlight w:val="none"/>
              </w:rPr>
            </w:pPr>
          </w:p>
        </w:tc>
        <w:tc>
          <w:tcPr>
            <w:tcW w:w="325" w:type="pct"/>
            <w:vMerge w:val="continue"/>
            <w:vAlign w:val="center"/>
          </w:tcPr>
          <w:p w14:paraId="738589AD">
            <w:pPr>
              <w:spacing w:line="0" w:lineRule="atLeast"/>
              <w:jc w:val="center"/>
              <w:rPr>
                <w:rFonts w:ascii="Times New Roman" w:hAnsi="宋体" w:eastAsia="宋体"/>
                <w:caps w:val="0"/>
                <w:smallCaps w:val="0"/>
                <w:color w:val="auto"/>
                <w:spacing w:val="0"/>
                <w:sz w:val="21"/>
                <w:highlight w:val="none"/>
              </w:rPr>
            </w:pPr>
          </w:p>
        </w:tc>
        <w:tc>
          <w:tcPr>
            <w:tcW w:w="364" w:type="pct"/>
            <w:vMerge w:val="continue"/>
            <w:vAlign w:val="center"/>
          </w:tcPr>
          <w:p w14:paraId="55104D13">
            <w:pPr>
              <w:spacing w:line="0" w:lineRule="atLeast"/>
              <w:jc w:val="center"/>
              <w:rPr>
                <w:rFonts w:ascii="Times New Roman" w:hAnsi="宋体" w:eastAsia="宋体"/>
                <w:caps w:val="0"/>
                <w:smallCaps w:val="0"/>
                <w:color w:val="auto"/>
                <w:spacing w:val="0"/>
                <w:sz w:val="21"/>
                <w:highlight w:val="none"/>
              </w:rPr>
            </w:pPr>
          </w:p>
        </w:tc>
        <w:tc>
          <w:tcPr>
            <w:tcW w:w="339" w:type="pct"/>
            <w:vMerge w:val="continue"/>
            <w:vAlign w:val="center"/>
          </w:tcPr>
          <w:p w14:paraId="7F51F8BC">
            <w:pPr>
              <w:spacing w:line="0" w:lineRule="atLeast"/>
              <w:jc w:val="center"/>
              <w:rPr>
                <w:rFonts w:ascii="Times New Roman" w:hAnsi="宋体" w:eastAsia="宋体"/>
                <w:caps w:val="0"/>
                <w:smallCaps w:val="0"/>
                <w:color w:val="auto"/>
                <w:spacing w:val="0"/>
                <w:sz w:val="21"/>
                <w:highlight w:val="none"/>
              </w:rPr>
            </w:pPr>
          </w:p>
        </w:tc>
        <w:tc>
          <w:tcPr>
            <w:tcW w:w="245" w:type="pct"/>
            <w:vMerge w:val="continue"/>
            <w:vAlign w:val="center"/>
          </w:tcPr>
          <w:p w14:paraId="5697D1CE">
            <w:pPr>
              <w:spacing w:line="0" w:lineRule="atLeast"/>
              <w:jc w:val="center"/>
              <w:rPr>
                <w:rFonts w:ascii="Times New Roman" w:hAnsi="宋体" w:eastAsia="宋体"/>
                <w:caps w:val="0"/>
                <w:smallCaps w:val="0"/>
                <w:color w:val="auto"/>
                <w:spacing w:val="0"/>
                <w:sz w:val="21"/>
                <w:highlight w:val="none"/>
              </w:rPr>
            </w:pPr>
          </w:p>
        </w:tc>
      </w:tr>
    </w:tbl>
    <w:p w14:paraId="70474724">
      <w:pPr>
        <w:rPr>
          <w:caps w:val="0"/>
          <w:smallCaps w:val="0"/>
          <w:color w:val="auto"/>
          <w:spacing w:val="0"/>
          <w:highlight w:val="none"/>
        </w:rPr>
      </w:pPr>
    </w:p>
    <w:p w14:paraId="2F94942A">
      <w:pPr>
        <w:pStyle w:val="6"/>
        <w:rPr>
          <w:rFonts w:eastAsia="宋体"/>
          <w:caps w:val="0"/>
          <w:smallCaps w:val="0"/>
          <w:color w:val="auto"/>
          <w:spacing w:val="0"/>
          <w:highlight w:val="none"/>
        </w:rPr>
      </w:pPr>
      <w:r>
        <w:rPr>
          <w:rFonts w:eastAsia="宋体"/>
          <w:caps w:val="0"/>
          <w:smallCaps w:val="0"/>
          <w:color w:val="auto"/>
          <w:spacing w:val="0"/>
          <w:highlight w:val="none"/>
        </w:rPr>
        <w:t>5.2.2.2估算结果</w:t>
      </w:r>
    </w:p>
    <w:p w14:paraId="157D5C6B">
      <w:pPr>
        <w:pStyle w:val="117"/>
        <w:rPr>
          <w:rFonts w:ascii="Times New Roman" w:hAnsi="Times New Roman" w:cs="Times New Roman"/>
          <w:caps w:val="0"/>
          <w:smallCaps w:val="0"/>
          <w:color w:val="auto"/>
          <w:spacing w:val="0"/>
          <w:kern w:val="0"/>
          <w:highlight w:val="none"/>
        </w:rPr>
      </w:pPr>
      <w:r>
        <w:rPr>
          <w:rFonts w:ascii="Times New Roman" w:hAnsi="Times New Roman" w:cs="Times New Roman"/>
          <w:caps w:val="0"/>
          <w:smallCaps w:val="0"/>
          <w:color w:val="auto"/>
          <w:spacing w:val="0"/>
          <w:kern w:val="0"/>
          <w:highlight w:val="none"/>
        </w:rPr>
        <w:t>各污染物预测结果见表5.2-</w:t>
      </w:r>
      <w:r>
        <w:rPr>
          <w:rFonts w:hint="eastAsia" w:ascii="Times New Roman" w:hAnsi="Times New Roman" w:cs="Times New Roman"/>
          <w:caps w:val="0"/>
          <w:smallCaps w:val="0"/>
          <w:color w:val="auto"/>
          <w:spacing w:val="0"/>
          <w:kern w:val="0"/>
          <w:highlight w:val="none"/>
        </w:rPr>
        <w:t>6</w:t>
      </w:r>
      <w:r>
        <w:rPr>
          <w:rFonts w:ascii="Times New Roman" w:hAnsi="Times New Roman" w:cs="Times New Roman"/>
          <w:caps w:val="0"/>
          <w:smallCaps w:val="0"/>
          <w:color w:val="auto"/>
          <w:spacing w:val="0"/>
          <w:kern w:val="0"/>
          <w:highlight w:val="none"/>
        </w:rPr>
        <w:t>、5.2-</w:t>
      </w:r>
      <w:r>
        <w:rPr>
          <w:rFonts w:hint="eastAsia" w:ascii="Times New Roman" w:hAnsi="Times New Roman" w:cs="Times New Roman"/>
          <w:caps w:val="0"/>
          <w:smallCaps w:val="0"/>
          <w:color w:val="auto"/>
          <w:spacing w:val="0"/>
          <w:kern w:val="0"/>
          <w:highlight w:val="none"/>
        </w:rPr>
        <w:t>7、</w:t>
      </w:r>
      <w:r>
        <w:rPr>
          <w:rFonts w:ascii="Times New Roman" w:hAnsi="Times New Roman" w:cs="Times New Roman"/>
          <w:caps w:val="0"/>
          <w:smallCaps w:val="0"/>
          <w:color w:val="auto"/>
          <w:spacing w:val="0"/>
          <w:kern w:val="0"/>
          <w:highlight w:val="none"/>
        </w:rPr>
        <w:t>5.2-</w:t>
      </w:r>
      <w:r>
        <w:rPr>
          <w:rFonts w:hint="eastAsia" w:ascii="Times New Roman" w:hAnsi="Times New Roman" w:cs="Times New Roman"/>
          <w:caps w:val="0"/>
          <w:smallCaps w:val="0"/>
          <w:color w:val="auto"/>
          <w:spacing w:val="0"/>
          <w:kern w:val="0"/>
          <w:highlight w:val="none"/>
        </w:rPr>
        <w:t>8</w:t>
      </w:r>
      <w:r>
        <w:rPr>
          <w:rFonts w:ascii="Times New Roman" w:hAnsi="Times New Roman" w:cs="Times New Roman"/>
          <w:caps w:val="0"/>
          <w:smallCaps w:val="0"/>
          <w:color w:val="auto"/>
          <w:spacing w:val="0"/>
          <w:kern w:val="0"/>
          <w:highlight w:val="none"/>
        </w:rPr>
        <w:t>、</w:t>
      </w:r>
      <w:r>
        <w:rPr>
          <w:rFonts w:hint="eastAsia" w:ascii="Times New Roman" w:hAnsi="Times New Roman" w:cs="Times New Roman"/>
          <w:caps w:val="0"/>
          <w:smallCaps w:val="0"/>
          <w:color w:val="auto"/>
          <w:spacing w:val="0"/>
          <w:kern w:val="0"/>
          <w:highlight w:val="none"/>
        </w:rPr>
        <w:t>5.2-9及</w:t>
      </w:r>
      <w:r>
        <w:rPr>
          <w:rFonts w:ascii="Times New Roman" w:hAnsi="Times New Roman" w:cs="Times New Roman"/>
          <w:caps w:val="0"/>
          <w:smallCaps w:val="0"/>
          <w:color w:val="auto"/>
          <w:spacing w:val="0"/>
          <w:kern w:val="0"/>
          <w:highlight w:val="none"/>
        </w:rPr>
        <w:t>5.2-</w:t>
      </w:r>
      <w:r>
        <w:rPr>
          <w:rFonts w:hint="eastAsia" w:ascii="Times New Roman" w:hAnsi="Times New Roman" w:cs="Times New Roman"/>
          <w:caps w:val="0"/>
          <w:smallCaps w:val="0"/>
          <w:color w:val="auto"/>
          <w:spacing w:val="0"/>
          <w:kern w:val="0"/>
          <w:highlight w:val="none"/>
        </w:rPr>
        <w:t>10。</w:t>
      </w:r>
    </w:p>
    <w:p w14:paraId="169FCC39">
      <w:pPr>
        <w:pStyle w:val="10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根据预测结果可知最大占标率为DA001排气筒排放的镉及其化合物最大占标率为</w:t>
      </w:r>
      <w:r>
        <w:rPr>
          <w:rFonts w:hint="eastAsia" w:ascii="Times New Roman" w:hAnsi="Times New Roman" w:eastAsia="宋体" w:cs="Times New Roman"/>
          <w:caps w:val="0"/>
          <w:smallCaps w:val="0"/>
          <w:color w:val="auto"/>
          <w:spacing w:val="0"/>
          <w:highlight w:val="none"/>
          <w:lang w:val="en-US" w:eastAsia="zh-CN"/>
        </w:rPr>
        <w:t>0.70</w:t>
      </w:r>
      <w:r>
        <w:rPr>
          <w:rFonts w:ascii="Times New Roman" w:hAnsi="Times New Roman" w:eastAsia="宋体" w:cs="Times New Roman"/>
          <w:caps w:val="0"/>
          <w:smallCaps w:val="0"/>
          <w:color w:val="auto"/>
          <w:spacing w:val="0"/>
          <w:highlight w:val="none"/>
        </w:rPr>
        <w:t>%，其对环境的最大地面贡献浓度为</w:t>
      </w:r>
      <w:r>
        <w:rPr>
          <w:rFonts w:hint="eastAsia" w:ascii="Times New Roman" w:hAnsi="Times New Roman" w:eastAsia="宋体" w:cs="Times New Roman"/>
          <w:caps w:val="0"/>
          <w:smallCaps w:val="0"/>
          <w:color w:val="auto"/>
          <w:spacing w:val="0"/>
          <w:highlight w:val="none"/>
          <w:lang w:val="en-US" w:eastAsia="zh-CN"/>
        </w:rPr>
        <w:t>0.000210</w:t>
      </w:r>
      <w:r>
        <w:rPr>
          <w:rFonts w:ascii="Times New Roman" w:hAnsi="Times New Roman" w:eastAsia="宋体" w:cs="Times New Roman"/>
          <w:caps w:val="0"/>
          <w:smallCaps w:val="0"/>
          <w:color w:val="auto"/>
          <w:spacing w:val="0"/>
          <w:highlight w:val="none"/>
        </w:rPr>
        <w:t>μg/m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，最大落地距离为98m。说明项目在采取</w:t>
      </w:r>
      <w:r>
        <w:rPr>
          <w:rFonts w:hint="eastAsia" w:ascii="Times New Roman" w:hAnsi="Times New Roman" w:eastAsia="宋体" w:cs="Times New Roman"/>
          <w:caps w:val="0"/>
          <w:smallCaps w:val="0"/>
          <w:color w:val="auto"/>
          <w:spacing w:val="0"/>
          <w:highlight w:val="none"/>
        </w:rPr>
        <w:t>环境治理</w:t>
      </w:r>
      <w:r>
        <w:rPr>
          <w:rFonts w:ascii="Times New Roman" w:hAnsi="Times New Roman" w:eastAsia="宋体" w:cs="Times New Roman"/>
          <w:caps w:val="0"/>
          <w:smallCaps w:val="0"/>
          <w:color w:val="auto"/>
          <w:spacing w:val="0"/>
          <w:highlight w:val="none"/>
        </w:rPr>
        <w:t>措施后排放的污染物对环境的影响不大，当地环境空气质量可维持现状水平。本项目</w:t>
      </w:r>
      <w:r>
        <w:rPr>
          <w:rFonts w:hint="default" w:ascii="Times New Roman" w:hAnsi="Times New Roman" w:eastAsia="宋体" w:cs="Times New Roman"/>
          <w:caps w:val="0"/>
          <w:smallCaps w:val="0"/>
          <w:color w:val="auto"/>
          <w:spacing w:val="0"/>
          <w:highlight w:val="none"/>
        </w:rPr>
        <w:t>P</w:t>
      </w:r>
      <w:r>
        <w:rPr>
          <w:rFonts w:hint="default" w:ascii="Times New Roman" w:hAnsi="Times New Roman" w:eastAsia="宋体" w:cs="Times New Roman"/>
          <w:caps w:val="0"/>
          <w:smallCaps w:val="0"/>
          <w:color w:val="auto"/>
          <w:spacing w:val="0"/>
          <w:highlight w:val="none"/>
          <w:vertAlign w:val="subscript"/>
        </w:rPr>
        <w:t>ma</w:t>
      </w:r>
      <w:r>
        <w:rPr>
          <w:rFonts w:hint="eastAsia" w:ascii="Times New Roman" w:hAnsi="Times New Roman" w:eastAsia="宋体" w:cs="Times New Roman"/>
          <w:caps w:val="0"/>
          <w:smallCaps w:val="0"/>
          <w:color w:val="auto"/>
          <w:spacing w:val="0"/>
          <w:highlight w:val="none"/>
          <w:vertAlign w:val="subscript"/>
          <w:lang w:val="en-US" w:eastAsia="zh-CN"/>
        </w:rPr>
        <w:t>x</w:t>
      </w:r>
      <w:r>
        <w:rPr>
          <w:rFonts w:hint="default"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，因此本项目大气评价等级为</w:t>
      </w:r>
      <w:r>
        <w:rPr>
          <w:rFonts w:hint="eastAsia" w:ascii="Times New Roman" w:hAnsi="Times New Roman" w:eastAsia="宋体" w:cs="Times New Roman"/>
          <w:caps w:val="0"/>
          <w:smallCaps w:val="0"/>
          <w:color w:val="auto"/>
          <w:spacing w:val="0"/>
          <w:highlight w:val="none"/>
          <w:lang w:val="en-US" w:eastAsia="zh-CN"/>
        </w:rPr>
        <w:t>三</w:t>
      </w:r>
      <w:r>
        <w:rPr>
          <w:rFonts w:ascii="Times New Roman" w:hAnsi="Times New Roman" w:eastAsia="宋体" w:cs="Times New Roman"/>
          <w:caps w:val="0"/>
          <w:smallCaps w:val="0"/>
          <w:color w:val="auto"/>
          <w:spacing w:val="0"/>
          <w:highlight w:val="none"/>
        </w:rPr>
        <w:t>级，因此不需进行进一步预测与评价。</w:t>
      </w:r>
    </w:p>
    <w:p w14:paraId="59AD9EF2">
      <w:pPr>
        <w:pStyle w:val="117"/>
        <w:rPr>
          <w:rFonts w:ascii="Times New Roman" w:hAnsi="Times New Roman" w:cs="Times New Roman"/>
          <w:caps w:val="0"/>
          <w:smallCaps w:val="0"/>
          <w:color w:val="auto"/>
          <w:spacing w:val="0"/>
          <w:kern w:val="0"/>
          <w:highlight w:val="none"/>
        </w:rPr>
      </w:pPr>
    </w:p>
    <w:p w14:paraId="09BDDFF9">
      <w:pPr>
        <w:pStyle w:val="11"/>
        <w:spacing w:before="120"/>
        <w:rPr>
          <w:caps w:val="0"/>
          <w:smallCaps w:val="0"/>
          <w:color w:val="auto"/>
          <w:spacing w:val="0"/>
          <w:highlight w:val="none"/>
        </w:rPr>
      </w:pPr>
    </w:p>
    <w:p w14:paraId="6B6EEBED">
      <w:pPr>
        <w:pStyle w:val="11"/>
        <w:spacing w:before="120"/>
        <w:rPr>
          <w:caps w:val="0"/>
          <w:smallCaps w:val="0"/>
          <w:color w:val="auto"/>
          <w:spacing w:val="0"/>
          <w:highlight w:val="none"/>
        </w:rPr>
        <w:sectPr>
          <w:headerReference r:id="rId14" w:type="default"/>
          <w:footerReference r:id="rId15" w:type="default"/>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7F0013B3">
      <w:pPr>
        <w:pStyle w:val="11"/>
        <w:spacing w:before="120"/>
        <w:rPr>
          <w:caps w:val="0"/>
          <w:smallCaps w:val="0"/>
          <w:color w:val="auto"/>
          <w:spacing w:val="0"/>
          <w:highlight w:val="none"/>
        </w:rPr>
      </w:pPr>
      <w:r>
        <w:rPr>
          <w:caps w:val="0"/>
          <w:smallCaps w:val="0"/>
          <w:color w:val="auto"/>
          <w:spacing w:val="0"/>
          <w:highlight w:val="none"/>
        </w:rPr>
        <w:t>表5.2-</w:t>
      </w:r>
      <w:r>
        <w:rPr>
          <w:rFonts w:hint="eastAsia"/>
          <w:caps w:val="0"/>
          <w:smallCaps w:val="0"/>
          <w:color w:val="auto"/>
          <w:spacing w:val="0"/>
          <w:highlight w:val="none"/>
        </w:rPr>
        <w:t>6</w:t>
      </w:r>
      <w:r>
        <w:rPr>
          <w:caps w:val="0"/>
          <w:smallCaps w:val="0"/>
          <w:color w:val="auto"/>
          <w:spacing w:val="0"/>
          <w:highlight w:val="none"/>
        </w:rPr>
        <w:t>工艺废气</w:t>
      </w:r>
      <w:r>
        <w:rPr>
          <w:rFonts w:hint="eastAsia"/>
          <w:caps w:val="0"/>
          <w:smallCaps w:val="0"/>
          <w:color w:val="auto"/>
          <w:spacing w:val="0"/>
          <w:highlight w:val="none"/>
        </w:rPr>
        <w:t>硫化氢</w:t>
      </w:r>
      <w:r>
        <w:rPr>
          <w:caps w:val="0"/>
          <w:smallCaps w:val="0"/>
          <w:color w:val="auto"/>
          <w:spacing w:val="0"/>
          <w:highlight w:val="none"/>
        </w:rPr>
        <w:t>及氨气估算模型计算结果表</w:t>
      </w:r>
    </w:p>
    <w:tbl>
      <w:tblPr>
        <w:tblStyle w:val="172"/>
        <w:tblW w:w="5000"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124"/>
        <w:gridCol w:w="1031"/>
        <w:gridCol w:w="1083"/>
        <w:gridCol w:w="1083"/>
        <w:gridCol w:w="1104"/>
        <w:gridCol w:w="1171"/>
        <w:gridCol w:w="1128"/>
        <w:gridCol w:w="1196"/>
        <w:gridCol w:w="1104"/>
        <w:gridCol w:w="1026"/>
        <w:gridCol w:w="1094"/>
        <w:gridCol w:w="1038"/>
        <w:gridCol w:w="1034"/>
      </w:tblGrid>
      <w:tr w14:paraId="44ED4F9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blHeader/>
          <w:jc w:val="center"/>
        </w:trPr>
        <w:tc>
          <w:tcPr>
            <w:tcW w:w="1125" w:type="dxa"/>
            <w:vMerge w:val="restart"/>
            <w:shd w:val="clear" w:color="auto" w:fill="auto"/>
            <w:vAlign w:val="center"/>
          </w:tcPr>
          <w:p w14:paraId="2DD13B14">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下风向距离/m</w:t>
            </w:r>
          </w:p>
        </w:tc>
        <w:tc>
          <w:tcPr>
            <w:tcW w:w="4301" w:type="dxa"/>
            <w:gridSpan w:val="4"/>
            <w:shd w:val="clear" w:color="auto" w:fill="auto"/>
            <w:vAlign w:val="center"/>
          </w:tcPr>
          <w:p w14:paraId="741A50DD">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污水处理站无组织</w:t>
            </w:r>
          </w:p>
        </w:tc>
        <w:tc>
          <w:tcPr>
            <w:tcW w:w="4599" w:type="dxa"/>
            <w:gridSpan w:val="4"/>
            <w:shd w:val="clear" w:color="auto" w:fill="auto"/>
            <w:vAlign w:val="center"/>
          </w:tcPr>
          <w:p w14:paraId="03549A10">
            <w:pPr>
              <w:pStyle w:val="171"/>
              <w:wordWrap/>
              <w:spacing w:before="0" w:beforeLines="0" w:beforeAutospacing="0" w:after="0" w:afterLines="0" w:afterAutospacing="0" w:line="240" w:lineRule="auto"/>
              <w:ind w:left="0" w:leftChars="0" w:right="0" w:rightChars="0" w:firstLine="0" w:firstLineChars="0"/>
              <w:rPr>
                <w:rFonts w:hint="eastAsia" w:eastAsia="宋体"/>
                <w:b/>
                <w:bCs/>
                <w:caps w:val="0"/>
                <w:smallCaps w:val="0"/>
                <w:color w:val="auto"/>
                <w:spacing w:val="0"/>
                <w:sz w:val="21"/>
                <w:highlight w:val="none"/>
                <w:lang w:eastAsia="zh-CN"/>
              </w:rPr>
            </w:pPr>
            <w:r>
              <w:rPr>
                <w:b/>
                <w:bCs/>
                <w:caps w:val="0"/>
                <w:smallCaps w:val="0"/>
                <w:color w:val="auto"/>
                <w:spacing w:val="0"/>
                <w:sz w:val="21"/>
                <w:highlight w:val="none"/>
              </w:rPr>
              <w:t>DA00</w:t>
            </w:r>
            <w:r>
              <w:rPr>
                <w:rFonts w:hint="eastAsia"/>
                <w:b/>
                <w:bCs/>
                <w:caps w:val="0"/>
                <w:smallCaps w:val="0"/>
                <w:color w:val="auto"/>
                <w:spacing w:val="0"/>
                <w:sz w:val="21"/>
                <w:highlight w:val="none"/>
                <w:lang w:val="en-US" w:eastAsia="zh-CN"/>
              </w:rPr>
              <w:t>8</w:t>
            </w:r>
          </w:p>
        </w:tc>
        <w:tc>
          <w:tcPr>
            <w:tcW w:w="2120" w:type="dxa"/>
            <w:gridSpan w:val="2"/>
            <w:shd w:val="clear" w:color="auto" w:fill="auto"/>
            <w:vAlign w:val="center"/>
          </w:tcPr>
          <w:p w14:paraId="41ECF979">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实验室无组织</w:t>
            </w:r>
          </w:p>
        </w:tc>
        <w:tc>
          <w:tcPr>
            <w:tcW w:w="2073" w:type="dxa"/>
            <w:gridSpan w:val="2"/>
            <w:shd w:val="clear" w:color="auto" w:fill="auto"/>
            <w:vAlign w:val="center"/>
          </w:tcPr>
          <w:p w14:paraId="4BD4B7FF">
            <w:pPr>
              <w:pStyle w:val="171"/>
              <w:wordWrap/>
              <w:spacing w:before="0" w:beforeLines="0" w:beforeAutospacing="0" w:after="0" w:afterLines="0" w:afterAutospacing="0" w:line="240" w:lineRule="auto"/>
              <w:ind w:left="0" w:leftChars="0" w:right="0" w:rightChars="0" w:firstLine="0" w:firstLineChars="0"/>
              <w:rPr>
                <w:rFonts w:hint="eastAsia" w:eastAsia="宋体"/>
                <w:b/>
                <w:bCs/>
                <w:caps w:val="0"/>
                <w:smallCaps w:val="0"/>
                <w:color w:val="auto"/>
                <w:spacing w:val="0"/>
                <w:sz w:val="21"/>
                <w:highlight w:val="none"/>
                <w:lang w:eastAsia="zh-CN"/>
              </w:rPr>
            </w:pPr>
            <w:r>
              <w:rPr>
                <w:rFonts w:hint="eastAsia"/>
                <w:b/>
                <w:bCs/>
                <w:caps w:val="0"/>
                <w:smallCaps w:val="0"/>
                <w:color w:val="auto"/>
                <w:spacing w:val="0"/>
                <w:sz w:val="21"/>
                <w:highlight w:val="none"/>
              </w:rPr>
              <w:t>DA00</w:t>
            </w:r>
            <w:r>
              <w:rPr>
                <w:rFonts w:hint="eastAsia"/>
                <w:b/>
                <w:bCs/>
                <w:caps w:val="0"/>
                <w:smallCaps w:val="0"/>
                <w:color w:val="auto"/>
                <w:spacing w:val="0"/>
                <w:sz w:val="21"/>
                <w:highlight w:val="none"/>
                <w:lang w:val="en-US" w:eastAsia="zh-CN"/>
              </w:rPr>
              <w:t>9</w:t>
            </w:r>
          </w:p>
        </w:tc>
      </w:tr>
      <w:tr w14:paraId="002026C9">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vMerge w:val="continue"/>
            <w:shd w:val="clear" w:color="auto" w:fill="auto"/>
            <w:vAlign w:val="center"/>
          </w:tcPr>
          <w:p w14:paraId="79E5B84C">
            <w:pPr>
              <w:pStyle w:val="171"/>
              <w:spacing w:before="0" w:beforeLines="0" w:after="0" w:afterLines="0" w:line="240" w:lineRule="auto"/>
              <w:rPr>
                <w:b/>
                <w:bCs/>
                <w:caps w:val="0"/>
                <w:smallCaps w:val="0"/>
                <w:color w:val="auto"/>
                <w:spacing w:val="0"/>
                <w:sz w:val="21"/>
                <w:highlight w:val="none"/>
              </w:rPr>
            </w:pPr>
          </w:p>
        </w:tc>
        <w:tc>
          <w:tcPr>
            <w:tcW w:w="2113" w:type="dxa"/>
            <w:gridSpan w:val="2"/>
            <w:shd w:val="clear" w:color="auto" w:fill="auto"/>
            <w:vAlign w:val="center"/>
          </w:tcPr>
          <w:p w14:paraId="39498D4C">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氨气</w:t>
            </w:r>
          </w:p>
        </w:tc>
        <w:tc>
          <w:tcPr>
            <w:tcW w:w="2188" w:type="dxa"/>
            <w:gridSpan w:val="2"/>
            <w:shd w:val="clear" w:color="auto" w:fill="auto"/>
            <w:vAlign w:val="center"/>
          </w:tcPr>
          <w:p w14:paraId="21E754A7">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硫化氢</w:t>
            </w:r>
          </w:p>
        </w:tc>
        <w:tc>
          <w:tcPr>
            <w:tcW w:w="2298" w:type="dxa"/>
            <w:gridSpan w:val="2"/>
            <w:shd w:val="clear" w:color="auto" w:fill="auto"/>
            <w:vAlign w:val="center"/>
          </w:tcPr>
          <w:p w14:paraId="36538534">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氨气</w:t>
            </w:r>
          </w:p>
        </w:tc>
        <w:tc>
          <w:tcPr>
            <w:tcW w:w="2301" w:type="dxa"/>
            <w:gridSpan w:val="2"/>
            <w:shd w:val="clear" w:color="auto" w:fill="auto"/>
            <w:vAlign w:val="center"/>
          </w:tcPr>
          <w:p w14:paraId="73513D4A">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硫化氢</w:t>
            </w:r>
          </w:p>
        </w:tc>
        <w:tc>
          <w:tcPr>
            <w:tcW w:w="2120" w:type="dxa"/>
            <w:gridSpan w:val="2"/>
            <w:shd w:val="clear" w:color="auto" w:fill="auto"/>
            <w:vAlign w:val="center"/>
          </w:tcPr>
          <w:p w14:paraId="3C922B1A">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氨气</w:t>
            </w:r>
          </w:p>
        </w:tc>
        <w:tc>
          <w:tcPr>
            <w:tcW w:w="2073" w:type="dxa"/>
            <w:gridSpan w:val="2"/>
            <w:shd w:val="clear" w:color="auto" w:fill="auto"/>
            <w:vAlign w:val="center"/>
          </w:tcPr>
          <w:p w14:paraId="4043BF31">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氨气</w:t>
            </w:r>
          </w:p>
        </w:tc>
      </w:tr>
      <w:tr w14:paraId="1DDEF1E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vMerge w:val="continue"/>
            <w:shd w:val="clear" w:color="auto" w:fill="auto"/>
            <w:vAlign w:val="center"/>
          </w:tcPr>
          <w:p w14:paraId="6514E250">
            <w:pPr>
              <w:pStyle w:val="171"/>
              <w:spacing w:before="0" w:beforeLines="0" w:after="0" w:afterLines="0" w:line="240" w:lineRule="auto"/>
              <w:rPr>
                <w:b/>
                <w:bCs/>
                <w:caps w:val="0"/>
                <w:smallCaps w:val="0"/>
                <w:color w:val="auto"/>
                <w:spacing w:val="0"/>
                <w:sz w:val="21"/>
                <w:highlight w:val="none"/>
              </w:rPr>
            </w:pPr>
          </w:p>
        </w:tc>
        <w:tc>
          <w:tcPr>
            <w:tcW w:w="1031" w:type="dxa"/>
            <w:shd w:val="clear" w:color="auto" w:fill="auto"/>
            <w:vAlign w:val="center"/>
          </w:tcPr>
          <w:p w14:paraId="5BB1F4E9">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082" w:type="dxa"/>
            <w:shd w:val="clear" w:color="auto" w:fill="auto"/>
            <w:vAlign w:val="center"/>
          </w:tcPr>
          <w:p w14:paraId="64904824">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56C0CC83">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083" w:type="dxa"/>
            <w:shd w:val="clear" w:color="auto" w:fill="auto"/>
            <w:vAlign w:val="center"/>
          </w:tcPr>
          <w:p w14:paraId="541FDFEC">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105" w:type="dxa"/>
            <w:shd w:val="clear" w:color="auto" w:fill="auto"/>
            <w:vAlign w:val="center"/>
          </w:tcPr>
          <w:p w14:paraId="58853683">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2F200A5A">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171" w:type="dxa"/>
            <w:shd w:val="clear" w:color="auto" w:fill="auto"/>
            <w:vAlign w:val="center"/>
          </w:tcPr>
          <w:p w14:paraId="155063A6">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127" w:type="dxa"/>
            <w:shd w:val="clear" w:color="auto" w:fill="auto"/>
            <w:vAlign w:val="center"/>
          </w:tcPr>
          <w:p w14:paraId="5FC8DC2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5BD0CE2A">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196" w:type="dxa"/>
            <w:shd w:val="clear" w:color="auto" w:fill="auto"/>
            <w:vAlign w:val="center"/>
          </w:tcPr>
          <w:p w14:paraId="6D92CA32">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105" w:type="dxa"/>
            <w:shd w:val="clear" w:color="auto" w:fill="auto"/>
            <w:vAlign w:val="center"/>
          </w:tcPr>
          <w:p w14:paraId="59BCA7CD">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692FED00">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026" w:type="dxa"/>
            <w:shd w:val="clear" w:color="auto" w:fill="auto"/>
            <w:vAlign w:val="center"/>
          </w:tcPr>
          <w:p w14:paraId="11669C29">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094" w:type="dxa"/>
            <w:shd w:val="clear" w:color="auto" w:fill="auto"/>
            <w:vAlign w:val="center"/>
          </w:tcPr>
          <w:p w14:paraId="3E5D3730">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4A9754B0">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038" w:type="dxa"/>
            <w:shd w:val="clear" w:color="auto" w:fill="auto"/>
            <w:vAlign w:val="center"/>
          </w:tcPr>
          <w:p w14:paraId="69D33671">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035" w:type="dxa"/>
            <w:shd w:val="clear" w:color="auto" w:fill="auto"/>
            <w:vAlign w:val="center"/>
          </w:tcPr>
          <w:p w14:paraId="6324D3EA">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36153D0B">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r>
      <w:tr w14:paraId="528360A2">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125" w:type="dxa"/>
            <w:shd w:val="clear" w:color="auto" w:fill="auto"/>
            <w:vAlign w:val="center"/>
          </w:tcPr>
          <w:p w14:paraId="7EFEE958">
            <w:pPr>
              <w:pStyle w:val="171"/>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10</w:t>
            </w:r>
          </w:p>
        </w:tc>
        <w:tc>
          <w:tcPr>
            <w:tcW w:w="1031" w:type="dxa"/>
            <w:shd w:val="clear" w:color="auto" w:fill="auto"/>
            <w:vAlign w:val="center"/>
          </w:tcPr>
          <w:p w14:paraId="253D800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6.13×10</w:t>
            </w:r>
            <w:r>
              <w:rPr>
                <w:rFonts w:ascii="Times New Roman" w:hAnsi="Times New Roman" w:cs="Times New Roman"/>
                <w:caps w:val="0"/>
                <w:smallCaps w:val="0"/>
                <w:color w:val="auto"/>
                <w:spacing w:val="0"/>
                <w:sz w:val="21"/>
                <w:highlight w:val="none"/>
                <w:vertAlign w:val="superscript"/>
              </w:rPr>
              <w:t>-3</w:t>
            </w:r>
          </w:p>
        </w:tc>
        <w:tc>
          <w:tcPr>
            <w:tcW w:w="1082" w:type="dxa"/>
            <w:shd w:val="clear" w:color="auto" w:fill="auto"/>
            <w:vAlign w:val="center"/>
          </w:tcPr>
          <w:p w14:paraId="470E34D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3.07</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083" w:type="dxa"/>
            <w:shd w:val="clear" w:color="auto" w:fill="auto"/>
            <w:vAlign w:val="center"/>
          </w:tcPr>
          <w:p w14:paraId="10CBD37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2.38×10</w:t>
            </w:r>
            <w:r>
              <w:rPr>
                <w:rFonts w:ascii="Times New Roman" w:hAnsi="Times New Roman" w:cs="Times New Roman"/>
                <w:caps w:val="0"/>
                <w:smallCaps w:val="0"/>
                <w:color w:val="auto"/>
                <w:spacing w:val="0"/>
                <w:sz w:val="21"/>
                <w:highlight w:val="none"/>
                <w:vertAlign w:val="superscript"/>
              </w:rPr>
              <w:t>-4</w:t>
            </w:r>
          </w:p>
        </w:tc>
        <w:tc>
          <w:tcPr>
            <w:tcW w:w="1105" w:type="dxa"/>
            <w:shd w:val="clear" w:color="auto" w:fill="auto"/>
            <w:vAlign w:val="center"/>
          </w:tcPr>
          <w:p w14:paraId="2F8C6C9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38</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171" w:type="dxa"/>
            <w:shd w:val="clear" w:color="auto" w:fill="auto"/>
            <w:vAlign w:val="center"/>
          </w:tcPr>
          <w:p w14:paraId="55FBBCEE">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w:t>
            </w:r>
          </w:p>
        </w:tc>
        <w:tc>
          <w:tcPr>
            <w:tcW w:w="1127" w:type="dxa"/>
            <w:shd w:val="clear" w:color="auto" w:fill="auto"/>
            <w:vAlign w:val="center"/>
          </w:tcPr>
          <w:p w14:paraId="4130D2B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cs="Times New Roman"/>
                <w:caps w:val="0"/>
                <w:smallCaps w:val="0"/>
                <w:color w:val="auto"/>
                <w:spacing w:val="0"/>
                <w:kern w:val="0"/>
                <w:sz w:val="21"/>
                <w:highlight w:val="none"/>
                <w:lang w:bidi="ar"/>
              </w:rPr>
              <w:t>-</w:t>
            </w:r>
          </w:p>
        </w:tc>
        <w:tc>
          <w:tcPr>
            <w:tcW w:w="1196" w:type="dxa"/>
            <w:shd w:val="clear" w:color="auto" w:fill="auto"/>
            <w:vAlign w:val="center"/>
          </w:tcPr>
          <w:p w14:paraId="58142A73">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w:t>
            </w:r>
          </w:p>
        </w:tc>
        <w:tc>
          <w:tcPr>
            <w:tcW w:w="1105" w:type="dxa"/>
            <w:shd w:val="clear" w:color="auto" w:fill="auto"/>
            <w:vAlign w:val="center"/>
          </w:tcPr>
          <w:p w14:paraId="4FD2A78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cs="Times New Roman"/>
                <w:caps w:val="0"/>
                <w:smallCaps w:val="0"/>
                <w:color w:val="auto"/>
                <w:spacing w:val="0"/>
                <w:kern w:val="0"/>
                <w:sz w:val="21"/>
                <w:highlight w:val="none"/>
                <w:lang w:bidi="ar"/>
              </w:rPr>
              <w:t>-</w:t>
            </w:r>
          </w:p>
        </w:tc>
        <w:tc>
          <w:tcPr>
            <w:tcW w:w="1026" w:type="dxa"/>
            <w:shd w:val="clear" w:color="auto" w:fill="auto"/>
            <w:vAlign w:val="center"/>
          </w:tcPr>
          <w:p w14:paraId="2F3823F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sz w:val="21"/>
                <w:highlight w:val="none"/>
              </w:rPr>
              <w:t>2.60×10</w:t>
            </w:r>
            <w:r>
              <w:rPr>
                <w:rFonts w:ascii="Times New Roman" w:hAnsi="Times New Roman" w:cs="Times New Roman"/>
                <w:caps w:val="0"/>
                <w:smallCaps w:val="0"/>
                <w:color w:val="auto"/>
                <w:spacing w:val="0"/>
                <w:sz w:val="21"/>
                <w:highlight w:val="none"/>
                <w:vertAlign w:val="superscript"/>
              </w:rPr>
              <w:t>-3</w:t>
            </w:r>
          </w:p>
        </w:tc>
        <w:tc>
          <w:tcPr>
            <w:tcW w:w="1094" w:type="dxa"/>
            <w:shd w:val="clear" w:color="auto" w:fill="auto"/>
            <w:vAlign w:val="center"/>
          </w:tcPr>
          <w:p w14:paraId="09C72EA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1.30</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-3</w:t>
            </w:r>
          </w:p>
        </w:tc>
        <w:tc>
          <w:tcPr>
            <w:tcW w:w="1038" w:type="dxa"/>
            <w:shd w:val="clear" w:color="auto" w:fill="auto"/>
            <w:vAlign w:val="center"/>
          </w:tcPr>
          <w:p w14:paraId="26211A84">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1.47×10</w:t>
            </w:r>
            <w:r>
              <w:rPr>
                <w:rFonts w:ascii="Times New Roman" w:hAnsi="Times New Roman" w:eastAsia="宋体" w:cs="Times New Roman"/>
                <w:caps w:val="0"/>
                <w:smallCaps w:val="0"/>
                <w:color w:val="auto"/>
                <w:spacing w:val="0"/>
                <w:sz w:val="21"/>
                <w:highlight w:val="none"/>
                <w:vertAlign w:val="superscript"/>
              </w:rPr>
              <w:t>-9</w:t>
            </w:r>
          </w:p>
        </w:tc>
        <w:tc>
          <w:tcPr>
            <w:tcW w:w="1035" w:type="dxa"/>
            <w:shd w:val="clear" w:color="auto" w:fill="auto"/>
            <w:vAlign w:val="center"/>
          </w:tcPr>
          <w:p w14:paraId="57CEF82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7.35×10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3BB903E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125" w:type="dxa"/>
            <w:shd w:val="clear" w:color="auto" w:fill="auto"/>
            <w:vAlign w:val="center"/>
          </w:tcPr>
          <w:p w14:paraId="4B32D7D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1031" w:type="dxa"/>
            <w:shd w:val="clear" w:color="auto" w:fill="auto"/>
            <w:vAlign w:val="center"/>
          </w:tcPr>
          <w:p w14:paraId="771F738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6.98×10</w:t>
            </w:r>
            <w:r>
              <w:rPr>
                <w:rFonts w:ascii="Times New Roman" w:hAnsi="Times New Roman" w:cs="Times New Roman"/>
                <w:caps w:val="0"/>
                <w:smallCaps w:val="0"/>
                <w:color w:val="auto"/>
                <w:spacing w:val="0"/>
                <w:sz w:val="21"/>
                <w:highlight w:val="none"/>
                <w:vertAlign w:val="superscript"/>
              </w:rPr>
              <w:t>-4</w:t>
            </w:r>
          </w:p>
        </w:tc>
        <w:tc>
          <w:tcPr>
            <w:tcW w:w="1082" w:type="dxa"/>
            <w:shd w:val="clear" w:color="auto" w:fill="auto"/>
            <w:vAlign w:val="center"/>
          </w:tcPr>
          <w:p w14:paraId="2698C93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3.</w:t>
            </w:r>
            <w:r>
              <w:rPr>
                <w:rFonts w:ascii="Times New Roman" w:hAnsi="Times New Roman" w:eastAsia="宋体" w:cs="Times New Roman"/>
                <w:caps w:val="0"/>
                <w:smallCaps w:val="0"/>
                <w:color w:val="auto"/>
                <w:spacing w:val="0"/>
                <w:kern w:val="0"/>
                <w:sz w:val="21"/>
                <w:highlight w:val="none"/>
                <w:lang w:bidi="ar"/>
              </w:rPr>
              <w:t>49</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-4</w:t>
            </w:r>
          </w:p>
        </w:tc>
        <w:tc>
          <w:tcPr>
            <w:tcW w:w="1083" w:type="dxa"/>
            <w:shd w:val="clear" w:color="auto" w:fill="auto"/>
            <w:vAlign w:val="center"/>
          </w:tcPr>
          <w:p w14:paraId="1A377F90">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2.71×10</w:t>
            </w:r>
            <w:r>
              <w:rPr>
                <w:rFonts w:ascii="Times New Roman" w:hAnsi="Times New Roman" w:cs="Times New Roman"/>
                <w:caps w:val="0"/>
                <w:smallCaps w:val="0"/>
                <w:color w:val="auto"/>
                <w:spacing w:val="0"/>
                <w:sz w:val="21"/>
                <w:highlight w:val="none"/>
                <w:vertAlign w:val="superscript"/>
              </w:rPr>
              <w:t>-5</w:t>
            </w:r>
          </w:p>
        </w:tc>
        <w:tc>
          <w:tcPr>
            <w:tcW w:w="1105" w:type="dxa"/>
            <w:shd w:val="clear" w:color="auto" w:fill="auto"/>
            <w:vAlign w:val="center"/>
          </w:tcPr>
          <w:p w14:paraId="377DD76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71</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171" w:type="dxa"/>
            <w:shd w:val="clear" w:color="auto" w:fill="auto"/>
            <w:vAlign w:val="center"/>
          </w:tcPr>
          <w:p w14:paraId="5D60BE8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5.11×10</w:t>
            </w:r>
            <w:r>
              <w:rPr>
                <w:rFonts w:ascii="Times New Roman" w:hAnsi="Times New Roman" w:eastAsia="宋体" w:cs="Times New Roman"/>
                <w:caps w:val="0"/>
                <w:smallCaps w:val="0"/>
                <w:color w:val="auto"/>
                <w:spacing w:val="0"/>
                <w:sz w:val="21"/>
                <w:highlight w:val="none"/>
                <w:vertAlign w:val="superscript"/>
              </w:rPr>
              <w:t>-12</w:t>
            </w:r>
          </w:p>
        </w:tc>
        <w:tc>
          <w:tcPr>
            <w:tcW w:w="1127" w:type="dxa"/>
            <w:shd w:val="clear" w:color="auto" w:fill="auto"/>
            <w:vAlign w:val="center"/>
          </w:tcPr>
          <w:p w14:paraId="479EB8D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2.56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-12</w:t>
            </w:r>
          </w:p>
        </w:tc>
        <w:tc>
          <w:tcPr>
            <w:tcW w:w="1196" w:type="dxa"/>
            <w:shd w:val="clear" w:color="auto" w:fill="auto"/>
            <w:vAlign w:val="center"/>
          </w:tcPr>
          <w:p w14:paraId="39D47F2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1.99×10</w:t>
            </w:r>
            <w:r>
              <w:rPr>
                <w:rFonts w:ascii="Times New Roman" w:hAnsi="Times New Roman" w:eastAsia="宋体" w:cs="Times New Roman"/>
                <w:caps w:val="0"/>
                <w:smallCaps w:val="0"/>
                <w:color w:val="auto"/>
                <w:spacing w:val="0"/>
                <w:sz w:val="21"/>
                <w:highlight w:val="none"/>
                <w:vertAlign w:val="superscript"/>
              </w:rPr>
              <w:t>-13</w:t>
            </w:r>
          </w:p>
        </w:tc>
        <w:tc>
          <w:tcPr>
            <w:tcW w:w="1105" w:type="dxa"/>
            <w:shd w:val="clear" w:color="auto" w:fill="auto"/>
            <w:vAlign w:val="center"/>
          </w:tcPr>
          <w:p w14:paraId="2340921E">
            <w:pPr>
              <w:spacing w:before="74"/>
              <w:jc w:val="right"/>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-12</w:t>
            </w:r>
          </w:p>
        </w:tc>
        <w:tc>
          <w:tcPr>
            <w:tcW w:w="1026" w:type="dxa"/>
            <w:shd w:val="clear" w:color="auto" w:fill="auto"/>
            <w:vAlign w:val="center"/>
          </w:tcPr>
          <w:p w14:paraId="4F40BCB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sz w:val="21"/>
                <w:highlight w:val="none"/>
              </w:rPr>
              <w:t>2.97×10</w:t>
            </w:r>
            <w:r>
              <w:rPr>
                <w:rFonts w:ascii="Times New Roman" w:hAnsi="Times New Roman" w:cs="Times New Roman"/>
                <w:caps w:val="0"/>
                <w:smallCaps w:val="0"/>
                <w:color w:val="auto"/>
                <w:spacing w:val="0"/>
                <w:sz w:val="21"/>
                <w:highlight w:val="none"/>
                <w:vertAlign w:val="superscript"/>
              </w:rPr>
              <w:t>-4</w:t>
            </w:r>
          </w:p>
        </w:tc>
        <w:tc>
          <w:tcPr>
            <w:tcW w:w="1094" w:type="dxa"/>
            <w:shd w:val="clear" w:color="auto" w:fill="auto"/>
            <w:vAlign w:val="center"/>
          </w:tcPr>
          <w:p w14:paraId="0303474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1.49</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-4</w:t>
            </w:r>
          </w:p>
        </w:tc>
        <w:tc>
          <w:tcPr>
            <w:tcW w:w="1038" w:type="dxa"/>
            <w:shd w:val="clear" w:color="auto" w:fill="auto"/>
            <w:vAlign w:val="center"/>
          </w:tcPr>
          <w:p w14:paraId="09CB1F65">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5.88×10</w:t>
            </w:r>
            <w:r>
              <w:rPr>
                <w:rFonts w:ascii="Times New Roman" w:hAnsi="Times New Roman" w:eastAsia="宋体" w:cs="Times New Roman"/>
                <w:caps w:val="0"/>
                <w:smallCaps w:val="0"/>
                <w:color w:val="auto"/>
                <w:spacing w:val="0"/>
                <w:sz w:val="21"/>
                <w:highlight w:val="none"/>
                <w:vertAlign w:val="superscript"/>
              </w:rPr>
              <w:t>-6</w:t>
            </w:r>
          </w:p>
        </w:tc>
        <w:tc>
          <w:tcPr>
            <w:tcW w:w="1035" w:type="dxa"/>
            <w:shd w:val="clear" w:color="auto" w:fill="auto"/>
            <w:vAlign w:val="center"/>
          </w:tcPr>
          <w:p w14:paraId="289035C0">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2.95×10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6D54AE2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4061424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w:t>
            </w:r>
          </w:p>
        </w:tc>
        <w:tc>
          <w:tcPr>
            <w:tcW w:w="1031" w:type="dxa"/>
            <w:shd w:val="clear" w:color="auto" w:fill="auto"/>
            <w:vAlign w:val="center"/>
          </w:tcPr>
          <w:p w14:paraId="4F4965F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1.83×10</w:t>
            </w:r>
            <w:r>
              <w:rPr>
                <w:rFonts w:ascii="Times New Roman" w:hAnsi="Times New Roman" w:cs="Times New Roman"/>
                <w:caps w:val="0"/>
                <w:smallCaps w:val="0"/>
                <w:color w:val="auto"/>
                <w:spacing w:val="0"/>
                <w:sz w:val="21"/>
                <w:highlight w:val="none"/>
                <w:vertAlign w:val="superscript"/>
              </w:rPr>
              <w:t>-4</w:t>
            </w:r>
          </w:p>
        </w:tc>
        <w:tc>
          <w:tcPr>
            <w:tcW w:w="1082" w:type="dxa"/>
            <w:shd w:val="clear" w:color="auto" w:fill="auto"/>
            <w:vAlign w:val="center"/>
          </w:tcPr>
          <w:p w14:paraId="0E0FBBC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9.</w:t>
            </w:r>
            <w:r>
              <w:rPr>
                <w:rFonts w:ascii="Times New Roman" w:hAnsi="Times New Roman" w:eastAsia="宋体" w:cs="Times New Roman"/>
                <w:caps w:val="0"/>
                <w:smallCaps w:val="0"/>
                <w:color w:val="auto"/>
                <w:spacing w:val="0"/>
                <w:kern w:val="0"/>
                <w:sz w:val="21"/>
                <w:highlight w:val="none"/>
                <w:lang w:bidi="ar"/>
              </w:rPr>
              <w:t>15</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083" w:type="dxa"/>
            <w:shd w:val="clear" w:color="auto" w:fill="auto"/>
            <w:vAlign w:val="center"/>
          </w:tcPr>
          <w:p w14:paraId="0E2CC2A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7.09×10</w:t>
            </w:r>
            <w:r>
              <w:rPr>
                <w:rFonts w:ascii="Times New Roman" w:hAnsi="Times New Roman" w:cs="Times New Roman"/>
                <w:caps w:val="0"/>
                <w:smallCaps w:val="0"/>
                <w:color w:val="auto"/>
                <w:spacing w:val="0"/>
                <w:sz w:val="21"/>
                <w:highlight w:val="none"/>
                <w:vertAlign w:val="superscript"/>
              </w:rPr>
              <w:t>-6</w:t>
            </w:r>
          </w:p>
        </w:tc>
        <w:tc>
          <w:tcPr>
            <w:tcW w:w="1105" w:type="dxa"/>
            <w:shd w:val="clear" w:color="auto" w:fill="auto"/>
            <w:vAlign w:val="center"/>
          </w:tcPr>
          <w:p w14:paraId="261F49B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7.</w:t>
            </w:r>
            <w:r>
              <w:rPr>
                <w:rFonts w:ascii="Times New Roman" w:hAnsi="Times New Roman" w:eastAsia="宋体" w:cs="Times New Roman"/>
                <w:caps w:val="0"/>
                <w:smallCaps w:val="0"/>
                <w:color w:val="auto"/>
                <w:spacing w:val="0"/>
                <w:kern w:val="0"/>
                <w:sz w:val="21"/>
                <w:highlight w:val="none"/>
                <w:lang w:bidi="ar"/>
              </w:rPr>
              <w:t>09</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171" w:type="dxa"/>
            <w:shd w:val="clear" w:color="auto" w:fill="auto"/>
            <w:vAlign w:val="center"/>
          </w:tcPr>
          <w:p w14:paraId="1C3C39E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3.56×10</w:t>
            </w:r>
            <w:r>
              <w:rPr>
                <w:rFonts w:ascii="Times New Roman" w:hAnsi="Times New Roman" w:eastAsia="宋体" w:cs="Times New Roman"/>
                <w:caps w:val="0"/>
                <w:smallCaps w:val="0"/>
                <w:color w:val="auto"/>
                <w:spacing w:val="0"/>
                <w:sz w:val="21"/>
                <w:highlight w:val="none"/>
                <w:vertAlign w:val="superscript"/>
              </w:rPr>
              <w:t>-8</w:t>
            </w:r>
          </w:p>
        </w:tc>
        <w:tc>
          <w:tcPr>
            <w:tcW w:w="1127" w:type="dxa"/>
            <w:shd w:val="clear" w:color="auto" w:fill="auto"/>
            <w:vAlign w:val="center"/>
          </w:tcPr>
          <w:p w14:paraId="0E4F03E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1.78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55F7037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1.39×10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3CF4F0D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653062F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sz w:val="21"/>
                <w:highlight w:val="none"/>
              </w:rPr>
              <w:t>7.85×10</w:t>
            </w:r>
            <w:r>
              <w:rPr>
                <w:rFonts w:ascii="Times New Roman" w:hAnsi="Times New Roman" w:cs="Times New Roman"/>
                <w:caps w:val="0"/>
                <w:smallCaps w:val="0"/>
                <w:color w:val="auto"/>
                <w:spacing w:val="0"/>
                <w:sz w:val="21"/>
                <w:highlight w:val="none"/>
                <w:vertAlign w:val="superscript"/>
              </w:rPr>
              <w:t>-5</w:t>
            </w:r>
          </w:p>
        </w:tc>
        <w:tc>
          <w:tcPr>
            <w:tcW w:w="1094" w:type="dxa"/>
            <w:shd w:val="clear" w:color="auto" w:fill="auto"/>
            <w:vAlign w:val="center"/>
          </w:tcPr>
          <w:p w14:paraId="5042875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3.93</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-5</w:t>
            </w:r>
          </w:p>
        </w:tc>
        <w:tc>
          <w:tcPr>
            <w:tcW w:w="1038" w:type="dxa"/>
            <w:shd w:val="clear" w:color="auto" w:fill="auto"/>
            <w:vAlign w:val="center"/>
          </w:tcPr>
          <w:p w14:paraId="7F4DF6AC">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1.35×10</w:t>
            </w:r>
            <w:r>
              <w:rPr>
                <w:rFonts w:ascii="Times New Roman" w:hAnsi="Times New Roman" w:eastAsia="宋体" w:cs="Times New Roman"/>
                <w:caps w:val="0"/>
                <w:smallCaps w:val="0"/>
                <w:color w:val="auto"/>
                <w:spacing w:val="0"/>
                <w:sz w:val="21"/>
                <w:highlight w:val="none"/>
                <w:vertAlign w:val="superscript"/>
              </w:rPr>
              <w:t>-5</w:t>
            </w:r>
          </w:p>
        </w:tc>
        <w:tc>
          <w:tcPr>
            <w:tcW w:w="1035" w:type="dxa"/>
            <w:shd w:val="clear" w:color="auto" w:fill="auto"/>
            <w:vAlign w:val="center"/>
          </w:tcPr>
          <w:p w14:paraId="30CAF80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6.75×10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01768B9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125" w:type="dxa"/>
            <w:shd w:val="clear" w:color="auto" w:fill="auto"/>
            <w:vAlign w:val="center"/>
          </w:tcPr>
          <w:p w14:paraId="37D902A1">
            <w:pPr>
              <w:pStyle w:val="171"/>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72</w:t>
            </w:r>
          </w:p>
        </w:tc>
        <w:tc>
          <w:tcPr>
            <w:tcW w:w="1031" w:type="dxa"/>
            <w:shd w:val="clear" w:color="auto" w:fill="auto"/>
            <w:vAlign w:val="center"/>
          </w:tcPr>
          <w:p w14:paraId="66B699C3">
            <w:pPr>
              <w:spacing w:before="74"/>
              <w:jc w:val="center"/>
              <w:textAlignment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kern w:val="0"/>
                <w:sz w:val="21"/>
                <w:highlight w:val="none"/>
                <w:lang w:bidi="ar"/>
              </w:rPr>
              <w:t>-</w:t>
            </w:r>
          </w:p>
        </w:tc>
        <w:tc>
          <w:tcPr>
            <w:tcW w:w="1082" w:type="dxa"/>
            <w:shd w:val="clear" w:color="auto" w:fill="auto"/>
            <w:vAlign w:val="center"/>
          </w:tcPr>
          <w:p w14:paraId="78C3AE4E">
            <w:pPr>
              <w:spacing w:before="74"/>
              <w:jc w:val="center"/>
              <w:textAlignment w:val="center"/>
              <w:rPr>
                <w:rFonts w:ascii="Times New Roman" w:hAnsi="Times New Roman"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c>
          <w:tcPr>
            <w:tcW w:w="1083" w:type="dxa"/>
            <w:shd w:val="clear" w:color="auto" w:fill="auto"/>
            <w:vAlign w:val="center"/>
          </w:tcPr>
          <w:p w14:paraId="19767439">
            <w:pPr>
              <w:spacing w:before="74"/>
              <w:jc w:val="center"/>
              <w:textAlignment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kern w:val="0"/>
                <w:sz w:val="21"/>
                <w:highlight w:val="none"/>
                <w:lang w:bidi="ar"/>
              </w:rPr>
              <w:t>-</w:t>
            </w:r>
          </w:p>
        </w:tc>
        <w:tc>
          <w:tcPr>
            <w:tcW w:w="1105" w:type="dxa"/>
            <w:shd w:val="clear" w:color="auto" w:fill="auto"/>
            <w:vAlign w:val="center"/>
          </w:tcPr>
          <w:p w14:paraId="23B4BF53">
            <w:pPr>
              <w:spacing w:before="74"/>
              <w:jc w:val="center"/>
              <w:textAlignment w:val="center"/>
              <w:rPr>
                <w:rFonts w:ascii="Times New Roman" w:hAnsi="Times New Roman"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c>
          <w:tcPr>
            <w:tcW w:w="1171" w:type="dxa"/>
            <w:shd w:val="clear" w:color="auto" w:fill="auto"/>
            <w:vAlign w:val="center"/>
          </w:tcPr>
          <w:p w14:paraId="44BEA35C">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kern w:val="0"/>
                <w:sz w:val="21"/>
                <w:highlight w:val="none"/>
                <w:lang w:bidi="ar"/>
              </w:rPr>
              <w:t>-</w:t>
            </w:r>
          </w:p>
        </w:tc>
        <w:tc>
          <w:tcPr>
            <w:tcW w:w="1127" w:type="dxa"/>
            <w:shd w:val="clear" w:color="auto" w:fill="auto"/>
            <w:vAlign w:val="center"/>
          </w:tcPr>
          <w:p w14:paraId="43B6A7E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c>
          <w:tcPr>
            <w:tcW w:w="1196" w:type="dxa"/>
            <w:shd w:val="clear" w:color="auto" w:fill="auto"/>
            <w:vAlign w:val="center"/>
          </w:tcPr>
          <w:p w14:paraId="7291791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kern w:val="0"/>
                <w:sz w:val="21"/>
                <w:highlight w:val="none"/>
                <w:lang w:bidi="ar"/>
              </w:rPr>
              <w:t>-</w:t>
            </w:r>
          </w:p>
        </w:tc>
        <w:tc>
          <w:tcPr>
            <w:tcW w:w="1105" w:type="dxa"/>
            <w:shd w:val="clear" w:color="auto" w:fill="auto"/>
            <w:vAlign w:val="center"/>
          </w:tcPr>
          <w:p w14:paraId="2C97029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c>
          <w:tcPr>
            <w:tcW w:w="1026" w:type="dxa"/>
            <w:shd w:val="clear" w:color="auto" w:fill="auto"/>
            <w:vAlign w:val="center"/>
          </w:tcPr>
          <w:p w14:paraId="54259E27">
            <w:pPr>
              <w:spacing w:before="74"/>
              <w:jc w:val="center"/>
              <w:textAlignment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kern w:val="0"/>
                <w:sz w:val="21"/>
                <w:highlight w:val="none"/>
                <w:lang w:bidi="ar"/>
              </w:rPr>
              <w:t>-</w:t>
            </w:r>
          </w:p>
        </w:tc>
        <w:tc>
          <w:tcPr>
            <w:tcW w:w="1094" w:type="dxa"/>
            <w:shd w:val="clear" w:color="auto" w:fill="auto"/>
            <w:vAlign w:val="center"/>
          </w:tcPr>
          <w:p w14:paraId="66035F4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c>
          <w:tcPr>
            <w:tcW w:w="1038" w:type="dxa"/>
            <w:shd w:val="clear" w:color="auto" w:fill="auto"/>
            <w:vAlign w:val="center"/>
          </w:tcPr>
          <w:p w14:paraId="667E34BF">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1.34×10</w:t>
            </w:r>
            <w:r>
              <w:rPr>
                <w:rFonts w:ascii="Times New Roman" w:hAnsi="Times New Roman" w:eastAsia="宋体" w:cs="Times New Roman"/>
                <w:caps w:val="0"/>
                <w:smallCaps w:val="0"/>
                <w:color w:val="auto"/>
                <w:spacing w:val="0"/>
                <w:sz w:val="21"/>
                <w:highlight w:val="none"/>
                <w:vertAlign w:val="superscript"/>
              </w:rPr>
              <w:t>-5</w:t>
            </w:r>
          </w:p>
        </w:tc>
        <w:tc>
          <w:tcPr>
            <w:tcW w:w="1035" w:type="dxa"/>
            <w:shd w:val="clear" w:color="auto" w:fill="auto"/>
            <w:vAlign w:val="center"/>
          </w:tcPr>
          <w:p w14:paraId="5D20263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6.70×10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391C42B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125" w:type="dxa"/>
            <w:shd w:val="clear" w:color="auto" w:fill="auto"/>
            <w:vAlign w:val="center"/>
          </w:tcPr>
          <w:p w14:paraId="43DF4DE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w:t>
            </w:r>
          </w:p>
        </w:tc>
        <w:tc>
          <w:tcPr>
            <w:tcW w:w="1031" w:type="dxa"/>
            <w:shd w:val="clear" w:color="auto" w:fill="auto"/>
            <w:vAlign w:val="center"/>
          </w:tcPr>
          <w:p w14:paraId="501CAEA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8.80×10</w:t>
            </w:r>
            <w:r>
              <w:rPr>
                <w:rFonts w:ascii="Times New Roman" w:hAnsi="Times New Roman" w:cs="Times New Roman"/>
                <w:caps w:val="0"/>
                <w:smallCaps w:val="0"/>
                <w:color w:val="auto"/>
                <w:spacing w:val="0"/>
                <w:sz w:val="21"/>
                <w:highlight w:val="none"/>
                <w:vertAlign w:val="superscript"/>
              </w:rPr>
              <w:t>-5</w:t>
            </w:r>
          </w:p>
        </w:tc>
        <w:tc>
          <w:tcPr>
            <w:tcW w:w="1082" w:type="dxa"/>
            <w:shd w:val="clear" w:color="auto" w:fill="auto"/>
            <w:vAlign w:val="center"/>
          </w:tcPr>
          <w:p w14:paraId="24A20D0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4.</w:t>
            </w:r>
            <w:r>
              <w:rPr>
                <w:rFonts w:ascii="Times New Roman" w:hAnsi="Times New Roman" w:eastAsia="宋体" w:cs="Times New Roman"/>
                <w:caps w:val="0"/>
                <w:smallCaps w:val="0"/>
                <w:color w:val="auto"/>
                <w:spacing w:val="0"/>
                <w:kern w:val="0"/>
                <w:sz w:val="21"/>
                <w:highlight w:val="none"/>
                <w:lang w:bidi="ar"/>
              </w:rPr>
              <w:t>4</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083" w:type="dxa"/>
            <w:shd w:val="clear" w:color="auto" w:fill="auto"/>
            <w:vAlign w:val="center"/>
          </w:tcPr>
          <w:p w14:paraId="0F55C42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3.41×10</w:t>
            </w:r>
            <w:r>
              <w:rPr>
                <w:rFonts w:ascii="Times New Roman" w:hAnsi="Times New Roman" w:cs="Times New Roman"/>
                <w:caps w:val="0"/>
                <w:smallCaps w:val="0"/>
                <w:color w:val="auto"/>
                <w:spacing w:val="0"/>
                <w:sz w:val="21"/>
                <w:highlight w:val="none"/>
                <w:vertAlign w:val="superscript"/>
              </w:rPr>
              <w:t>-6</w:t>
            </w:r>
          </w:p>
        </w:tc>
        <w:tc>
          <w:tcPr>
            <w:tcW w:w="1105" w:type="dxa"/>
            <w:shd w:val="clear" w:color="auto" w:fill="auto"/>
            <w:vAlign w:val="center"/>
          </w:tcPr>
          <w:p w14:paraId="784D48A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3.</w:t>
            </w:r>
            <w:r>
              <w:rPr>
                <w:rFonts w:ascii="Times New Roman" w:hAnsi="Times New Roman" w:eastAsia="宋体" w:cs="Times New Roman"/>
                <w:caps w:val="0"/>
                <w:smallCaps w:val="0"/>
                <w:color w:val="auto"/>
                <w:spacing w:val="0"/>
                <w:kern w:val="0"/>
                <w:sz w:val="21"/>
                <w:highlight w:val="none"/>
                <w:lang w:bidi="ar"/>
              </w:rPr>
              <w:t>41</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171" w:type="dxa"/>
            <w:shd w:val="clear" w:color="auto" w:fill="auto"/>
            <w:vAlign w:val="center"/>
          </w:tcPr>
          <w:p w14:paraId="2D77749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1.06×10</w:t>
            </w:r>
            <w:r>
              <w:rPr>
                <w:rFonts w:ascii="Times New Roman" w:hAnsi="Times New Roman" w:eastAsia="宋体" w:cs="Times New Roman"/>
                <w:caps w:val="0"/>
                <w:smallCaps w:val="0"/>
                <w:color w:val="auto"/>
                <w:spacing w:val="0"/>
                <w:sz w:val="21"/>
                <w:highlight w:val="none"/>
                <w:vertAlign w:val="superscript"/>
              </w:rPr>
              <w:t>-7</w:t>
            </w:r>
          </w:p>
        </w:tc>
        <w:tc>
          <w:tcPr>
            <w:tcW w:w="1127" w:type="dxa"/>
            <w:shd w:val="clear" w:color="auto" w:fill="auto"/>
            <w:vAlign w:val="center"/>
          </w:tcPr>
          <w:p w14:paraId="62C5626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53D6893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4.13×10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33FD2BD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4.13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6738AA4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sz w:val="21"/>
                <w:highlight w:val="none"/>
              </w:rPr>
              <w:t>3.78×10</w:t>
            </w:r>
            <w:r>
              <w:rPr>
                <w:rFonts w:ascii="Times New Roman" w:hAnsi="Times New Roman" w:cs="Times New Roman"/>
                <w:caps w:val="0"/>
                <w:smallCaps w:val="0"/>
                <w:color w:val="auto"/>
                <w:spacing w:val="0"/>
                <w:sz w:val="21"/>
                <w:highlight w:val="none"/>
                <w:vertAlign w:val="superscript"/>
              </w:rPr>
              <w:t>-5</w:t>
            </w:r>
          </w:p>
        </w:tc>
        <w:tc>
          <w:tcPr>
            <w:tcW w:w="1094" w:type="dxa"/>
            <w:shd w:val="clear" w:color="auto" w:fill="auto"/>
            <w:vAlign w:val="center"/>
          </w:tcPr>
          <w:p w14:paraId="10844BF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1.89</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-5</w:t>
            </w:r>
          </w:p>
        </w:tc>
        <w:tc>
          <w:tcPr>
            <w:tcW w:w="1038" w:type="dxa"/>
            <w:shd w:val="clear" w:color="auto" w:fill="auto"/>
            <w:vAlign w:val="center"/>
          </w:tcPr>
          <w:p w14:paraId="40AA0E5A">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1.47×10</w:t>
            </w:r>
            <w:r>
              <w:rPr>
                <w:rFonts w:ascii="Times New Roman" w:hAnsi="Times New Roman" w:eastAsia="宋体" w:cs="Times New Roman"/>
                <w:caps w:val="0"/>
                <w:smallCaps w:val="0"/>
                <w:color w:val="auto"/>
                <w:spacing w:val="0"/>
                <w:sz w:val="21"/>
                <w:highlight w:val="none"/>
                <w:vertAlign w:val="superscript"/>
              </w:rPr>
              <w:t>-9</w:t>
            </w:r>
          </w:p>
        </w:tc>
        <w:tc>
          <w:tcPr>
            <w:tcW w:w="1035" w:type="dxa"/>
            <w:shd w:val="clear" w:color="auto" w:fill="auto"/>
            <w:vAlign w:val="center"/>
          </w:tcPr>
          <w:p w14:paraId="3CD7819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7.35×10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5C3B8E5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125" w:type="dxa"/>
            <w:shd w:val="clear" w:color="auto" w:fill="auto"/>
            <w:vAlign w:val="center"/>
          </w:tcPr>
          <w:p w14:paraId="6643B1F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76</w:t>
            </w:r>
          </w:p>
        </w:tc>
        <w:tc>
          <w:tcPr>
            <w:tcW w:w="1031" w:type="dxa"/>
            <w:shd w:val="clear" w:color="auto" w:fill="auto"/>
            <w:vAlign w:val="center"/>
          </w:tcPr>
          <w:p w14:paraId="6539687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82" w:type="dxa"/>
            <w:shd w:val="clear" w:color="auto" w:fill="auto"/>
            <w:vAlign w:val="center"/>
          </w:tcPr>
          <w:p w14:paraId="74CAB9D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83" w:type="dxa"/>
            <w:shd w:val="clear" w:color="auto" w:fill="auto"/>
            <w:vAlign w:val="center"/>
          </w:tcPr>
          <w:p w14:paraId="4A8092B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105" w:type="dxa"/>
            <w:shd w:val="clear" w:color="auto" w:fill="auto"/>
            <w:vAlign w:val="center"/>
          </w:tcPr>
          <w:p w14:paraId="56E0A91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171" w:type="dxa"/>
            <w:shd w:val="clear" w:color="auto" w:fill="auto"/>
            <w:vAlign w:val="center"/>
          </w:tcPr>
          <w:p w14:paraId="5B141EF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1.06×10</w:t>
            </w:r>
            <w:r>
              <w:rPr>
                <w:rFonts w:ascii="Times New Roman" w:hAnsi="Times New Roman" w:eastAsia="宋体" w:cs="Times New Roman"/>
                <w:caps w:val="0"/>
                <w:smallCaps w:val="0"/>
                <w:color w:val="auto"/>
                <w:spacing w:val="0"/>
                <w:sz w:val="21"/>
                <w:highlight w:val="none"/>
                <w:vertAlign w:val="superscript"/>
              </w:rPr>
              <w:t>-7</w:t>
            </w:r>
          </w:p>
        </w:tc>
        <w:tc>
          <w:tcPr>
            <w:tcW w:w="1127" w:type="dxa"/>
            <w:shd w:val="clear" w:color="auto" w:fill="auto"/>
            <w:vAlign w:val="center"/>
          </w:tcPr>
          <w:p w14:paraId="13982B4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7CCD3DC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4.14×10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4679732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4.14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5D07C4C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cs="Times New Roman"/>
                <w:caps w:val="0"/>
                <w:smallCaps w:val="0"/>
                <w:color w:val="auto"/>
                <w:spacing w:val="0"/>
                <w:kern w:val="0"/>
                <w:sz w:val="21"/>
                <w:highlight w:val="none"/>
                <w:lang w:bidi="ar"/>
              </w:rPr>
              <w:t>-</w:t>
            </w:r>
          </w:p>
        </w:tc>
        <w:tc>
          <w:tcPr>
            <w:tcW w:w="1094" w:type="dxa"/>
            <w:shd w:val="clear" w:color="auto" w:fill="auto"/>
            <w:vAlign w:val="center"/>
          </w:tcPr>
          <w:p w14:paraId="632F007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c>
          <w:tcPr>
            <w:tcW w:w="1038" w:type="dxa"/>
            <w:shd w:val="clear" w:color="auto" w:fill="auto"/>
            <w:vAlign w:val="center"/>
          </w:tcPr>
          <w:p w14:paraId="797A3836">
            <w:pPr>
              <w:spacing w:before="74"/>
              <w:jc w:val="center"/>
              <w:textAlignment w:val="center"/>
              <w:rPr>
                <w:rFonts w:ascii="Times New Roman" w:hAnsi="Times New Roman" w:cs="Times New Roman"/>
                <w:caps w:val="0"/>
                <w:smallCaps w:val="0"/>
                <w:color w:val="auto"/>
                <w:spacing w:val="0"/>
                <w:kern w:val="0"/>
                <w:sz w:val="21"/>
                <w:highlight w:val="none"/>
                <w:lang w:bidi="ar"/>
              </w:rPr>
            </w:pPr>
            <w:r>
              <w:rPr>
                <w:rFonts w:hint="eastAsia" w:ascii="Times New Roman" w:hAnsi="Times New Roman" w:cs="Times New Roman"/>
                <w:caps w:val="0"/>
                <w:smallCaps w:val="0"/>
                <w:color w:val="auto"/>
                <w:spacing w:val="0"/>
                <w:kern w:val="0"/>
                <w:sz w:val="21"/>
                <w:highlight w:val="none"/>
                <w:lang w:bidi="ar"/>
              </w:rPr>
              <w:t>-</w:t>
            </w:r>
          </w:p>
        </w:tc>
        <w:tc>
          <w:tcPr>
            <w:tcW w:w="1035" w:type="dxa"/>
            <w:shd w:val="clear" w:color="auto" w:fill="auto"/>
            <w:vAlign w:val="center"/>
          </w:tcPr>
          <w:p w14:paraId="63CB694B">
            <w:pPr>
              <w:spacing w:before="74"/>
              <w:jc w:val="center"/>
              <w:textAlignment w:val="center"/>
              <w:rPr>
                <w:rFonts w:ascii="Times New Roman" w:hAnsi="Times New Roman"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kern w:val="0"/>
                <w:sz w:val="21"/>
                <w:highlight w:val="none"/>
                <w:lang w:bidi="ar"/>
              </w:rPr>
              <w:t>-</w:t>
            </w:r>
          </w:p>
        </w:tc>
      </w:tr>
      <w:tr w14:paraId="73AE251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7B48FAF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w:t>
            </w:r>
          </w:p>
        </w:tc>
        <w:tc>
          <w:tcPr>
            <w:tcW w:w="1031" w:type="dxa"/>
            <w:shd w:val="clear" w:color="auto" w:fill="auto"/>
            <w:vAlign w:val="center"/>
          </w:tcPr>
          <w:p w14:paraId="43BCA550">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5.56×10</w:t>
            </w:r>
            <w:r>
              <w:rPr>
                <w:rFonts w:ascii="Times New Roman" w:hAnsi="Times New Roman" w:cs="Times New Roman"/>
                <w:caps w:val="0"/>
                <w:smallCaps w:val="0"/>
                <w:color w:val="auto"/>
                <w:spacing w:val="0"/>
                <w:sz w:val="21"/>
                <w:highlight w:val="none"/>
                <w:vertAlign w:val="superscript"/>
              </w:rPr>
              <w:t>-5</w:t>
            </w:r>
          </w:p>
        </w:tc>
        <w:tc>
          <w:tcPr>
            <w:tcW w:w="1082" w:type="dxa"/>
            <w:shd w:val="clear" w:color="auto" w:fill="auto"/>
            <w:vAlign w:val="center"/>
          </w:tcPr>
          <w:p w14:paraId="366B493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78</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083" w:type="dxa"/>
            <w:shd w:val="clear" w:color="auto" w:fill="auto"/>
            <w:vAlign w:val="center"/>
          </w:tcPr>
          <w:p w14:paraId="3130E89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2.16×10</w:t>
            </w:r>
            <w:r>
              <w:rPr>
                <w:rFonts w:ascii="Times New Roman" w:hAnsi="Times New Roman" w:cs="Times New Roman"/>
                <w:caps w:val="0"/>
                <w:smallCaps w:val="0"/>
                <w:color w:val="auto"/>
                <w:spacing w:val="0"/>
                <w:sz w:val="21"/>
                <w:highlight w:val="none"/>
                <w:vertAlign w:val="superscript"/>
              </w:rPr>
              <w:t>-6</w:t>
            </w:r>
          </w:p>
        </w:tc>
        <w:tc>
          <w:tcPr>
            <w:tcW w:w="1105" w:type="dxa"/>
            <w:shd w:val="clear" w:color="auto" w:fill="auto"/>
            <w:vAlign w:val="center"/>
          </w:tcPr>
          <w:p w14:paraId="5BAFE05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16</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171" w:type="dxa"/>
            <w:shd w:val="clear" w:color="auto" w:fill="auto"/>
            <w:vAlign w:val="center"/>
          </w:tcPr>
          <w:p w14:paraId="0FBA481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1.05×10</w:t>
            </w:r>
            <w:r>
              <w:rPr>
                <w:rFonts w:ascii="Times New Roman" w:hAnsi="Times New Roman" w:eastAsia="宋体" w:cs="Times New Roman"/>
                <w:caps w:val="0"/>
                <w:smallCaps w:val="0"/>
                <w:color w:val="auto"/>
                <w:spacing w:val="0"/>
                <w:sz w:val="21"/>
                <w:highlight w:val="none"/>
                <w:vertAlign w:val="superscript"/>
              </w:rPr>
              <w:t>-7</w:t>
            </w:r>
          </w:p>
        </w:tc>
        <w:tc>
          <w:tcPr>
            <w:tcW w:w="1127" w:type="dxa"/>
            <w:shd w:val="clear" w:color="auto" w:fill="auto"/>
            <w:vAlign w:val="center"/>
          </w:tcPr>
          <w:p w14:paraId="06464A4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5.25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727FF41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4.08×10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2A3141F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4.08×10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0E3E886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sz w:val="21"/>
                <w:highlight w:val="none"/>
              </w:rPr>
              <w:t>2.39×10</w:t>
            </w:r>
            <w:r>
              <w:rPr>
                <w:rFonts w:ascii="Times New Roman" w:hAnsi="Times New Roman" w:cs="Times New Roman"/>
                <w:caps w:val="0"/>
                <w:smallCaps w:val="0"/>
                <w:color w:val="auto"/>
                <w:spacing w:val="0"/>
                <w:sz w:val="21"/>
                <w:highlight w:val="none"/>
                <w:vertAlign w:val="superscript"/>
              </w:rPr>
              <w:t>-5</w:t>
            </w:r>
          </w:p>
        </w:tc>
        <w:tc>
          <w:tcPr>
            <w:tcW w:w="1094" w:type="dxa"/>
            <w:shd w:val="clear" w:color="auto" w:fill="auto"/>
            <w:vAlign w:val="center"/>
          </w:tcPr>
          <w:p w14:paraId="11B22FB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1.20</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-5</w:t>
            </w:r>
          </w:p>
        </w:tc>
        <w:tc>
          <w:tcPr>
            <w:tcW w:w="1038" w:type="dxa"/>
            <w:shd w:val="clear" w:color="auto" w:fill="auto"/>
            <w:vAlign w:val="center"/>
          </w:tcPr>
          <w:p w14:paraId="69998A00">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1.31×10</w:t>
            </w:r>
            <w:r>
              <w:rPr>
                <w:rFonts w:ascii="Times New Roman" w:hAnsi="Times New Roman" w:eastAsia="宋体" w:cs="Times New Roman"/>
                <w:caps w:val="0"/>
                <w:smallCaps w:val="0"/>
                <w:color w:val="auto"/>
                <w:spacing w:val="0"/>
                <w:sz w:val="21"/>
                <w:highlight w:val="none"/>
                <w:vertAlign w:val="superscript"/>
              </w:rPr>
              <w:t>-5</w:t>
            </w:r>
          </w:p>
        </w:tc>
        <w:tc>
          <w:tcPr>
            <w:tcW w:w="1035" w:type="dxa"/>
            <w:shd w:val="clear" w:color="auto" w:fill="auto"/>
            <w:vAlign w:val="center"/>
          </w:tcPr>
          <w:p w14:paraId="033D869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6.55×10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68D803B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6909B371">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w:t>
            </w:r>
          </w:p>
        </w:tc>
        <w:tc>
          <w:tcPr>
            <w:tcW w:w="1031" w:type="dxa"/>
            <w:shd w:val="clear" w:color="auto" w:fill="auto"/>
            <w:vAlign w:val="center"/>
          </w:tcPr>
          <w:p w14:paraId="3873CB4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3.27×10</w:t>
            </w:r>
            <w:r>
              <w:rPr>
                <w:rFonts w:ascii="Times New Roman" w:hAnsi="Times New Roman" w:cs="Times New Roman"/>
                <w:caps w:val="0"/>
                <w:smallCaps w:val="0"/>
                <w:color w:val="auto"/>
                <w:spacing w:val="0"/>
                <w:sz w:val="21"/>
                <w:highlight w:val="none"/>
                <w:vertAlign w:val="superscript"/>
              </w:rPr>
              <w:t>-5</w:t>
            </w:r>
          </w:p>
        </w:tc>
        <w:tc>
          <w:tcPr>
            <w:tcW w:w="1082" w:type="dxa"/>
            <w:shd w:val="clear" w:color="auto" w:fill="auto"/>
            <w:vAlign w:val="center"/>
          </w:tcPr>
          <w:p w14:paraId="5098FB6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6</w:t>
            </w:r>
            <w:r>
              <w:rPr>
                <w:rFonts w:ascii="Times New Roman" w:hAnsi="Times New Roman" w:cs="Times New Roman"/>
                <w:caps w:val="0"/>
                <w:smallCaps w:val="0"/>
                <w:color w:val="auto"/>
                <w:spacing w:val="0"/>
                <w:kern w:val="0"/>
                <w:sz w:val="21"/>
                <w:highlight w:val="none"/>
                <w:lang w:bidi="ar"/>
              </w:rPr>
              <w:t>4</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083" w:type="dxa"/>
            <w:shd w:val="clear" w:color="auto" w:fill="auto"/>
            <w:vAlign w:val="center"/>
          </w:tcPr>
          <w:p w14:paraId="3FAA407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1.27×10</w:t>
            </w:r>
            <w:r>
              <w:rPr>
                <w:rFonts w:ascii="Times New Roman" w:hAnsi="Times New Roman" w:cs="Times New Roman"/>
                <w:caps w:val="0"/>
                <w:smallCaps w:val="0"/>
                <w:color w:val="auto"/>
                <w:spacing w:val="0"/>
                <w:sz w:val="21"/>
                <w:highlight w:val="none"/>
                <w:vertAlign w:val="superscript"/>
              </w:rPr>
              <w:t>-6</w:t>
            </w:r>
          </w:p>
        </w:tc>
        <w:tc>
          <w:tcPr>
            <w:tcW w:w="1105" w:type="dxa"/>
            <w:shd w:val="clear" w:color="auto" w:fill="auto"/>
            <w:vAlign w:val="center"/>
          </w:tcPr>
          <w:p w14:paraId="7A2AD59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27</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-5</w:t>
            </w:r>
          </w:p>
        </w:tc>
        <w:tc>
          <w:tcPr>
            <w:tcW w:w="1171" w:type="dxa"/>
            <w:shd w:val="clear" w:color="auto" w:fill="auto"/>
            <w:vAlign w:val="center"/>
          </w:tcPr>
          <w:p w14:paraId="10AEDE5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7.79×10</w:t>
            </w:r>
            <w:r>
              <w:rPr>
                <w:rFonts w:ascii="Times New Roman" w:hAnsi="Times New Roman" w:eastAsia="宋体" w:cs="Times New Roman"/>
                <w:caps w:val="0"/>
                <w:smallCaps w:val="0"/>
                <w:color w:val="auto"/>
                <w:spacing w:val="0"/>
                <w:sz w:val="21"/>
                <w:highlight w:val="none"/>
                <w:vertAlign w:val="superscript"/>
              </w:rPr>
              <w:t>-8</w:t>
            </w:r>
          </w:p>
        </w:tc>
        <w:tc>
          <w:tcPr>
            <w:tcW w:w="1127" w:type="dxa"/>
            <w:shd w:val="clear" w:color="auto" w:fill="auto"/>
            <w:vAlign w:val="center"/>
          </w:tcPr>
          <w:p w14:paraId="3E3DF4CA">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3.90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77F7536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3.03×10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6EA1C44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3.03×10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675B1D1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1.41</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-5</w:t>
            </w:r>
          </w:p>
        </w:tc>
        <w:tc>
          <w:tcPr>
            <w:tcW w:w="1094" w:type="dxa"/>
            <w:shd w:val="clear" w:color="auto" w:fill="auto"/>
            <w:vAlign w:val="center"/>
          </w:tcPr>
          <w:p w14:paraId="13FE14B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7.05</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-6</w:t>
            </w:r>
          </w:p>
        </w:tc>
        <w:tc>
          <w:tcPr>
            <w:tcW w:w="1038" w:type="dxa"/>
            <w:shd w:val="clear" w:color="auto" w:fill="auto"/>
            <w:vAlign w:val="center"/>
          </w:tcPr>
          <w:p w14:paraId="62381E2E">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9.06×10</w:t>
            </w:r>
            <w:r>
              <w:rPr>
                <w:rFonts w:ascii="Times New Roman" w:hAnsi="Times New Roman" w:eastAsia="宋体" w:cs="Times New Roman"/>
                <w:caps w:val="0"/>
                <w:smallCaps w:val="0"/>
                <w:color w:val="auto"/>
                <w:spacing w:val="0"/>
                <w:sz w:val="21"/>
                <w:highlight w:val="none"/>
                <w:vertAlign w:val="superscript"/>
              </w:rPr>
              <w:t>-6</w:t>
            </w:r>
          </w:p>
        </w:tc>
        <w:tc>
          <w:tcPr>
            <w:tcW w:w="1035" w:type="dxa"/>
            <w:shd w:val="clear" w:color="auto" w:fill="auto"/>
            <w:vAlign w:val="center"/>
          </w:tcPr>
          <w:p w14:paraId="1ABF84E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4.53×10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7743B55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0E7000D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300</w:t>
            </w:r>
          </w:p>
        </w:tc>
        <w:tc>
          <w:tcPr>
            <w:tcW w:w="1031" w:type="dxa"/>
            <w:shd w:val="clear" w:color="auto" w:fill="auto"/>
            <w:vAlign w:val="center"/>
          </w:tcPr>
          <w:p w14:paraId="0514CCE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1.31×10</w:t>
            </w:r>
            <w:r>
              <w:rPr>
                <w:rFonts w:ascii="Times New Roman" w:hAnsi="Times New Roman" w:cs="Times New Roman"/>
                <w:caps w:val="0"/>
                <w:smallCaps w:val="0"/>
                <w:color w:val="auto"/>
                <w:spacing w:val="0"/>
                <w:sz w:val="21"/>
                <w:highlight w:val="none"/>
                <w:vertAlign w:val="superscript"/>
              </w:rPr>
              <w:t>-5</w:t>
            </w:r>
          </w:p>
        </w:tc>
        <w:tc>
          <w:tcPr>
            <w:tcW w:w="1082" w:type="dxa"/>
            <w:shd w:val="clear" w:color="auto" w:fill="auto"/>
            <w:vAlign w:val="center"/>
          </w:tcPr>
          <w:p w14:paraId="3C26DBA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6.</w:t>
            </w:r>
            <w:r>
              <w:rPr>
                <w:rFonts w:ascii="Times New Roman" w:hAnsi="Times New Roman" w:eastAsia="宋体" w:cs="Times New Roman"/>
                <w:caps w:val="0"/>
                <w:smallCaps w:val="0"/>
                <w:color w:val="auto"/>
                <w:spacing w:val="0"/>
                <w:kern w:val="0"/>
                <w:sz w:val="21"/>
                <w:highlight w:val="none"/>
                <w:lang w:bidi="ar"/>
              </w:rPr>
              <w:t>55</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083" w:type="dxa"/>
            <w:shd w:val="clear" w:color="auto" w:fill="auto"/>
            <w:vAlign w:val="center"/>
          </w:tcPr>
          <w:p w14:paraId="04C1F4E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5.08×10</w:t>
            </w:r>
            <w:r>
              <w:rPr>
                <w:rFonts w:ascii="Times New Roman" w:hAnsi="Times New Roman" w:cs="Times New Roman"/>
                <w:caps w:val="0"/>
                <w:smallCaps w:val="0"/>
                <w:color w:val="auto"/>
                <w:spacing w:val="0"/>
                <w:sz w:val="21"/>
                <w:highlight w:val="none"/>
                <w:vertAlign w:val="superscript"/>
              </w:rPr>
              <w:t>-7</w:t>
            </w:r>
          </w:p>
        </w:tc>
        <w:tc>
          <w:tcPr>
            <w:tcW w:w="1105" w:type="dxa"/>
            <w:shd w:val="clear" w:color="auto" w:fill="auto"/>
            <w:vAlign w:val="center"/>
          </w:tcPr>
          <w:p w14:paraId="4897665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5.</w:t>
            </w:r>
            <w:r>
              <w:rPr>
                <w:rFonts w:ascii="Times New Roman" w:hAnsi="Times New Roman" w:eastAsia="宋体" w:cs="Times New Roman"/>
                <w:caps w:val="0"/>
                <w:smallCaps w:val="0"/>
                <w:color w:val="auto"/>
                <w:spacing w:val="0"/>
                <w:kern w:val="0"/>
                <w:sz w:val="21"/>
                <w:highlight w:val="none"/>
                <w:lang w:bidi="ar"/>
              </w:rPr>
              <w:t>08</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171" w:type="dxa"/>
            <w:shd w:val="clear" w:color="auto" w:fill="auto"/>
            <w:vAlign w:val="center"/>
          </w:tcPr>
          <w:p w14:paraId="13C5859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3.19×10</w:t>
            </w:r>
            <w:r>
              <w:rPr>
                <w:rFonts w:ascii="Times New Roman" w:hAnsi="Times New Roman" w:eastAsia="宋体" w:cs="Times New Roman"/>
                <w:caps w:val="0"/>
                <w:smallCaps w:val="0"/>
                <w:color w:val="auto"/>
                <w:spacing w:val="0"/>
                <w:sz w:val="21"/>
                <w:highlight w:val="none"/>
                <w:vertAlign w:val="superscript"/>
              </w:rPr>
              <w:t>-8</w:t>
            </w:r>
          </w:p>
        </w:tc>
        <w:tc>
          <w:tcPr>
            <w:tcW w:w="1127" w:type="dxa"/>
            <w:shd w:val="clear" w:color="auto" w:fill="auto"/>
            <w:vAlign w:val="center"/>
          </w:tcPr>
          <w:p w14:paraId="7618AB1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0EA4084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1.24×10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351A88C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1.24×10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4EF8C0A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5.64</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-6</w:t>
            </w:r>
          </w:p>
        </w:tc>
        <w:tc>
          <w:tcPr>
            <w:tcW w:w="1094" w:type="dxa"/>
            <w:shd w:val="clear" w:color="auto" w:fill="auto"/>
            <w:vAlign w:val="center"/>
          </w:tcPr>
          <w:p w14:paraId="5099903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2.82</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-6</w:t>
            </w:r>
          </w:p>
        </w:tc>
        <w:tc>
          <w:tcPr>
            <w:tcW w:w="1038" w:type="dxa"/>
            <w:shd w:val="clear" w:color="auto" w:fill="auto"/>
            <w:vAlign w:val="center"/>
          </w:tcPr>
          <w:p w14:paraId="1DFC2B38">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3.43×10</w:t>
            </w:r>
            <w:r>
              <w:rPr>
                <w:rFonts w:ascii="Times New Roman" w:hAnsi="Times New Roman" w:eastAsia="宋体" w:cs="Times New Roman"/>
                <w:caps w:val="0"/>
                <w:smallCaps w:val="0"/>
                <w:color w:val="auto"/>
                <w:spacing w:val="0"/>
                <w:sz w:val="21"/>
                <w:highlight w:val="none"/>
                <w:vertAlign w:val="superscript"/>
              </w:rPr>
              <w:t>-6</w:t>
            </w:r>
          </w:p>
        </w:tc>
        <w:tc>
          <w:tcPr>
            <w:tcW w:w="1035" w:type="dxa"/>
            <w:shd w:val="clear" w:color="auto" w:fill="auto"/>
            <w:vAlign w:val="center"/>
          </w:tcPr>
          <w:p w14:paraId="02CADF98">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1.72×10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701B854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78638E11">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w:t>
            </w:r>
          </w:p>
        </w:tc>
        <w:tc>
          <w:tcPr>
            <w:tcW w:w="1031" w:type="dxa"/>
            <w:shd w:val="clear" w:color="auto" w:fill="auto"/>
            <w:vAlign w:val="center"/>
          </w:tcPr>
          <w:p w14:paraId="1CD6552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6.23×10</w:t>
            </w:r>
            <w:r>
              <w:rPr>
                <w:rFonts w:ascii="Times New Roman" w:hAnsi="Times New Roman" w:cs="Times New Roman"/>
                <w:caps w:val="0"/>
                <w:smallCaps w:val="0"/>
                <w:color w:val="auto"/>
                <w:spacing w:val="0"/>
                <w:sz w:val="21"/>
                <w:highlight w:val="none"/>
                <w:vertAlign w:val="superscript"/>
              </w:rPr>
              <w:t>-6</w:t>
            </w:r>
          </w:p>
        </w:tc>
        <w:tc>
          <w:tcPr>
            <w:tcW w:w="1082" w:type="dxa"/>
            <w:shd w:val="clear" w:color="auto" w:fill="auto"/>
            <w:vAlign w:val="center"/>
          </w:tcPr>
          <w:p w14:paraId="68D31DB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3.</w:t>
            </w:r>
            <w:r>
              <w:rPr>
                <w:rFonts w:ascii="Times New Roman" w:hAnsi="Times New Roman" w:eastAsia="宋体" w:cs="Times New Roman"/>
                <w:caps w:val="0"/>
                <w:smallCaps w:val="0"/>
                <w:color w:val="auto"/>
                <w:spacing w:val="0"/>
                <w:kern w:val="0"/>
                <w:sz w:val="21"/>
                <w:highlight w:val="none"/>
                <w:lang w:bidi="ar"/>
              </w:rPr>
              <w:t>1</w:t>
            </w:r>
            <w:r>
              <w:rPr>
                <w:rFonts w:ascii="Times New Roman" w:hAnsi="Times New Roman" w:cs="Times New Roman"/>
                <w:caps w:val="0"/>
                <w:smallCaps w:val="0"/>
                <w:color w:val="auto"/>
                <w:spacing w:val="0"/>
                <w:kern w:val="0"/>
                <w:sz w:val="21"/>
                <w:highlight w:val="none"/>
                <w:lang w:bidi="ar"/>
              </w:rPr>
              <w:t>2</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083" w:type="dxa"/>
            <w:shd w:val="clear" w:color="auto" w:fill="auto"/>
            <w:vAlign w:val="center"/>
          </w:tcPr>
          <w:p w14:paraId="0BFA213A">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2.41×10</w:t>
            </w:r>
            <w:r>
              <w:rPr>
                <w:rFonts w:ascii="Times New Roman" w:hAnsi="Times New Roman" w:cs="Times New Roman"/>
                <w:caps w:val="0"/>
                <w:smallCaps w:val="0"/>
                <w:color w:val="auto"/>
                <w:spacing w:val="0"/>
                <w:sz w:val="21"/>
                <w:highlight w:val="none"/>
                <w:vertAlign w:val="superscript"/>
              </w:rPr>
              <w:t>-7</w:t>
            </w:r>
          </w:p>
        </w:tc>
        <w:tc>
          <w:tcPr>
            <w:tcW w:w="1105" w:type="dxa"/>
            <w:shd w:val="clear" w:color="auto" w:fill="auto"/>
            <w:vAlign w:val="center"/>
          </w:tcPr>
          <w:p w14:paraId="5688553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41</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171" w:type="dxa"/>
            <w:shd w:val="clear" w:color="auto" w:fill="auto"/>
            <w:vAlign w:val="center"/>
          </w:tcPr>
          <w:p w14:paraId="0C8853A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1.45×10</w:t>
            </w:r>
            <w:r>
              <w:rPr>
                <w:rFonts w:ascii="Times New Roman" w:hAnsi="Times New Roman" w:eastAsia="宋体" w:cs="Times New Roman"/>
                <w:caps w:val="0"/>
                <w:smallCaps w:val="0"/>
                <w:color w:val="auto"/>
                <w:spacing w:val="0"/>
                <w:sz w:val="21"/>
                <w:highlight w:val="none"/>
                <w:vertAlign w:val="superscript"/>
              </w:rPr>
              <w:t>-8</w:t>
            </w:r>
          </w:p>
        </w:tc>
        <w:tc>
          <w:tcPr>
            <w:tcW w:w="1127" w:type="dxa"/>
            <w:shd w:val="clear" w:color="auto" w:fill="auto"/>
            <w:vAlign w:val="center"/>
          </w:tcPr>
          <w:p w14:paraId="7650BE2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7.25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196" w:type="dxa"/>
            <w:shd w:val="clear" w:color="auto" w:fill="auto"/>
            <w:vAlign w:val="center"/>
          </w:tcPr>
          <w:p w14:paraId="4E12DDD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5.65×10</w:t>
            </w:r>
            <w:r>
              <w:rPr>
                <w:rFonts w:ascii="Times New Roman" w:hAnsi="Times New Roman" w:eastAsia="宋体" w:cs="Times New Roman"/>
                <w:caps w:val="0"/>
                <w:smallCaps w:val="0"/>
                <w:color w:val="auto"/>
                <w:spacing w:val="0"/>
                <w:sz w:val="21"/>
                <w:highlight w:val="none"/>
                <w:vertAlign w:val="superscript"/>
              </w:rPr>
              <w:t>-10</w:t>
            </w:r>
          </w:p>
        </w:tc>
        <w:tc>
          <w:tcPr>
            <w:tcW w:w="1105" w:type="dxa"/>
            <w:shd w:val="clear" w:color="auto" w:fill="auto"/>
            <w:vAlign w:val="center"/>
          </w:tcPr>
          <w:p w14:paraId="58AAA05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5.65×10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026" w:type="dxa"/>
            <w:shd w:val="clear" w:color="auto" w:fill="auto"/>
            <w:vAlign w:val="center"/>
          </w:tcPr>
          <w:p w14:paraId="02A95FA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2.68</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-6</w:t>
            </w:r>
          </w:p>
        </w:tc>
        <w:tc>
          <w:tcPr>
            <w:tcW w:w="1094" w:type="dxa"/>
            <w:shd w:val="clear" w:color="auto" w:fill="auto"/>
            <w:vAlign w:val="center"/>
          </w:tcPr>
          <w:p w14:paraId="5523ECE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1.34</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-6</w:t>
            </w:r>
          </w:p>
        </w:tc>
        <w:tc>
          <w:tcPr>
            <w:tcW w:w="1038" w:type="dxa"/>
            <w:shd w:val="clear" w:color="auto" w:fill="auto"/>
            <w:vAlign w:val="center"/>
          </w:tcPr>
          <w:p w14:paraId="4400B146">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1.55×10</w:t>
            </w:r>
            <w:r>
              <w:rPr>
                <w:rFonts w:ascii="Times New Roman" w:hAnsi="Times New Roman" w:eastAsia="宋体" w:cs="Times New Roman"/>
                <w:caps w:val="0"/>
                <w:smallCaps w:val="0"/>
                <w:color w:val="auto"/>
                <w:spacing w:val="0"/>
                <w:sz w:val="21"/>
                <w:highlight w:val="none"/>
                <w:vertAlign w:val="superscript"/>
              </w:rPr>
              <w:t>-6</w:t>
            </w:r>
          </w:p>
        </w:tc>
        <w:tc>
          <w:tcPr>
            <w:tcW w:w="1035" w:type="dxa"/>
            <w:shd w:val="clear" w:color="auto" w:fill="auto"/>
            <w:vAlign w:val="center"/>
          </w:tcPr>
          <w:p w14:paraId="2DFA9554">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7.75×10</w:t>
            </w:r>
            <w:r>
              <w:rPr>
                <w:rFonts w:ascii="Times New Roman" w:hAnsi="Times New Roman" w:eastAsia="宋体" w:cs="Times New Roman"/>
                <w:caps w:val="0"/>
                <w:smallCaps w:val="0"/>
                <w:color w:val="auto"/>
                <w:spacing w:val="0"/>
                <w:kern w:val="0"/>
                <w:sz w:val="21"/>
                <w:highlight w:val="none"/>
                <w:vertAlign w:val="superscript"/>
                <w:lang w:bidi="ar"/>
              </w:rPr>
              <w:t>-7</w:t>
            </w:r>
          </w:p>
        </w:tc>
      </w:tr>
      <w:tr w14:paraId="7CEA3AE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20FF0DF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750</w:t>
            </w:r>
          </w:p>
        </w:tc>
        <w:tc>
          <w:tcPr>
            <w:tcW w:w="1031" w:type="dxa"/>
            <w:shd w:val="clear" w:color="auto" w:fill="auto"/>
            <w:vAlign w:val="center"/>
          </w:tcPr>
          <w:p w14:paraId="06DCB99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3.33×10</w:t>
            </w:r>
            <w:r>
              <w:rPr>
                <w:rFonts w:ascii="Times New Roman" w:hAnsi="Times New Roman" w:cs="Times New Roman"/>
                <w:caps w:val="0"/>
                <w:smallCaps w:val="0"/>
                <w:color w:val="auto"/>
                <w:spacing w:val="0"/>
                <w:sz w:val="21"/>
                <w:highlight w:val="none"/>
                <w:vertAlign w:val="superscript"/>
              </w:rPr>
              <w:t>-6</w:t>
            </w:r>
          </w:p>
        </w:tc>
        <w:tc>
          <w:tcPr>
            <w:tcW w:w="1082" w:type="dxa"/>
            <w:shd w:val="clear" w:color="auto" w:fill="auto"/>
            <w:vAlign w:val="center"/>
          </w:tcPr>
          <w:p w14:paraId="530A109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6</w:t>
            </w:r>
            <w:r>
              <w:rPr>
                <w:rFonts w:hint="eastAsia" w:ascii="Times New Roman" w:hAnsi="Times New Roman" w:eastAsia="宋体" w:cs="Times New Roman"/>
                <w:caps w:val="0"/>
                <w:smallCaps w:val="0"/>
                <w:color w:val="auto"/>
                <w:spacing w:val="0"/>
                <w:kern w:val="0"/>
                <w:sz w:val="21"/>
                <w:highlight w:val="none"/>
                <w:lang w:val="en-US" w:eastAsia="zh-CN" w:bidi="ar"/>
              </w:rPr>
              <w:t>7</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083" w:type="dxa"/>
            <w:shd w:val="clear" w:color="auto" w:fill="auto"/>
            <w:vAlign w:val="center"/>
          </w:tcPr>
          <w:p w14:paraId="26EF2D5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1.29×10</w:t>
            </w:r>
            <w:r>
              <w:rPr>
                <w:rFonts w:ascii="Times New Roman" w:hAnsi="Times New Roman" w:cs="Times New Roman"/>
                <w:caps w:val="0"/>
                <w:smallCaps w:val="0"/>
                <w:color w:val="auto"/>
                <w:spacing w:val="0"/>
                <w:sz w:val="21"/>
                <w:highlight w:val="none"/>
                <w:vertAlign w:val="superscript"/>
              </w:rPr>
              <w:t>-7</w:t>
            </w:r>
          </w:p>
        </w:tc>
        <w:tc>
          <w:tcPr>
            <w:tcW w:w="1105" w:type="dxa"/>
            <w:shd w:val="clear" w:color="auto" w:fill="auto"/>
            <w:vAlign w:val="center"/>
          </w:tcPr>
          <w:p w14:paraId="3531697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29</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171" w:type="dxa"/>
            <w:shd w:val="clear" w:color="auto" w:fill="auto"/>
            <w:vAlign w:val="center"/>
          </w:tcPr>
          <w:p w14:paraId="50A3F8D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7.52×10</w:t>
            </w:r>
            <w:r>
              <w:rPr>
                <w:rFonts w:ascii="Times New Roman" w:hAnsi="Times New Roman" w:eastAsia="宋体" w:cs="Times New Roman"/>
                <w:caps w:val="0"/>
                <w:smallCaps w:val="0"/>
                <w:color w:val="auto"/>
                <w:spacing w:val="0"/>
                <w:sz w:val="21"/>
                <w:highlight w:val="none"/>
                <w:vertAlign w:val="superscript"/>
              </w:rPr>
              <w:t>-9</w:t>
            </w:r>
          </w:p>
        </w:tc>
        <w:tc>
          <w:tcPr>
            <w:tcW w:w="1127" w:type="dxa"/>
            <w:shd w:val="clear" w:color="auto" w:fill="auto"/>
            <w:vAlign w:val="center"/>
          </w:tcPr>
          <w:p w14:paraId="7FE3B9A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3.76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196" w:type="dxa"/>
            <w:shd w:val="clear" w:color="auto" w:fill="auto"/>
            <w:vAlign w:val="center"/>
          </w:tcPr>
          <w:p w14:paraId="0220CE8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2.93×10</w:t>
            </w:r>
            <w:r>
              <w:rPr>
                <w:rFonts w:ascii="Times New Roman" w:hAnsi="Times New Roman" w:eastAsia="宋体" w:cs="Times New Roman"/>
                <w:caps w:val="0"/>
                <w:smallCaps w:val="0"/>
                <w:color w:val="auto"/>
                <w:spacing w:val="0"/>
                <w:sz w:val="21"/>
                <w:highlight w:val="none"/>
                <w:vertAlign w:val="superscript"/>
              </w:rPr>
              <w:t>-10</w:t>
            </w:r>
          </w:p>
        </w:tc>
        <w:tc>
          <w:tcPr>
            <w:tcW w:w="1105" w:type="dxa"/>
            <w:shd w:val="clear" w:color="auto" w:fill="auto"/>
            <w:vAlign w:val="center"/>
          </w:tcPr>
          <w:p w14:paraId="3220625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2.93×10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026" w:type="dxa"/>
            <w:shd w:val="clear" w:color="auto" w:fill="auto"/>
            <w:vAlign w:val="center"/>
          </w:tcPr>
          <w:p w14:paraId="6386645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1.43</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-6</w:t>
            </w:r>
          </w:p>
        </w:tc>
        <w:tc>
          <w:tcPr>
            <w:tcW w:w="1094" w:type="dxa"/>
            <w:shd w:val="clear" w:color="auto" w:fill="auto"/>
            <w:vAlign w:val="center"/>
          </w:tcPr>
          <w:p w14:paraId="3F6C929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7.15</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-7</w:t>
            </w:r>
          </w:p>
        </w:tc>
        <w:tc>
          <w:tcPr>
            <w:tcW w:w="1038" w:type="dxa"/>
            <w:shd w:val="clear" w:color="auto" w:fill="auto"/>
            <w:vAlign w:val="center"/>
          </w:tcPr>
          <w:p w14:paraId="21CA0FE0">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7.99×10</w:t>
            </w:r>
            <w:r>
              <w:rPr>
                <w:rFonts w:ascii="Times New Roman" w:hAnsi="Times New Roman" w:eastAsia="宋体" w:cs="Times New Roman"/>
                <w:caps w:val="0"/>
                <w:smallCaps w:val="0"/>
                <w:color w:val="auto"/>
                <w:spacing w:val="0"/>
                <w:sz w:val="21"/>
                <w:highlight w:val="none"/>
                <w:vertAlign w:val="superscript"/>
              </w:rPr>
              <w:t>-7</w:t>
            </w:r>
          </w:p>
        </w:tc>
        <w:tc>
          <w:tcPr>
            <w:tcW w:w="1035" w:type="dxa"/>
            <w:shd w:val="clear" w:color="auto" w:fill="auto"/>
            <w:vAlign w:val="center"/>
          </w:tcPr>
          <w:p w14:paraId="7DE0EA7A">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4.00×10</w:t>
            </w:r>
            <w:r>
              <w:rPr>
                <w:rFonts w:ascii="Times New Roman" w:hAnsi="Times New Roman" w:eastAsia="宋体" w:cs="Times New Roman"/>
                <w:caps w:val="0"/>
                <w:smallCaps w:val="0"/>
                <w:color w:val="auto"/>
                <w:spacing w:val="0"/>
                <w:kern w:val="0"/>
                <w:sz w:val="21"/>
                <w:highlight w:val="none"/>
                <w:vertAlign w:val="superscript"/>
                <w:lang w:bidi="ar"/>
              </w:rPr>
              <w:t>-7</w:t>
            </w:r>
          </w:p>
        </w:tc>
      </w:tr>
      <w:tr w14:paraId="2B11027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126D1FE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w:t>
            </w:r>
          </w:p>
        </w:tc>
        <w:tc>
          <w:tcPr>
            <w:tcW w:w="1031" w:type="dxa"/>
            <w:shd w:val="clear" w:color="auto" w:fill="auto"/>
            <w:vAlign w:val="center"/>
          </w:tcPr>
          <w:p w14:paraId="4E483D2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2.09×10</w:t>
            </w:r>
            <w:r>
              <w:rPr>
                <w:rFonts w:ascii="Times New Roman" w:hAnsi="Times New Roman" w:cs="Times New Roman"/>
                <w:caps w:val="0"/>
                <w:smallCaps w:val="0"/>
                <w:color w:val="auto"/>
                <w:spacing w:val="0"/>
                <w:sz w:val="21"/>
                <w:highlight w:val="none"/>
                <w:vertAlign w:val="superscript"/>
              </w:rPr>
              <w:t>-6</w:t>
            </w:r>
          </w:p>
        </w:tc>
        <w:tc>
          <w:tcPr>
            <w:tcW w:w="1082" w:type="dxa"/>
            <w:shd w:val="clear" w:color="auto" w:fill="auto"/>
            <w:vAlign w:val="center"/>
          </w:tcPr>
          <w:p w14:paraId="49FD1CE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5</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-6</w:t>
            </w:r>
          </w:p>
        </w:tc>
        <w:tc>
          <w:tcPr>
            <w:tcW w:w="1083" w:type="dxa"/>
            <w:shd w:val="clear" w:color="auto" w:fill="auto"/>
            <w:vAlign w:val="center"/>
          </w:tcPr>
          <w:p w14:paraId="5FB5EBC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8.09×10</w:t>
            </w:r>
            <w:r>
              <w:rPr>
                <w:rFonts w:ascii="Times New Roman" w:hAnsi="Times New Roman" w:cs="Times New Roman"/>
                <w:caps w:val="0"/>
                <w:smallCaps w:val="0"/>
                <w:color w:val="auto"/>
                <w:spacing w:val="0"/>
                <w:sz w:val="21"/>
                <w:highlight w:val="none"/>
                <w:vertAlign w:val="superscript"/>
              </w:rPr>
              <w:t>-8</w:t>
            </w:r>
          </w:p>
        </w:tc>
        <w:tc>
          <w:tcPr>
            <w:tcW w:w="1105" w:type="dxa"/>
            <w:shd w:val="clear" w:color="auto" w:fill="auto"/>
            <w:vAlign w:val="center"/>
          </w:tcPr>
          <w:p w14:paraId="60CA46C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8.</w:t>
            </w:r>
            <w:r>
              <w:rPr>
                <w:rFonts w:ascii="Times New Roman" w:hAnsi="Times New Roman" w:eastAsia="宋体" w:cs="Times New Roman"/>
                <w:caps w:val="0"/>
                <w:smallCaps w:val="0"/>
                <w:color w:val="auto"/>
                <w:spacing w:val="0"/>
                <w:kern w:val="0"/>
                <w:sz w:val="21"/>
                <w:highlight w:val="none"/>
                <w:lang w:bidi="ar"/>
              </w:rPr>
              <w:t>09</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-7</w:t>
            </w:r>
          </w:p>
        </w:tc>
        <w:tc>
          <w:tcPr>
            <w:tcW w:w="1171" w:type="dxa"/>
            <w:shd w:val="clear" w:color="auto" w:fill="auto"/>
            <w:vAlign w:val="center"/>
          </w:tcPr>
          <w:p w14:paraId="4E1185A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4.71×10</w:t>
            </w:r>
            <w:r>
              <w:rPr>
                <w:rFonts w:ascii="Times New Roman" w:hAnsi="Times New Roman" w:eastAsia="宋体" w:cs="Times New Roman"/>
                <w:caps w:val="0"/>
                <w:smallCaps w:val="0"/>
                <w:color w:val="auto"/>
                <w:spacing w:val="0"/>
                <w:sz w:val="21"/>
                <w:highlight w:val="none"/>
                <w:vertAlign w:val="superscript"/>
              </w:rPr>
              <w:t>-9</w:t>
            </w:r>
          </w:p>
        </w:tc>
        <w:tc>
          <w:tcPr>
            <w:tcW w:w="1127" w:type="dxa"/>
            <w:shd w:val="clear" w:color="auto" w:fill="auto"/>
            <w:vAlign w:val="center"/>
          </w:tcPr>
          <w:p w14:paraId="0EB3DB1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w:t>
            </w:r>
            <w:r>
              <w:rPr>
                <w:rFonts w:hint="eastAsia" w:ascii="Times New Roman" w:hAnsi="Times New Roman" w:eastAsia="宋体" w:cs="Times New Roman"/>
                <w:caps w:val="0"/>
                <w:smallCaps w:val="0"/>
                <w:color w:val="auto"/>
                <w:spacing w:val="0"/>
                <w:kern w:val="0"/>
                <w:sz w:val="21"/>
                <w:highlight w:val="none"/>
                <w:lang w:val="en-US" w:eastAsia="zh-CN" w:bidi="ar"/>
              </w:rPr>
              <w:t>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196" w:type="dxa"/>
            <w:shd w:val="clear" w:color="auto" w:fill="auto"/>
            <w:vAlign w:val="center"/>
          </w:tcPr>
          <w:p w14:paraId="1A9CC8F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1.83×10</w:t>
            </w:r>
            <w:r>
              <w:rPr>
                <w:rFonts w:ascii="Times New Roman" w:hAnsi="Times New Roman" w:eastAsia="宋体" w:cs="Times New Roman"/>
                <w:caps w:val="0"/>
                <w:smallCaps w:val="0"/>
                <w:color w:val="auto"/>
                <w:spacing w:val="0"/>
                <w:sz w:val="21"/>
                <w:highlight w:val="none"/>
                <w:vertAlign w:val="superscript"/>
              </w:rPr>
              <w:t>-10</w:t>
            </w:r>
          </w:p>
        </w:tc>
        <w:tc>
          <w:tcPr>
            <w:tcW w:w="1105" w:type="dxa"/>
            <w:shd w:val="clear" w:color="auto" w:fill="auto"/>
            <w:vAlign w:val="center"/>
          </w:tcPr>
          <w:p w14:paraId="02BD0AA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1.83×10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026" w:type="dxa"/>
            <w:shd w:val="clear" w:color="auto" w:fill="auto"/>
            <w:vAlign w:val="center"/>
          </w:tcPr>
          <w:p w14:paraId="0B94F85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8.99</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-7</w:t>
            </w:r>
          </w:p>
        </w:tc>
        <w:tc>
          <w:tcPr>
            <w:tcW w:w="1094" w:type="dxa"/>
            <w:shd w:val="clear" w:color="auto" w:fill="auto"/>
            <w:vAlign w:val="center"/>
          </w:tcPr>
          <w:p w14:paraId="1C99279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4.50</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-7</w:t>
            </w:r>
          </w:p>
        </w:tc>
        <w:tc>
          <w:tcPr>
            <w:tcW w:w="1038" w:type="dxa"/>
            <w:shd w:val="clear" w:color="auto" w:fill="auto"/>
            <w:vAlign w:val="center"/>
          </w:tcPr>
          <w:p w14:paraId="23ED8125">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4.99×10</w:t>
            </w:r>
            <w:r>
              <w:rPr>
                <w:rFonts w:ascii="Times New Roman" w:hAnsi="Times New Roman" w:eastAsia="宋体" w:cs="Times New Roman"/>
                <w:caps w:val="0"/>
                <w:smallCaps w:val="0"/>
                <w:color w:val="auto"/>
                <w:spacing w:val="0"/>
                <w:sz w:val="21"/>
                <w:highlight w:val="none"/>
                <w:vertAlign w:val="superscript"/>
              </w:rPr>
              <w:t>-7</w:t>
            </w:r>
          </w:p>
        </w:tc>
        <w:tc>
          <w:tcPr>
            <w:tcW w:w="1035" w:type="dxa"/>
            <w:shd w:val="clear" w:color="auto" w:fill="auto"/>
            <w:vAlign w:val="center"/>
          </w:tcPr>
          <w:p w14:paraId="65BEFAF6">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2.50×10</w:t>
            </w:r>
            <w:r>
              <w:rPr>
                <w:rFonts w:ascii="Times New Roman" w:hAnsi="Times New Roman" w:eastAsia="宋体" w:cs="Times New Roman"/>
                <w:caps w:val="0"/>
                <w:smallCaps w:val="0"/>
                <w:color w:val="auto"/>
                <w:spacing w:val="0"/>
                <w:kern w:val="0"/>
                <w:sz w:val="21"/>
                <w:highlight w:val="none"/>
                <w:vertAlign w:val="superscript"/>
                <w:lang w:bidi="ar"/>
              </w:rPr>
              <w:t>-7</w:t>
            </w:r>
          </w:p>
        </w:tc>
      </w:tr>
      <w:tr w14:paraId="4793F29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35" w:hRule="atLeast"/>
          <w:jc w:val="center"/>
        </w:trPr>
        <w:tc>
          <w:tcPr>
            <w:tcW w:w="1125" w:type="dxa"/>
            <w:shd w:val="clear" w:color="auto" w:fill="auto"/>
            <w:vAlign w:val="center"/>
          </w:tcPr>
          <w:p w14:paraId="75A7A3E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w:t>
            </w:r>
          </w:p>
        </w:tc>
        <w:tc>
          <w:tcPr>
            <w:tcW w:w="1031" w:type="dxa"/>
            <w:shd w:val="clear" w:color="auto" w:fill="auto"/>
            <w:vAlign w:val="center"/>
          </w:tcPr>
          <w:p w14:paraId="782B923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4.43×10</w:t>
            </w:r>
            <w:r>
              <w:rPr>
                <w:rFonts w:ascii="Times New Roman" w:hAnsi="Times New Roman" w:cs="Times New Roman"/>
                <w:caps w:val="0"/>
                <w:smallCaps w:val="0"/>
                <w:color w:val="auto"/>
                <w:spacing w:val="0"/>
                <w:sz w:val="21"/>
                <w:highlight w:val="none"/>
                <w:vertAlign w:val="superscript"/>
              </w:rPr>
              <w:t>-7</w:t>
            </w:r>
          </w:p>
        </w:tc>
        <w:tc>
          <w:tcPr>
            <w:tcW w:w="1082" w:type="dxa"/>
            <w:shd w:val="clear" w:color="auto" w:fill="auto"/>
            <w:vAlign w:val="center"/>
          </w:tcPr>
          <w:p w14:paraId="621FC77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2.2</w:t>
            </w:r>
            <w:r>
              <w:rPr>
                <w:rFonts w:hint="eastAsia" w:ascii="Times New Roman" w:hAnsi="Times New Roman" w:eastAsia="宋体" w:cs="Times New Roman"/>
                <w:caps w:val="0"/>
                <w:smallCaps w:val="0"/>
                <w:color w:val="auto"/>
                <w:spacing w:val="0"/>
                <w:kern w:val="0"/>
                <w:sz w:val="21"/>
                <w:highlight w:val="none"/>
                <w:lang w:val="en-US" w:eastAsia="zh-CN" w:bidi="ar"/>
              </w:rPr>
              <w:t>2</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-7</w:t>
            </w:r>
          </w:p>
        </w:tc>
        <w:tc>
          <w:tcPr>
            <w:tcW w:w="1083" w:type="dxa"/>
            <w:shd w:val="clear" w:color="auto" w:fill="auto"/>
            <w:vAlign w:val="center"/>
          </w:tcPr>
          <w:p w14:paraId="5A7B713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1.72×10</w:t>
            </w:r>
            <w:r>
              <w:rPr>
                <w:rFonts w:ascii="Times New Roman" w:hAnsi="Times New Roman" w:cs="Times New Roman"/>
                <w:caps w:val="0"/>
                <w:smallCaps w:val="0"/>
                <w:color w:val="auto"/>
                <w:spacing w:val="0"/>
                <w:sz w:val="21"/>
                <w:highlight w:val="none"/>
                <w:vertAlign w:val="superscript"/>
              </w:rPr>
              <w:t>-8</w:t>
            </w:r>
          </w:p>
        </w:tc>
        <w:tc>
          <w:tcPr>
            <w:tcW w:w="1105" w:type="dxa"/>
            <w:shd w:val="clear" w:color="auto" w:fill="auto"/>
            <w:vAlign w:val="center"/>
          </w:tcPr>
          <w:p w14:paraId="59E4F16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1.</w:t>
            </w:r>
            <w:r>
              <w:rPr>
                <w:rFonts w:ascii="Times New Roman" w:hAnsi="Times New Roman" w:eastAsia="宋体" w:cs="Times New Roman"/>
                <w:caps w:val="0"/>
                <w:smallCaps w:val="0"/>
                <w:color w:val="auto"/>
                <w:spacing w:val="0"/>
                <w:kern w:val="0"/>
                <w:sz w:val="21"/>
                <w:highlight w:val="none"/>
                <w:lang w:bidi="ar"/>
              </w:rPr>
              <w:t>72</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-7</w:t>
            </w:r>
          </w:p>
        </w:tc>
        <w:tc>
          <w:tcPr>
            <w:tcW w:w="1171" w:type="dxa"/>
            <w:shd w:val="clear" w:color="auto" w:fill="auto"/>
            <w:vAlign w:val="center"/>
          </w:tcPr>
          <w:p w14:paraId="1BBB52D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1.09×10</w:t>
            </w:r>
            <w:r>
              <w:rPr>
                <w:rFonts w:ascii="Times New Roman" w:hAnsi="Times New Roman" w:eastAsia="宋体" w:cs="Times New Roman"/>
                <w:caps w:val="0"/>
                <w:smallCaps w:val="0"/>
                <w:color w:val="auto"/>
                <w:spacing w:val="0"/>
                <w:sz w:val="21"/>
                <w:highlight w:val="none"/>
                <w:vertAlign w:val="superscript"/>
              </w:rPr>
              <w:t>-9</w:t>
            </w:r>
          </w:p>
        </w:tc>
        <w:tc>
          <w:tcPr>
            <w:tcW w:w="1127" w:type="dxa"/>
            <w:shd w:val="clear" w:color="auto" w:fill="auto"/>
            <w:vAlign w:val="center"/>
          </w:tcPr>
          <w:p w14:paraId="00FDCDB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5.45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-10</w:t>
            </w:r>
          </w:p>
        </w:tc>
        <w:tc>
          <w:tcPr>
            <w:tcW w:w="1196" w:type="dxa"/>
            <w:shd w:val="clear" w:color="auto" w:fill="auto"/>
            <w:vAlign w:val="center"/>
          </w:tcPr>
          <w:p w14:paraId="7FAE446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4.26×10</w:t>
            </w:r>
            <w:r>
              <w:rPr>
                <w:rFonts w:ascii="Times New Roman" w:hAnsi="Times New Roman" w:eastAsia="宋体" w:cs="Times New Roman"/>
                <w:caps w:val="0"/>
                <w:smallCaps w:val="0"/>
                <w:color w:val="auto"/>
                <w:spacing w:val="0"/>
                <w:sz w:val="21"/>
                <w:highlight w:val="none"/>
                <w:vertAlign w:val="superscript"/>
              </w:rPr>
              <w:t>-11</w:t>
            </w:r>
          </w:p>
        </w:tc>
        <w:tc>
          <w:tcPr>
            <w:tcW w:w="1105" w:type="dxa"/>
            <w:shd w:val="clear" w:color="auto" w:fill="auto"/>
            <w:vAlign w:val="center"/>
          </w:tcPr>
          <w:p w14:paraId="214C167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4.26×10</w:t>
            </w:r>
            <w:r>
              <w:rPr>
                <w:rFonts w:ascii="Times New Roman" w:hAnsi="Times New Roman" w:eastAsia="宋体" w:cs="Times New Roman"/>
                <w:caps w:val="0"/>
                <w:smallCaps w:val="0"/>
                <w:color w:val="auto"/>
                <w:spacing w:val="0"/>
                <w:kern w:val="0"/>
                <w:sz w:val="21"/>
                <w:highlight w:val="none"/>
                <w:vertAlign w:val="superscript"/>
                <w:lang w:bidi="ar"/>
              </w:rPr>
              <w:t>-10</w:t>
            </w:r>
          </w:p>
        </w:tc>
        <w:tc>
          <w:tcPr>
            <w:tcW w:w="1026" w:type="dxa"/>
            <w:shd w:val="clear" w:color="auto" w:fill="auto"/>
            <w:vAlign w:val="center"/>
          </w:tcPr>
          <w:p w14:paraId="7B1F0B4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1.91</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-7</w:t>
            </w:r>
          </w:p>
        </w:tc>
        <w:tc>
          <w:tcPr>
            <w:tcW w:w="1094" w:type="dxa"/>
            <w:shd w:val="clear" w:color="auto" w:fill="auto"/>
            <w:vAlign w:val="center"/>
          </w:tcPr>
          <w:p w14:paraId="53614FE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9.55</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eastAsia="宋体" w:cs="Times New Roman"/>
                <w:caps w:val="0"/>
                <w:smallCaps w:val="0"/>
                <w:color w:val="auto"/>
                <w:spacing w:val="0"/>
                <w:kern w:val="0"/>
                <w:sz w:val="22"/>
                <w:szCs w:val="22"/>
                <w:highlight w:val="none"/>
                <w:vertAlign w:val="superscript"/>
                <w:lang w:bidi="ar"/>
              </w:rPr>
              <w:t>-8</w:t>
            </w:r>
          </w:p>
        </w:tc>
        <w:tc>
          <w:tcPr>
            <w:tcW w:w="1038" w:type="dxa"/>
            <w:shd w:val="clear" w:color="auto" w:fill="auto"/>
            <w:vAlign w:val="center"/>
          </w:tcPr>
          <w:p w14:paraId="07969E3B">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1.16×10</w:t>
            </w:r>
            <w:r>
              <w:rPr>
                <w:rFonts w:ascii="Times New Roman" w:hAnsi="Times New Roman" w:eastAsia="宋体" w:cs="Times New Roman"/>
                <w:caps w:val="0"/>
                <w:smallCaps w:val="0"/>
                <w:color w:val="auto"/>
                <w:spacing w:val="0"/>
                <w:sz w:val="21"/>
                <w:highlight w:val="none"/>
                <w:vertAlign w:val="superscript"/>
              </w:rPr>
              <w:t>-7</w:t>
            </w:r>
          </w:p>
        </w:tc>
        <w:tc>
          <w:tcPr>
            <w:tcW w:w="1035" w:type="dxa"/>
            <w:shd w:val="clear" w:color="auto" w:fill="auto"/>
            <w:vAlign w:val="center"/>
          </w:tcPr>
          <w:p w14:paraId="5113924B">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5.80×10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2A36620B">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53B37EA1">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5000</w:t>
            </w:r>
          </w:p>
        </w:tc>
        <w:tc>
          <w:tcPr>
            <w:tcW w:w="1031" w:type="dxa"/>
            <w:shd w:val="clear" w:color="auto" w:fill="auto"/>
            <w:vAlign w:val="center"/>
          </w:tcPr>
          <w:p w14:paraId="4E3097B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1.63×10</w:t>
            </w:r>
            <w:r>
              <w:rPr>
                <w:rFonts w:ascii="Times New Roman" w:hAnsi="Times New Roman" w:cs="Times New Roman"/>
                <w:caps w:val="0"/>
                <w:smallCaps w:val="0"/>
                <w:color w:val="auto"/>
                <w:spacing w:val="0"/>
                <w:sz w:val="21"/>
                <w:highlight w:val="none"/>
                <w:vertAlign w:val="superscript"/>
              </w:rPr>
              <w:t>-7</w:t>
            </w:r>
          </w:p>
        </w:tc>
        <w:tc>
          <w:tcPr>
            <w:tcW w:w="1082" w:type="dxa"/>
            <w:shd w:val="clear" w:color="auto" w:fill="auto"/>
            <w:vAlign w:val="center"/>
          </w:tcPr>
          <w:p w14:paraId="3266D40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8.15</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83" w:type="dxa"/>
            <w:shd w:val="clear" w:color="auto" w:fill="auto"/>
            <w:vAlign w:val="center"/>
          </w:tcPr>
          <w:p w14:paraId="767A759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6.31×10-</w:t>
            </w:r>
            <w:r>
              <w:rPr>
                <w:rFonts w:ascii="Times New Roman" w:hAnsi="Times New Roman" w:cs="Times New Roman"/>
                <w:caps w:val="0"/>
                <w:smallCaps w:val="0"/>
                <w:color w:val="auto"/>
                <w:spacing w:val="0"/>
                <w:sz w:val="21"/>
                <w:highlight w:val="none"/>
                <w:vertAlign w:val="superscript"/>
              </w:rPr>
              <w:t>9</w:t>
            </w:r>
          </w:p>
        </w:tc>
        <w:tc>
          <w:tcPr>
            <w:tcW w:w="1105" w:type="dxa"/>
            <w:shd w:val="clear" w:color="auto" w:fill="auto"/>
            <w:vAlign w:val="center"/>
          </w:tcPr>
          <w:p w14:paraId="05A6404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6.31</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171" w:type="dxa"/>
            <w:shd w:val="clear" w:color="auto" w:fill="auto"/>
            <w:vAlign w:val="center"/>
          </w:tcPr>
          <w:p w14:paraId="2324DB7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3.80×10</w:t>
            </w:r>
            <w:r>
              <w:rPr>
                <w:rFonts w:ascii="Times New Roman" w:hAnsi="Times New Roman" w:eastAsia="宋体" w:cs="Times New Roman"/>
                <w:caps w:val="0"/>
                <w:smallCaps w:val="0"/>
                <w:color w:val="auto"/>
                <w:spacing w:val="0"/>
                <w:sz w:val="21"/>
                <w:highlight w:val="none"/>
                <w:vertAlign w:val="superscript"/>
              </w:rPr>
              <w:t>-10</w:t>
            </w:r>
          </w:p>
        </w:tc>
        <w:tc>
          <w:tcPr>
            <w:tcW w:w="1127" w:type="dxa"/>
            <w:shd w:val="clear" w:color="auto" w:fill="auto"/>
            <w:vAlign w:val="center"/>
          </w:tcPr>
          <w:p w14:paraId="6AC38F3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-10</w:t>
            </w:r>
          </w:p>
        </w:tc>
        <w:tc>
          <w:tcPr>
            <w:tcW w:w="1196" w:type="dxa"/>
            <w:shd w:val="clear" w:color="auto" w:fill="auto"/>
            <w:vAlign w:val="center"/>
          </w:tcPr>
          <w:p w14:paraId="7D36C18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1.48×10</w:t>
            </w:r>
            <w:r>
              <w:rPr>
                <w:rFonts w:ascii="Times New Roman" w:hAnsi="Times New Roman" w:eastAsia="宋体" w:cs="Times New Roman"/>
                <w:caps w:val="0"/>
                <w:smallCaps w:val="0"/>
                <w:color w:val="auto"/>
                <w:spacing w:val="0"/>
                <w:sz w:val="21"/>
                <w:highlight w:val="none"/>
                <w:vertAlign w:val="superscript"/>
              </w:rPr>
              <w:t>-11</w:t>
            </w:r>
          </w:p>
        </w:tc>
        <w:tc>
          <w:tcPr>
            <w:tcW w:w="1105" w:type="dxa"/>
            <w:shd w:val="clear" w:color="auto" w:fill="auto"/>
            <w:vAlign w:val="center"/>
          </w:tcPr>
          <w:p w14:paraId="2B161E8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1.48×10</w:t>
            </w:r>
            <w:r>
              <w:rPr>
                <w:rFonts w:ascii="Times New Roman" w:hAnsi="Times New Roman" w:eastAsia="宋体" w:cs="Times New Roman"/>
                <w:caps w:val="0"/>
                <w:smallCaps w:val="0"/>
                <w:color w:val="auto"/>
                <w:spacing w:val="0"/>
                <w:kern w:val="0"/>
                <w:sz w:val="21"/>
                <w:highlight w:val="none"/>
                <w:vertAlign w:val="superscript"/>
                <w:lang w:bidi="ar"/>
              </w:rPr>
              <w:t>-10</w:t>
            </w:r>
          </w:p>
        </w:tc>
        <w:tc>
          <w:tcPr>
            <w:tcW w:w="1026" w:type="dxa"/>
            <w:shd w:val="clear" w:color="auto" w:fill="auto"/>
            <w:vAlign w:val="center"/>
          </w:tcPr>
          <w:p w14:paraId="0817BE30">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7.01</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94" w:type="dxa"/>
            <w:shd w:val="clear" w:color="auto" w:fill="auto"/>
            <w:vAlign w:val="center"/>
          </w:tcPr>
          <w:p w14:paraId="609B97A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3.51</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38" w:type="dxa"/>
            <w:shd w:val="clear" w:color="auto" w:fill="auto"/>
            <w:vAlign w:val="center"/>
          </w:tcPr>
          <w:p w14:paraId="5D8E47C6">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4.04×10</w:t>
            </w:r>
            <w:r>
              <w:rPr>
                <w:rFonts w:ascii="Times New Roman" w:hAnsi="Times New Roman" w:eastAsia="宋体" w:cs="Times New Roman"/>
                <w:caps w:val="0"/>
                <w:smallCaps w:val="0"/>
                <w:color w:val="auto"/>
                <w:spacing w:val="0"/>
                <w:sz w:val="21"/>
                <w:highlight w:val="none"/>
                <w:vertAlign w:val="superscript"/>
              </w:rPr>
              <w:t>-8</w:t>
            </w:r>
          </w:p>
        </w:tc>
        <w:tc>
          <w:tcPr>
            <w:tcW w:w="1035" w:type="dxa"/>
            <w:shd w:val="clear" w:color="auto" w:fill="auto"/>
            <w:vAlign w:val="center"/>
          </w:tcPr>
          <w:p w14:paraId="6A5F0539">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2.02×10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651E1259">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11E00DF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10000</w:t>
            </w:r>
          </w:p>
        </w:tc>
        <w:tc>
          <w:tcPr>
            <w:tcW w:w="1031" w:type="dxa"/>
            <w:shd w:val="clear" w:color="auto" w:fill="auto"/>
            <w:vAlign w:val="center"/>
          </w:tcPr>
          <w:p w14:paraId="3419B58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8.95×10</w:t>
            </w:r>
            <w:r>
              <w:rPr>
                <w:rFonts w:ascii="Times New Roman" w:hAnsi="Times New Roman" w:cs="Times New Roman"/>
                <w:caps w:val="0"/>
                <w:smallCaps w:val="0"/>
                <w:color w:val="auto"/>
                <w:spacing w:val="0"/>
                <w:sz w:val="21"/>
                <w:highlight w:val="none"/>
                <w:vertAlign w:val="superscript"/>
              </w:rPr>
              <w:t>-8</w:t>
            </w:r>
          </w:p>
        </w:tc>
        <w:tc>
          <w:tcPr>
            <w:tcW w:w="1082" w:type="dxa"/>
            <w:shd w:val="clear" w:color="auto" w:fill="auto"/>
            <w:vAlign w:val="center"/>
          </w:tcPr>
          <w:p w14:paraId="46DAFDB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4.4</w:t>
            </w:r>
            <w:r>
              <w:rPr>
                <w:rFonts w:hint="eastAsia" w:ascii="Times New Roman" w:hAnsi="Times New Roman" w:eastAsia="宋体" w:cs="Times New Roman"/>
                <w:caps w:val="0"/>
                <w:smallCaps w:val="0"/>
                <w:color w:val="auto"/>
                <w:spacing w:val="0"/>
                <w:kern w:val="0"/>
                <w:sz w:val="21"/>
                <w:highlight w:val="none"/>
                <w:lang w:val="en-US" w:eastAsia="zh-CN" w:bidi="ar"/>
              </w:rPr>
              <w:t>8</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83" w:type="dxa"/>
            <w:shd w:val="clear" w:color="auto" w:fill="auto"/>
            <w:vAlign w:val="center"/>
          </w:tcPr>
          <w:p w14:paraId="0E95F75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3.47×10-</w:t>
            </w:r>
            <w:r>
              <w:rPr>
                <w:rFonts w:ascii="Times New Roman" w:hAnsi="Times New Roman" w:cs="Times New Roman"/>
                <w:caps w:val="0"/>
                <w:smallCaps w:val="0"/>
                <w:color w:val="auto"/>
                <w:spacing w:val="0"/>
                <w:sz w:val="21"/>
                <w:highlight w:val="none"/>
                <w:vertAlign w:val="superscript"/>
              </w:rPr>
              <w:t>9</w:t>
            </w:r>
          </w:p>
        </w:tc>
        <w:tc>
          <w:tcPr>
            <w:tcW w:w="1105" w:type="dxa"/>
            <w:shd w:val="clear" w:color="auto" w:fill="auto"/>
            <w:vAlign w:val="center"/>
          </w:tcPr>
          <w:p w14:paraId="0D324B6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3.47</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171" w:type="dxa"/>
            <w:shd w:val="clear" w:color="auto" w:fill="auto"/>
            <w:vAlign w:val="center"/>
          </w:tcPr>
          <w:p w14:paraId="019F8A7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1.43×10</w:t>
            </w:r>
            <w:r>
              <w:rPr>
                <w:rFonts w:ascii="Times New Roman" w:hAnsi="Times New Roman" w:eastAsia="宋体" w:cs="Times New Roman"/>
                <w:caps w:val="0"/>
                <w:smallCaps w:val="0"/>
                <w:color w:val="auto"/>
                <w:spacing w:val="0"/>
                <w:sz w:val="21"/>
                <w:highlight w:val="none"/>
                <w:vertAlign w:val="superscript"/>
              </w:rPr>
              <w:t>-10</w:t>
            </w:r>
          </w:p>
        </w:tc>
        <w:tc>
          <w:tcPr>
            <w:tcW w:w="1127" w:type="dxa"/>
            <w:shd w:val="clear" w:color="auto" w:fill="auto"/>
            <w:vAlign w:val="center"/>
          </w:tcPr>
          <w:p w14:paraId="2E6473A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7.15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196" w:type="dxa"/>
            <w:shd w:val="clear" w:color="auto" w:fill="auto"/>
            <w:vAlign w:val="center"/>
          </w:tcPr>
          <w:p w14:paraId="453F775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5.56×10</w:t>
            </w:r>
            <w:r>
              <w:rPr>
                <w:rFonts w:ascii="Times New Roman" w:hAnsi="Times New Roman" w:eastAsia="宋体" w:cs="Times New Roman"/>
                <w:caps w:val="0"/>
                <w:smallCaps w:val="0"/>
                <w:color w:val="auto"/>
                <w:spacing w:val="0"/>
                <w:sz w:val="21"/>
                <w:highlight w:val="none"/>
                <w:vertAlign w:val="superscript"/>
              </w:rPr>
              <w:t>-12</w:t>
            </w:r>
          </w:p>
        </w:tc>
        <w:tc>
          <w:tcPr>
            <w:tcW w:w="1105" w:type="dxa"/>
            <w:shd w:val="clear" w:color="auto" w:fill="auto"/>
            <w:vAlign w:val="center"/>
          </w:tcPr>
          <w:p w14:paraId="17AC0E8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5.56×10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026" w:type="dxa"/>
            <w:shd w:val="clear" w:color="auto" w:fill="auto"/>
            <w:vAlign w:val="center"/>
          </w:tcPr>
          <w:p w14:paraId="041CBFF7">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3.85</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94" w:type="dxa"/>
            <w:shd w:val="clear" w:color="auto" w:fill="auto"/>
            <w:vAlign w:val="center"/>
          </w:tcPr>
          <w:p w14:paraId="1F8B9CD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1.93</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38" w:type="dxa"/>
            <w:shd w:val="clear" w:color="auto" w:fill="auto"/>
            <w:vAlign w:val="center"/>
          </w:tcPr>
          <w:p w14:paraId="387B386A">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1.55×10</w:t>
            </w:r>
            <w:r>
              <w:rPr>
                <w:rFonts w:ascii="Times New Roman" w:hAnsi="Times New Roman" w:eastAsia="宋体" w:cs="Times New Roman"/>
                <w:caps w:val="0"/>
                <w:smallCaps w:val="0"/>
                <w:color w:val="auto"/>
                <w:spacing w:val="0"/>
                <w:sz w:val="21"/>
                <w:highlight w:val="none"/>
                <w:vertAlign w:val="superscript"/>
              </w:rPr>
              <w:t>-8</w:t>
            </w:r>
          </w:p>
        </w:tc>
        <w:tc>
          <w:tcPr>
            <w:tcW w:w="1035" w:type="dxa"/>
            <w:shd w:val="clear" w:color="auto" w:fill="auto"/>
            <w:vAlign w:val="center"/>
          </w:tcPr>
          <w:p w14:paraId="127FC546">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7.75×10</w:t>
            </w:r>
            <w:r>
              <w:rPr>
                <w:rFonts w:ascii="Times New Roman" w:hAnsi="Times New Roman" w:eastAsia="宋体" w:cs="Times New Roman"/>
                <w:caps w:val="0"/>
                <w:smallCaps w:val="0"/>
                <w:color w:val="auto"/>
                <w:spacing w:val="0"/>
                <w:kern w:val="0"/>
                <w:sz w:val="21"/>
                <w:highlight w:val="none"/>
                <w:vertAlign w:val="superscript"/>
                <w:lang w:bidi="ar"/>
              </w:rPr>
              <w:t>-9</w:t>
            </w:r>
          </w:p>
        </w:tc>
      </w:tr>
      <w:tr w14:paraId="13A5C04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5C44C81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15000</w:t>
            </w:r>
          </w:p>
        </w:tc>
        <w:tc>
          <w:tcPr>
            <w:tcW w:w="1031" w:type="dxa"/>
            <w:shd w:val="clear" w:color="auto" w:fill="auto"/>
            <w:vAlign w:val="center"/>
          </w:tcPr>
          <w:p w14:paraId="2E0DE08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6.74×10</w:t>
            </w:r>
            <w:r>
              <w:rPr>
                <w:rFonts w:ascii="Times New Roman" w:hAnsi="Times New Roman" w:cs="Times New Roman"/>
                <w:caps w:val="0"/>
                <w:smallCaps w:val="0"/>
                <w:color w:val="auto"/>
                <w:spacing w:val="0"/>
                <w:sz w:val="21"/>
                <w:highlight w:val="none"/>
                <w:vertAlign w:val="superscript"/>
              </w:rPr>
              <w:t>-8</w:t>
            </w:r>
          </w:p>
        </w:tc>
        <w:tc>
          <w:tcPr>
            <w:tcW w:w="1082" w:type="dxa"/>
            <w:shd w:val="clear" w:color="auto" w:fill="auto"/>
            <w:vAlign w:val="center"/>
          </w:tcPr>
          <w:p w14:paraId="4E629CC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3.37</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83" w:type="dxa"/>
            <w:shd w:val="clear" w:color="auto" w:fill="auto"/>
            <w:vAlign w:val="center"/>
          </w:tcPr>
          <w:p w14:paraId="0240C5A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2.61×10-</w:t>
            </w:r>
            <w:r>
              <w:rPr>
                <w:rFonts w:ascii="Times New Roman" w:hAnsi="Times New Roman" w:cs="Times New Roman"/>
                <w:caps w:val="0"/>
                <w:smallCaps w:val="0"/>
                <w:color w:val="auto"/>
                <w:spacing w:val="0"/>
                <w:sz w:val="21"/>
                <w:highlight w:val="none"/>
                <w:vertAlign w:val="superscript"/>
              </w:rPr>
              <w:t>9</w:t>
            </w:r>
          </w:p>
        </w:tc>
        <w:tc>
          <w:tcPr>
            <w:tcW w:w="1105" w:type="dxa"/>
            <w:shd w:val="clear" w:color="auto" w:fill="auto"/>
            <w:vAlign w:val="center"/>
          </w:tcPr>
          <w:p w14:paraId="0030CAA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2.61</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171" w:type="dxa"/>
            <w:shd w:val="clear" w:color="auto" w:fill="auto"/>
            <w:vAlign w:val="center"/>
          </w:tcPr>
          <w:p w14:paraId="1C7FFFA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1.04×10</w:t>
            </w:r>
            <w:r>
              <w:rPr>
                <w:rFonts w:ascii="Times New Roman" w:hAnsi="Times New Roman" w:eastAsia="宋体" w:cs="Times New Roman"/>
                <w:caps w:val="0"/>
                <w:smallCaps w:val="0"/>
                <w:color w:val="auto"/>
                <w:spacing w:val="0"/>
                <w:sz w:val="21"/>
                <w:highlight w:val="none"/>
                <w:vertAlign w:val="superscript"/>
              </w:rPr>
              <w:t>-10</w:t>
            </w:r>
          </w:p>
        </w:tc>
        <w:tc>
          <w:tcPr>
            <w:tcW w:w="1127" w:type="dxa"/>
            <w:shd w:val="clear" w:color="auto" w:fill="auto"/>
            <w:vAlign w:val="center"/>
          </w:tcPr>
          <w:p w14:paraId="7412DB0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196" w:type="dxa"/>
            <w:shd w:val="clear" w:color="auto" w:fill="auto"/>
            <w:vAlign w:val="center"/>
          </w:tcPr>
          <w:p w14:paraId="67A64F4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4.06×10</w:t>
            </w:r>
            <w:r>
              <w:rPr>
                <w:rFonts w:ascii="Times New Roman" w:hAnsi="Times New Roman" w:eastAsia="宋体" w:cs="Times New Roman"/>
                <w:caps w:val="0"/>
                <w:smallCaps w:val="0"/>
                <w:color w:val="auto"/>
                <w:spacing w:val="0"/>
                <w:sz w:val="21"/>
                <w:highlight w:val="none"/>
                <w:vertAlign w:val="superscript"/>
              </w:rPr>
              <w:t>-12</w:t>
            </w:r>
          </w:p>
        </w:tc>
        <w:tc>
          <w:tcPr>
            <w:tcW w:w="1105" w:type="dxa"/>
            <w:shd w:val="clear" w:color="auto" w:fill="auto"/>
            <w:vAlign w:val="center"/>
          </w:tcPr>
          <w:p w14:paraId="68A6E8E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4.06×10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026" w:type="dxa"/>
            <w:shd w:val="clear" w:color="auto" w:fill="auto"/>
            <w:vAlign w:val="center"/>
          </w:tcPr>
          <w:p w14:paraId="3F5686A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2.90</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94" w:type="dxa"/>
            <w:shd w:val="clear" w:color="auto" w:fill="auto"/>
            <w:vAlign w:val="center"/>
          </w:tcPr>
          <w:p w14:paraId="57288FC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1.45</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38" w:type="dxa"/>
            <w:shd w:val="clear" w:color="auto" w:fill="auto"/>
            <w:vAlign w:val="center"/>
          </w:tcPr>
          <w:p w14:paraId="471ECC4D">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1.13×10</w:t>
            </w:r>
            <w:r>
              <w:rPr>
                <w:rFonts w:ascii="Times New Roman" w:hAnsi="Times New Roman" w:eastAsia="宋体" w:cs="Times New Roman"/>
                <w:caps w:val="0"/>
                <w:smallCaps w:val="0"/>
                <w:color w:val="auto"/>
                <w:spacing w:val="0"/>
                <w:sz w:val="21"/>
                <w:highlight w:val="none"/>
                <w:vertAlign w:val="superscript"/>
              </w:rPr>
              <w:t>-8</w:t>
            </w:r>
          </w:p>
        </w:tc>
        <w:tc>
          <w:tcPr>
            <w:tcW w:w="1035" w:type="dxa"/>
            <w:shd w:val="clear" w:color="auto" w:fill="auto"/>
            <w:vAlign w:val="center"/>
          </w:tcPr>
          <w:p w14:paraId="2E508E76">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5.65×10</w:t>
            </w:r>
            <w:r>
              <w:rPr>
                <w:rFonts w:ascii="Times New Roman" w:hAnsi="Times New Roman" w:eastAsia="宋体" w:cs="Times New Roman"/>
                <w:caps w:val="0"/>
                <w:smallCaps w:val="0"/>
                <w:color w:val="auto"/>
                <w:spacing w:val="0"/>
                <w:kern w:val="0"/>
                <w:sz w:val="21"/>
                <w:highlight w:val="none"/>
                <w:vertAlign w:val="superscript"/>
                <w:lang w:bidi="ar"/>
              </w:rPr>
              <w:t>-9</w:t>
            </w:r>
          </w:p>
        </w:tc>
      </w:tr>
      <w:tr w14:paraId="56F7409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353EE56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20000</w:t>
            </w:r>
          </w:p>
        </w:tc>
        <w:tc>
          <w:tcPr>
            <w:tcW w:w="1031" w:type="dxa"/>
            <w:shd w:val="clear" w:color="auto" w:fill="auto"/>
            <w:vAlign w:val="center"/>
          </w:tcPr>
          <w:p w14:paraId="42F0D23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5.50×10</w:t>
            </w:r>
            <w:r>
              <w:rPr>
                <w:rFonts w:ascii="Times New Roman" w:hAnsi="Times New Roman" w:cs="Times New Roman"/>
                <w:caps w:val="0"/>
                <w:smallCaps w:val="0"/>
                <w:color w:val="auto"/>
                <w:spacing w:val="0"/>
                <w:sz w:val="21"/>
                <w:highlight w:val="none"/>
                <w:vertAlign w:val="superscript"/>
              </w:rPr>
              <w:t>-8</w:t>
            </w:r>
          </w:p>
        </w:tc>
        <w:tc>
          <w:tcPr>
            <w:tcW w:w="1082" w:type="dxa"/>
            <w:shd w:val="clear" w:color="auto" w:fill="auto"/>
            <w:vAlign w:val="center"/>
          </w:tcPr>
          <w:p w14:paraId="381FB51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2.75</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83" w:type="dxa"/>
            <w:shd w:val="clear" w:color="auto" w:fill="auto"/>
            <w:vAlign w:val="center"/>
          </w:tcPr>
          <w:p w14:paraId="5EC37CD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2.13×10-</w:t>
            </w:r>
            <w:r>
              <w:rPr>
                <w:rFonts w:ascii="Times New Roman" w:hAnsi="Times New Roman" w:cs="Times New Roman"/>
                <w:caps w:val="0"/>
                <w:smallCaps w:val="0"/>
                <w:color w:val="auto"/>
                <w:spacing w:val="0"/>
                <w:sz w:val="21"/>
                <w:highlight w:val="none"/>
                <w:vertAlign w:val="superscript"/>
              </w:rPr>
              <w:t>9</w:t>
            </w:r>
          </w:p>
        </w:tc>
        <w:tc>
          <w:tcPr>
            <w:tcW w:w="1105" w:type="dxa"/>
            <w:shd w:val="clear" w:color="auto" w:fill="auto"/>
            <w:vAlign w:val="center"/>
          </w:tcPr>
          <w:p w14:paraId="4295113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2.13</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171" w:type="dxa"/>
            <w:shd w:val="clear" w:color="auto" w:fill="auto"/>
            <w:vAlign w:val="center"/>
          </w:tcPr>
          <w:p w14:paraId="30CF661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8.36×10</w:t>
            </w:r>
            <w:r>
              <w:rPr>
                <w:rFonts w:ascii="Times New Roman" w:hAnsi="Times New Roman" w:eastAsia="宋体" w:cs="Times New Roman"/>
                <w:caps w:val="0"/>
                <w:smallCaps w:val="0"/>
                <w:color w:val="auto"/>
                <w:spacing w:val="0"/>
                <w:sz w:val="21"/>
                <w:highlight w:val="none"/>
                <w:vertAlign w:val="superscript"/>
              </w:rPr>
              <w:t>-11</w:t>
            </w:r>
          </w:p>
        </w:tc>
        <w:tc>
          <w:tcPr>
            <w:tcW w:w="1127" w:type="dxa"/>
            <w:shd w:val="clear" w:color="auto" w:fill="auto"/>
            <w:vAlign w:val="center"/>
          </w:tcPr>
          <w:p w14:paraId="610A1D00">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4.18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196" w:type="dxa"/>
            <w:shd w:val="clear" w:color="auto" w:fill="auto"/>
            <w:vAlign w:val="center"/>
          </w:tcPr>
          <w:p w14:paraId="758361E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3.25×10</w:t>
            </w:r>
            <w:r>
              <w:rPr>
                <w:rFonts w:ascii="Times New Roman" w:hAnsi="Times New Roman" w:eastAsia="宋体" w:cs="Times New Roman"/>
                <w:caps w:val="0"/>
                <w:smallCaps w:val="0"/>
                <w:color w:val="auto"/>
                <w:spacing w:val="0"/>
                <w:sz w:val="21"/>
                <w:highlight w:val="none"/>
                <w:vertAlign w:val="superscript"/>
              </w:rPr>
              <w:t>-12</w:t>
            </w:r>
          </w:p>
        </w:tc>
        <w:tc>
          <w:tcPr>
            <w:tcW w:w="1105" w:type="dxa"/>
            <w:shd w:val="clear" w:color="auto" w:fill="auto"/>
            <w:vAlign w:val="center"/>
          </w:tcPr>
          <w:p w14:paraId="4301A92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3.25×10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026" w:type="dxa"/>
            <w:shd w:val="clear" w:color="auto" w:fill="auto"/>
            <w:vAlign w:val="center"/>
          </w:tcPr>
          <w:p w14:paraId="4BCBBB2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2.37</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94" w:type="dxa"/>
            <w:shd w:val="clear" w:color="auto" w:fill="auto"/>
            <w:vAlign w:val="center"/>
          </w:tcPr>
          <w:p w14:paraId="4713EEF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1.19</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38" w:type="dxa"/>
            <w:shd w:val="clear" w:color="auto" w:fill="auto"/>
            <w:vAlign w:val="center"/>
          </w:tcPr>
          <w:p w14:paraId="3E2B1509">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8.99×10</w:t>
            </w:r>
            <w:r>
              <w:rPr>
                <w:rFonts w:ascii="Times New Roman" w:hAnsi="Times New Roman" w:eastAsia="宋体" w:cs="Times New Roman"/>
                <w:caps w:val="0"/>
                <w:smallCaps w:val="0"/>
                <w:color w:val="auto"/>
                <w:spacing w:val="0"/>
                <w:sz w:val="21"/>
                <w:highlight w:val="none"/>
                <w:vertAlign w:val="superscript"/>
              </w:rPr>
              <w:t>-9</w:t>
            </w:r>
          </w:p>
        </w:tc>
        <w:tc>
          <w:tcPr>
            <w:tcW w:w="1035" w:type="dxa"/>
            <w:shd w:val="clear" w:color="auto" w:fill="auto"/>
            <w:vAlign w:val="center"/>
          </w:tcPr>
          <w:p w14:paraId="68EA1633">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4.50×10</w:t>
            </w:r>
            <w:r>
              <w:rPr>
                <w:rFonts w:ascii="Times New Roman" w:hAnsi="Times New Roman" w:eastAsia="宋体" w:cs="Times New Roman"/>
                <w:caps w:val="0"/>
                <w:smallCaps w:val="0"/>
                <w:color w:val="auto"/>
                <w:spacing w:val="0"/>
                <w:kern w:val="0"/>
                <w:sz w:val="21"/>
                <w:highlight w:val="none"/>
                <w:vertAlign w:val="superscript"/>
                <w:lang w:bidi="ar"/>
              </w:rPr>
              <w:t>-9</w:t>
            </w:r>
          </w:p>
        </w:tc>
      </w:tr>
      <w:tr w14:paraId="2298FB6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4974266B">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25000</w:t>
            </w:r>
          </w:p>
        </w:tc>
        <w:tc>
          <w:tcPr>
            <w:tcW w:w="1031" w:type="dxa"/>
            <w:shd w:val="clear" w:color="auto" w:fill="auto"/>
            <w:vAlign w:val="center"/>
          </w:tcPr>
          <w:p w14:paraId="6F56377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4.70×10</w:t>
            </w:r>
            <w:r>
              <w:rPr>
                <w:rFonts w:ascii="Times New Roman" w:hAnsi="Times New Roman" w:cs="Times New Roman"/>
                <w:caps w:val="0"/>
                <w:smallCaps w:val="0"/>
                <w:color w:val="auto"/>
                <w:spacing w:val="0"/>
                <w:sz w:val="21"/>
                <w:highlight w:val="none"/>
                <w:vertAlign w:val="superscript"/>
              </w:rPr>
              <w:t>-8</w:t>
            </w:r>
          </w:p>
        </w:tc>
        <w:tc>
          <w:tcPr>
            <w:tcW w:w="1082" w:type="dxa"/>
            <w:shd w:val="clear" w:color="auto" w:fill="auto"/>
            <w:vAlign w:val="center"/>
          </w:tcPr>
          <w:p w14:paraId="1DE50EE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2.35</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83" w:type="dxa"/>
            <w:shd w:val="clear" w:color="auto" w:fill="auto"/>
            <w:vAlign w:val="center"/>
          </w:tcPr>
          <w:p w14:paraId="23C64AC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1.82×10-</w:t>
            </w:r>
            <w:r>
              <w:rPr>
                <w:rFonts w:ascii="Times New Roman" w:hAnsi="Times New Roman" w:cs="Times New Roman"/>
                <w:caps w:val="0"/>
                <w:smallCaps w:val="0"/>
                <w:color w:val="auto"/>
                <w:spacing w:val="0"/>
                <w:sz w:val="21"/>
                <w:highlight w:val="none"/>
                <w:vertAlign w:val="superscript"/>
              </w:rPr>
              <w:t>9</w:t>
            </w:r>
          </w:p>
        </w:tc>
        <w:tc>
          <w:tcPr>
            <w:tcW w:w="1105" w:type="dxa"/>
            <w:shd w:val="clear" w:color="auto" w:fill="auto"/>
            <w:vAlign w:val="center"/>
          </w:tcPr>
          <w:p w14:paraId="5AA5700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1.82</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171" w:type="dxa"/>
            <w:shd w:val="clear" w:color="auto" w:fill="auto"/>
            <w:vAlign w:val="center"/>
          </w:tcPr>
          <w:p w14:paraId="04CACBC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7.04×10</w:t>
            </w:r>
            <w:r>
              <w:rPr>
                <w:rFonts w:ascii="Times New Roman" w:hAnsi="Times New Roman" w:eastAsia="宋体" w:cs="Times New Roman"/>
                <w:caps w:val="0"/>
                <w:smallCaps w:val="0"/>
                <w:color w:val="auto"/>
                <w:spacing w:val="0"/>
                <w:sz w:val="21"/>
                <w:highlight w:val="none"/>
                <w:vertAlign w:val="superscript"/>
              </w:rPr>
              <w:t>-11</w:t>
            </w:r>
          </w:p>
        </w:tc>
        <w:tc>
          <w:tcPr>
            <w:tcW w:w="1127" w:type="dxa"/>
            <w:shd w:val="clear" w:color="auto" w:fill="auto"/>
            <w:vAlign w:val="center"/>
          </w:tcPr>
          <w:p w14:paraId="31DB5ED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3.52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196" w:type="dxa"/>
            <w:shd w:val="clear" w:color="auto" w:fill="auto"/>
            <w:vAlign w:val="center"/>
          </w:tcPr>
          <w:p w14:paraId="06C039E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2.74×10</w:t>
            </w:r>
            <w:r>
              <w:rPr>
                <w:rFonts w:ascii="Times New Roman" w:hAnsi="Times New Roman" w:eastAsia="宋体" w:cs="Times New Roman"/>
                <w:caps w:val="0"/>
                <w:smallCaps w:val="0"/>
                <w:color w:val="auto"/>
                <w:spacing w:val="0"/>
                <w:sz w:val="21"/>
                <w:highlight w:val="none"/>
                <w:vertAlign w:val="superscript"/>
              </w:rPr>
              <w:t>-12</w:t>
            </w:r>
          </w:p>
        </w:tc>
        <w:tc>
          <w:tcPr>
            <w:tcW w:w="1105" w:type="dxa"/>
            <w:shd w:val="clear" w:color="auto" w:fill="auto"/>
            <w:vAlign w:val="center"/>
          </w:tcPr>
          <w:p w14:paraId="2372849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2.74×10</w:t>
            </w:r>
            <w:r>
              <w:rPr>
                <w:rFonts w:ascii="Times New Roman" w:hAnsi="Times New Roman" w:eastAsia="宋体" w:cs="Times New Roman"/>
                <w:caps w:val="0"/>
                <w:smallCaps w:val="0"/>
                <w:color w:val="auto"/>
                <w:spacing w:val="0"/>
                <w:kern w:val="0"/>
                <w:sz w:val="21"/>
                <w:highlight w:val="none"/>
                <w:vertAlign w:val="superscript"/>
                <w:lang w:bidi="ar"/>
              </w:rPr>
              <w:t>-11</w:t>
            </w:r>
          </w:p>
        </w:tc>
        <w:tc>
          <w:tcPr>
            <w:tcW w:w="1026" w:type="dxa"/>
            <w:shd w:val="clear" w:color="auto" w:fill="auto"/>
            <w:vAlign w:val="center"/>
          </w:tcPr>
          <w:p w14:paraId="6E69D24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2.03</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94" w:type="dxa"/>
            <w:shd w:val="clear" w:color="auto" w:fill="auto"/>
            <w:vAlign w:val="center"/>
          </w:tcPr>
          <w:p w14:paraId="63209BE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2"/>
                <w:szCs w:val="22"/>
                <w:highlight w:val="none"/>
                <w:lang w:bidi="ar"/>
              </w:rPr>
              <w:t>1.02</w:t>
            </w:r>
            <w:r>
              <w:rPr>
                <w:rFonts w:ascii="Times New Roman" w:hAnsi="Times New Roman" w:cs="Times New Roman"/>
                <w:caps w:val="0"/>
                <w:smallCaps w:val="0"/>
                <w:color w:val="auto"/>
                <w:spacing w:val="0"/>
                <w:kern w:val="0"/>
                <w:sz w:val="22"/>
                <w:szCs w:val="22"/>
                <w:highlight w:val="none"/>
                <w:lang w:bidi="ar"/>
              </w:rPr>
              <w:t>×10</w:t>
            </w:r>
            <w:r>
              <w:rPr>
                <w:rFonts w:ascii="Times New Roman" w:hAnsi="Times New Roman" w:cs="Times New Roman"/>
                <w:caps w:val="0"/>
                <w:smallCaps w:val="0"/>
                <w:color w:val="auto"/>
                <w:spacing w:val="0"/>
                <w:sz w:val="21"/>
                <w:highlight w:val="none"/>
                <w:vertAlign w:val="superscript"/>
              </w:rPr>
              <w:t>-8</w:t>
            </w:r>
          </w:p>
        </w:tc>
        <w:tc>
          <w:tcPr>
            <w:tcW w:w="1038" w:type="dxa"/>
            <w:shd w:val="clear" w:color="auto" w:fill="auto"/>
            <w:vAlign w:val="center"/>
          </w:tcPr>
          <w:p w14:paraId="1C1B099B">
            <w:pPr>
              <w:spacing w:before="74"/>
              <w:jc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sz w:val="21"/>
                <w:highlight w:val="none"/>
              </w:rPr>
              <w:t>7.62×10</w:t>
            </w:r>
            <w:r>
              <w:rPr>
                <w:rFonts w:ascii="Times New Roman" w:hAnsi="Times New Roman" w:eastAsia="宋体" w:cs="Times New Roman"/>
                <w:caps w:val="0"/>
                <w:smallCaps w:val="0"/>
                <w:color w:val="auto"/>
                <w:spacing w:val="0"/>
                <w:sz w:val="21"/>
                <w:highlight w:val="none"/>
                <w:vertAlign w:val="superscript"/>
              </w:rPr>
              <w:t>-9</w:t>
            </w:r>
          </w:p>
        </w:tc>
        <w:tc>
          <w:tcPr>
            <w:tcW w:w="1035" w:type="dxa"/>
            <w:shd w:val="clear" w:color="auto" w:fill="auto"/>
            <w:vAlign w:val="center"/>
          </w:tcPr>
          <w:p w14:paraId="7AAFED43">
            <w:pPr>
              <w:spacing w:before="74"/>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ascii="Times New Roman" w:hAnsi="Times New Roman" w:eastAsia="宋体" w:cs="Times New Roman"/>
                <w:caps w:val="0"/>
                <w:smallCaps w:val="0"/>
                <w:color w:val="auto"/>
                <w:spacing w:val="0"/>
                <w:kern w:val="0"/>
                <w:sz w:val="21"/>
                <w:highlight w:val="none"/>
                <w:lang w:bidi="ar"/>
              </w:rPr>
              <w:t>3.81×10</w:t>
            </w:r>
            <w:r>
              <w:rPr>
                <w:rFonts w:ascii="Times New Roman" w:hAnsi="Times New Roman" w:eastAsia="宋体" w:cs="Times New Roman"/>
                <w:caps w:val="0"/>
                <w:smallCaps w:val="0"/>
                <w:color w:val="auto"/>
                <w:spacing w:val="0"/>
                <w:kern w:val="0"/>
                <w:sz w:val="21"/>
                <w:highlight w:val="none"/>
                <w:vertAlign w:val="superscript"/>
                <w:lang w:bidi="ar"/>
              </w:rPr>
              <w:t>-9</w:t>
            </w:r>
          </w:p>
        </w:tc>
      </w:tr>
      <w:tr w14:paraId="6F2341FB">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50DBDB6B">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下风向最大质量浓度及占标率/%</w:t>
            </w:r>
          </w:p>
        </w:tc>
        <w:tc>
          <w:tcPr>
            <w:tcW w:w="1031" w:type="dxa"/>
            <w:shd w:val="clear" w:color="auto" w:fill="auto"/>
            <w:vAlign w:val="center"/>
          </w:tcPr>
          <w:p w14:paraId="2CE2A85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6.13×10-3</w:t>
            </w:r>
          </w:p>
        </w:tc>
        <w:tc>
          <w:tcPr>
            <w:tcW w:w="1082" w:type="dxa"/>
            <w:shd w:val="clear" w:color="auto" w:fill="auto"/>
            <w:vAlign w:val="center"/>
          </w:tcPr>
          <w:p w14:paraId="436C3F5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3.07</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083" w:type="dxa"/>
            <w:shd w:val="clear" w:color="auto" w:fill="auto"/>
            <w:vAlign w:val="center"/>
          </w:tcPr>
          <w:p w14:paraId="64E6373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2.38×10</w:t>
            </w:r>
            <w:r>
              <w:rPr>
                <w:rFonts w:ascii="Times New Roman" w:hAnsi="Times New Roman" w:cs="Times New Roman"/>
                <w:caps w:val="0"/>
                <w:smallCaps w:val="0"/>
                <w:color w:val="auto"/>
                <w:spacing w:val="0"/>
                <w:sz w:val="21"/>
                <w:highlight w:val="none"/>
                <w:vertAlign w:val="superscript"/>
              </w:rPr>
              <w:t>-4</w:t>
            </w:r>
          </w:p>
        </w:tc>
        <w:tc>
          <w:tcPr>
            <w:tcW w:w="1105" w:type="dxa"/>
            <w:shd w:val="clear" w:color="auto" w:fill="auto"/>
            <w:vAlign w:val="center"/>
          </w:tcPr>
          <w:p w14:paraId="793BD8B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38</w:t>
            </w:r>
            <w:r>
              <w:rPr>
                <w:rFonts w:ascii="Times New Roman" w:hAnsi="Times New Roman" w:cs="Times New Roman"/>
                <w:caps w:val="0"/>
                <w:smallCaps w:val="0"/>
                <w:color w:val="auto"/>
                <w:spacing w:val="0"/>
                <w:sz w:val="21"/>
                <w:highlight w:val="none"/>
              </w:rPr>
              <w:t>×10</w:t>
            </w:r>
            <w:r>
              <w:rPr>
                <w:rFonts w:ascii="Times New Roman" w:hAnsi="Times New Roman" w:cs="Times New Roman"/>
                <w:caps w:val="0"/>
                <w:smallCaps w:val="0"/>
                <w:color w:val="auto"/>
                <w:spacing w:val="0"/>
                <w:sz w:val="21"/>
                <w:highlight w:val="none"/>
                <w:vertAlign w:val="superscript"/>
              </w:rPr>
              <w:t>-3</w:t>
            </w:r>
          </w:p>
        </w:tc>
        <w:tc>
          <w:tcPr>
            <w:tcW w:w="1171" w:type="dxa"/>
            <w:shd w:val="clear" w:color="auto" w:fill="auto"/>
            <w:vAlign w:val="center"/>
          </w:tcPr>
          <w:p w14:paraId="735844F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1.06×10</w:t>
            </w:r>
            <w:r>
              <w:rPr>
                <w:rFonts w:ascii="Times New Roman" w:hAnsi="Times New Roman" w:eastAsia="宋体" w:cs="Times New Roman"/>
                <w:caps w:val="0"/>
                <w:smallCaps w:val="0"/>
                <w:color w:val="auto"/>
                <w:spacing w:val="0"/>
                <w:sz w:val="21"/>
                <w:highlight w:val="none"/>
                <w:vertAlign w:val="superscript"/>
              </w:rPr>
              <w:t>-7</w:t>
            </w:r>
          </w:p>
        </w:tc>
        <w:tc>
          <w:tcPr>
            <w:tcW w:w="1127" w:type="dxa"/>
            <w:shd w:val="clear" w:color="auto" w:fill="auto"/>
            <w:vAlign w:val="center"/>
          </w:tcPr>
          <w:p w14:paraId="09AB5B8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196" w:type="dxa"/>
            <w:shd w:val="clear" w:color="auto" w:fill="auto"/>
            <w:vAlign w:val="center"/>
          </w:tcPr>
          <w:p w14:paraId="554E119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4.14×10</w:t>
            </w:r>
            <w:r>
              <w:rPr>
                <w:rFonts w:ascii="Times New Roman" w:hAnsi="Times New Roman" w:eastAsia="宋体" w:cs="Times New Roman"/>
                <w:caps w:val="0"/>
                <w:smallCaps w:val="0"/>
                <w:color w:val="auto"/>
                <w:spacing w:val="0"/>
                <w:sz w:val="21"/>
                <w:highlight w:val="none"/>
                <w:vertAlign w:val="superscript"/>
              </w:rPr>
              <w:t>-9</w:t>
            </w:r>
          </w:p>
        </w:tc>
        <w:tc>
          <w:tcPr>
            <w:tcW w:w="1105" w:type="dxa"/>
            <w:shd w:val="clear" w:color="auto" w:fill="auto"/>
            <w:vAlign w:val="center"/>
          </w:tcPr>
          <w:p w14:paraId="22E459D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4.14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026" w:type="dxa"/>
            <w:shd w:val="clear" w:color="auto" w:fill="auto"/>
            <w:vAlign w:val="center"/>
          </w:tcPr>
          <w:p w14:paraId="76C241D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cs="Times New Roman"/>
                <w:caps w:val="0"/>
                <w:smallCaps w:val="0"/>
                <w:color w:val="auto"/>
                <w:spacing w:val="0"/>
                <w:sz w:val="21"/>
                <w:highlight w:val="none"/>
              </w:rPr>
              <w:t>2.60×10</w:t>
            </w:r>
            <w:r>
              <w:rPr>
                <w:rFonts w:ascii="Times New Roman" w:hAnsi="Times New Roman" w:cs="Times New Roman"/>
                <w:caps w:val="0"/>
                <w:smallCaps w:val="0"/>
                <w:color w:val="auto"/>
                <w:spacing w:val="0"/>
                <w:sz w:val="21"/>
                <w:highlight w:val="none"/>
                <w:vertAlign w:val="superscript"/>
              </w:rPr>
              <w:t>-3</w:t>
            </w:r>
          </w:p>
        </w:tc>
        <w:tc>
          <w:tcPr>
            <w:tcW w:w="1094" w:type="dxa"/>
            <w:shd w:val="clear" w:color="auto" w:fill="auto"/>
            <w:vAlign w:val="center"/>
          </w:tcPr>
          <w:p w14:paraId="74646CE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1.30</w:t>
            </w:r>
            <w:r>
              <w:rPr>
                <w:rFonts w:ascii="Times New Roman" w:hAnsi="Times New Roman" w:cs="Times New Roman"/>
                <w:caps w:val="0"/>
                <w:smallCaps w:val="0"/>
                <w:color w:val="auto"/>
                <w:spacing w:val="0"/>
                <w:kern w:val="0"/>
                <w:sz w:val="21"/>
                <w:highlight w:val="none"/>
                <w:lang w:bidi="ar"/>
              </w:rPr>
              <w:t>×10</w:t>
            </w:r>
            <w:r>
              <w:rPr>
                <w:rFonts w:ascii="Times New Roman" w:hAnsi="Times New Roman" w:cs="Times New Roman"/>
                <w:caps w:val="0"/>
                <w:smallCaps w:val="0"/>
                <w:color w:val="auto"/>
                <w:spacing w:val="0"/>
                <w:sz w:val="21"/>
                <w:highlight w:val="none"/>
                <w:vertAlign w:val="superscript"/>
              </w:rPr>
              <w:t>-3</w:t>
            </w:r>
          </w:p>
        </w:tc>
        <w:tc>
          <w:tcPr>
            <w:tcW w:w="1038" w:type="dxa"/>
            <w:shd w:val="clear" w:color="auto" w:fill="auto"/>
            <w:vAlign w:val="center"/>
          </w:tcPr>
          <w:p w14:paraId="27A9F61F">
            <w:pPr>
              <w:spacing w:before="74"/>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1.35×10</w:t>
            </w:r>
            <w:r>
              <w:rPr>
                <w:rFonts w:ascii="Times New Roman" w:hAnsi="Times New Roman" w:eastAsia="宋体" w:cs="Times New Roman"/>
                <w:caps w:val="0"/>
                <w:smallCaps w:val="0"/>
                <w:color w:val="auto"/>
                <w:spacing w:val="0"/>
                <w:sz w:val="21"/>
                <w:highlight w:val="none"/>
                <w:vertAlign w:val="superscript"/>
              </w:rPr>
              <w:t>-5</w:t>
            </w:r>
          </w:p>
        </w:tc>
        <w:tc>
          <w:tcPr>
            <w:tcW w:w="1035" w:type="dxa"/>
            <w:shd w:val="clear" w:color="auto" w:fill="auto"/>
            <w:vAlign w:val="center"/>
          </w:tcPr>
          <w:p w14:paraId="19FE69E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6.75×10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6B77A192">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672B1EEE">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最大质量浓度点距离/m</w:t>
            </w:r>
          </w:p>
        </w:tc>
        <w:tc>
          <w:tcPr>
            <w:tcW w:w="2113" w:type="dxa"/>
            <w:gridSpan w:val="2"/>
            <w:shd w:val="clear" w:color="auto" w:fill="auto"/>
            <w:vAlign w:val="center"/>
          </w:tcPr>
          <w:p w14:paraId="3080706A">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10</w:t>
            </w:r>
          </w:p>
        </w:tc>
        <w:tc>
          <w:tcPr>
            <w:tcW w:w="2188" w:type="dxa"/>
            <w:gridSpan w:val="2"/>
            <w:shd w:val="clear" w:color="auto" w:fill="auto"/>
            <w:vAlign w:val="center"/>
          </w:tcPr>
          <w:p w14:paraId="7AF60506">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10</w:t>
            </w:r>
          </w:p>
        </w:tc>
        <w:tc>
          <w:tcPr>
            <w:tcW w:w="2298" w:type="dxa"/>
            <w:gridSpan w:val="2"/>
            <w:shd w:val="clear" w:color="auto" w:fill="auto"/>
            <w:vAlign w:val="center"/>
          </w:tcPr>
          <w:p w14:paraId="70A3FD8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w:t>
            </w:r>
          </w:p>
        </w:tc>
        <w:tc>
          <w:tcPr>
            <w:tcW w:w="2301" w:type="dxa"/>
            <w:gridSpan w:val="2"/>
            <w:shd w:val="clear" w:color="auto" w:fill="auto"/>
            <w:vAlign w:val="center"/>
          </w:tcPr>
          <w:p w14:paraId="44002A5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w:t>
            </w:r>
          </w:p>
        </w:tc>
        <w:tc>
          <w:tcPr>
            <w:tcW w:w="2120" w:type="dxa"/>
            <w:gridSpan w:val="2"/>
            <w:shd w:val="clear" w:color="auto" w:fill="auto"/>
            <w:vAlign w:val="center"/>
          </w:tcPr>
          <w:p w14:paraId="596DE147">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10</w:t>
            </w:r>
          </w:p>
        </w:tc>
        <w:tc>
          <w:tcPr>
            <w:tcW w:w="2073" w:type="dxa"/>
            <w:gridSpan w:val="2"/>
            <w:shd w:val="clear" w:color="auto" w:fill="auto"/>
            <w:vAlign w:val="center"/>
          </w:tcPr>
          <w:p w14:paraId="1E85916F">
            <w:pPr>
              <w:spacing w:before="74"/>
              <w:jc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72</w:t>
            </w:r>
          </w:p>
        </w:tc>
      </w:tr>
      <w:tr w14:paraId="24E9F652">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125" w:type="dxa"/>
            <w:shd w:val="clear" w:color="auto" w:fill="auto"/>
            <w:vAlign w:val="center"/>
          </w:tcPr>
          <w:p w14:paraId="0414A938">
            <w:pPr>
              <w:pStyle w:val="171"/>
              <w:spacing w:before="0" w:beforeLines="0" w:after="0" w:afterLines="0" w:line="240" w:lineRule="auto"/>
              <w:ind w:firstLine="0"/>
              <w:rPr>
                <w:caps w:val="0"/>
                <w:smallCaps w:val="0"/>
                <w:color w:val="auto"/>
                <w:spacing w:val="0"/>
                <w:sz w:val="21"/>
                <w:highlight w:val="none"/>
              </w:rPr>
            </w:pPr>
            <w:r>
              <w:rPr>
                <w:i/>
                <w:caps w:val="0"/>
                <w:smallCaps w:val="0"/>
                <w:color w:val="auto"/>
                <w:spacing w:val="0"/>
                <w:sz w:val="21"/>
                <w:highlight w:val="none"/>
              </w:rPr>
              <w:t>D</w:t>
            </w:r>
            <w:r>
              <w:rPr>
                <w:caps w:val="0"/>
                <w:smallCaps w:val="0"/>
                <w:color w:val="auto"/>
                <w:spacing w:val="0"/>
                <w:sz w:val="21"/>
                <w:highlight w:val="none"/>
                <w:vertAlign w:val="subscript"/>
              </w:rPr>
              <w:t>10%</w:t>
            </w:r>
            <w:r>
              <w:rPr>
                <w:caps w:val="0"/>
                <w:smallCaps w:val="0"/>
                <w:color w:val="auto"/>
                <w:spacing w:val="0"/>
                <w:sz w:val="21"/>
                <w:highlight w:val="none"/>
              </w:rPr>
              <w:t>最远距离/m</w:t>
            </w:r>
          </w:p>
        </w:tc>
        <w:tc>
          <w:tcPr>
            <w:tcW w:w="2113" w:type="dxa"/>
            <w:gridSpan w:val="2"/>
            <w:shd w:val="clear" w:color="auto" w:fill="auto"/>
            <w:vAlign w:val="center"/>
          </w:tcPr>
          <w:p w14:paraId="2A86C44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2188" w:type="dxa"/>
            <w:gridSpan w:val="2"/>
            <w:shd w:val="clear" w:color="auto" w:fill="auto"/>
            <w:vAlign w:val="center"/>
          </w:tcPr>
          <w:p w14:paraId="26F6D6B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2298" w:type="dxa"/>
            <w:gridSpan w:val="2"/>
            <w:shd w:val="clear" w:color="auto" w:fill="auto"/>
            <w:vAlign w:val="center"/>
          </w:tcPr>
          <w:p w14:paraId="2178920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2301" w:type="dxa"/>
            <w:gridSpan w:val="2"/>
            <w:shd w:val="clear" w:color="auto" w:fill="auto"/>
            <w:vAlign w:val="center"/>
          </w:tcPr>
          <w:p w14:paraId="324A13F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2120" w:type="dxa"/>
            <w:gridSpan w:val="2"/>
            <w:shd w:val="clear" w:color="auto" w:fill="auto"/>
            <w:vAlign w:val="center"/>
          </w:tcPr>
          <w:p w14:paraId="3C61BF28">
            <w:pPr>
              <w:pStyle w:val="171"/>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c>
          <w:tcPr>
            <w:tcW w:w="2073" w:type="dxa"/>
            <w:gridSpan w:val="2"/>
            <w:shd w:val="clear" w:color="auto" w:fill="auto"/>
            <w:vAlign w:val="center"/>
          </w:tcPr>
          <w:p w14:paraId="0E416BCB">
            <w:pPr>
              <w:pStyle w:val="171"/>
              <w:spacing w:before="0" w:beforeLines="0" w:after="0" w:afterLines="0" w:line="240" w:lineRule="auto"/>
              <w:ind w:firstLine="0"/>
              <w:rPr>
                <w:caps w:val="0"/>
                <w:smallCaps w:val="0"/>
                <w:color w:val="auto"/>
                <w:spacing w:val="0"/>
                <w:sz w:val="21"/>
                <w:highlight w:val="none"/>
              </w:rPr>
            </w:pPr>
            <w:r>
              <w:rPr>
                <w:rFonts w:hint="eastAsia"/>
                <w:caps w:val="0"/>
                <w:smallCaps w:val="0"/>
                <w:color w:val="auto"/>
                <w:spacing w:val="0"/>
                <w:sz w:val="21"/>
                <w:highlight w:val="none"/>
              </w:rPr>
              <w:t>-</w:t>
            </w:r>
          </w:p>
        </w:tc>
      </w:tr>
    </w:tbl>
    <w:p w14:paraId="3A1BE64F">
      <w:pPr>
        <w:pStyle w:val="11"/>
        <w:spacing w:before="120"/>
        <w:rPr>
          <w:caps w:val="0"/>
          <w:smallCaps w:val="0"/>
          <w:color w:val="auto"/>
          <w:spacing w:val="0"/>
          <w:highlight w:val="none"/>
        </w:rPr>
      </w:pPr>
      <w:r>
        <w:rPr>
          <w:caps w:val="0"/>
          <w:smallCaps w:val="0"/>
          <w:color w:val="auto"/>
          <w:spacing w:val="0"/>
          <w:highlight w:val="none"/>
        </w:rPr>
        <w:t>表5.2-</w:t>
      </w:r>
      <w:r>
        <w:rPr>
          <w:rFonts w:hint="eastAsia"/>
          <w:caps w:val="0"/>
          <w:smallCaps w:val="0"/>
          <w:color w:val="auto"/>
          <w:spacing w:val="0"/>
          <w:highlight w:val="none"/>
        </w:rPr>
        <w:t>7</w:t>
      </w:r>
      <w:r>
        <w:rPr>
          <w:caps w:val="0"/>
          <w:smallCaps w:val="0"/>
          <w:color w:val="auto"/>
          <w:spacing w:val="0"/>
          <w:highlight w:val="none"/>
        </w:rPr>
        <w:t>工艺废气PM</w:t>
      </w:r>
      <w:r>
        <w:rPr>
          <w:caps w:val="0"/>
          <w:smallCaps w:val="0"/>
          <w:color w:val="auto"/>
          <w:spacing w:val="0"/>
          <w:highlight w:val="none"/>
          <w:vertAlign w:val="subscript"/>
        </w:rPr>
        <w:t>10</w:t>
      </w:r>
      <w:r>
        <w:rPr>
          <w:caps w:val="0"/>
          <w:smallCaps w:val="0"/>
          <w:color w:val="auto"/>
          <w:spacing w:val="0"/>
          <w:highlight w:val="none"/>
        </w:rPr>
        <w:t>估算模型计算结果表</w:t>
      </w:r>
    </w:p>
    <w:tbl>
      <w:tblPr>
        <w:tblStyle w:val="172"/>
        <w:tblW w:w="5073"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718"/>
        <w:gridCol w:w="1120"/>
        <w:gridCol w:w="1178"/>
        <w:gridCol w:w="1100"/>
        <w:gridCol w:w="1198"/>
        <w:gridCol w:w="1105"/>
        <w:gridCol w:w="1145"/>
        <w:gridCol w:w="1125"/>
        <w:gridCol w:w="1145"/>
        <w:gridCol w:w="1068"/>
        <w:gridCol w:w="1177"/>
        <w:gridCol w:w="1122"/>
        <w:gridCol w:w="1227"/>
      </w:tblGrid>
      <w:tr w14:paraId="108D08A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12" w:hRule="atLeast"/>
          <w:tblHeader/>
          <w:jc w:val="center"/>
        </w:trPr>
        <w:tc>
          <w:tcPr>
            <w:tcW w:w="248" w:type="pct"/>
            <w:vMerge w:val="restart"/>
            <w:tcBorders>
              <w:top w:val="single" w:color="auto" w:sz="4" w:space="0"/>
            </w:tcBorders>
            <w:shd w:val="clear" w:color="auto" w:fill="auto"/>
            <w:vAlign w:val="center"/>
          </w:tcPr>
          <w:p w14:paraId="57614539">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下风向距离/m</w:t>
            </w:r>
          </w:p>
        </w:tc>
        <w:tc>
          <w:tcPr>
            <w:tcW w:w="796" w:type="pct"/>
            <w:gridSpan w:val="2"/>
            <w:tcBorders>
              <w:top w:val="single" w:color="auto" w:sz="4" w:space="0"/>
            </w:tcBorders>
            <w:shd w:val="clear" w:color="auto" w:fill="auto"/>
            <w:vAlign w:val="center"/>
          </w:tcPr>
          <w:p w14:paraId="16480A2A">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DA001</w:t>
            </w:r>
          </w:p>
        </w:tc>
        <w:tc>
          <w:tcPr>
            <w:tcW w:w="796" w:type="pct"/>
            <w:gridSpan w:val="2"/>
            <w:shd w:val="clear" w:color="auto" w:fill="auto"/>
            <w:vAlign w:val="center"/>
          </w:tcPr>
          <w:p w14:paraId="61630D3A">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DA002</w:t>
            </w:r>
          </w:p>
        </w:tc>
        <w:tc>
          <w:tcPr>
            <w:tcW w:w="780" w:type="pct"/>
            <w:gridSpan w:val="2"/>
            <w:shd w:val="clear" w:color="auto" w:fill="auto"/>
            <w:vAlign w:val="center"/>
          </w:tcPr>
          <w:p w14:paraId="57932EA6">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DA003</w:t>
            </w:r>
          </w:p>
        </w:tc>
        <w:tc>
          <w:tcPr>
            <w:tcW w:w="787" w:type="pct"/>
            <w:gridSpan w:val="2"/>
            <w:shd w:val="clear" w:color="auto" w:fill="auto"/>
            <w:vAlign w:val="center"/>
          </w:tcPr>
          <w:p w14:paraId="00BA84F6">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DA004</w:t>
            </w:r>
          </w:p>
        </w:tc>
        <w:tc>
          <w:tcPr>
            <w:tcW w:w="778" w:type="pct"/>
            <w:gridSpan w:val="2"/>
            <w:shd w:val="clear" w:color="auto" w:fill="auto"/>
            <w:vAlign w:val="center"/>
          </w:tcPr>
          <w:p w14:paraId="03280677">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DA006</w:t>
            </w:r>
          </w:p>
        </w:tc>
        <w:tc>
          <w:tcPr>
            <w:tcW w:w="812" w:type="pct"/>
            <w:gridSpan w:val="2"/>
            <w:shd w:val="clear" w:color="auto" w:fill="auto"/>
            <w:vAlign w:val="center"/>
          </w:tcPr>
          <w:p w14:paraId="37727FFC">
            <w:pPr>
              <w:pStyle w:val="171"/>
              <w:wordWrap/>
              <w:spacing w:before="0" w:beforeLines="0" w:beforeAutospacing="0" w:after="0" w:afterLines="0" w:afterAutospacing="0" w:line="240" w:lineRule="auto"/>
              <w:ind w:left="0" w:leftChars="0" w:right="0" w:rightChars="0" w:firstLine="0" w:firstLineChars="0"/>
              <w:rPr>
                <w:rFonts w:hint="default" w:eastAsia="宋体"/>
                <w:b/>
                <w:bCs/>
                <w:caps w:val="0"/>
                <w:smallCaps w:val="0"/>
                <w:color w:val="auto"/>
                <w:spacing w:val="0"/>
                <w:sz w:val="21"/>
                <w:highlight w:val="none"/>
                <w:lang w:val="en-US" w:eastAsia="zh-CN"/>
              </w:rPr>
            </w:pPr>
            <w:r>
              <w:rPr>
                <w:b/>
                <w:bCs/>
                <w:caps w:val="0"/>
                <w:smallCaps w:val="0"/>
                <w:color w:val="auto"/>
                <w:spacing w:val="0"/>
                <w:sz w:val="21"/>
                <w:highlight w:val="none"/>
              </w:rPr>
              <w:t>DA0</w:t>
            </w:r>
            <w:r>
              <w:rPr>
                <w:rFonts w:hint="eastAsia"/>
                <w:b/>
                <w:bCs/>
                <w:caps w:val="0"/>
                <w:smallCaps w:val="0"/>
                <w:color w:val="auto"/>
                <w:spacing w:val="0"/>
                <w:sz w:val="21"/>
                <w:highlight w:val="none"/>
                <w:lang w:val="en-US" w:eastAsia="zh-CN"/>
              </w:rPr>
              <w:t>05</w:t>
            </w:r>
          </w:p>
        </w:tc>
      </w:tr>
      <w:tr w14:paraId="4CBDC3A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vMerge w:val="continue"/>
            <w:shd w:val="clear" w:color="auto" w:fill="auto"/>
            <w:vAlign w:val="center"/>
          </w:tcPr>
          <w:p w14:paraId="6758831A">
            <w:pPr>
              <w:pStyle w:val="171"/>
              <w:spacing w:before="0" w:beforeLines="0" w:after="0" w:afterLines="0" w:line="240" w:lineRule="auto"/>
              <w:ind w:firstLine="0"/>
              <w:rPr>
                <w:b/>
                <w:bCs/>
                <w:caps w:val="0"/>
                <w:smallCaps w:val="0"/>
                <w:color w:val="auto"/>
                <w:spacing w:val="0"/>
                <w:sz w:val="21"/>
                <w:highlight w:val="none"/>
              </w:rPr>
            </w:pPr>
          </w:p>
        </w:tc>
        <w:tc>
          <w:tcPr>
            <w:tcW w:w="4751" w:type="pct"/>
            <w:gridSpan w:val="12"/>
            <w:shd w:val="clear" w:color="auto" w:fill="auto"/>
            <w:vAlign w:val="center"/>
          </w:tcPr>
          <w:p w14:paraId="045EBE92">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PM</w:t>
            </w:r>
            <w:r>
              <w:rPr>
                <w:b/>
                <w:bCs/>
                <w:caps w:val="0"/>
                <w:smallCaps w:val="0"/>
                <w:color w:val="auto"/>
                <w:spacing w:val="0"/>
                <w:sz w:val="21"/>
                <w:highlight w:val="none"/>
                <w:vertAlign w:val="subscript"/>
              </w:rPr>
              <w:t>10</w:t>
            </w:r>
          </w:p>
        </w:tc>
      </w:tr>
      <w:tr w14:paraId="564E4FF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788" w:hRule="atLeast"/>
          <w:jc w:val="center"/>
        </w:trPr>
        <w:tc>
          <w:tcPr>
            <w:tcW w:w="248" w:type="pct"/>
            <w:vMerge w:val="continue"/>
            <w:shd w:val="clear" w:color="auto" w:fill="auto"/>
            <w:vAlign w:val="center"/>
          </w:tcPr>
          <w:p w14:paraId="2A7FD92D">
            <w:pPr>
              <w:pStyle w:val="171"/>
              <w:spacing w:before="0" w:beforeLines="0" w:after="0" w:afterLines="0" w:line="240" w:lineRule="auto"/>
              <w:ind w:firstLine="0"/>
              <w:rPr>
                <w:b/>
                <w:bCs/>
                <w:caps w:val="0"/>
                <w:smallCaps w:val="0"/>
                <w:color w:val="auto"/>
                <w:spacing w:val="0"/>
                <w:sz w:val="21"/>
                <w:highlight w:val="none"/>
              </w:rPr>
            </w:pPr>
          </w:p>
        </w:tc>
        <w:tc>
          <w:tcPr>
            <w:tcW w:w="388" w:type="pct"/>
            <w:shd w:val="clear" w:color="auto" w:fill="auto"/>
            <w:vAlign w:val="center"/>
          </w:tcPr>
          <w:p w14:paraId="69BB9E9D">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407" w:type="pct"/>
            <w:shd w:val="clear" w:color="auto" w:fill="auto"/>
            <w:vAlign w:val="center"/>
          </w:tcPr>
          <w:p w14:paraId="451EAF0C">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381" w:type="pct"/>
            <w:shd w:val="clear" w:color="auto" w:fill="auto"/>
            <w:vAlign w:val="center"/>
          </w:tcPr>
          <w:p w14:paraId="61D5E90F">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414" w:type="pct"/>
            <w:shd w:val="clear" w:color="auto" w:fill="auto"/>
            <w:vAlign w:val="center"/>
          </w:tcPr>
          <w:p w14:paraId="00D3BA88">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383" w:type="pct"/>
            <w:shd w:val="clear" w:color="auto" w:fill="auto"/>
            <w:vAlign w:val="center"/>
          </w:tcPr>
          <w:p w14:paraId="78733242">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396" w:type="pct"/>
            <w:shd w:val="clear" w:color="auto" w:fill="auto"/>
            <w:vAlign w:val="center"/>
          </w:tcPr>
          <w:p w14:paraId="0CEE674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390" w:type="pct"/>
            <w:shd w:val="clear" w:color="auto" w:fill="auto"/>
            <w:vAlign w:val="center"/>
          </w:tcPr>
          <w:p w14:paraId="228AEA28">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396" w:type="pct"/>
            <w:shd w:val="clear" w:color="auto" w:fill="auto"/>
            <w:vAlign w:val="center"/>
          </w:tcPr>
          <w:p w14:paraId="19628F0B">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370" w:type="pct"/>
            <w:shd w:val="clear" w:color="auto" w:fill="auto"/>
            <w:vAlign w:val="center"/>
          </w:tcPr>
          <w:p w14:paraId="7C3DDA3F">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407" w:type="pct"/>
            <w:shd w:val="clear" w:color="auto" w:fill="auto"/>
            <w:vAlign w:val="center"/>
          </w:tcPr>
          <w:p w14:paraId="5BBFB58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389" w:type="pct"/>
            <w:shd w:val="clear" w:color="auto" w:fill="auto"/>
            <w:vAlign w:val="center"/>
          </w:tcPr>
          <w:p w14:paraId="350DC68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422" w:type="pct"/>
            <w:shd w:val="clear" w:color="auto" w:fill="auto"/>
            <w:vAlign w:val="center"/>
          </w:tcPr>
          <w:p w14:paraId="55E54C5B">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r>
      <w:tr w14:paraId="19A39EF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7952CF30">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388" w:type="pct"/>
            <w:shd w:val="clear" w:color="auto" w:fill="auto"/>
            <w:vAlign w:val="center"/>
          </w:tcPr>
          <w:p w14:paraId="3B36DFE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2.17E-09</w:t>
            </w:r>
          </w:p>
        </w:tc>
        <w:tc>
          <w:tcPr>
            <w:tcW w:w="407" w:type="pct"/>
            <w:shd w:val="clear" w:color="auto" w:fill="auto"/>
            <w:vAlign w:val="center"/>
          </w:tcPr>
          <w:p w14:paraId="63545F5A">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5EFDC7F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8.59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414" w:type="pct"/>
            <w:shd w:val="clear" w:color="auto" w:fill="auto"/>
            <w:vAlign w:val="center"/>
          </w:tcPr>
          <w:p w14:paraId="5B8DC1A8">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63F547B2">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5.82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396" w:type="pct"/>
            <w:shd w:val="clear" w:color="auto" w:fill="auto"/>
            <w:vAlign w:val="center"/>
          </w:tcPr>
          <w:p w14:paraId="116CA3E1">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7FD46AE8">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5.82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145" w:type="dxa"/>
            <w:shd w:val="clear" w:color="auto" w:fill="auto"/>
            <w:vAlign w:val="center"/>
          </w:tcPr>
          <w:p w14:paraId="06E6949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246D3564">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1.90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177" w:type="dxa"/>
            <w:shd w:val="clear" w:color="auto" w:fill="auto"/>
            <w:vAlign w:val="center"/>
          </w:tcPr>
          <w:p w14:paraId="0C588DB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33E220C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9.24×10</w:t>
            </w:r>
            <w:r>
              <w:rPr>
                <w:rFonts w:ascii="Times New Roman" w:hAnsi="Times New Roman" w:eastAsia="宋体" w:cs="Times New Roman"/>
                <w:caps w:val="0"/>
                <w:smallCaps w:val="0"/>
                <w:color w:val="auto"/>
                <w:spacing w:val="0"/>
                <w:sz w:val="21"/>
                <w:highlight w:val="none"/>
                <w:vertAlign w:val="superscript"/>
              </w:rPr>
              <w:t>-9</w:t>
            </w:r>
          </w:p>
        </w:tc>
        <w:tc>
          <w:tcPr>
            <w:tcW w:w="422" w:type="pct"/>
            <w:shd w:val="clear" w:color="auto" w:fill="auto"/>
            <w:vAlign w:val="center"/>
          </w:tcPr>
          <w:p w14:paraId="28093C7C">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7787E0E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3A6AB5F1">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w:t>
            </w:r>
          </w:p>
        </w:tc>
        <w:tc>
          <w:tcPr>
            <w:tcW w:w="388" w:type="pct"/>
            <w:shd w:val="clear" w:color="auto" w:fill="auto"/>
            <w:vAlign w:val="center"/>
          </w:tcPr>
          <w:p w14:paraId="08AD526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3.31E-05</w:t>
            </w:r>
          </w:p>
        </w:tc>
        <w:tc>
          <w:tcPr>
            <w:tcW w:w="407" w:type="pct"/>
            <w:shd w:val="clear" w:color="auto" w:fill="auto"/>
            <w:vAlign w:val="center"/>
          </w:tcPr>
          <w:p w14:paraId="359CCAAA">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0.01</w:t>
            </w:r>
          </w:p>
        </w:tc>
        <w:tc>
          <w:tcPr>
            <w:tcW w:w="381" w:type="pct"/>
            <w:shd w:val="clear" w:color="auto" w:fill="auto"/>
            <w:vAlign w:val="center"/>
          </w:tcPr>
          <w:p w14:paraId="48E67791">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4.85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414" w:type="pct"/>
            <w:shd w:val="clear" w:color="auto" w:fill="auto"/>
            <w:vAlign w:val="center"/>
          </w:tcPr>
          <w:p w14:paraId="4D435AC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33A7814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396" w:type="pct"/>
            <w:shd w:val="clear" w:color="auto" w:fill="auto"/>
            <w:vAlign w:val="center"/>
          </w:tcPr>
          <w:p w14:paraId="03369018">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256F1BB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0457F52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702EB9FD">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8.39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77" w:type="dxa"/>
            <w:shd w:val="clear" w:color="auto" w:fill="auto"/>
            <w:vAlign w:val="center"/>
          </w:tcPr>
          <w:p w14:paraId="66E9F01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64B060D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5.22×10</w:t>
            </w:r>
            <w:r>
              <w:rPr>
                <w:rFonts w:ascii="Times New Roman" w:hAnsi="Times New Roman" w:eastAsia="宋体" w:cs="Times New Roman"/>
                <w:caps w:val="0"/>
                <w:smallCaps w:val="0"/>
                <w:color w:val="auto"/>
                <w:spacing w:val="0"/>
                <w:sz w:val="21"/>
                <w:highlight w:val="none"/>
                <w:vertAlign w:val="superscript"/>
              </w:rPr>
              <w:t>-5</w:t>
            </w:r>
          </w:p>
        </w:tc>
        <w:tc>
          <w:tcPr>
            <w:tcW w:w="422" w:type="pct"/>
            <w:shd w:val="clear" w:color="auto" w:fill="auto"/>
            <w:vAlign w:val="center"/>
          </w:tcPr>
          <w:p w14:paraId="0F65E3B4">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13E19B2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6DA53272">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69</w:t>
            </w:r>
          </w:p>
        </w:tc>
        <w:tc>
          <w:tcPr>
            <w:tcW w:w="388" w:type="pct"/>
            <w:shd w:val="clear" w:color="auto" w:fill="auto"/>
            <w:vAlign w:val="center"/>
          </w:tcPr>
          <w:p w14:paraId="4CEE449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07" w:type="pct"/>
            <w:shd w:val="clear" w:color="auto" w:fill="auto"/>
            <w:vAlign w:val="center"/>
          </w:tcPr>
          <w:p w14:paraId="5E7C3E0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381" w:type="pct"/>
            <w:shd w:val="clear" w:color="auto" w:fill="auto"/>
            <w:vAlign w:val="center"/>
          </w:tcPr>
          <w:p w14:paraId="08024D1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14" w:type="pct"/>
            <w:shd w:val="clear" w:color="auto" w:fill="auto"/>
            <w:vAlign w:val="center"/>
          </w:tcPr>
          <w:p w14:paraId="4E8DDE9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383" w:type="pct"/>
            <w:shd w:val="clear" w:color="auto" w:fill="auto"/>
            <w:vAlign w:val="center"/>
          </w:tcPr>
          <w:p w14:paraId="3B544D72">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2.52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396" w:type="pct"/>
            <w:shd w:val="clear" w:color="auto" w:fill="auto"/>
            <w:vAlign w:val="center"/>
          </w:tcPr>
          <w:p w14:paraId="4A37A79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6" w:type="dxa"/>
            <w:shd w:val="clear" w:color="auto" w:fill="auto"/>
            <w:vAlign w:val="center"/>
          </w:tcPr>
          <w:p w14:paraId="4AAE7B72">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2.52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35E71F8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3306BB58">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407" w:type="pct"/>
            <w:shd w:val="clear" w:color="auto" w:fill="auto"/>
            <w:vAlign w:val="center"/>
          </w:tcPr>
          <w:p w14:paraId="39F63490">
            <w:pPr>
              <w:spacing w:before="74"/>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389" w:type="pct"/>
            <w:shd w:val="clear" w:color="auto" w:fill="auto"/>
            <w:vAlign w:val="center"/>
          </w:tcPr>
          <w:p w14:paraId="10F0A66E">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422" w:type="pct"/>
            <w:shd w:val="clear" w:color="auto" w:fill="auto"/>
            <w:vAlign w:val="center"/>
          </w:tcPr>
          <w:p w14:paraId="1BEA9798">
            <w:pPr>
              <w:spacing w:before="74"/>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r>
      <w:tr w14:paraId="5CB3677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248" w:type="pct"/>
            <w:shd w:val="clear" w:color="auto" w:fill="auto"/>
            <w:vAlign w:val="center"/>
          </w:tcPr>
          <w:p w14:paraId="1BAD1612">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w:t>
            </w:r>
          </w:p>
        </w:tc>
        <w:tc>
          <w:tcPr>
            <w:tcW w:w="388" w:type="pct"/>
            <w:shd w:val="clear" w:color="auto" w:fill="auto"/>
            <w:vAlign w:val="center"/>
          </w:tcPr>
          <w:p w14:paraId="7E514AB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07" w:type="pct"/>
            <w:shd w:val="clear" w:color="auto" w:fill="auto"/>
            <w:vAlign w:val="center"/>
          </w:tcPr>
          <w:p w14:paraId="0EA9632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381" w:type="pct"/>
            <w:shd w:val="clear" w:color="auto" w:fill="auto"/>
            <w:vAlign w:val="center"/>
          </w:tcPr>
          <w:p w14:paraId="1CF5E32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14" w:type="pct"/>
            <w:shd w:val="clear" w:color="auto" w:fill="auto"/>
            <w:vAlign w:val="center"/>
          </w:tcPr>
          <w:p w14:paraId="5B758D27">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383" w:type="pct"/>
            <w:shd w:val="clear" w:color="auto" w:fill="auto"/>
            <w:vAlign w:val="center"/>
          </w:tcPr>
          <w:p w14:paraId="6F8F50F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396" w:type="pct"/>
            <w:shd w:val="clear" w:color="auto" w:fill="auto"/>
            <w:vAlign w:val="center"/>
          </w:tcPr>
          <w:p w14:paraId="38C20B8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125" w:type="dxa"/>
            <w:shd w:val="clear" w:color="auto" w:fill="auto"/>
            <w:vAlign w:val="center"/>
          </w:tcPr>
          <w:p w14:paraId="0A0A04B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145" w:type="dxa"/>
            <w:shd w:val="clear" w:color="auto" w:fill="auto"/>
            <w:vAlign w:val="center"/>
          </w:tcPr>
          <w:p w14:paraId="73BA520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070" w:type="dxa"/>
            <w:shd w:val="clear" w:color="auto" w:fill="auto"/>
            <w:vAlign w:val="center"/>
          </w:tcPr>
          <w:p w14:paraId="20E8B210">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2.</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75" w:type="dxa"/>
            <w:shd w:val="clear" w:color="auto" w:fill="auto"/>
            <w:vAlign w:val="center"/>
          </w:tcPr>
          <w:p w14:paraId="1E52D3A6">
            <w:pPr>
              <w:spacing w:before="74"/>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2F6A843E">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422" w:type="pct"/>
            <w:shd w:val="clear" w:color="auto" w:fill="auto"/>
            <w:vAlign w:val="center"/>
          </w:tcPr>
          <w:p w14:paraId="36C0B560">
            <w:pPr>
              <w:spacing w:before="74"/>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r>
      <w:tr w14:paraId="557EA10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7D8A18C4">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74</w:t>
            </w:r>
          </w:p>
        </w:tc>
        <w:tc>
          <w:tcPr>
            <w:tcW w:w="388" w:type="pct"/>
            <w:shd w:val="clear" w:color="auto" w:fill="auto"/>
            <w:vAlign w:val="center"/>
          </w:tcPr>
          <w:p w14:paraId="0739FD7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07" w:type="pct"/>
            <w:shd w:val="clear" w:color="auto" w:fill="auto"/>
            <w:vAlign w:val="center"/>
          </w:tcPr>
          <w:p w14:paraId="68B9C1E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381" w:type="pct"/>
            <w:shd w:val="clear" w:color="auto" w:fill="auto"/>
            <w:vAlign w:val="center"/>
          </w:tcPr>
          <w:p w14:paraId="285A1B4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414" w:type="pct"/>
            <w:shd w:val="clear" w:color="auto" w:fill="auto"/>
            <w:vAlign w:val="center"/>
          </w:tcPr>
          <w:p w14:paraId="2CA18B6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5440BD3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396" w:type="pct"/>
            <w:shd w:val="clear" w:color="auto" w:fill="auto"/>
            <w:vAlign w:val="center"/>
          </w:tcPr>
          <w:p w14:paraId="4909513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125" w:type="dxa"/>
            <w:shd w:val="clear" w:color="auto" w:fill="auto"/>
            <w:vAlign w:val="center"/>
          </w:tcPr>
          <w:p w14:paraId="70308C3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145" w:type="dxa"/>
            <w:shd w:val="clear" w:color="auto" w:fill="auto"/>
            <w:vAlign w:val="center"/>
          </w:tcPr>
          <w:p w14:paraId="55495BC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370" w:type="pct"/>
            <w:shd w:val="clear" w:color="auto" w:fill="auto"/>
            <w:vAlign w:val="center"/>
          </w:tcPr>
          <w:p w14:paraId="4802C581">
            <w:pPr>
              <w:spacing w:before="74"/>
              <w:jc w:val="center"/>
              <w:rPr>
                <w:rFonts w:ascii="Times New Roman" w:hAnsi="Times New Roman" w:eastAsia="宋体" w:cs="Times New Roman"/>
                <w:caps w:val="0"/>
                <w:smallCaps w:val="0"/>
                <w:color w:val="auto"/>
                <w:spacing w:val="0"/>
                <w:sz w:val="21"/>
                <w:highlight w:val="none"/>
              </w:rPr>
            </w:pPr>
          </w:p>
        </w:tc>
        <w:tc>
          <w:tcPr>
            <w:tcW w:w="407" w:type="pct"/>
            <w:shd w:val="clear" w:color="auto" w:fill="auto"/>
            <w:vAlign w:val="center"/>
          </w:tcPr>
          <w:p w14:paraId="177F968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1124" w:type="dxa"/>
            <w:shd w:val="clear" w:color="auto" w:fill="auto"/>
            <w:vAlign w:val="center"/>
          </w:tcPr>
          <w:p w14:paraId="716E681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-4</w:t>
            </w:r>
          </w:p>
        </w:tc>
        <w:tc>
          <w:tcPr>
            <w:tcW w:w="1220" w:type="dxa"/>
            <w:shd w:val="clear" w:color="auto" w:fill="auto"/>
            <w:vAlign w:val="center"/>
          </w:tcPr>
          <w:p w14:paraId="3EF2B07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08A0002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26" w:hRule="atLeast"/>
          <w:jc w:val="center"/>
        </w:trPr>
        <w:tc>
          <w:tcPr>
            <w:tcW w:w="248" w:type="pct"/>
            <w:shd w:val="clear" w:color="auto" w:fill="auto"/>
            <w:vAlign w:val="center"/>
          </w:tcPr>
          <w:p w14:paraId="7621DB82">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w:t>
            </w:r>
          </w:p>
        </w:tc>
        <w:tc>
          <w:tcPr>
            <w:tcW w:w="388" w:type="pct"/>
            <w:shd w:val="clear" w:color="auto" w:fill="auto"/>
            <w:vAlign w:val="center"/>
          </w:tcPr>
          <w:p w14:paraId="698022E8">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1.69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07" w:type="pct"/>
            <w:shd w:val="clear" w:color="auto" w:fill="auto"/>
            <w:vAlign w:val="center"/>
          </w:tcPr>
          <w:p w14:paraId="64C536D2">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0.04</w:t>
            </w:r>
          </w:p>
        </w:tc>
        <w:tc>
          <w:tcPr>
            <w:tcW w:w="1102" w:type="dxa"/>
            <w:shd w:val="clear" w:color="auto" w:fill="auto"/>
            <w:vAlign w:val="center"/>
          </w:tcPr>
          <w:p w14:paraId="208267D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96" w:type="dxa"/>
            <w:shd w:val="clear" w:color="auto" w:fill="auto"/>
            <w:vAlign w:val="center"/>
          </w:tcPr>
          <w:p w14:paraId="0CB2AEFB">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0091018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2.47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396" w:type="pct"/>
            <w:shd w:val="clear" w:color="auto" w:fill="auto"/>
            <w:vAlign w:val="center"/>
          </w:tcPr>
          <w:p w14:paraId="7183439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55C332A0">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2.47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59139758">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7B14DF4B">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2.00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407" w:type="pct"/>
            <w:shd w:val="clear" w:color="auto" w:fill="auto"/>
            <w:vAlign w:val="center"/>
          </w:tcPr>
          <w:p w14:paraId="63ABCDFE">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78A0E74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-4</w:t>
            </w:r>
          </w:p>
        </w:tc>
        <w:tc>
          <w:tcPr>
            <w:tcW w:w="1227" w:type="dxa"/>
            <w:shd w:val="clear" w:color="auto" w:fill="auto"/>
            <w:vAlign w:val="center"/>
          </w:tcPr>
          <w:p w14:paraId="786A299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0B07C9E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49D3737A">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98</w:t>
            </w:r>
          </w:p>
        </w:tc>
        <w:tc>
          <w:tcPr>
            <w:tcW w:w="388" w:type="pct"/>
            <w:shd w:val="clear" w:color="auto" w:fill="auto"/>
            <w:vAlign w:val="center"/>
          </w:tcPr>
          <w:p w14:paraId="0FACC54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2.22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07" w:type="pct"/>
            <w:shd w:val="clear" w:color="auto" w:fill="auto"/>
            <w:vAlign w:val="center"/>
          </w:tcPr>
          <w:p w14:paraId="18C1F109">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0.05</w:t>
            </w:r>
          </w:p>
        </w:tc>
        <w:tc>
          <w:tcPr>
            <w:tcW w:w="381" w:type="pct"/>
            <w:shd w:val="clear" w:color="auto" w:fill="auto"/>
            <w:vAlign w:val="center"/>
          </w:tcPr>
          <w:p w14:paraId="37253A3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14" w:type="pct"/>
            <w:shd w:val="clear" w:color="auto" w:fill="auto"/>
            <w:vAlign w:val="center"/>
          </w:tcPr>
          <w:p w14:paraId="4AF9126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383" w:type="pct"/>
            <w:shd w:val="clear" w:color="auto" w:fill="auto"/>
            <w:vAlign w:val="center"/>
          </w:tcPr>
          <w:p w14:paraId="6BCA910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396" w:type="pct"/>
            <w:shd w:val="clear" w:color="auto" w:fill="auto"/>
            <w:vAlign w:val="center"/>
          </w:tcPr>
          <w:p w14:paraId="28FF0CB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125" w:type="dxa"/>
            <w:shd w:val="clear" w:color="auto" w:fill="auto"/>
            <w:vAlign w:val="center"/>
          </w:tcPr>
          <w:p w14:paraId="796A28D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145" w:type="dxa"/>
            <w:shd w:val="clear" w:color="auto" w:fill="auto"/>
            <w:vAlign w:val="center"/>
          </w:tcPr>
          <w:p w14:paraId="4AE3A4E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370" w:type="pct"/>
            <w:shd w:val="clear" w:color="auto" w:fill="auto"/>
            <w:vAlign w:val="center"/>
          </w:tcPr>
          <w:p w14:paraId="5405DBB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07" w:type="pct"/>
            <w:shd w:val="clear" w:color="auto" w:fill="auto"/>
            <w:vAlign w:val="center"/>
          </w:tcPr>
          <w:p w14:paraId="702402E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389" w:type="pct"/>
            <w:shd w:val="clear" w:color="auto" w:fill="auto"/>
            <w:vAlign w:val="center"/>
          </w:tcPr>
          <w:p w14:paraId="3ED90E6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22" w:type="pct"/>
            <w:shd w:val="clear" w:color="auto" w:fill="auto"/>
            <w:vAlign w:val="center"/>
          </w:tcPr>
          <w:p w14:paraId="3D760AB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r>
      <w:tr w14:paraId="11A8D1A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248" w:type="pct"/>
            <w:shd w:val="clear" w:color="auto" w:fill="auto"/>
            <w:vAlign w:val="center"/>
          </w:tcPr>
          <w:p w14:paraId="2D67FF24">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w:t>
            </w:r>
          </w:p>
        </w:tc>
        <w:tc>
          <w:tcPr>
            <w:tcW w:w="388" w:type="pct"/>
            <w:shd w:val="clear" w:color="auto" w:fill="auto"/>
            <w:vAlign w:val="center"/>
          </w:tcPr>
          <w:p w14:paraId="7139946F">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2.22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07" w:type="pct"/>
            <w:shd w:val="clear" w:color="auto" w:fill="auto"/>
            <w:vAlign w:val="center"/>
          </w:tcPr>
          <w:p w14:paraId="67A4C83F">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0.05</w:t>
            </w:r>
          </w:p>
        </w:tc>
        <w:tc>
          <w:tcPr>
            <w:tcW w:w="381" w:type="pct"/>
            <w:shd w:val="clear" w:color="auto" w:fill="auto"/>
            <w:vAlign w:val="center"/>
          </w:tcPr>
          <w:p w14:paraId="43F224B2">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1.27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414" w:type="pct"/>
            <w:shd w:val="clear" w:color="auto" w:fill="auto"/>
            <w:vAlign w:val="center"/>
          </w:tcPr>
          <w:p w14:paraId="32B9AD8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2D45C563">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2.39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396" w:type="pct"/>
            <w:shd w:val="clear" w:color="auto" w:fill="auto"/>
            <w:vAlign w:val="center"/>
          </w:tcPr>
          <w:p w14:paraId="086223C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5AFC31AA">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2.39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19EFFED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698737B8">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1.96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77" w:type="dxa"/>
            <w:shd w:val="clear" w:color="auto" w:fill="auto"/>
            <w:vAlign w:val="center"/>
          </w:tcPr>
          <w:p w14:paraId="012586C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4CDE4B7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1.37×10</w:t>
            </w:r>
            <w:r>
              <w:rPr>
                <w:rFonts w:ascii="Times New Roman" w:hAnsi="Times New Roman" w:eastAsia="宋体" w:cs="Times New Roman"/>
                <w:caps w:val="0"/>
                <w:smallCaps w:val="0"/>
                <w:color w:val="auto"/>
                <w:spacing w:val="0"/>
                <w:sz w:val="21"/>
                <w:highlight w:val="none"/>
                <w:vertAlign w:val="superscript"/>
              </w:rPr>
              <w:t>-4</w:t>
            </w:r>
          </w:p>
        </w:tc>
        <w:tc>
          <w:tcPr>
            <w:tcW w:w="1227" w:type="dxa"/>
            <w:shd w:val="clear" w:color="auto" w:fill="auto"/>
            <w:vAlign w:val="center"/>
          </w:tcPr>
          <w:p w14:paraId="01E5EF1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254B07E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308BEDAB">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w:t>
            </w:r>
          </w:p>
        </w:tc>
        <w:tc>
          <w:tcPr>
            <w:tcW w:w="388" w:type="pct"/>
            <w:shd w:val="clear" w:color="auto" w:fill="auto"/>
            <w:vAlign w:val="center"/>
          </w:tcPr>
          <w:p w14:paraId="0AA507A1">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1.81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07" w:type="pct"/>
            <w:shd w:val="clear" w:color="auto" w:fill="auto"/>
            <w:vAlign w:val="center"/>
          </w:tcPr>
          <w:p w14:paraId="3F2A3C39">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0.04</w:t>
            </w:r>
          </w:p>
        </w:tc>
        <w:tc>
          <w:tcPr>
            <w:tcW w:w="381" w:type="pct"/>
            <w:shd w:val="clear" w:color="auto" w:fill="auto"/>
            <w:vAlign w:val="center"/>
          </w:tcPr>
          <w:p w14:paraId="065B15D5">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9.18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414" w:type="pct"/>
            <w:shd w:val="clear" w:color="auto" w:fill="auto"/>
            <w:vAlign w:val="center"/>
          </w:tcPr>
          <w:p w14:paraId="1131355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607D7BB8">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1.57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396" w:type="pct"/>
            <w:shd w:val="clear" w:color="auto" w:fill="auto"/>
            <w:vAlign w:val="center"/>
          </w:tcPr>
          <w:p w14:paraId="619F5FFB">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6BFA82C4">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1.57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0C8944A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5E9E1CC5">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77" w:type="dxa"/>
            <w:shd w:val="clear" w:color="auto" w:fill="auto"/>
            <w:vAlign w:val="center"/>
          </w:tcPr>
          <w:p w14:paraId="6F3493AD">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54D1781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9.89×10</w:t>
            </w:r>
            <w:r>
              <w:rPr>
                <w:rFonts w:ascii="Times New Roman" w:hAnsi="Times New Roman" w:eastAsia="宋体" w:cs="Times New Roman"/>
                <w:caps w:val="0"/>
                <w:smallCaps w:val="0"/>
                <w:color w:val="auto"/>
                <w:spacing w:val="0"/>
                <w:sz w:val="21"/>
                <w:highlight w:val="none"/>
                <w:vertAlign w:val="superscript"/>
              </w:rPr>
              <w:t>-5</w:t>
            </w:r>
          </w:p>
        </w:tc>
        <w:tc>
          <w:tcPr>
            <w:tcW w:w="1227" w:type="dxa"/>
            <w:shd w:val="clear" w:color="auto" w:fill="auto"/>
            <w:vAlign w:val="center"/>
          </w:tcPr>
          <w:p w14:paraId="1450784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55E2AE6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7F7379E7">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300</w:t>
            </w:r>
          </w:p>
        </w:tc>
        <w:tc>
          <w:tcPr>
            <w:tcW w:w="388" w:type="pct"/>
            <w:shd w:val="clear" w:color="auto" w:fill="auto"/>
            <w:vAlign w:val="center"/>
          </w:tcPr>
          <w:p w14:paraId="2EEE677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7.56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07" w:type="pct"/>
            <w:shd w:val="clear" w:color="auto" w:fill="auto"/>
            <w:vAlign w:val="center"/>
          </w:tcPr>
          <w:p w14:paraId="3E85F337">
            <w:pPr>
              <w:spacing w:before="74"/>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0.02</w:t>
            </w:r>
          </w:p>
        </w:tc>
        <w:tc>
          <w:tcPr>
            <w:tcW w:w="381" w:type="pct"/>
            <w:shd w:val="clear" w:color="auto" w:fill="auto"/>
            <w:vAlign w:val="center"/>
          </w:tcPr>
          <w:p w14:paraId="614C6932">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3.63</w:t>
            </w:r>
            <w:r>
              <w:rPr>
                <w:rFonts w:ascii="Times New Roman" w:hAnsi="Times New Roman" w:eastAsia="宋体" w:cs="Times New Roman"/>
                <w:caps w:val="0"/>
                <w:smallCaps w:val="0"/>
                <w:color w:val="auto"/>
                <w:spacing w:val="0"/>
                <w:sz w:val="21"/>
                <w:highlight w:val="none"/>
              </w:rPr>
              <w:t>×10</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414" w:type="pct"/>
            <w:shd w:val="clear" w:color="auto" w:fill="auto"/>
            <w:vAlign w:val="center"/>
          </w:tcPr>
          <w:p w14:paraId="62E6BFAD">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23A7763F">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5.66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396" w:type="pct"/>
            <w:shd w:val="clear" w:color="auto" w:fill="auto"/>
            <w:vAlign w:val="center"/>
          </w:tcPr>
          <w:p w14:paraId="2E851A6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3F11447E">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5.66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45" w:type="dxa"/>
            <w:shd w:val="clear" w:color="auto" w:fill="auto"/>
            <w:vAlign w:val="center"/>
          </w:tcPr>
          <w:p w14:paraId="79E0A405">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2C0DA25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5.24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77" w:type="dxa"/>
            <w:shd w:val="clear" w:color="auto" w:fill="auto"/>
            <w:vAlign w:val="center"/>
          </w:tcPr>
          <w:p w14:paraId="556B903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769E208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3.91×10</w:t>
            </w:r>
            <w:r>
              <w:rPr>
                <w:rFonts w:ascii="Times New Roman" w:hAnsi="Times New Roman" w:eastAsia="宋体" w:cs="Times New Roman"/>
                <w:caps w:val="0"/>
                <w:smallCaps w:val="0"/>
                <w:color w:val="auto"/>
                <w:spacing w:val="0"/>
                <w:sz w:val="21"/>
                <w:highlight w:val="none"/>
                <w:vertAlign w:val="superscript"/>
              </w:rPr>
              <w:t>-5</w:t>
            </w:r>
          </w:p>
        </w:tc>
        <w:tc>
          <w:tcPr>
            <w:tcW w:w="1227" w:type="dxa"/>
            <w:shd w:val="clear" w:color="auto" w:fill="auto"/>
            <w:vAlign w:val="center"/>
          </w:tcPr>
          <w:p w14:paraId="74985F4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544B19F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184E70E8">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w:t>
            </w:r>
          </w:p>
        </w:tc>
        <w:tc>
          <w:tcPr>
            <w:tcW w:w="388" w:type="pct"/>
            <w:shd w:val="clear" w:color="auto" w:fill="auto"/>
            <w:vAlign w:val="center"/>
          </w:tcPr>
          <w:p w14:paraId="21335618">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3.62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07" w:type="pct"/>
            <w:shd w:val="clear" w:color="auto" w:fill="auto"/>
            <w:vAlign w:val="center"/>
          </w:tcPr>
          <w:p w14:paraId="6C704ECC">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0.02</w:t>
            </w:r>
          </w:p>
        </w:tc>
        <w:tc>
          <w:tcPr>
            <w:tcW w:w="381" w:type="pct"/>
            <w:shd w:val="clear" w:color="auto" w:fill="auto"/>
            <w:vAlign w:val="center"/>
          </w:tcPr>
          <w:p w14:paraId="7E7A91E4">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.6</w:t>
            </w:r>
            <w:r>
              <w:rPr>
                <w:rFonts w:ascii="Times New Roman" w:hAnsi="Times New Roman" w:eastAsia="宋体" w:cs="Times New Roman"/>
                <w:caps w:val="0"/>
                <w:smallCaps w:val="0"/>
                <w:color w:val="auto"/>
                <w:spacing w:val="0"/>
                <w:sz w:val="21"/>
                <w:highlight w:val="none"/>
              </w:rPr>
              <w:t>3×10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414" w:type="pct"/>
            <w:shd w:val="clear" w:color="auto" w:fill="auto"/>
            <w:vAlign w:val="center"/>
          </w:tcPr>
          <w:p w14:paraId="48E3A49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4A4638F0">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2.53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396" w:type="pct"/>
            <w:shd w:val="clear" w:color="auto" w:fill="auto"/>
            <w:vAlign w:val="center"/>
          </w:tcPr>
          <w:p w14:paraId="6CFB6D1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35DBDEB3">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2.53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45" w:type="dxa"/>
            <w:shd w:val="clear" w:color="auto" w:fill="auto"/>
            <w:vAlign w:val="center"/>
          </w:tcPr>
          <w:p w14:paraId="1D890F5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0DBE75F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2.37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77" w:type="dxa"/>
            <w:shd w:val="clear" w:color="auto" w:fill="auto"/>
            <w:vAlign w:val="center"/>
          </w:tcPr>
          <w:p w14:paraId="36EF136B">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68DEE88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1.78×10</w:t>
            </w:r>
            <w:r>
              <w:rPr>
                <w:rFonts w:ascii="Times New Roman" w:hAnsi="Times New Roman" w:eastAsia="宋体" w:cs="Times New Roman"/>
                <w:caps w:val="0"/>
                <w:smallCaps w:val="0"/>
                <w:color w:val="auto"/>
                <w:spacing w:val="0"/>
                <w:sz w:val="21"/>
                <w:highlight w:val="none"/>
                <w:vertAlign w:val="superscript"/>
              </w:rPr>
              <w:t>-5</w:t>
            </w:r>
          </w:p>
        </w:tc>
        <w:tc>
          <w:tcPr>
            <w:tcW w:w="1227" w:type="dxa"/>
            <w:shd w:val="clear" w:color="auto" w:fill="auto"/>
            <w:vAlign w:val="center"/>
          </w:tcPr>
          <w:p w14:paraId="3818F8F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1C85DB4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6CC7FA44">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750</w:t>
            </w:r>
          </w:p>
        </w:tc>
        <w:tc>
          <w:tcPr>
            <w:tcW w:w="388" w:type="pct"/>
            <w:shd w:val="clear" w:color="auto" w:fill="auto"/>
            <w:vAlign w:val="center"/>
          </w:tcPr>
          <w:p w14:paraId="345F14B8">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1.90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07" w:type="pct"/>
            <w:shd w:val="clear" w:color="auto" w:fill="auto"/>
            <w:vAlign w:val="center"/>
          </w:tcPr>
          <w:p w14:paraId="2B98E512">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2C311155">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8.53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14" w:type="pct"/>
            <w:shd w:val="clear" w:color="auto" w:fill="auto"/>
            <w:vAlign w:val="center"/>
          </w:tcPr>
          <w:p w14:paraId="659232B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6722C4DE">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396" w:type="pct"/>
            <w:shd w:val="clear" w:color="auto" w:fill="auto"/>
            <w:vAlign w:val="center"/>
          </w:tcPr>
          <w:p w14:paraId="0F568BC5">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5FC8881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45" w:type="dxa"/>
            <w:shd w:val="clear" w:color="auto" w:fill="auto"/>
            <w:vAlign w:val="center"/>
          </w:tcPr>
          <w:p w14:paraId="4CAF13D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28BE036A">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22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3</w:t>
            </w:r>
          </w:p>
        </w:tc>
        <w:tc>
          <w:tcPr>
            <w:tcW w:w="1177" w:type="dxa"/>
            <w:shd w:val="clear" w:color="auto" w:fill="auto"/>
            <w:vAlign w:val="center"/>
          </w:tcPr>
          <w:p w14:paraId="3CADD90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7DD5F1A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9.19×10</w:t>
            </w:r>
            <w:r>
              <w:rPr>
                <w:rFonts w:ascii="Times New Roman" w:hAnsi="Times New Roman" w:eastAsia="宋体" w:cs="Times New Roman"/>
                <w:caps w:val="0"/>
                <w:smallCaps w:val="0"/>
                <w:color w:val="auto"/>
                <w:spacing w:val="0"/>
                <w:sz w:val="21"/>
                <w:highlight w:val="none"/>
                <w:vertAlign w:val="superscript"/>
              </w:rPr>
              <w:t>-6</w:t>
            </w:r>
          </w:p>
        </w:tc>
        <w:tc>
          <w:tcPr>
            <w:tcW w:w="1227" w:type="dxa"/>
            <w:shd w:val="clear" w:color="auto" w:fill="auto"/>
            <w:vAlign w:val="center"/>
          </w:tcPr>
          <w:p w14:paraId="2CEEFD9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63F3AD5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6530DF9F">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w:t>
            </w:r>
          </w:p>
        </w:tc>
        <w:tc>
          <w:tcPr>
            <w:tcW w:w="388" w:type="pct"/>
            <w:shd w:val="clear" w:color="auto" w:fill="auto"/>
            <w:vAlign w:val="center"/>
          </w:tcPr>
          <w:p w14:paraId="606D4C59">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1.20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07" w:type="pct"/>
            <w:shd w:val="clear" w:color="auto" w:fill="auto"/>
            <w:vAlign w:val="center"/>
          </w:tcPr>
          <w:p w14:paraId="5F1AC9F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27E46683">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5.</w:t>
            </w:r>
            <w:r>
              <w:rPr>
                <w:rFonts w:hint="eastAsia" w:ascii="Times New Roman" w:hAnsi="Times New Roman" w:eastAsia="宋体" w:cs="Times New Roman"/>
                <w:caps w:val="0"/>
                <w:smallCaps w:val="0"/>
                <w:color w:val="auto"/>
                <w:spacing w:val="0"/>
                <w:sz w:val="21"/>
                <w:highlight w:val="none"/>
                <w:lang w:val="en-US" w:eastAsia="zh-CN"/>
              </w:rPr>
              <w:t>33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14" w:type="pct"/>
            <w:shd w:val="clear" w:color="auto" w:fill="auto"/>
            <w:vAlign w:val="center"/>
          </w:tcPr>
          <w:p w14:paraId="5D08C11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7E7496D3">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8.11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396" w:type="pct"/>
            <w:shd w:val="clear" w:color="auto" w:fill="auto"/>
            <w:vAlign w:val="center"/>
          </w:tcPr>
          <w:p w14:paraId="1803910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0EE1BEA3">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8.11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145" w:type="dxa"/>
            <w:shd w:val="clear" w:color="auto" w:fill="auto"/>
            <w:vAlign w:val="center"/>
          </w:tcPr>
          <w:p w14:paraId="1A69097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32FBCA7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7.65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177" w:type="dxa"/>
            <w:shd w:val="clear" w:color="auto" w:fill="auto"/>
            <w:vAlign w:val="center"/>
          </w:tcPr>
          <w:p w14:paraId="11D0A13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2C61232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5.74×10</w:t>
            </w:r>
            <w:r>
              <w:rPr>
                <w:rFonts w:ascii="Times New Roman" w:hAnsi="Times New Roman" w:eastAsia="宋体" w:cs="Times New Roman"/>
                <w:caps w:val="0"/>
                <w:smallCaps w:val="0"/>
                <w:color w:val="auto"/>
                <w:spacing w:val="0"/>
                <w:sz w:val="21"/>
                <w:highlight w:val="none"/>
                <w:vertAlign w:val="superscript"/>
              </w:rPr>
              <w:t>-6</w:t>
            </w:r>
          </w:p>
        </w:tc>
        <w:tc>
          <w:tcPr>
            <w:tcW w:w="1227" w:type="dxa"/>
            <w:shd w:val="clear" w:color="auto" w:fill="auto"/>
            <w:vAlign w:val="center"/>
          </w:tcPr>
          <w:p w14:paraId="22BBC94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5D09F37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44005BB8">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w:t>
            </w:r>
          </w:p>
        </w:tc>
        <w:tc>
          <w:tcPr>
            <w:tcW w:w="388" w:type="pct"/>
            <w:shd w:val="clear" w:color="auto" w:fill="auto"/>
            <w:vAlign w:val="center"/>
          </w:tcPr>
          <w:p w14:paraId="43EC16FC">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2.78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407" w:type="pct"/>
            <w:shd w:val="clear" w:color="auto" w:fill="auto"/>
            <w:vAlign w:val="center"/>
          </w:tcPr>
          <w:p w14:paraId="473D97A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2DEF8B4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24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414" w:type="pct"/>
            <w:shd w:val="clear" w:color="auto" w:fill="auto"/>
            <w:vAlign w:val="center"/>
          </w:tcPr>
          <w:p w14:paraId="18E67A4D">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756EF0C7">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1.89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396" w:type="pct"/>
            <w:shd w:val="clear" w:color="auto" w:fill="auto"/>
            <w:vAlign w:val="center"/>
          </w:tcPr>
          <w:p w14:paraId="33E79A7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1D3C15D7">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1.89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145" w:type="dxa"/>
            <w:shd w:val="clear" w:color="auto" w:fill="auto"/>
            <w:vAlign w:val="center"/>
          </w:tcPr>
          <w:p w14:paraId="5766E24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1B68B56F">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1.78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177" w:type="dxa"/>
            <w:shd w:val="clear" w:color="auto" w:fill="auto"/>
            <w:vAlign w:val="center"/>
          </w:tcPr>
          <w:p w14:paraId="5FB69F3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23BEBE2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1.34×10</w:t>
            </w:r>
            <w:r>
              <w:rPr>
                <w:rFonts w:ascii="Times New Roman" w:hAnsi="Times New Roman" w:eastAsia="宋体" w:cs="Times New Roman"/>
                <w:caps w:val="0"/>
                <w:smallCaps w:val="0"/>
                <w:color w:val="auto"/>
                <w:spacing w:val="0"/>
                <w:sz w:val="21"/>
                <w:highlight w:val="none"/>
                <w:vertAlign w:val="superscript"/>
              </w:rPr>
              <w:t>-6</w:t>
            </w:r>
          </w:p>
        </w:tc>
        <w:tc>
          <w:tcPr>
            <w:tcW w:w="1227" w:type="dxa"/>
            <w:shd w:val="clear" w:color="auto" w:fill="auto"/>
            <w:vAlign w:val="center"/>
          </w:tcPr>
          <w:p w14:paraId="10EE5E2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4F3F67A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407A221A">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5000</w:t>
            </w:r>
          </w:p>
        </w:tc>
        <w:tc>
          <w:tcPr>
            <w:tcW w:w="388" w:type="pct"/>
            <w:shd w:val="clear" w:color="auto" w:fill="auto"/>
            <w:vAlign w:val="center"/>
          </w:tcPr>
          <w:p w14:paraId="57851E3B">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9.62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407" w:type="pct"/>
            <w:shd w:val="clear" w:color="auto" w:fill="auto"/>
            <w:vAlign w:val="center"/>
          </w:tcPr>
          <w:p w14:paraId="2795936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1F74A79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4.</w:t>
            </w:r>
            <w:r>
              <w:rPr>
                <w:rFonts w:hint="eastAsia" w:ascii="Times New Roman" w:hAnsi="Times New Roman" w:eastAsia="宋体" w:cs="Times New Roman"/>
                <w:caps w:val="0"/>
                <w:smallCaps w:val="0"/>
                <w:color w:val="auto"/>
                <w:spacing w:val="0"/>
                <w:sz w:val="21"/>
                <w:highlight w:val="none"/>
                <w:lang w:val="en-US" w:eastAsia="zh-CN"/>
              </w:rPr>
              <w:t>32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14" w:type="pct"/>
            <w:shd w:val="clear" w:color="auto" w:fill="auto"/>
            <w:vAlign w:val="center"/>
          </w:tcPr>
          <w:p w14:paraId="006C036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5298712A">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6.58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396" w:type="pct"/>
            <w:shd w:val="clear" w:color="auto" w:fill="auto"/>
            <w:vAlign w:val="center"/>
          </w:tcPr>
          <w:p w14:paraId="250769B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4950C5DA">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6.58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45" w:type="dxa"/>
            <w:shd w:val="clear" w:color="auto" w:fill="auto"/>
            <w:vAlign w:val="center"/>
          </w:tcPr>
          <w:p w14:paraId="58745D5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1728D32E">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6.20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77" w:type="dxa"/>
            <w:shd w:val="clear" w:color="auto" w:fill="auto"/>
            <w:vAlign w:val="center"/>
          </w:tcPr>
          <w:p w14:paraId="7FA96F5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09EF302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4.65×10</w:t>
            </w:r>
            <w:r>
              <w:rPr>
                <w:rFonts w:ascii="Times New Roman" w:hAnsi="Times New Roman" w:eastAsia="宋体" w:cs="Times New Roman"/>
                <w:caps w:val="0"/>
                <w:smallCaps w:val="0"/>
                <w:color w:val="auto"/>
                <w:spacing w:val="0"/>
                <w:sz w:val="21"/>
                <w:highlight w:val="none"/>
                <w:vertAlign w:val="superscript"/>
              </w:rPr>
              <w:t>-7</w:t>
            </w:r>
          </w:p>
        </w:tc>
        <w:tc>
          <w:tcPr>
            <w:tcW w:w="1227" w:type="dxa"/>
            <w:shd w:val="clear" w:color="auto" w:fill="auto"/>
            <w:vAlign w:val="center"/>
          </w:tcPr>
          <w:p w14:paraId="7F87062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3F7082A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0A346150">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10000</w:t>
            </w:r>
          </w:p>
        </w:tc>
        <w:tc>
          <w:tcPr>
            <w:tcW w:w="388" w:type="pct"/>
            <w:shd w:val="clear" w:color="auto" w:fill="auto"/>
            <w:vAlign w:val="center"/>
          </w:tcPr>
          <w:p w14:paraId="7691E194">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3.44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407" w:type="pct"/>
            <w:shd w:val="clear" w:color="auto" w:fill="auto"/>
            <w:vAlign w:val="center"/>
          </w:tcPr>
          <w:p w14:paraId="4C36CF8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14F2DB2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63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14" w:type="pct"/>
            <w:shd w:val="clear" w:color="auto" w:fill="auto"/>
            <w:vAlign w:val="center"/>
          </w:tcPr>
          <w:p w14:paraId="7F7BEF3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738F5111">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2.58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396" w:type="pct"/>
            <w:shd w:val="clear" w:color="auto" w:fill="auto"/>
            <w:vAlign w:val="center"/>
          </w:tcPr>
          <w:p w14:paraId="2FBC74FD">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0A8D5927">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2.58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45" w:type="dxa"/>
            <w:shd w:val="clear" w:color="auto" w:fill="auto"/>
            <w:vAlign w:val="center"/>
          </w:tcPr>
          <w:p w14:paraId="71A9F20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67F2A3C7">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2.37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77" w:type="dxa"/>
            <w:shd w:val="clear" w:color="auto" w:fill="auto"/>
            <w:vAlign w:val="center"/>
          </w:tcPr>
          <w:p w14:paraId="7E3CE0DC">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2D8498E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1.67×10</w:t>
            </w:r>
            <w:r>
              <w:rPr>
                <w:rFonts w:ascii="Times New Roman" w:hAnsi="Times New Roman" w:eastAsia="宋体" w:cs="Times New Roman"/>
                <w:caps w:val="0"/>
                <w:smallCaps w:val="0"/>
                <w:color w:val="auto"/>
                <w:spacing w:val="0"/>
                <w:sz w:val="21"/>
                <w:highlight w:val="none"/>
                <w:vertAlign w:val="superscript"/>
              </w:rPr>
              <w:t>-7</w:t>
            </w:r>
          </w:p>
        </w:tc>
        <w:tc>
          <w:tcPr>
            <w:tcW w:w="1227" w:type="dxa"/>
            <w:shd w:val="clear" w:color="auto" w:fill="auto"/>
            <w:vAlign w:val="center"/>
          </w:tcPr>
          <w:p w14:paraId="0563345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549CDA5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61AFFBA8">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15000</w:t>
            </w:r>
          </w:p>
        </w:tc>
        <w:tc>
          <w:tcPr>
            <w:tcW w:w="388" w:type="pct"/>
            <w:shd w:val="clear" w:color="auto" w:fill="auto"/>
            <w:vAlign w:val="center"/>
          </w:tcPr>
          <w:p w14:paraId="2C74526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2.49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407" w:type="pct"/>
            <w:shd w:val="clear" w:color="auto" w:fill="auto"/>
            <w:vAlign w:val="center"/>
          </w:tcPr>
          <w:p w14:paraId="4A0285D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145FB34E">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1.19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414" w:type="pct"/>
            <w:shd w:val="clear" w:color="auto" w:fill="auto"/>
            <w:vAlign w:val="center"/>
          </w:tcPr>
          <w:p w14:paraId="13CB079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504D995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88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396" w:type="pct"/>
            <w:shd w:val="clear" w:color="auto" w:fill="auto"/>
            <w:vAlign w:val="center"/>
          </w:tcPr>
          <w:p w14:paraId="7CDFBC0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5718A20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88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45" w:type="dxa"/>
            <w:shd w:val="clear" w:color="auto" w:fill="auto"/>
            <w:vAlign w:val="center"/>
          </w:tcPr>
          <w:p w14:paraId="272AA4B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1952B10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1.7</w:t>
            </w:r>
            <w:r>
              <w:rPr>
                <w:rFonts w:hint="eastAsia" w:ascii="Times New Roman" w:hAnsi="Times New Roman" w:eastAsia="宋体" w:cs="Times New Roman"/>
                <w:caps w:val="0"/>
                <w:smallCaps w:val="0"/>
                <w:color w:val="auto"/>
                <w:spacing w:val="0"/>
                <w:sz w:val="21"/>
                <w:highlight w:val="none"/>
                <w:lang w:val="en-US" w:eastAsia="zh-CN"/>
              </w:rPr>
              <w:t>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77" w:type="dxa"/>
            <w:shd w:val="clear" w:color="auto" w:fill="auto"/>
            <w:vAlign w:val="center"/>
          </w:tcPr>
          <w:p w14:paraId="76A1A95F">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7F99060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9.23×10</w:t>
            </w:r>
            <w:r>
              <w:rPr>
                <w:rFonts w:ascii="Times New Roman" w:hAnsi="Times New Roman" w:eastAsia="宋体" w:cs="Times New Roman"/>
                <w:caps w:val="0"/>
                <w:smallCaps w:val="0"/>
                <w:color w:val="auto"/>
                <w:spacing w:val="0"/>
                <w:sz w:val="21"/>
                <w:highlight w:val="none"/>
                <w:vertAlign w:val="superscript"/>
              </w:rPr>
              <w:t>-8</w:t>
            </w:r>
          </w:p>
        </w:tc>
        <w:tc>
          <w:tcPr>
            <w:tcW w:w="1227" w:type="dxa"/>
            <w:shd w:val="clear" w:color="auto" w:fill="auto"/>
            <w:vAlign w:val="center"/>
          </w:tcPr>
          <w:p w14:paraId="37F25399">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7E04DA5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100E9D7A">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20000</w:t>
            </w:r>
          </w:p>
        </w:tc>
        <w:tc>
          <w:tcPr>
            <w:tcW w:w="388" w:type="pct"/>
            <w:shd w:val="clear" w:color="auto" w:fill="auto"/>
            <w:vAlign w:val="center"/>
          </w:tcPr>
          <w:p w14:paraId="26D355AA">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1.99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407" w:type="pct"/>
            <w:shd w:val="clear" w:color="auto" w:fill="auto"/>
            <w:vAlign w:val="center"/>
          </w:tcPr>
          <w:p w14:paraId="6A3781F5">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69858C5B">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9.55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414" w:type="pct"/>
            <w:shd w:val="clear" w:color="auto" w:fill="auto"/>
            <w:vAlign w:val="center"/>
          </w:tcPr>
          <w:p w14:paraId="39420DC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13C9DE00">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49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396" w:type="pct"/>
            <w:shd w:val="clear" w:color="auto" w:fill="auto"/>
            <w:vAlign w:val="center"/>
          </w:tcPr>
          <w:p w14:paraId="1C881E68">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5C86CCB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49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45" w:type="dxa"/>
            <w:shd w:val="clear" w:color="auto" w:fill="auto"/>
            <w:vAlign w:val="center"/>
          </w:tcPr>
          <w:p w14:paraId="1A3F38B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19DA638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77" w:type="dxa"/>
            <w:shd w:val="clear" w:color="auto" w:fill="auto"/>
            <w:vAlign w:val="center"/>
          </w:tcPr>
          <w:p w14:paraId="61A5619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3055749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6.12×10</w:t>
            </w:r>
            <w:r>
              <w:rPr>
                <w:rFonts w:ascii="Times New Roman" w:hAnsi="Times New Roman" w:eastAsia="宋体" w:cs="Times New Roman"/>
                <w:caps w:val="0"/>
                <w:smallCaps w:val="0"/>
                <w:color w:val="auto"/>
                <w:spacing w:val="0"/>
                <w:sz w:val="21"/>
                <w:highlight w:val="none"/>
                <w:vertAlign w:val="superscript"/>
              </w:rPr>
              <w:t>-8</w:t>
            </w:r>
          </w:p>
        </w:tc>
        <w:tc>
          <w:tcPr>
            <w:tcW w:w="1227" w:type="dxa"/>
            <w:shd w:val="clear" w:color="auto" w:fill="auto"/>
            <w:vAlign w:val="center"/>
          </w:tcPr>
          <w:p w14:paraId="711146FC">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7E1CE0E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7BFB761C">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25000</w:t>
            </w:r>
          </w:p>
        </w:tc>
        <w:tc>
          <w:tcPr>
            <w:tcW w:w="388" w:type="pct"/>
            <w:shd w:val="clear" w:color="auto" w:fill="auto"/>
            <w:vAlign w:val="center"/>
          </w:tcPr>
          <w:p w14:paraId="666FF99C">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1.67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407" w:type="pct"/>
            <w:shd w:val="clear" w:color="auto" w:fill="auto"/>
            <w:vAlign w:val="center"/>
          </w:tcPr>
          <w:p w14:paraId="5B41F17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1" w:type="pct"/>
            <w:shd w:val="clear" w:color="auto" w:fill="auto"/>
            <w:vAlign w:val="center"/>
          </w:tcPr>
          <w:p w14:paraId="751C5AB4">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8.04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414" w:type="pct"/>
            <w:shd w:val="clear" w:color="auto" w:fill="auto"/>
            <w:vAlign w:val="center"/>
          </w:tcPr>
          <w:p w14:paraId="57D3DF1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3" w:type="pct"/>
            <w:shd w:val="clear" w:color="auto" w:fill="auto"/>
            <w:vAlign w:val="center"/>
          </w:tcPr>
          <w:p w14:paraId="4A50FF93">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1.27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396" w:type="pct"/>
            <w:shd w:val="clear" w:color="auto" w:fill="auto"/>
            <w:vAlign w:val="center"/>
          </w:tcPr>
          <w:p w14:paraId="0D32FB6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5" w:type="dxa"/>
            <w:shd w:val="clear" w:color="auto" w:fill="auto"/>
            <w:vAlign w:val="center"/>
          </w:tcPr>
          <w:p w14:paraId="2302D2AE">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1.27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45" w:type="dxa"/>
            <w:shd w:val="clear" w:color="auto" w:fill="auto"/>
            <w:vAlign w:val="center"/>
          </w:tcPr>
          <w:p w14:paraId="2F1E23B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70" w:type="pct"/>
            <w:shd w:val="clear" w:color="auto" w:fill="auto"/>
            <w:vAlign w:val="center"/>
          </w:tcPr>
          <w:p w14:paraId="407EE06F">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1.16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177" w:type="dxa"/>
            <w:shd w:val="clear" w:color="auto" w:fill="auto"/>
            <w:vAlign w:val="center"/>
          </w:tcPr>
          <w:p w14:paraId="48505A4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389" w:type="pct"/>
            <w:shd w:val="clear" w:color="auto" w:fill="auto"/>
            <w:vAlign w:val="center"/>
          </w:tcPr>
          <w:p w14:paraId="57FE5B1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4.48×10</w:t>
            </w:r>
            <w:r>
              <w:rPr>
                <w:rFonts w:ascii="Times New Roman" w:hAnsi="Times New Roman" w:eastAsia="宋体" w:cs="Times New Roman"/>
                <w:caps w:val="0"/>
                <w:smallCaps w:val="0"/>
                <w:color w:val="auto"/>
                <w:spacing w:val="0"/>
                <w:sz w:val="21"/>
                <w:highlight w:val="none"/>
                <w:vertAlign w:val="superscript"/>
              </w:rPr>
              <w:t>-8</w:t>
            </w:r>
          </w:p>
        </w:tc>
        <w:tc>
          <w:tcPr>
            <w:tcW w:w="1227" w:type="dxa"/>
            <w:shd w:val="clear" w:color="auto" w:fill="auto"/>
            <w:vAlign w:val="center"/>
          </w:tcPr>
          <w:p w14:paraId="3EAA4DB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1FCDBCA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05723458">
            <w:pPr>
              <w:pStyle w:val="171"/>
              <w:widowControl/>
              <w:adjustRightInd/>
              <w:snapToGrid/>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下风向最大质量浓度及占标率/%</w:t>
            </w:r>
          </w:p>
        </w:tc>
        <w:tc>
          <w:tcPr>
            <w:tcW w:w="1120" w:type="dxa"/>
            <w:shd w:val="clear" w:color="auto" w:fill="auto"/>
            <w:vAlign w:val="center"/>
          </w:tcPr>
          <w:p w14:paraId="4249467C">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2.22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178" w:type="dxa"/>
            <w:shd w:val="clear" w:color="auto" w:fill="auto"/>
            <w:vAlign w:val="center"/>
          </w:tcPr>
          <w:p w14:paraId="5F0011FF">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0.05</w:t>
            </w:r>
          </w:p>
        </w:tc>
        <w:tc>
          <w:tcPr>
            <w:tcW w:w="1102" w:type="dxa"/>
            <w:shd w:val="clear" w:color="auto" w:fill="auto"/>
            <w:vAlign w:val="center"/>
          </w:tcPr>
          <w:p w14:paraId="1DE657E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96" w:type="dxa"/>
            <w:shd w:val="clear" w:color="auto" w:fill="auto"/>
            <w:vAlign w:val="center"/>
          </w:tcPr>
          <w:p w14:paraId="39B9670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07" w:type="dxa"/>
            <w:shd w:val="clear" w:color="auto" w:fill="auto"/>
            <w:vAlign w:val="center"/>
          </w:tcPr>
          <w:p w14:paraId="187A2556">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2.52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012B956C">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6" w:type="dxa"/>
            <w:shd w:val="clear" w:color="auto" w:fill="auto"/>
            <w:vAlign w:val="center"/>
          </w:tcPr>
          <w:p w14:paraId="0AAD066E">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2.52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45" w:type="dxa"/>
            <w:shd w:val="clear" w:color="auto" w:fill="auto"/>
            <w:vAlign w:val="center"/>
          </w:tcPr>
          <w:p w14:paraId="723FB389">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070" w:type="dxa"/>
            <w:shd w:val="clear" w:color="auto" w:fill="auto"/>
            <w:vAlign w:val="center"/>
          </w:tcPr>
          <w:p w14:paraId="5324B2E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2</w:t>
            </w:r>
          </w:p>
        </w:tc>
        <w:tc>
          <w:tcPr>
            <w:tcW w:w="1175" w:type="dxa"/>
            <w:shd w:val="clear" w:color="auto" w:fill="auto"/>
            <w:vAlign w:val="center"/>
          </w:tcPr>
          <w:p w14:paraId="4BFDFF0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124" w:type="dxa"/>
            <w:shd w:val="clear" w:color="auto" w:fill="auto"/>
            <w:vAlign w:val="center"/>
          </w:tcPr>
          <w:p w14:paraId="4DA6D8B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-4</w:t>
            </w:r>
          </w:p>
        </w:tc>
        <w:tc>
          <w:tcPr>
            <w:tcW w:w="1220" w:type="dxa"/>
            <w:shd w:val="clear" w:color="auto" w:fill="auto"/>
            <w:vAlign w:val="center"/>
          </w:tcPr>
          <w:p w14:paraId="74F7FE3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1F427A3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2B5FD43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最大质量浓度点距离/m</w:t>
            </w:r>
          </w:p>
        </w:tc>
        <w:tc>
          <w:tcPr>
            <w:tcW w:w="796" w:type="pct"/>
            <w:gridSpan w:val="2"/>
            <w:shd w:val="clear" w:color="auto" w:fill="auto"/>
            <w:vAlign w:val="center"/>
          </w:tcPr>
          <w:p w14:paraId="1B5E208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98</w:t>
            </w:r>
          </w:p>
        </w:tc>
        <w:tc>
          <w:tcPr>
            <w:tcW w:w="796" w:type="pct"/>
            <w:gridSpan w:val="2"/>
            <w:shd w:val="clear" w:color="auto" w:fill="auto"/>
            <w:vAlign w:val="center"/>
          </w:tcPr>
          <w:p w14:paraId="70173EF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74</w:t>
            </w:r>
          </w:p>
        </w:tc>
        <w:tc>
          <w:tcPr>
            <w:tcW w:w="780" w:type="pct"/>
            <w:gridSpan w:val="2"/>
            <w:shd w:val="clear" w:color="auto" w:fill="auto"/>
            <w:vAlign w:val="center"/>
          </w:tcPr>
          <w:p w14:paraId="0C32856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69</w:t>
            </w:r>
          </w:p>
        </w:tc>
        <w:tc>
          <w:tcPr>
            <w:tcW w:w="787" w:type="pct"/>
            <w:gridSpan w:val="2"/>
            <w:shd w:val="clear" w:color="auto" w:fill="auto"/>
            <w:vAlign w:val="center"/>
          </w:tcPr>
          <w:p w14:paraId="4A3D2EF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69</w:t>
            </w:r>
          </w:p>
        </w:tc>
        <w:tc>
          <w:tcPr>
            <w:tcW w:w="778" w:type="pct"/>
            <w:gridSpan w:val="2"/>
            <w:shd w:val="clear" w:color="auto" w:fill="auto"/>
            <w:vAlign w:val="center"/>
          </w:tcPr>
          <w:p w14:paraId="1AC0A0ED">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w:t>
            </w:r>
          </w:p>
        </w:tc>
        <w:tc>
          <w:tcPr>
            <w:tcW w:w="812" w:type="pct"/>
            <w:gridSpan w:val="2"/>
            <w:shd w:val="clear" w:color="auto" w:fill="auto"/>
            <w:vAlign w:val="center"/>
          </w:tcPr>
          <w:p w14:paraId="3EA0FFB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74</w:t>
            </w:r>
          </w:p>
        </w:tc>
      </w:tr>
      <w:tr w14:paraId="65AA3F5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8" w:type="pct"/>
            <w:shd w:val="clear" w:color="auto" w:fill="auto"/>
            <w:vAlign w:val="center"/>
          </w:tcPr>
          <w:p w14:paraId="79A73293">
            <w:pPr>
              <w:pStyle w:val="171"/>
              <w:spacing w:before="0" w:beforeLines="0" w:after="0" w:afterLines="0" w:line="240" w:lineRule="auto"/>
              <w:ind w:firstLine="0"/>
              <w:rPr>
                <w:caps w:val="0"/>
                <w:smallCaps w:val="0"/>
                <w:color w:val="auto"/>
                <w:spacing w:val="0"/>
                <w:sz w:val="21"/>
                <w:highlight w:val="none"/>
              </w:rPr>
            </w:pPr>
            <w:r>
              <w:rPr>
                <w:i/>
                <w:caps w:val="0"/>
                <w:smallCaps w:val="0"/>
                <w:color w:val="auto"/>
                <w:spacing w:val="0"/>
                <w:sz w:val="21"/>
                <w:highlight w:val="none"/>
              </w:rPr>
              <w:t>D</w:t>
            </w:r>
            <w:r>
              <w:rPr>
                <w:caps w:val="0"/>
                <w:smallCaps w:val="0"/>
                <w:color w:val="auto"/>
                <w:spacing w:val="0"/>
                <w:sz w:val="21"/>
                <w:highlight w:val="none"/>
                <w:vertAlign w:val="subscript"/>
              </w:rPr>
              <w:t>10%</w:t>
            </w:r>
            <w:r>
              <w:rPr>
                <w:caps w:val="0"/>
                <w:smallCaps w:val="0"/>
                <w:color w:val="auto"/>
                <w:spacing w:val="0"/>
                <w:sz w:val="21"/>
                <w:highlight w:val="none"/>
              </w:rPr>
              <w:t>最远距离/m</w:t>
            </w:r>
          </w:p>
        </w:tc>
        <w:tc>
          <w:tcPr>
            <w:tcW w:w="796" w:type="pct"/>
            <w:gridSpan w:val="2"/>
            <w:shd w:val="clear" w:color="auto" w:fill="auto"/>
            <w:vAlign w:val="center"/>
          </w:tcPr>
          <w:p w14:paraId="3DAB06B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796" w:type="pct"/>
            <w:gridSpan w:val="2"/>
            <w:shd w:val="clear" w:color="auto" w:fill="auto"/>
            <w:vAlign w:val="center"/>
          </w:tcPr>
          <w:p w14:paraId="07B6F71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780" w:type="pct"/>
            <w:gridSpan w:val="2"/>
            <w:shd w:val="clear" w:color="auto" w:fill="auto"/>
            <w:vAlign w:val="center"/>
          </w:tcPr>
          <w:p w14:paraId="5EEE780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787" w:type="pct"/>
            <w:gridSpan w:val="2"/>
            <w:shd w:val="clear" w:color="auto" w:fill="auto"/>
            <w:vAlign w:val="center"/>
          </w:tcPr>
          <w:p w14:paraId="017FF7B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778" w:type="pct"/>
            <w:gridSpan w:val="2"/>
            <w:shd w:val="clear" w:color="auto" w:fill="auto"/>
            <w:vAlign w:val="center"/>
          </w:tcPr>
          <w:p w14:paraId="58544C79">
            <w:pPr>
              <w:pStyle w:val="171"/>
              <w:spacing w:before="0" w:beforeLines="0" w:after="0" w:afterLines="0" w:line="240" w:lineRule="auto"/>
              <w:ind w:firstLine="0"/>
              <w:rPr>
                <w:caps w:val="0"/>
                <w:smallCaps w:val="0"/>
                <w:color w:val="auto"/>
                <w:spacing w:val="0"/>
                <w:sz w:val="21"/>
                <w:highlight w:val="none"/>
              </w:rPr>
            </w:pPr>
          </w:p>
        </w:tc>
        <w:tc>
          <w:tcPr>
            <w:tcW w:w="812" w:type="pct"/>
            <w:gridSpan w:val="2"/>
            <w:shd w:val="clear" w:color="auto" w:fill="auto"/>
            <w:vAlign w:val="center"/>
          </w:tcPr>
          <w:p w14:paraId="5804475B">
            <w:pPr>
              <w:pStyle w:val="171"/>
              <w:spacing w:before="0" w:beforeLines="0" w:after="0" w:afterLines="0" w:line="240" w:lineRule="auto"/>
              <w:ind w:firstLine="0"/>
              <w:rPr>
                <w:caps w:val="0"/>
                <w:smallCaps w:val="0"/>
                <w:color w:val="auto"/>
                <w:spacing w:val="0"/>
                <w:sz w:val="21"/>
                <w:highlight w:val="none"/>
              </w:rPr>
            </w:pPr>
          </w:p>
        </w:tc>
      </w:tr>
    </w:tbl>
    <w:p w14:paraId="16570113">
      <w:pP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br w:type="page"/>
      </w:r>
    </w:p>
    <w:p w14:paraId="170865C9">
      <w:pPr>
        <w:pStyle w:val="11"/>
        <w:spacing w:before="120"/>
        <w:rPr>
          <w:caps w:val="0"/>
          <w:smallCaps w:val="0"/>
          <w:color w:val="auto"/>
          <w:spacing w:val="0"/>
          <w:highlight w:val="none"/>
        </w:rPr>
      </w:pPr>
      <w:r>
        <w:rPr>
          <w:caps w:val="0"/>
          <w:smallCaps w:val="0"/>
          <w:color w:val="auto"/>
          <w:spacing w:val="0"/>
          <w:highlight w:val="none"/>
        </w:rPr>
        <w:t>表5.2-</w:t>
      </w:r>
      <w:r>
        <w:rPr>
          <w:rFonts w:hint="eastAsia"/>
          <w:caps w:val="0"/>
          <w:smallCaps w:val="0"/>
          <w:color w:val="auto"/>
          <w:spacing w:val="0"/>
          <w:highlight w:val="none"/>
        </w:rPr>
        <w:t>8</w:t>
      </w:r>
      <w:r>
        <w:rPr>
          <w:caps w:val="0"/>
          <w:smallCaps w:val="0"/>
          <w:color w:val="auto"/>
          <w:spacing w:val="0"/>
          <w:highlight w:val="none"/>
        </w:rPr>
        <w:t>工艺废气镉及其化合物估算模型计算结果表</w:t>
      </w:r>
    </w:p>
    <w:tbl>
      <w:tblPr>
        <w:tblStyle w:val="172"/>
        <w:tblW w:w="5000"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2498"/>
        <w:gridCol w:w="1734"/>
        <w:gridCol w:w="1587"/>
        <w:gridCol w:w="1602"/>
        <w:gridCol w:w="1404"/>
        <w:gridCol w:w="1494"/>
        <w:gridCol w:w="1201"/>
        <w:gridCol w:w="1492"/>
        <w:gridCol w:w="1206"/>
      </w:tblGrid>
      <w:tr w14:paraId="22C2119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blHeader/>
          <w:jc w:val="center"/>
        </w:trPr>
        <w:tc>
          <w:tcPr>
            <w:tcW w:w="2498" w:type="dxa"/>
            <w:vMerge w:val="restart"/>
            <w:tcBorders>
              <w:top w:val="single" w:color="auto" w:sz="4" w:space="0"/>
            </w:tcBorders>
            <w:shd w:val="clear" w:color="auto" w:fill="auto"/>
            <w:vAlign w:val="center"/>
          </w:tcPr>
          <w:p w14:paraId="079AFDDB">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下风向距离/m</w:t>
            </w:r>
          </w:p>
        </w:tc>
        <w:tc>
          <w:tcPr>
            <w:tcW w:w="3321" w:type="dxa"/>
            <w:gridSpan w:val="2"/>
            <w:tcBorders>
              <w:top w:val="single" w:color="auto" w:sz="4" w:space="0"/>
            </w:tcBorders>
            <w:shd w:val="clear" w:color="auto" w:fill="auto"/>
            <w:vAlign w:val="center"/>
          </w:tcPr>
          <w:p w14:paraId="2832C43F">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DA001</w:t>
            </w:r>
          </w:p>
        </w:tc>
        <w:tc>
          <w:tcPr>
            <w:tcW w:w="3006" w:type="dxa"/>
            <w:gridSpan w:val="2"/>
            <w:shd w:val="clear" w:color="auto" w:fill="auto"/>
            <w:vAlign w:val="center"/>
          </w:tcPr>
          <w:p w14:paraId="09B5A017">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DA003</w:t>
            </w:r>
          </w:p>
        </w:tc>
        <w:tc>
          <w:tcPr>
            <w:tcW w:w="2695" w:type="dxa"/>
            <w:gridSpan w:val="2"/>
            <w:shd w:val="clear" w:color="auto" w:fill="FFFFFF" w:themeFill="background1"/>
            <w:vAlign w:val="center"/>
          </w:tcPr>
          <w:p w14:paraId="253E5D3B">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DA004</w:t>
            </w:r>
          </w:p>
        </w:tc>
        <w:tc>
          <w:tcPr>
            <w:tcW w:w="2698" w:type="dxa"/>
            <w:gridSpan w:val="2"/>
            <w:shd w:val="clear" w:color="auto" w:fill="FFFFFF" w:themeFill="background1"/>
            <w:vAlign w:val="center"/>
          </w:tcPr>
          <w:p w14:paraId="463DCC57">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DA006</w:t>
            </w:r>
          </w:p>
        </w:tc>
      </w:tr>
      <w:tr w14:paraId="6E55F7E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vMerge w:val="continue"/>
            <w:shd w:val="clear" w:color="auto" w:fill="auto"/>
            <w:vAlign w:val="center"/>
          </w:tcPr>
          <w:p w14:paraId="649D05BD">
            <w:pPr>
              <w:pStyle w:val="171"/>
              <w:spacing w:before="0" w:beforeLines="0" w:after="0" w:afterLines="0" w:line="240" w:lineRule="auto"/>
              <w:ind w:firstLine="0"/>
              <w:rPr>
                <w:b/>
                <w:bCs/>
                <w:caps w:val="0"/>
                <w:smallCaps w:val="0"/>
                <w:color w:val="auto"/>
                <w:spacing w:val="0"/>
                <w:sz w:val="21"/>
                <w:highlight w:val="none"/>
              </w:rPr>
            </w:pPr>
          </w:p>
        </w:tc>
        <w:tc>
          <w:tcPr>
            <w:tcW w:w="11720" w:type="dxa"/>
            <w:gridSpan w:val="8"/>
            <w:shd w:val="clear" w:color="auto" w:fill="auto"/>
            <w:vAlign w:val="center"/>
          </w:tcPr>
          <w:p w14:paraId="6DFD31A1">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镉及其化合物</w:t>
            </w:r>
          </w:p>
        </w:tc>
      </w:tr>
      <w:tr w14:paraId="5A65FB9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vMerge w:val="continue"/>
            <w:shd w:val="clear" w:color="auto" w:fill="auto"/>
            <w:vAlign w:val="center"/>
          </w:tcPr>
          <w:p w14:paraId="5241F8AB">
            <w:pPr>
              <w:pStyle w:val="171"/>
              <w:spacing w:before="0" w:beforeLines="0" w:after="0" w:afterLines="0" w:line="240" w:lineRule="auto"/>
              <w:ind w:firstLine="0"/>
              <w:rPr>
                <w:b/>
                <w:bCs/>
                <w:caps w:val="0"/>
                <w:smallCaps w:val="0"/>
                <w:color w:val="auto"/>
                <w:spacing w:val="0"/>
                <w:sz w:val="21"/>
                <w:highlight w:val="none"/>
              </w:rPr>
            </w:pPr>
          </w:p>
        </w:tc>
        <w:tc>
          <w:tcPr>
            <w:tcW w:w="1734" w:type="dxa"/>
            <w:shd w:val="clear" w:color="auto" w:fill="auto"/>
            <w:vAlign w:val="center"/>
          </w:tcPr>
          <w:p w14:paraId="2619C403">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587" w:type="dxa"/>
            <w:shd w:val="clear" w:color="auto" w:fill="auto"/>
            <w:vAlign w:val="center"/>
          </w:tcPr>
          <w:p w14:paraId="46036CBB">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1602" w:type="dxa"/>
            <w:shd w:val="clear" w:color="auto" w:fill="auto"/>
            <w:vAlign w:val="center"/>
          </w:tcPr>
          <w:p w14:paraId="1399F39F">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404" w:type="dxa"/>
            <w:shd w:val="clear" w:color="auto" w:fill="auto"/>
            <w:vAlign w:val="center"/>
          </w:tcPr>
          <w:p w14:paraId="7B880864">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1494" w:type="dxa"/>
            <w:shd w:val="clear" w:color="auto" w:fill="FFFFFF" w:themeFill="background1"/>
            <w:vAlign w:val="center"/>
          </w:tcPr>
          <w:p w14:paraId="1848D4EC">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201" w:type="dxa"/>
            <w:shd w:val="clear" w:color="auto" w:fill="FFFFFF" w:themeFill="background1"/>
            <w:vAlign w:val="center"/>
          </w:tcPr>
          <w:p w14:paraId="31F85B4A">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c>
          <w:tcPr>
            <w:tcW w:w="1492" w:type="dxa"/>
            <w:shd w:val="clear" w:color="auto" w:fill="FFFFFF" w:themeFill="background1"/>
            <w:vAlign w:val="center"/>
          </w:tcPr>
          <w:p w14:paraId="0ACE0FE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206" w:type="dxa"/>
            <w:shd w:val="clear" w:color="auto" w:fill="FFFFFF" w:themeFill="background1"/>
            <w:vAlign w:val="center"/>
          </w:tcPr>
          <w:p w14:paraId="168C9848">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占标率/%</w:t>
            </w:r>
          </w:p>
        </w:tc>
      </w:tr>
      <w:tr w14:paraId="7E467D6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0618DFCF">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1734" w:type="dxa"/>
            <w:shd w:val="clear" w:color="auto" w:fill="auto"/>
            <w:vAlign w:val="center"/>
          </w:tcPr>
          <w:p w14:paraId="054D154C">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2.06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587" w:type="dxa"/>
            <w:shd w:val="clear" w:color="auto" w:fill="auto"/>
            <w:vAlign w:val="center"/>
          </w:tcPr>
          <w:p w14:paraId="409A6FBA">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602" w:type="dxa"/>
            <w:shd w:val="clear" w:color="auto" w:fill="auto"/>
            <w:vAlign w:val="center"/>
          </w:tcPr>
          <w:p w14:paraId="6A65DA14">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2.34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404" w:type="dxa"/>
            <w:shd w:val="clear" w:color="auto" w:fill="auto"/>
            <w:vAlign w:val="center"/>
          </w:tcPr>
          <w:p w14:paraId="1A030E53">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222BAFFA">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2.34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1" w:type="dxa"/>
            <w:shd w:val="clear" w:color="auto" w:fill="FFFFFF" w:themeFill="background1"/>
            <w:vAlign w:val="center"/>
          </w:tcPr>
          <w:p w14:paraId="67503A1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0F40951B">
            <w:pPr>
              <w:spacing w:before="74"/>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8.26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10</w:t>
            </w:r>
          </w:p>
        </w:tc>
        <w:tc>
          <w:tcPr>
            <w:tcW w:w="1206" w:type="dxa"/>
            <w:shd w:val="clear" w:color="auto" w:fill="FFFFFF" w:themeFill="background1"/>
            <w:vAlign w:val="center"/>
          </w:tcPr>
          <w:p w14:paraId="2B62D535">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287B43B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3BD6ADCC">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w:t>
            </w:r>
          </w:p>
        </w:tc>
        <w:tc>
          <w:tcPr>
            <w:tcW w:w="1734" w:type="dxa"/>
            <w:shd w:val="clear" w:color="auto" w:fill="auto"/>
            <w:vAlign w:val="center"/>
          </w:tcPr>
          <w:p w14:paraId="42DF0A82">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3.14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587" w:type="dxa"/>
            <w:shd w:val="clear" w:color="auto" w:fill="auto"/>
            <w:vAlign w:val="center"/>
          </w:tcPr>
          <w:p w14:paraId="6538511A">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0.10</w:t>
            </w:r>
          </w:p>
        </w:tc>
        <w:tc>
          <w:tcPr>
            <w:tcW w:w="1602" w:type="dxa"/>
            <w:shd w:val="clear" w:color="auto" w:fill="auto"/>
            <w:vAlign w:val="center"/>
          </w:tcPr>
          <w:p w14:paraId="05F4FB4B">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5.36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404" w:type="dxa"/>
            <w:shd w:val="clear" w:color="auto" w:fill="auto"/>
            <w:vAlign w:val="center"/>
          </w:tcPr>
          <w:p w14:paraId="6C8A4F75">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0.02</w:t>
            </w:r>
          </w:p>
        </w:tc>
        <w:tc>
          <w:tcPr>
            <w:tcW w:w="1494" w:type="dxa"/>
            <w:shd w:val="clear" w:color="auto" w:fill="FFFFFF" w:themeFill="background1"/>
            <w:vAlign w:val="center"/>
          </w:tcPr>
          <w:p w14:paraId="4260100E">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5.36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1" w:type="dxa"/>
            <w:shd w:val="clear" w:color="auto" w:fill="FFFFFF" w:themeFill="background1"/>
            <w:vAlign w:val="center"/>
          </w:tcPr>
          <w:p w14:paraId="2ECFA07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0.02</w:t>
            </w:r>
          </w:p>
        </w:tc>
        <w:tc>
          <w:tcPr>
            <w:tcW w:w="1492" w:type="dxa"/>
            <w:shd w:val="clear" w:color="auto" w:fill="FFFFFF" w:themeFill="background1"/>
            <w:vAlign w:val="center"/>
          </w:tcPr>
          <w:p w14:paraId="203ED328">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3.65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5BA15606">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0.01</w:t>
            </w:r>
          </w:p>
        </w:tc>
      </w:tr>
      <w:tr w14:paraId="65DA621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14" w:hRule="atLeast"/>
          <w:jc w:val="center"/>
        </w:trPr>
        <w:tc>
          <w:tcPr>
            <w:tcW w:w="2498" w:type="dxa"/>
            <w:shd w:val="clear" w:color="auto" w:fill="auto"/>
            <w:vAlign w:val="center"/>
          </w:tcPr>
          <w:p w14:paraId="5CBD4FC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69</w:t>
            </w:r>
          </w:p>
        </w:tc>
        <w:tc>
          <w:tcPr>
            <w:tcW w:w="1734" w:type="dxa"/>
            <w:shd w:val="clear" w:color="auto" w:fill="auto"/>
            <w:vAlign w:val="center"/>
          </w:tcPr>
          <w:p w14:paraId="436E6AD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587" w:type="dxa"/>
            <w:shd w:val="clear" w:color="auto" w:fill="auto"/>
            <w:vAlign w:val="center"/>
          </w:tcPr>
          <w:p w14:paraId="6166367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602" w:type="dxa"/>
            <w:shd w:val="clear" w:color="auto" w:fill="auto"/>
            <w:vAlign w:val="center"/>
          </w:tcPr>
          <w:p w14:paraId="48410807">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404" w:type="dxa"/>
            <w:shd w:val="clear" w:color="auto" w:fill="auto"/>
            <w:vAlign w:val="center"/>
          </w:tcPr>
          <w:p w14:paraId="13106B2A">
            <w:pPr>
              <w:spacing w:before="74"/>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c>
          <w:tcPr>
            <w:tcW w:w="1494" w:type="dxa"/>
            <w:shd w:val="clear" w:color="auto" w:fill="FFFFFF" w:themeFill="background1"/>
            <w:vAlign w:val="center"/>
          </w:tcPr>
          <w:p w14:paraId="390BBBB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201" w:type="dxa"/>
            <w:shd w:val="clear" w:color="auto" w:fill="FFFFFF" w:themeFill="background1"/>
            <w:vAlign w:val="center"/>
          </w:tcPr>
          <w:p w14:paraId="7515037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c>
          <w:tcPr>
            <w:tcW w:w="1492" w:type="dxa"/>
            <w:shd w:val="clear" w:color="auto" w:fill="FFFFFF" w:themeFill="background1"/>
            <w:vAlign w:val="center"/>
          </w:tcPr>
          <w:p w14:paraId="3FDB79DD">
            <w:pPr>
              <w:spacing w:before="74"/>
              <w:jc w:val="center"/>
              <w:rPr>
                <w:rFonts w:ascii="Times New Roman" w:hAnsi="Times New Roman" w:eastAsia="宋体" w:cs="Times New Roman"/>
                <w:caps w:val="0"/>
                <w:smallCaps w:val="0"/>
                <w:color w:val="auto"/>
                <w:spacing w:val="0"/>
                <w:sz w:val="21"/>
                <w:highlight w:val="none"/>
              </w:rPr>
            </w:pPr>
          </w:p>
        </w:tc>
        <w:tc>
          <w:tcPr>
            <w:tcW w:w="1206" w:type="dxa"/>
            <w:shd w:val="clear" w:color="auto" w:fill="FFFFFF" w:themeFill="background1"/>
            <w:vAlign w:val="center"/>
          </w:tcPr>
          <w:p w14:paraId="38F083F2">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p>
        </w:tc>
      </w:tr>
      <w:tr w14:paraId="7417AFB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1C1629A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w:t>
            </w:r>
          </w:p>
        </w:tc>
        <w:tc>
          <w:tcPr>
            <w:tcW w:w="1734" w:type="dxa"/>
            <w:shd w:val="clear" w:color="auto" w:fill="auto"/>
            <w:vAlign w:val="center"/>
          </w:tcPr>
          <w:p w14:paraId="6ECBBE2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587" w:type="dxa"/>
            <w:shd w:val="clear" w:color="auto" w:fill="auto"/>
            <w:vAlign w:val="center"/>
          </w:tcPr>
          <w:p w14:paraId="0443270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602" w:type="dxa"/>
            <w:shd w:val="clear" w:color="auto" w:fill="auto"/>
            <w:vAlign w:val="center"/>
          </w:tcPr>
          <w:p w14:paraId="2F870878">
            <w:pPr>
              <w:spacing w:before="74"/>
              <w:jc w:val="center"/>
              <w:rPr>
                <w:rFonts w:ascii="Times New Roman" w:hAnsi="Times New Roman" w:eastAsia="宋体" w:cs="Times New Roman"/>
                <w:caps w:val="0"/>
                <w:smallCaps w:val="0"/>
                <w:color w:val="auto"/>
                <w:spacing w:val="0"/>
                <w:sz w:val="21"/>
                <w:highlight w:val="none"/>
              </w:rPr>
            </w:pPr>
          </w:p>
        </w:tc>
        <w:tc>
          <w:tcPr>
            <w:tcW w:w="1404" w:type="dxa"/>
            <w:shd w:val="clear" w:color="auto" w:fill="auto"/>
            <w:vAlign w:val="center"/>
          </w:tcPr>
          <w:p w14:paraId="19C5068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1494" w:type="dxa"/>
            <w:shd w:val="clear" w:color="auto" w:fill="FFFFFF" w:themeFill="background1"/>
            <w:vAlign w:val="center"/>
          </w:tcPr>
          <w:p w14:paraId="699D9C6D">
            <w:pPr>
              <w:spacing w:before="74"/>
              <w:jc w:val="center"/>
              <w:rPr>
                <w:rFonts w:ascii="Times New Roman" w:hAnsi="Times New Roman" w:eastAsia="宋体" w:cs="Times New Roman"/>
                <w:caps w:val="0"/>
                <w:smallCaps w:val="0"/>
                <w:color w:val="auto"/>
                <w:spacing w:val="0"/>
                <w:sz w:val="21"/>
                <w:highlight w:val="none"/>
              </w:rPr>
            </w:pPr>
          </w:p>
        </w:tc>
        <w:tc>
          <w:tcPr>
            <w:tcW w:w="1201" w:type="dxa"/>
            <w:shd w:val="clear" w:color="auto" w:fill="FFFFFF" w:themeFill="background1"/>
            <w:vAlign w:val="center"/>
          </w:tcPr>
          <w:p w14:paraId="0F6FD570">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1492" w:type="dxa"/>
            <w:shd w:val="clear" w:color="auto" w:fill="FFFFFF" w:themeFill="background1"/>
            <w:vAlign w:val="center"/>
          </w:tcPr>
          <w:p w14:paraId="0CFA14E3">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8.75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7980E8A9">
            <w:pPr>
              <w:spacing w:before="74"/>
              <w:jc w:val="center"/>
              <w:textAlignment w:val="center"/>
              <w:rPr>
                <w:rFonts w:hint="default"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r>
      <w:tr w14:paraId="2ECA608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12622D5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w:t>
            </w:r>
          </w:p>
        </w:tc>
        <w:tc>
          <w:tcPr>
            <w:tcW w:w="1734" w:type="dxa"/>
            <w:shd w:val="clear" w:color="auto" w:fill="auto"/>
            <w:vAlign w:val="center"/>
          </w:tcPr>
          <w:p w14:paraId="5C405E98">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1.60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587" w:type="dxa"/>
            <w:shd w:val="clear" w:color="auto" w:fill="auto"/>
            <w:vAlign w:val="center"/>
          </w:tcPr>
          <w:p w14:paraId="10AA229D">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0.53</w:t>
            </w:r>
          </w:p>
        </w:tc>
        <w:tc>
          <w:tcPr>
            <w:tcW w:w="1602" w:type="dxa"/>
            <w:shd w:val="clear" w:color="auto" w:fill="auto"/>
            <w:vAlign w:val="center"/>
          </w:tcPr>
          <w:p w14:paraId="5D11AD31">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9.90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404" w:type="dxa"/>
            <w:shd w:val="clear" w:color="auto" w:fill="auto"/>
            <w:vAlign w:val="center"/>
          </w:tcPr>
          <w:p w14:paraId="23440F35">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c>
          <w:tcPr>
            <w:tcW w:w="1494" w:type="dxa"/>
            <w:shd w:val="clear" w:color="auto" w:fill="FFFFFF" w:themeFill="background1"/>
            <w:vAlign w:val="center"/>
          </w:tcPr>
          <w:p w14:paraId="7FE0CFEC">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9.90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1" w:type="dxa"/>
            <w:shd w:val="clear" w:color="auto" w:fill="FFFFFF" w:themeFill="background1"/>
            <w:vAlign w:val="center"/>
          </w:tcPr>
          <w:p w14:paraId="0C012969">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c>
          <w:tcPr>
            <w:tcW w:w="1492" w:type="dxa"/>
            <w:shd w:val="clear" w:color="auto" w:fill="FFFFFF" w:themeFill="background1"/>
            <w:vAlign w:val="center"/>
          </w:tcPr>
          <w:p w14:paraId="2D9CFED9">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8.72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62ADAB7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w:t>
            </w:r>
            <w:r>
              <w:rPr>
                <w:rFonts w:ascii="Times New Roman" w:hAnsi="Times New Roman" w:eastAsia="宋体" w:cs="Times New Roman"/>
                <w:caps w:val="0"/>
                <w:smallCaps w:val="0"/>
                <w:color w:val="auto"/>
                <w:spacing w:val="0"/>
                <w:kern w:val="0"/>
                <w:sz w:val="21"/>
                <w:highlight w:val="none"/>
                <w:lang w:bidi="ar"/>
              </w:rPr>
              <w:t>3</w:t>
            </w:r>
          </w:p>
        </w:tc>
      </w:tr>
      <w:tr w14:paraId="51CED90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2AE8B1EC">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79</w:t>
            </w:r>
          </w:p>
        </w:tc>
        <w:tc>
          <w:tcPr>
            <w:tcW w:w="1734" w:type="dxa"/>
            <w:shd w:val="clear" w:color="auto" w:fill="auto"/>
            <w:vAlign w:val="center"/>
          </w:tcPr>
          <w:p w14:paraId="39F31B3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587" w:type="dxa"/>
            <w:shd w:val="clear" w:color="auto" w:fill="auto"/>
            <w:vAlign w:val="center"/>
          </w:tcPr>
          <w:p w14:paraId="748B276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602" w:type="dxa"/>
            <w:shd w:val="clear" w:color="auto" w:fill="auto"/>
            <w:vAlign w:val="center"/>
          </w:tcPr>
          <w:p w14:paraId="7747AEE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404" w:type="dxa"/>
            <w:shd w:val="clear" w:color="auto" w:fill="auto"/>
            <w:vAlign w:val="center"/>
          </w:tcPr>
          <w:p w14:paraId="29DF958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94" w:type="dxa"/>
            <w:shd w:val="clear" w:color="auto" w:fill="FFFFFF" w:themeFill="background1"/>
            <w:vAlign w:val="center"/>
          </w:tcPr>
          <w:p w14:paraId="32C32EF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201" w:type="dxa"/>
            <w:shd w:val="clear" w:color="auto" w:fill="FFFFFF" w:themeFill="background1"/>
            <w:vAlign w:val="center"/>
          </w:tcPr>
          <w:p w14:paraId="5810F3D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92" w:type="dxa"/>
            <w:shd w:val="clear" w:color="auto" w:fill="FFFFFF" w:themeFill="background1"/>
            <w:vAlign w:val="center"/>
          </w:tcPr>
          <w:p w14:paraId="03B8915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206" w:type="dxa"/>
            <w:shd w:val="clear" w:color="auto" w:fill="FFFFFF" w:themeFill="background1"/>
            <w:vAlign w:val="center"/>
          </w:tcPr>
          <w:p w14:paraId="17A19EA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r>
      <w:tr w14:paraId="0877BEC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76F159CE">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98</w:t>
            </w:r>
          </w:p>
        </w:tc>
        <w:tc>
          <w:tcPr>
            <w:tcW w:w="1734" w:type="dxa"/>
            <w:shd w:val="clear" w:color="auto" w:fill="auto"/>
            <w:vAlign w:val="center"/>
          </w:tcPr>
          <w:p w14:paraId="47F388F0">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2.10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587" w:type="dxa"/>
            <w:shd w:val="clear" w:color="auto" w:fill="auto"/>
            <w:vAlign w:val="center"/>
          </w:tcPr>
          <w:p w14:paraId="2E33D40B">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0.70</w:t>
            </w:r>
          </w:p>
        </w:tc>
        <w:tc>
          <w:tcPr>
            <w:tcW w:w="1602" w:type="dxa"/>
            <w:shd w:val="clear" w:color="auto" w:fill="auto"/>
            <w:vAlign w:val="center"/>
          </w:tcPr>
          <w:p w14:paraId="796466D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404" w:type="dxa"/>
            <w:shd w:val="clear" w:color="auto" w:fill="auto"/>
            <w:vAlign w:val="center"/>
          </w:tcPr>
          <w:p w14:paraId="7FE1FD8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494" w:type="dxa"/>
            <w:shd w:val="clear" w:color="auto" w:fill="FFFFFF" w:themeFill="background1"/>
            <w:vAlign w:val="center"/>
          </w:tcPr>
          <w:p w14:paraId="5981948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201" w:type="dxa"/>
            <w:shd w:val="clear" w:color="auto" w:fill="FFFFFF" w:themeFill="background1"/>
            <w:vAlign w:val="center"/>
          </w:tcPr>
          <w:p w14:paraId="54C9247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492" w:type="dxa"/>
            <w:shd w:val="clear" w:color="auto" w:fill="FFFFFF" w:themeFill="background1"/>
            <w:vAlign w:val="center"/>
          </w:tcPr>
          <w:p w14:paraId="32FCDDF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206" w:type="dxa"/>
            <w:shd w:val="clear" w:color="auto" w:fill="FFFFFF" w:themeFill="background1"/>
            <w:vAlign w:val="center"/>
          </w:tcPr>
          <w:p w14:paraId="51D2E16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r>
      <w:tr w14:paraId="48DA2B4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1310C1EF">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w:t>
            </w:r>
          </w:p>
        </w:tc>
        <w:tc>
          <w:tcPr>
            <w:tcW w:w="1734" w:type="dxa"/>
            <w:shd w:val="clear" w:color="auto" w:fill="auto"/>
            <w:vAlign w:val="center"/>
          </w:tcPr>
          <w:p w14:paraId="1E391132">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2.10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587" w:type="dxa"/>
            <w:shd w:val="clear" w:color="auto" w:fill="auto"/>
            <w:vAlign w:val="center"/>
          </w:tcPr>
          <w:p w14:paraId="674CD6E3">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0.70</w:t>
            </w:r>
          </w:p>
        </w:tc>
        <w:tc>
          <w:tcPr>
            <w:tcW w:w="1602" w:type="dxa"/>
            <w:shd w:val="clear" w:color="auto" w:fill="auto"/>
            <w:vAlign w:val="center"/>
          </w:tcPr>
          <w:p w14:paraId="6441484F">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9.60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404" w:type="dxa"/>
            <w:shd w:val="clear" w:color="auto" w:fill="auto"/>
            <w:vAlign w:val="center"/>
          </w:tcPr>
          <w:p w14:paraId="10F24124">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03</w:t>
            </w:r>
          </w:p>
        </w:tc>
        <w:tc>
          <w:tcPr>
            <w:tcW w:w="1494" w:type="dxa"/>
            <w:shd w:val="clear" w:color="auto" w:fill="FFFFFF" w:themeFill="background1"/>
            <w:vAlign w:val="center"/>
          </w:tcPr>
          <w:p w14:paraId="37B5E371">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9.60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1" w:type="dxa"/>
            <w:shd w:val="clear" w:color="auto" w:fill="FFFFFF" w:themeFill="background1"/>
            <w:vAlign w:val="center"/>
          </w:tcPr>
          <w:p w14:paraId="7292DEA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03</w:t>
            </w:r>
          </w:p>
        </w:tc>
        <w:tc>
          <w:tcPr>
            <w:tcW w:w="1492" w:type="dxa"/>
            <w:shd w:val="clear" w:color="auto" w:fill="FFFFFF" w:themeFill="background1"/>
            <w:vAlign w:val="center"/>
          </w:tcPr>
          <w:p w14:paraId="095A343F">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8.54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2FF7CB8E">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03</w:t>
            </w:r>
          </w:p>
        </w:tc>
      </w:tr>
      <w:tr w14:paraId="1BF30F52">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70DD083C">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w:t>
            </w:r>
          </w:p>
        </w:tc>
        <w:tc>
          <w:tcPr>
            <w:tcW w:w="1734" w:type="dxa"/>
            <w:shd w:val="clear" w:color="auto" w:fill="auto"/>
            <w:vAlign w:val="center"/>
          </w:tcPr>
          <w:p w14:paraId="2802520C">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1.72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587" w:type="dxa"/>
            <w:shd w:val="clear" w:color="auto" w:fill="auto"/>
            <w:vAlign w:val="center"/>
          </w:tcPr>
          <w:p w14:paraId="024406FC">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0.57</w:t>
            </w:r>
          </w:p>
        </w:tc>
        <w:tc>
          <w:tcPr>
            <w:tcW w:w="1602" w:type="dxa"/>
            <w:shd w:val="clear" w:color="auto" w:fill="auto"/>
            <w:vAlign w:val="center"/>
          </w:tcPr>
          <w:p w14:paraId="28E2F6EB">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6.30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404" w:type="dxa"/>
            <w:shd w:val="clear" w:color="auto" w:fill="auto"/>
            <w:vAlign w:val="center"/>
          </w:tcPr>
          <w:p w14:paraId="74F327E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r>
              <w:rPr>
                <w:rFonts w:hint="eastAsia" w:ascii="Times New Roman" w:hAnsi="Times New Roman" w:eastAsia="宋体" w:cs="Times New Roman"/>
                <w:caps w:val="0"/>
                <w:smallCaps w:val="0"/>
                <w:color w:val="auto"/>
                <w:spacing w:val="0"/>
                <w:sz w:val="21"/>
                <w:highlight w:val="none"/>
                <w:lang w:val="en-US" w:eastAsia="zh-CN"/>
              </w:rPr>
              <w:t>0</w:t>
            </w:r>
            <w:r>
              <w:rPr>
                <w:rFonts w:ascii="Times New Roman" w:hAnsi="Times New Roman" w:eastAsia="宋体" w:cs="Times New Roman"/>
                <w:caps w:val="0"/>
                <w:smallCaps w:val="0"/>
                <w:color w:val="auto"/>
                <w:spacing w:val="0"/>
                <w:sz w:val="21"/>
                <w:highlight w:val="none"/>
              </w:rPr>
              <w:t>2</w:t>
            </w:r>
          </w:p>
        </w:tc>
        <w:tc>
          <w:tcPr>
            <w:tcW w:w="1494" w:type="dxa"/>
            <w:shd w:val="clear" w:color="auto" w:fill="FFFFFF" w:themeFill="background1"/>
            <w:vAlign w:val="center"/>
          </w:tcPr>
          <w:p w14:paraId="07BD61A3">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6.30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1" w:type="dxa"/>
            <w:shd w:val="clear" w:color="auto" w:fill="FFFFFF" w:themeFill="background1"/>
            <w:vAlign w:val="center"/>
          </w:tcPr>
          <w:p w14:paraId="6A831C6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r>
              <w:rPr>
                <w:rFonts w:hint="eastAsia" w:ascii="Times New Roman" w:hAnsi="Times New Roman" w:eastAsia="宋体" w:cs="Times New Roman"/>
                <w:caps w:val="0"/>
                <w:smallCaps w:val="0"/>
                <w:color w:val="auto"/>
                <w:spacing w:val="0"/>
                <w:sz w:val="21"/>
                <w:highlight w:val="none"/>
                <w:lang w:val="en-US" w:eastAsia="zh-CN"/>
              </w:rPr>
              <w:t>0</w:t>
            </w:r>
            <w:r>
              <w:rPr>
                <w:rFonts w:ascii="Times New Roman" w:hAnsi="Times New Roman" w:eastAsia="宋体" w:cs="Times New Roman"/>
                <w:caps w:val="0"/>
                <w:smallCaps w:val="0"/>
                <w:color w:val="auto"/>
                <w:spacing w:val="0"/>
                <w:sz w:val="21"/>
                <w:highlight w:val="none"/>
              </w:rPr>
              <w:t>2</w:t>
            </w:r>
          </w:p>
        </w:tc>
        <w:tc>
          <w:tcPr>
            <w:tcW w:w="1492" w:type="dxa"/>
            <w:shd w:val="clear" w:color="auto" w:fill="FFFFFF" w:themeFill="background1"/>
            <w:vAlign w:val="center"/>
          </w:tcPr>
          <w:p w14:paraId="0647B077">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5.96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4657EE88">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0.02</w:t>
            </w:r>
          </w:p>
        </w:tc>
      </w:tr>
      <w:tr w14:paraId="358FFC7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45D3281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300</w:t>
            </w:r>
          </w:p>
        </w:tc>
        <w:tc>
          <w:tcPr>
            <w:tcW w:w="1734" w:type="dxa"/>
            <w:shd w:val="clear" w:color="auto" w:fill="auto"/>
            <w:vAlign w:val="center"/>
          </w:tcPr>
          <w:p w14:paraId="06237A71">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7.16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587" w:type="dxa"/>
            <w:shd w:val="clear" w:color="auto" w:fill="auto"/>
            <w:vAlign w:val="center"/>
          </w:tcPr>
          <w:p w14:paraId="5BA43F95">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0.24</w:t>
            </w:r>
          </w:p>
        </w:tc>
        <w:tc>
          <w:tcPr>
            <w:tcW w:w="1602" w:type="dxa"/>
            <w:shd w:val="clear" w:color="auto" w:fill="auto"/>
            <w:vAlign w:val="center"/>
          </w:tcPr>
          <w:p w14:paraId="62AD8FF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2.27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404" w:type="dxa"/>
            <w:shd w:val="clear" w:color="auto" w:fill="auto"/>
            <w:vAlign w:val="center"/>
          </w:tcPr>
          <w:p w14:paraId="51EBF27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r>
              <w:rPr>
                <w:rFonts w:hint="eastAsia" w:ascii="Times New Roman" w:hAnsi="Times New Roman" w:eastAsia="宋体" w:cs="Times New Roman"/>
                <w:caps w:val="0"/>
                <w:smallCaps w:val="0"/>
                <w:color w:val="auto"/>
                <w:spacing w:val="0"/>
                <w:sz w:val="21"/>
                <w:highlight w:val="none"/>
                <w:lang w:val="en-US" w:eastAsia="zh-CN"/>
              </w:rPr>
              <w:t>0</w:t>
            </w:r>
            <w:r>
              <w:rPr>
                <w:rFonts w:ascii="Times New Roman" w:hAnsi="Times New Roman" w:eastAsia="宋体" w:cs="Times New Roman"/>
                <w:caps w:val="0"/>
                <w:smallCaps w:val="0"/>
                <w:color w:val="auto"/>
                <w:spacing w:val="0"/>
                <w:sz w:val="21"/>
                <w:highlight w:val="none"/>
              </w:rPr>
              <w:t>1</w:t>
            </w:r>
          </w:p>
        </w:tc>
        <w:tc>
          <w:tcPr>
            <w:tcW w:w="1494" w:type="dxa"/>
            <w:shd w:val="clear" w:color="auto" w:fill="FFFFFF" w:themeFill="background1"/>
            <w:vAlign w:val="center"/>
          </w:tcPr>
          <w:p w14:paraId="713D389D">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2.27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1" w:type="dxa"/>
            <w:shd w:val="clear" w:color="auto" w:fill="FFFFFF" w:themeFill="background1"/>
            <w:vAlign w:val="center"/>
          </w:tcPr>
          <w:p w14:paraId="70CB3B7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w:t>
            </w:r>
            <w:r>
              <w:rPr>
                <w:rFonts w:hint="eastAsia" w:ascii="Times New Roman" w:hAnsi="Times New Roman" w:eastAsia="宋体" w:cs="Times New Roman"/>
                <w:caps w:val="0"/>
                <w:smallCaps w:val="0"/>
                <w:color w:val="auto"/>
                <w:spacing w:val="0"/>
                <w:sz w:val="21"/>
                <w:highlight w:val="none"/>
                <w:lang w:val="en-US" w:eastAsia="zh-CN"/>
              </w:rPr>
              <w:t>0</w:t>
            </w:r>
            <w:r>
              <w:rPr>
                <w:rFonts w:ascii="Times New Roman" w:hAnsi="Times New Roman" w:eastAsia="宋体" w:cs="Times New Roman"/>
                <w:caps w:val="0"/>
                <w:smallCaps w:val="0"/>
                <w:color w:val="auto"/>
                <w:spacing w:val="0"/>
                <w:sz w:val="21"/>
                <w:highlight w:val="none"/>
              </w:rPr>
              <w:t>1</w:t>
            </w:r>
          </w:p>
        </w:tc>
        <w:tc>
          <w:tcPr>
            <w:tcW w:w="1492" w:type="dxa"/>
            <w:shd w:val="clear" w:color="auto" w:fill="FFFFFF" w:themeFill="background1"/>
            <w:vAlign w:val="center"/>
          </w:tcPr>
          <w:p w14:paraId="5A8BC880">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2.28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4B46DDEA">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w:t>
            </w:r>
            <w:r>
              <w:rPr>
                <w:rFonts w:ascii="Times New Roman" w:hAnsi="Times New Roman" w:eastAsia="宋体" w:cs="Times New Roman"/>
                <w:caps w:val="0"/>
                <w:smallCaps w:val="0"/>
                <w:color w:val="auto"/>
                <w:spacing w:val="0"/>
                <w:kern w:val="0"/>
                <w:sz w:val="21"/>
                <w:highlight w:val="none"/>
                <w:lang w:bidi="ar"/>
              </w:rPr>
              <w:t>1</w:t>
            </w:r>
          </w:p>
        </w:tc>
      </w:tr>
      <w:tr w14:paraId="4A10BF3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4749CCD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w:t>
            </w:r>
          </w:p>
        </w:tc>
        <w:tc>
          <w:tcPr>
            <w:tcW w:w="1734" w:type="dxa"/>
            <w:shd w:val="clear" w:color="auto" w:fill="auto"/>
            <w:vAlign w:val="center"/>
          </w:tcPr>
          <w:p w14:paraId="5CD5504F">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3.43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587" w:type="dxa"/>
            <w:shd w:val="clear" w:color="auto" w:fill="auto"/>
            <w:vAlign w:val="center"/>
          </w:tcPr>
          <w:p w14:paraId="4704F5C4">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0.11</w:t>
            </w:r>
          </w:p>
        </w:tc>
        <w:tc>
          <w:tcPr>
            <w:tcW w:w="1602" w:type="dxa"/>
            <w:shd w:val="clear" w:color="auto" w:fill="auto"/>
            <w:vAlign w:val="center"/>
          </w:tcPr>
          <w:p w14:paraId="7DA73B3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404" w:type="dxa"/>
            <w:shd w:val="clear" w:color="auto" w:fill="auto"/>
            <w:vAlign w:val="center"/>
          </w:tcPr>
          <w:p w14:paraId="289277B8">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1F8605B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1" w:type="dxa"/>
            <w:shd w:val="clear" w:color="auto" w:fill="FFFFFF" w:themeFill="background1"/>
            <w:vAlign w:val="center"/>
          </w:tcPr>
          <w:p w14:paraId="3D8BD92C">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2108D622">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0BFA3622">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17E09CE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2C03298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750</w:t>
            </w:r>
          </w:p>
        </w:tc>
        <w:tc>
          <w:tcPr>
            <w:tcW w:w="1734" w:type="dxa"/>
            <w:shd w:val="clear" w:color="auto" w:fill="auto"/>
            <w:vAlign w:val="center"/>
          </w:tcPr>
          <w:p w14:paraId="31874D73">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1.80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587" w:type="dxa"/>
            <w:shd w:val="clear" w:color="auto" w:fill="auto"/>
            <w:vAlign w:val="center"/>
          </w:tcPr>
          <w:p w14:paraId="0F1B367D">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0.06</w:t>
            </w:r>
          </w:p>
        </w:tc>
        <w:tc>
          <w:tcPr>
            <w:tcW w:w="1602" w:type="dxa"/>
            <w:shd w:val="clear" w:color="auto" w:fill="auto"/>
            <w:vAlign w:val="center"/>
          </w:tcPr>
          <w:p w14:paraId="603C94F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5.21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404" w:type="dxa"/>
            <w:shd w:val="clear" w:color="auto" w:fill="auto"/>
            <w:vAlign w:val="center"/>
          </w:tcPr>
          <w:p w14:paraId="24F104D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0CC4D727">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5.21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201" w:type="dxa"/>
            <w:shd w:val="clear" w:color="auto" w:fill="FFFFFF" w:themeFill="background1"/>
            <w:vAlign w:val="center"/>
          </w:tcPr>
          <w:p w14:paraId="65D3C908">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34DD55D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5.33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206" w:type="dxa"/>
            <w:shd w:val="clear" w:color="auto" w:fill="FFFFFF" w:themeFill="background1"/>
            <w:vAlign w:val="center"/>
          </w:tcPr>
          <w:p w14:paraId="29C1A9F9">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63230BA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7BE0AD1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w:t>
            </w:r>
          </w:p>
        </w:tc>
        <w:tc>
          <w:tcPr>
            <w:tcW w:w="1734" w:type="dxa"/>
            <w:shd w:val="clear" w:color="auto" w:fill="auto"/>
            <w:vAlign w:val="center"/>
          </w:tcPr>
          <w:p w14:paraId="55F9CD5F">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13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587" w:type="dxa"/>
            <w:shd w:val="clear" w:color="auto" w:fill="auto"/>
            <w:vAlign w:val="center"/>
          </w:tcPr>
          <w:p w14:paraId="547D6DB1">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0.04</w:t>
            </w:r>
          </w:p>
        </w:tc>
        <w:tc>
          <w:tcPr>
            <w:tcW w:w="1602" w:type="dxa"/>
            <w:shd w:val="clear" w:color="auto" w:fill="auto"/>
            <w:vAlign w:val="center"/>
          </w:tcPr>
          <w:p w14:paraId="1C751B45">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3.26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404" w:type="dxa"/>
            <w:shd w:val="clear" w:color="auto" w:fill="auto"/>
            <w:vAlign w:val="center"/>
          </w:tcPr>
          <w:p w14:paraId="22D2E74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0E04D164">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3.26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201" w:type="dxa"/>
            <w:shd w:val="clear" w:color="auto" w:fill="FFFFFF" w:themeFill="background1"/>
            <w:vAlign w:val="center"/>
          </w:tcPr>
          <w:p w14:paraId="584EBC2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4B32C99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3.33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206" w:type="dxa"/>
            <w:shd w:val="clear" w:color="auto" w:fill="FFFFFF" w:themeFill="background1"/>
            <w:vAlign w:val="center"/>
          </w:tcPr>
          <w:p w14:paraId="5DD43034">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537B7A7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2498" w:type="dxa"/>
            <w:shd w:val="clear" w:color="auto" w:fill="auto"/>
            <w:vAlign w:val="center"/>
          </w:tcPr>
          <w:p w14:paraId="20BAD10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w:t>
            </w:r>
          </w:p>
        </w:tc>
        <w:tc>
          <w:tcPr>
            <w:tcW w:w="1734" w:type="dxa"/>
            <w:shd w:val="clear" w:color="auto" w:fill="auto"/>
            <w:vAlign w:val="center"/>
          </w:tcPr>
          <w:p w14:paraId="3D118D2E">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2.63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587" w:type="dxa"/>
            <w:shd w:val="clear" w:color="auto" w:fill="auto"/>
            <w:vAlign w:val="center"/>
          </w:tcPr>
          <w:p w14:paraId="582D81A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w:t>
            </w:r>
            <w:r>
              <w:rPr>
                <w:rFonts w:ascii="Times New Roman" w:hAnsi="Times New Roman" w:eastAsia="宋体" w:cs="Times New Roman"/>
                <w:caps w:val="0"/>
                <w:smallCaps w:val="0"/>
                <w:color w:val="auto"/>
                <w:spacing w:val="0"/>
                <w:kern w:val="0"/>
                <w:sz w:val="21"/>
                <w:highlight w:val="none"/>
                <w:lang w:bidi="ar"/>
              </w:rPr>
              <w:t>1</w:t>
            </w:r>
          </w:p>
        </w:tc>
        <w:tc>
          <w:tcPr>
            <w:tcW w:w="1602" w:type="dxa"/>
            <w:shd w:val="clear" w:color="auto" w:fill="auto"/>
            <w:vAlign w:val="center"/>
          </w:tcPr>
          <w:p w14:paraId="2E5F4BBD">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7.58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404" w:type="dxa"/>
            <w:shd w:val="clear" w:color="auto" w:fill="auto"/>
            <w:vAlign w:val="center"/>
          </w:tcPr>
          <w:p w14:paraId="4C92747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76ED68BD">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7.58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201" w:type="dxa"/>
            <w:shd w:val="clear" w:color="auto" w:fill="FFFFFF" w:themeFill="background1"/>
            <w:vAlign w:val="center"/>
          </w:tcPr>
          <w:p w14:paraId="4CA3F83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1F921FB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7.75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206" w:type="dxa"/>
            <w:shd w:val="clear" w:color="auto" w:fill="FFFFFF" w:themeFill="background1"/>
            <w:vAlign w:val="center"/>
          </w:tcPr>
          <w:p w14:paraId="377C76B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3EF3A40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200B406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5000</w:t>
            </w:r>
          </w:p>
        </w:tc>
        <w:tc>
          <w:tcPr>
            <w:tcW w:w="1734" w:type="dxa"/>
            <w:shd w:val="clear" w:color="auto" w:fill="auto"/>
            <w:vAlign w:val="center"/>
          </w:tcPr>
          <w:p w14:paraId="4B7F2D2A">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9.12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587" w:type="dxa"/>
            <w:shd w:val="clear" w:color="auto" w:fill="auto"/>
            <w:vAlign w:val="center"/>
          </w:tcPr>
          <w:p w14:paraId="7239AB25">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0.02</w:t>
            </w:r>
          </w:p>
        </w:tc>
        <w:tc>
          <w:tcPr>
            <w:tcW w:w="1602" w:type="dxa"/>
            <w:shd w:val="clear" w:color="auto" w:fill="auto"/>
            <w:vAlign w:val="center"/>
          </w:tcPr>
          <w:p w14:paraId="626822E3">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2.64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404" w:type="dxa"/>
            <w:shd w:val="clear" w:color="auto" w:fill="auto"/>
            <w:vAlign w:val="center"/>
          </w:tcPr>
          <w:p w14:paraId="2481F1FF">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175CB174">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2.64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201" w:type="dxa"/>
            <w:shd w:val="clear" w:color="auto" w:fill="FFFFFF" w:themeFill="background1"/>
            <w:vAlign w:val="center"/>
          </w:tcPr>
          <w:p w14:paraId="2F0F30CD">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08EBCC45">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2.70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206" w:type="dxa"/>
            <w:shd w:val="clear" w:color="auto" w:fill="FFFFFF" w:themeFill="background1"/>
            <w:vAlign w:val="center"/>
          </w:tcPr>
          <w:p w14:paraId="7D39C275">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17B61A3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3B2C9DE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10000</w:t>
            </w:r>
          </w:p>
        </w:tc>
        <w:tc>
          <w:tcPr>
            <w:tcW w:w="1734" w:type="dxa"/>
            <w:shd w:val="clear" w:color="auto" w:fill="auto"/>
            <w:vAlign w:val="center"/>
          </w:tcPr>
          <w:p w14:paraId="6163036C">
            <w:pPr>
              <w:spacing w:before="74"/>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3.26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587" w:type="dxa"/>
            <w:shd w:val="clear" w:color="auto" w:fill="auto"/>
            <w:vAlign w:val="center"/>
          </w:tcPr>
          <w:p w14:paraId="310988D7">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602" w:type="dxa"/>
            <w:shd w:val="clear" w:color="auto" w:fill="auto"/>
            <w:vAlign w:val="center"/>
          </w:tcPr>
          <w:p w14:paraId="36374653">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404" w:type="dxa"/>
            <w:shd w:val="clear" w:color="auto" w:fill="auto"/>
            <w:vAlign w:val="center"/>
          </w:tcPr>
          <w:p w14:paraId="3EE8BBA1">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21E04CA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201" w:type="dxa"/>
            <w:shd w:val="clear" w:color="auto" w:fill="FFFFFF" w:themeFill="background1"/>
            <w:vAlign w:val="center"/>
          </w:tcPr>
          <w:p w14:paraId="65CB6628">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57B04111">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8</w:t>
            </w:r>
          </w:p>
        </w:tc>
        <w:tc>
          <w:tcPr>
            <w:tcW w:w="1206" w:type="dxa"/>
            <w:shd w:val="clear" w:color="auto" w:fill="FFFFFF" w:themeFill="background1"/>
            <w:vAlign w:val="center"/>
          </w:tcPr>
          <w:p w14:paraId="0218A6E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7403282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337BE21E">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15000</w:t>
            </w:r>
          </w:p>
        </w:tc>
        <w:tc>
          <w:tcPr>
            <w:tcW w:w="1734" w:type="dxa"/>
            <w:shd w:val="clear" w:color="auto" w:fill="auto"/>
            <w:vAlign w:val="center"/>
          </w:tcPr>
          <w:p w14:paraId="65D78054">
            <w:pPr>
              <w:spacing w:before="74"/>
              <w:jc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highlight w:val="none"/>
              </w:rPr>
              <w:t>2.</w:t>
            </w:r>
            <w:r>
              <w:rPr>
                <w:rFonts w:hint="eastAsia" w:ascii="Times New Roman" w:hAnsi="Times New Roman" w:eastAsia="宋体" w:cs="Times New Roman"/>
                <w:caps w:val="0"/>
                <w:smallCaps w:val="0"/>
                <w:color w:val="auto"/>
                <w:spacing w:val="0"/>
                <w:sz w:val="21"/>
                <w:highlight w:val="none"/>
                <w:lang w:val="en-US" w:eastAsia="zh-CN"/>
              </w:rPr>
              <w:t>3</w:t>
            </w:r>
            <w:r>
              <w:rPr>
                <w:rFonts w:ascii="Times New Roman" w:hAnsi="Times New Roman" w:eastAsia="宋体" w:cs="Times New Roman"/>
                <w:caps w:val="0"/>
                <w:smallCaps w:val="0"/>
                <w:color w:val="auto"/>
                <w:spacing w:val="0"/>
                <w:sz w:val="21"/>
                <w:highlight w:val="none"/>
              </w:rPr>
              <w:t>5×10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587" w:type="dxa"/>
            <w:shd w:val="clear" w:color="auto" w:fill="auto"/>
            <w:vAlign w:val="center"/>
          </w:tcPr>
          <w:p w14:paraId="22AF7E2E">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602" w:type="dxa"/>
            <w:shd w:val="clear" w:color="auto" w:fill="auto"/>
            <w:vAlign w:val="center"/>
          </w:tcPr>
          <w:p w14:paraId="7CD2A84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7.</w:t>
            </w:r>
            <w:r>
              <w:rPr>
                <w:rFonts w:hint="eastAsia" w:ascii="Times New Roman" w:hAnsi="Times New Roman" w:eastAsia="宋体" w:cs="Times New Roman"/>
                <w:caps w:val="0"/>
                <w:smallCaps w:val="0"/>
                <w:color w:val="auto"/>
                <w:spacing w:val="0"/>
                <w:sz w:val="21"/>
                <w:highlight w:val="none"/>
                <w:lang w:val="en-US" w:eastAsia="zh-CN"/>
              </w:rPr>
              <w:t>55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404" w:type="dxa"/>
            <w:shd w:val="clear" w:color="auto" w:fill="auto"/>
            <w:vAlign w:val="center"/>
          </w:tcPr>
          <w:p w14:paraId="309DE0A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73A50E0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w:t>
            </w:r>
            <w:r>
              <w:rPr>
                <w:rFonts w:hint="eastAsia" w:ascii="Times New Roman" w:hAnsi="Times New Roman" w:eastAsia="宋体" w:cs="Times New Roman"/>
                <w:caps w:val="0"/>
                <w:smallCaps w:val="0"/>
                <w:color w:val="auto"/>
                <w:spacing w:val="0"/>
                <w:sz w:val="21"/>
                <w:highlight w:val="none"/>
                <w:lang w:val="en-US" w:eastAsia="zh-CN"/>
              </w:rPr>
              <w:t>55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1" w:type="dxa"/>
            <w:shd w:val="clear" w:color="auto" w:fill="FFFFFF" w:themeFill="background1"/>
            <w:vAlign w:val="center"/>
          </w:tcPr>
          <w:p w14:paraId="1143E04D">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2CD8B58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7.</w:t>
            </w:r>
            <w:r>
              <w:rPr>
                <w:rFonts w:hint="eastAsia" w:ascii="Times New Roman" w:hAnsi="Times New Roman" w:eastAsia="宋体" w:cs="Times New Roman"/>
                <w:caps w:val="0"/>
                <w:smallCaps w:val="0"/>
                <w:color w:val="auto"/>
                <w:spacing w:val="0"/>
                <w:sz w:val="21"/>
                <w:highlight w:val="none"/>
                <w:lang w:val="en-US" w:eastAsia="zh-CN"/>
              </w:rPr>
              <w:t>51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6" w:type="dxa"/>
            <w:shd w:val="clear" w:color="auto" w:fill="FFFFFF" w:themeFill="background1"/>
            <w:vAlign w:val="center"/>
          </w:tcPr>
          <w:p w14:paraId="09DC0B5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34D60DEB">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33CCD672">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20000</w:t>
            </w:r>
          </w:p>
        </w:tc>
        <w:tc>
          <w:tcPr>
            <w:tcW w:w="1734" w:type="dxa"/>
            <w:shd w:val="clear" w:color="auto" w:fill="auto"/>
            <w:vAlign w:val="center"/>
          </w:tcPr>
          <w:p w14:paraId="3B1FBED7">
            <w:pPr>
              <w:spacing w:before="74"/>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1.8</w:t>
            </w:r>
            <w:r>
              <w:rPr>
                <w:rFonts w:ascii="Times New Roman" w:hAnsi="Times New Roman" w:eastAsia="宋体" w:cs="Times New Roman"/>
                <w:caps w:val="0"/>
                <w:smallCaps w:val="0"/>
                <w:color w:val="auto"/>
                <w:spacing w:val="0"/>
                <w:sz w:val="21"/>
                <w:highlight w:val="none"/>
              </w:rPr>
              <w:t>8×10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587" w:type="dxa"/>
            <w:shd w:val="clear" w:color="auto" w:fill="auto"/>
            <w:vAlign w:val="center"/>
          </w:tcPr>
          <w:p w14:paraId="326F94E5">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602" w:type="dxa"/>
            <w:shd w:val="clear" w:color="auto" w:fill="auto"/>
            <w:vAlign w:val="center"/>
          </w:tcPr>
          <w:p w14:paraId="1DDCEB2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6.04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404" w:type="dxa"/>
            <w:shd w:val="clear" w:color="auto" w:fill="auto"/>
            <w:vAlign w:val="center"/>
          </w:tcPr>
          <w:p w14:paraId="0B6B2BA0">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3ED1B001">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6.04</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1" w:type="dxa"/>
            <w:shd w:val="clear" w:color="auto" w:fill="FFFFFF" w:themeFill="background1"/>
            <w:vAlign w:val="center"/>
          </w:tcPr>
          <w:p w14:paraId="48459819">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7B9B3F56">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6.02</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6" w:type="dxa"/>
            <w:shd w:val="clear" w:color="auto" w:fill="FFFFFF" w:themeFill="background1"/>
            <w:vAlign w:val="center"/>
          </w:tcPr>
          <w:p w14:paraId="3A3C3D8E">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65AA131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47F4D332">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25000</w:t>
            </w:r>
          </w:p>
        </w:tc>
        <w:tc>
          <w:tcPr>
            <w:tcW w:w="1734" w:type="dxa"/>
            <w:shd w:val="clear" w:color="auto" w:fill="auto"/>
            <w:vAlign w:val="center"/>
          </w:tcPr>
          <w:p w14:paraId="4AB5FFC8">
            <w:pPr>
              <w:spacing w:before="74"/>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1.59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7</w:t>
            </w:r>
          </w:p>
        </w:tc>
        <w:tc>
          <w:tcPr>
            <w:tcW w:w="1587" w:type="dxa"/>
            <w:shd w:val="clear" w:color="auto" w:fill="auto"/>
            <w:vAlign w:val="center"/>
          </w:tcPr>
          <w:p w14:paraId="789CC33A">
            <w:pPr>
              <w:spacing w:before="74"/>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602" w:type="dxa"/>
            <w:shd w:val="clear" w:color="auto" w:fill="auto"/>
            <w:vAlign w:val="center"/>
          </w:tcPr>
          <w:p w14:paraId="0C708BE9">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5.08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404" w:type="dxa"/>
            <w:shd w:val="clear" w:color="auto" w:fill="auto"/>
            <w:vAlign w:val="center"/>
          </w:tcPr>
          <w:p w14:paraId="3DE0F722">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4" w:type="dxa"/>
            <w:shd w:val="clear" w:color="auto" w:fill="FFFFFF" w:themeFill="background1"/>
            <w:vAlign w:val="center"/>
          </w:tcPr>
          <w:p w14:paraId="5B96B0C5">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5.08</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1" w:type="dxa"/>
            <w:shd w:val="clear" w:color="auto" w:fill="FFFFFF" w:themeFill="background1"/>
            <w:vAlign w:val="center"/>
          </w:tcPr>
          <w:p w14:paraId="189A36B8">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c>
          <w:tcPr>
            <w:tcW w:w="1492" w:type="dxa"/>
            <w:shd w:val="clear" w:color="auto" w:fill="FFFFFF" w:themeFill="background1"/>
            <w:vAlign w:val="center"/>
          </w:tcPr>
          <w:p w14:paraId="04B22E9A">
            <w:pPr>
              <w:spacing w:before="74"/>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5.07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9</w:t>
            </w:r>
          </w:p>
        </w:tc>
        <w:tc>
          <w:tcPr>
            <w:tcW w:w="1206" w:type="dxa"/>
            <w:shd w:val="clear" w:color="auto" w:fill="FFFFFF" w:themeFill="background1"/>
            <w:vAlign w:val="center"/>
          </w:tcPr>
          <w:p w14:paraId="227B0E0C">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w:t>
            </w:r>
          </w:p>
        </w:tc>
      </w:tr>
      <w:tr w14:paraId="330B4E9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4CAF177C">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下风向最大质量浓度及占标率/%</w:t>
            </w:r>
          </w:p>
        </w:tc>
        <w:tc>
          <w:tcPr>
            <w:tcW w:w="1734" w:type="dxa"/>
            <w:shd w:val="clear" w:color="auto" w:fill="auto"/>
            <w:vAlign w:val="center"/>
          </w:tcPr>
          <w:p w14:paraId="5064F1A5">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2.10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4</w:t>
            </w:r>
          </w:p>
        </w:tc>
        <w:tc>
          <w:tcPr>
            <w:tcW w:w="1587" w:type="dxa"/>
            <w:shd w:val="clear" w:color="auto" w:fill="auto"/>
            <w:vAlign w:val="center"/>
          </w:tcPr>
          <w:p w14:paraId="527E1D9A">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0.70</w:t>
            </w:r>
          </w:p>
        </w:tc>
        <w:tc>
          <w:tcPr>
            <w:tcW w:w="1602" w:type="dxa"/>
            <w:shd w:val="clear" w:color="auto" w:fill="auto"/>
            <w:vAlign w:val="center"/>
          </w:tcPr>
          <w:p w14:paraId="3244E8A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404" w:type="dxa"/>
            <w:shd w:val="clear" w:color="auto" w:fill="auto"/>
            <w:vAlign w:val="center"/>
          </w:tcPr>
          <w:p w14:paraId="33BADE47">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c>
          <w:tcPr>
            <w:tcW w:w="1494" w:type="dxa"/>
            <w:shd w:val="clear" w:color="auto" w:fill="FFFFFF" w:themeFill="background1"/>
            <w:vAlign w:val="center"/>
          </w:tcPr>
          <w:p w14:paraId="576B49C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r>
              <w:rPr>
                <w:rFonts w:hint="eastAsia" w:ascii="Times New Roman" w:hAnsi="Times New Roman" w:eastAsia="宋体" w:cs="Times New Roman"/>
                <w:caps w:val="0"/>
                <w:smallCaps w:val="0"/>
                <w:color w:val="auto"/>
                <w:spacing w:val="0"/>
                <w:sz w:val="21"/>
                <w:highlight w:val="none"/>
                <w:lang w:val="en-US" w:eastAsia="zh-CN"/>
              </w:rPr>
              <w:t>01</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5</w:t>
            </w:r>
          </w:p>
        </w:tc>
        <w:tc>
          <w:tcPr>
            <w:tcW w:w="1201" w:type="dxa"/>
            <w:shd w:val="clear" w:color="auto" w:fill="FFFFFF" w:themeFill="background1"/>
            <w:vAlign w:val="center"/>
          </w:tcPr>
          <w:p w14:paraId="7A816E76">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c>
          <w:tcPr>
            <w:tcW w:w="1492" w:type="dxa"/>
            <w:shd w:val="clear" w:color="auto" w:fill="FFFFFF" w:themeFill="background1"/>
            <w:vAlign w:val="center"/>
          </w:tcPr>
          <w:p w14:paraId="7524D1A3">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8.75</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w:t>
            </w:r>
            <w:r>
              <w:rPr>
                <w:rFonts w:hint="eastAsia" w:ascii="Times New Roman" w:hAnsi="Times New Roman" w:eastAsia="宋体" w:cs="Times New Roman"/>
                <w:caps w:val="0"/>
                <w:smallCaps w:val="0"/>
                <w:color w:val="auto"/>
                <w:spacing w:val="0"/>
                <w:sz w:val="21"/>
                <w:highlight w:val="none"/>
                <w:vertAlign w:val="superscript"/>
                <w:lang w:val="en-US" w:eastAsia="zh-CN"/>
              </w:rPr>
              <w:t>6</w:t>
            </w:r>
          </w:p>
        </w:tc>
        <w:tc>
          <w:tcPr>
            <w:tcW w:w="1206" w:type="dxa"/>
            <w:shd w:val="clear" w:color="auto" w:fill="FFFFFF" w:themeFill="background1"/>
            <w:vAlign w:val="center"/>
          </w:tcPr>
          <w:p w14:paraId="50FD9653">
            <w:pPr>
              <w:spacing w:before="74"/>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0.03</w:t>
            </w:r>
          </w:p>
        </w:tc>
      </w:tr>
      <w:tr w14:paraId="15E27312">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044BCD0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最大质量浓度点距离/m</w:t>
            </w:r>
          </w:p>
        </w:tc>
        <w:tc>
          <w:tcPr>
            <w:tcW w:w="3321" w:type="dxa"/>
            <w:gridSpan w:val="2"/>
            <w:shd w:val="clear" w:color="auto" w:fill="auto"/>
            <w:vAlign w:val="center"/>
          </w:tcPr>
          <w:p w14:paraId="29F41D7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98</w:t>
            </w:r>
          </w:p>
        </w:tc>
        <w:tc>
          <w:tcPr>
            <w:tcW w:w="3006" w:type="dxa"/>
            <w:gridSpan w:val="2"/>
            <w:shd w:val="clear" w:color="auto" w:fill="auto"/>
            <w:vAlign w:val="center"/>
          </w:tcPr>
          <w:p w14:paraId="0FB3C84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w:t>
            </w:r>
          </w:p>
        </w:tc>
        <w:tc>
          <w:tcPr>
            <w:tcW w:w="2695" w:type="dxa"/>
            <w:gridSpan w:val="2"/>
            <w:shd w:val="clear" w:color="auto" w:fill="FFFFFF" w:themeFill="background1"/>
            <w:vAlign w:val="center"/>
          </w:tcPr>
          <w:p w14:paraId="2F14AF1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w:t>
            </w:r>
          </w:p>
        </w:tc>
        <w:tc>
          <w:tcPr>
            <w:tcW w:w="2698" w:type="dxa"/>
            <w:gridSpan w:val="2"/>
            <w:shd w:val="clear" w:color="auto" w:fill="FFFFFF" w:themeFill="background1"/>
            <w:vAlign w:val="center"/>
          </w:tcPr>
          <w:p w14:paraId="251C393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w:t>
            </w:r>
          </w:p>
        </w:tc>
      </w:tr>
      <w:tr w14:paraId="792883A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498" w:type="dxa"/>
            <w:shd w:val="clear" w:color="auto" w:fill="auto"/>
            <w:vAlign w:val="center"/>
          </w:tcPr>
          <w:p w14:paraId="23F0B038">
            <w:pPr>
              <w:pStyle w:val="171"/>
              <w:spacing w:before="0" w:beforeLines="0" w:after="0" w:afterLines="0" w:line="240" w:lineRule="auto"/>
              <w:ind w:firstLine="0"/>
              <w:rPr>
                <w:caps w:val="0"/>
                <w:smallCaps w:val="0"/>
                <w:color w:val="auto"/>
                <w:spacing w:val="0"/>
                <w:sz w:val="21"/>
                <w:highlight w:val="none"/>
              </w:rPr>
            </w:pPr>
            <w:r>
              <w:rPr>
                <w:i/>
                <w:caps w:val="0"/>
                <w:smallCaps w:val="0"/>
                <w:color w:val="auto"/>
                <w:spacing w:val="0"/>
                <w:sz w:val="21"/>
                <w:highlight w:val="none"/>
              </w:rPr>
              <w:t>D</w:t>
            </w:r>
            <w:r>
              <w:rPr>
                <w:caps w:val="0"/>
                <w:smallCaps w:val="0"/>
                <w:color w:val="auto"/>
                <w:spacing w:val="0"/>
                <w:sz w:val="21"/>
                <w:highlight w:val="none"/>
                <w:vertAlign w:val="subscript"/>
              </w:rPr>
              <w:t>10%</w:t>
            </w:r>
            <w:r>
              <w:rPr>
                <w:caps w:val="0"/>
                <w:smallCaps w:val="0"/>
                <w:color w:val="auto"/>
                <w:spacing w:val="0"/>
                <w:sz w:val="21"/>
                <w:highlight w:val="none"/>
              </w:rPr>
              <w:t>最远距离/m</w:t>
            </w:r>
          </w:p>
        </w:tc>
        <w:tc>
          <w:tcPr>
            <w:tcW w:w="3321" w:type="dxa"/>
            <w:gridSpan w:val="2"/>
            <w:shd w:val="clear" w:color="auto" w:fill="auto"/>
            <w:vAlign w:val="center"/>
          </w:tcPr>
          <w:p w14:paraId="51981EB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3006" w:type="dxa"/>
            <w:gridSpan w:val="2"/>
            <w:shd w:val="clear" w:color="auto" w:fill="auto"/>
            <w:vAlign w:val="center"/>
          </w:tcPr>
          <w:p w14:paraId="2EC3CB9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2695" w:type="dxa"/>
            <w:gridSpan w:val="2"/>
            <w:shd w:val="clear" w:color="auto" w:fill="FFFFFF" w:themeFill="background1"/>
            <w:vAlign w:val="center"/>
          </w:tcPr>
          <w:p w14:paraId="5753132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2698" w:type="dxa"/>
            <w:gridSpan w:val="2"/>
            <w:shd w:val="clear" w:color="auto" w:fill="FFFFFF" w:themeFill="background1"/>
            <w:vAlign w:val="center"/>
          </w:tcPr>
          <w:p w14:paraId="0645831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r>
    </w:tbl>
    <w:p w14:paraId="616468DF">
      <w:pPr>
        <w:pStyle w:val="11"/>
        <w:spacing w:before="120"/>
        <w:rPr>
          <w:caps w:val="0"/>
          <w:smallCaps w:val="0"/>
          <w:color w:val="auto"/>
          <w:spacing w:val="0"/>
          <w:szCs w:val="24"/>
          <w:highlight w:val="none"/>
        </w:rPr>
      </w:pPr>
      <w:r>
        <w:rPr>
          <w:caps w:val="0"/>
          <w:smallCaps w:val="0"/>
          <w:color w:val="auto"/>
          <w:spacing w:val="0"/>
          <w:highlight w:val="none"/>
        </w:rPr>
        <w:t>表5.2-</w:t>
      </w:r>
      <w:r>
        <w:rPr>
          <w:rFonts w:hint="eastAsia"/>
          <w:caps w:val="0"/>
          <w:smallCaps w:val="0"/>
          <w:color w:val="auto"/>
          <w:spacing w:val="0"/>
          <w:highlight w:val="none"/>
        </w:rPr>
        <w:t>9</w:t>
      </w:r>
      <w:r>
        <w:rPr>
          <w:caps w:val="0"/>
          <w:smallCaps w:val="0"/>
          <w:color w:val="auto"/>
          <w:spacing w:val="0"/>
          <w:highlight w:val="none"/>
        </w:rPr>
        <w:t>工艺废气氮氧化物</w:t>
      </w:r>
      <w:r>
        <w:rPr>
          <w:rFonts w:hint="eastAsia"/>
          <w:caps w:val="0"/>
          <w:smallCaps w:val="0"/>
          <w:color w:val="auto"/>
          <w:spacing w:val="0"/>
          <w:highlight w:val="none"/>
        </w:rPr>
        <w:t>、</w:t>
      </w:r>
      <w:r>
        <w:rPr>
          <w:caps w:val="0"/>
          <w:smallCaps w:val="0"/>
          <w:color w:val="auto"/>
          <w:spacing w:val="0"/>
          <w:highlight w:val="none"/>
        </w:rPr>
        <w:t>氯化氢</w:t>
      </w:r>
      <w:r>
        <w:rPr>
          <w:rFonts w:hint="eastAsia"/>
          <w:caps w:val="0"/>
          <w:smallCaps w:val="0"/>
          <w:color w:val="auto"/>
          <w:spacing w:val="0"/>
          <w:highlight w:val="none"/>
        </w:rPr>
        <w:t>及</w:t>
      </w:r>
      <w:r>
        <w:rPr>
          <w:caps w:val="0"/>
          <w:smallCaps w:val="0"/>
          <w:color w:val="auto"/>
          <w:spacing w:val="0"/>
          <w:highlight w:val="none"/>
        </w:rPr>
        <w:t>二甲苯估算模型计算结果表</w:t>
      </w:r>
    </w:p>
    <w:tbl>
      <w:tblPr>
        <w:tblStyle w:val="172"/>
        <w:tblW w:w="5000"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770"/>
        <w:gridCol w:w="1664"/>
        <w:gridCol w:w="1675"/>
        <w:gridCol w:w="1687"/>
        <w:gridCol w:w="1707"/>
        <w:gridCol w:w="1697"/>
        <w:gridCol w:w="1513"/>
        <w:gridCol w:w="1223"/>
        <w:gridCol w:w="1281"/>
      </w:tblGrid>
      <w:tr w14:paraId="5A58474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blHeader/>
          <w:jc w:val="center"/>
        </w:trPr>
        <w:tc>
          <w:tcPr>
            <w:tcW w:w="1972" w:type="dxa"/>
            <w:vMerge w:val="restart"/>
            <w:shd w:val="clear" w:color="auto" w:fill="auto"/>
            <w:vAlign w:val="center"/>
          </w:tcPr>
          <w:p w14:paraId="1372DC40">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下风向距离/m</w:t>
            </w:r>
          </w:p>
        </w:tc>
        <w:tc>
          <w:tcPr>
            <w:tcW w:w="7499" w:type="dxa"/>
            <w:gridSpan w:val="4"/>
            <w:shd w:val="clear" w:color="auto" w:fill="auto"/>
            <w:vAlign w:val="center"/>
          </w:tcPr>
          <w:p w14:paraId="5E7642B8">
            <w:pPr>
              <w:pStyle w:val="171"/>
              <w:wordWrap/>
              <w:spacing w:before="0" w:beforeLines="0" w:beforeAutospacing="0" w:after="0" w:afterLines="0" w:afterAutospacing="0" w:line="240" w:lineRule="auto"/>
              <w:ind w:left="0" w:leftChars="0" w:right="0" w:rightChars="0" w:firstLine="0" w:firstLineChars="0"/>
              <w:rPr>
                <w:rFonts w:hint="eastAsia" w:eastAsia="宋体"/>
                <w:b/>
                <w:bCs/>
                <w:caps w:val="0"/>
                <w:smallCaps w:val="0"/>
                <w:color w:val="auto"/>
                <w:spacing w:val="0"/>
                <w:sz w:val="21"/>
                <w:highlight w:val="none"/>
                <w:lang w:eastAsia="zh-CN"/>
              </w:rPr>
            </w:pPr>
            <w:r>
              <w:rPr>
                <w:b/>
                <w:bCs/>
                <w:caps w:val="0"/>
                <w:smallCaps w:val="0"/>
                <w:color w:val="auto"/>
                <w:spacing w:val="0"/>
                <w:sz w:val="21"/>
                <w:highlight w:val="none"/>
              </w:rPr>
              <w:t>DA00</w:t>
            </w:r>
            <w:r>
              <w:rPr>
                <w:rFonts w:hint="eastAsia"/>
                <w:b/>
                <w:bCs/>
                <w:caps w:val="0"/>
                <w:smallCaps w:val="0"/>
                <w:color w:val="auto"/>
                <w:spacing w:val="0"/>
                <w:sz w:val="21"/>
                <w:highlight w:val="none"/>
                <w:lang w:val="en-US" w:eastAsia="zh-CN"/>
              </w:rPr>
              <w:t>8</w:t>
            </w:r>
          </w:p>
        </w:tc>
        <w:tc>
          <w:tcPr>
            <w:tcW w:w="3573" w:type="dxa"/>
            <w:gridSpan w:val="2"/>
            <w:shd w:val="clear" w:color="auto" w:fill="auto"/>
            <w:vAlign w:val="center"/>
          </w:tcPr>
          <w:p w14:paraId="11D9FC52">
            <w:pPr>
              <w:pStyle w:val="171"/>
              <w:wordWrap/>
              <w:spacing w:before="0" w:beforeLines="0" w:beforeAutospacing="0" w:after="0" w:afterLines="0" w:afterAutospacing="0" w:line="240" w:lineRule="auto"/>
              <w:ind w:left="0" w:leftChars="0" w:right="0" w:rightChars="0" w:firstLine="0" w:firstLineChars="0"/>
              <w:rPr>
                <w:rFonts w:hint="eastAsia" w:eastAsia="宋体"/>
                <w:b/>
                <w:bCs/>
                <w:caps w:val="0"/>
                <w:smallCaps w:val="0"/>
                <w:color w:val="auto"/>
                <w:spacing w:val="0"/>
                <w:sz w:val="21"/>
                <w:highlight w:val="none"/>
                <w:lang w:eastAsia="zh-CN"/>
              </w:rPr>
            </w:pPr>
            <w:r>
              <w:rPr>
                <w:b/>
                <w:bCs/>
                <w:caps w:val="0"/>
                <w:smallCaps w:val="0"/>
                <w:color w:val="auto"/>
                <w:spacing w:val="0"/>
                <w:sz w:val="21"/>
                <w:highlight w:val="none"/>
              </w:rPr>
              <w:t>DA00</w:t>
            </w:r>
            <w:r>
              <w:rPr>
                <w:rFonts w:hint="eastAsia"/>
                <w:b/>
                <w:bCs/>
                <w:caps w:val="0"/>
                <w:smallCaps w:val="0"/>
                <w:color w:val="auto"/>
                <w:spacing w:val="0"/>
                <w:sz w:val="21"/>
                <w:highlight w:val="none"/>
                <w:lang w:val="en-US" w:eastAsia="zh-CN"/>
              </w:rPr>
              <w:t>9</w:t>
            </w:r>
          </w:p>
        </w:tc>
        <w:tc>
          <w:tcPr>
            <w:tcW w:w="2775" w:type="dxa"/>
            <w:gridSpan w:val="2"/>
            <w:shd w:val="clear" w:color="auto" w:fill="auto"/>
            <w:vAlign w:val="center"/>
          </w:tcPr>
          <w:p w14:paraId="1B7E8D88">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实验室无组织</w:t>
            </w:r>
          </w:p>
        </w:tc>
      </w:tr>
      <w:tr w14:paraId="64121EA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vMerge w:val="continue"/>
            <w:shd w:val="clear" w:color="auto" w:fill="auto"/>
            <w:vAlign w:val="center"/>
          </w:tcPr>
          <w:p w14:paraId="44D236B4">
            <w:pPr>
              <w:pStyle w:val="171"/>
              <w:spacing w:before="0" w:beforeLines="0" w:after="0" w:afterLines="0" w:line="240" w:lineRule="auto"/>
              <w:rPr>
                <w:b/>
                <w:bCs/>
                <w:caps w:val="0"/>
                <w:smallCaps w:val="0"/>
                <w:color w:val="auto"/>
                <w:spacing w:val="0"/>
                <w:sz w:val="21"/>
                <w:highlight w:val="none"/>
              </w:rPr>
            </w:pPr>
          </w:p>
        </w:tc>
        <w:tc>
          <w:tcPr>
            <w:tcW w:w="3719" w:type="dxa"/>
            <w:gridSpan w:val="2"/>
            <w:shd w:val="clear" w:color="auto" w:fill="auto"/>
            <w:vAlign w:val="center"/>
          </w:tcPr>
          <w:p w14:paraId="18898B9B">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氮氧化物</w:t>
            </w:r>
          </w:p>
        </w:tc>
        <w:tc>
          <w:tcPr>
            <w:tcW w:w="3780" w:type="dxa"/>
            <w:gridSpan w:val="2"/>
            <w:shd w:val="clear" w:color="auto" w:fill="auto"/>
            <w:vAlign w:val="center"/>
          </w:tcPr>
          <w:p w14:paraId="4F95E807">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氯化氢</w:t>
            </w:r>
          </w:p>
        </w:tc>
        <w:tc>
          <w:tcPr>
            <w:tcW w:w="6348" w:type="dxa"/>
            <w:gridSpan w:val="4"/>
            <w:shd w:val="clear" w:color="auto" w:fill="auto"/>
            <w:vAlign w:val="center"/>
          </w:tcPr>
          <w:p w14:paraId="3E7034C6">
            <w:pPr>
              <w:pStyle w:val="171"/>
              <w:spacing w:before="0" w:beforeLines="0" w:after="0" w:afterLines="0" w:line="240" w:lineRule="auto"/>
              <w:rPr>
                <w:b/>
                <w:bCs/>
                <w:caps w:val="0"/>
                <w:smallCaps w:val="0"/>
                <w:color w:val="auto"/>
                <w:spacing w:val="0"/>
                <w:sz w:val="21"/>
                <w:highlight w:val="none"/>
              </w:rPr>
            </w:pPr>
            <w:r>
              <w:rPr>
                <w:b/>
                <w:bCs/>
                <w:caps w:val="0"/>
                <w:smallCaps w:val="0"/>
                <w:color w:val="auto"/>
                <w:spacing w:val="0"/>
                <w:sz w:val="21"/>
                <w:highlight w:val="none"/>
              </w:rPr>
              <w:t>二甲苯</w:t>
            </w:r>
          </w:p>
        </w:tc>
      </w:tr>
      <w:tr w14:paraId="1A84519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972" w:type="dxa"/>
            <w:vMerge w:val="continue"/>
            <w:shd w:val="clear" w:color="auto" w:fill="auto"/>
            <w:vAlign w:val="center"/>
          </w:tcPr>
          <w:p w14:paraId="754725C3">
            <w:pPr>
              <w:pStyle w:val="171"/>
              <w:spacing w:before="0" w:beforeLines="0" w:after="0" w:afterLines="0" w:line="240" w:lineRule="auto"/>
              <w:rPr>
                <w:b/>
                <w:bCs/>
                <w:caps w:val="0"/>
                <w:smallCaps w:val="0"/>
                <w:color w:val="auto"/>
                <w:spacing w:val="0"/>
                <w:sz w:val="21"/>
                <w:highlight w:val="none"/>
              </w:rPr>
            </w:pPr>
          </w:p>
        </w:tc>
        <w:tc>
          <w:tcPr>
            <w:tcW w:w="1853" w:type="dxa"/>
            <w:shd w:val="clear" w:color="auto" w:fill="auto"/>
            <w:vAlign w:val="center"/>
          </w:tcPr>
          <w:p w14:paraId="1F1AA076">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866" w:type="dxa"/>
            <w:shd w:val="clear" w:color="auto" w:fill="auto"/>
            <w:vAlign w:val="center"/>
          </w:tcPr>
          <w:p w14:paraId="7B35A9E5">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3F6B0B8F">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878" w:type="dxa"/>
            <w:shd w:val="clear" w:color="auto" w:fill="auto"/>
            <w:vAlign w:val="center"/>
          </w:tcPr>
          <w:p w14:paraId="6E583D41">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902" w:type="dxa"/>
            <w:shd w:val="clear" w:color="auto" w:fill="auto"/>
            <w:vAlign w:val="center"/>
          </w:tcPr>
          <w:p w14:paraId="36DBC3D5">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25594E56">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890" w:type="dxa"/>
            <w:shd w:val="clear" w:color="auto" w:fill="auto"/>
            <w:vAlign w:val="center"/>
          </w:tcPr>
          <w:p w14:paraId="1C5E666E">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683" w:type="dxa"/>
            <w:shd w:val="clear" w:color="auto" w:fill="auto"/>
            <w:vAlign w:val="center"/>
          </w:tcPr>
          <w:p w14:paraId="31BCC84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10150168">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c>
          <w:tcPr>
            <w:tcW w:w="1354" w:type="dxa"/>
            <w:shd w:val="clear" w:color="auto" w:fill="auto"/>
            <w:vAlign w:val="center"/>
          </w:tcPr>
          <w:p w14:paraId="3EFBA71B">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421" w:type="dxa"/>
            <w:shd w:val="clear" w:color="auto" w:fill="auto"/>
            <w:vAlign w:val="center"/>
          </w:tcPr>
          <w:p w14:paraId="698AF083">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占标</w:t>
            </w:r>
          </w:p>
          <w:p w14:paraId="28F6C710">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率/%</w:t>
            </w:r>
          </w:p>
        </w:tc>
      </w:tr>
      <w:tr w14:paraId="37DC9B1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972" w:type="dxa"/>
            <w:shd w:val="clear" w:color="auto" w:fill="auto"/>
            <w:vAlign w:val="center"/>
          </w:tcPr>
          <w:p w14:paraId="02169CFE">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w:t>
            </w:r>
          </w:p>
        </w:tc>
        <w:tc>
          <w:tcPr>
            <w:tcW w:w="1853" w:type="dxa"/>
            <w:shd w:val="clear" w:color="auto" w:fill="auto"/>
            <w:vAlign w:val="center"/>
          </w:tcPr>
          <w:p w14:paraId="620B8BC8">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1866" w:type="dxa"/>
            <w:shd w:val="clear" w:color="auto" w:fill="auto"/>
            <w:vAlign w:val="center"/>
          </w:tcPr>
          <w:p w14:paraId="6AF20474">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1878" w:type="dxa"/>
            <w:shd w:val="clear" w:color="auto" w:fill="auto"/>
            <w:vAlign w:val="center"/>
          </w:tcPr>
          <w:p w14:paraId="09AA1208">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1902" w:type="dxa"/>
            <w:shd w:val="clear" w:color="auto" w:fill="auto"/>
            <w:vAlign w:val="center"/>
          </w:tcPr>
          <w:p w14:paraId="789D6EE0">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w:t>
            </w:r>
          </w:p>
        </w:tc>
        <w:tc>
          <w:tcPr>
            <w:tcW w:w="1890" w:type="dxa"/>
            <w:shd w:val="clear" w:color="auto" w:fill="auto"/>
            <w:vAlign w:val="center"/>
          </w:tcPr>
          <w:p w14:paraId="78FA4A2B">
            <w:pPr>
              <w:spacing w:before="74"/>
              <w:jc w:val="center"/>
              <w:rPr>
                <w:rFonts w:ascii="Times New Roman" w:hAnsi="Times New Roman" w:eastAsia="宋体" w:cs="Times New Roman"/>
                <w:caps w:val="0"/>
                <w:smallCaps w:val="0"/>
                <w:color w:val="auto"/>
                <w:spacing w:val="0"/>
                <w:sz w:val="21"/>
                <w:highlight w:val="none"/>
              </w:rPr>
            </w:pPr>
          </w:p>
        </w:tc>
        <w:tc>
          <w:tcPr>
            <w:tcW w:w="1683" w:type="dxa"/>
            <w:shd w:val="clear" w:color="auto" w:fill="auto"/>
            <w:vAlign w:val="center"/>
          </w:tcPr>
          <w:p w14:paraId="4896AC75">
            <w:pPr>
              <w:spacing w:before="74"/>
              <w:jc w:val="center"/>
              <w:textAlignment w:val="center"/>
              <w:rPr>
                <w:rFonts w:ascii="Times New Roman" w:hAnsi="Times New Roman" w:eastAsia="宋体" w:cs="Times New Roman"/>
                <w:caps w:val="0"/>
                <w:smallCaps w:val="0"/>
                <w:color w:val="auto"/>
                <w:spacing w:val="0"/>
                <w:sz w:val="21"/>
                <w:highlight w:val="none"/>
              </w:rPr>
            </w:pPr>
          </w:p>
        </w:tc>
        <w:tc>
          <w:tcPr>
            <w:tcW w:w="1354" w:type="dxa"/>
            <w:shd w:val="clear" w:color="auto" w:fill="auto"/>
            <w:vAlign w:val="center"/>
          </w:tcPr>
          <w:p w14:paraId="7006534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3.33×10</w:t>
            </w:r>
            <w:r>
              <w:rPr>
                <w:rFonts w:ascii="Times New Roman" w:hAnsi="Times New Roman" w:eastAsia="宋体" w:cs="Times New Roman"/>
                <w:caps w:val="0"/>
                <w:smallCaps w:val="0"/>
                <w:color w:val="auto"/>
                <w:spacing w:val="0"/>
                <w:sz w:val="21"/>
                <w:highlight w:val="none"/>
                <w:vertAlign w:val="superscript"/>
              </w:rPr>
              <w:t>-3</w:t>
            </w:r>
          </w:p>
        </w:tc>
        <w:tc>
          <w:tcPr>
            <w:tcW w:w="1421" w:type="dxa"/>
            <w:shd w:val="clear" w:color="auto" w:fill="auto"/>
            <w:vAlign w:val="center"/>
          </w:tcPr>
          <w:p w14:paraId="54A3952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1.67×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-3</w:t>
            </w:r>
          </w:p>
        </w:tc>
      </w:tr>
      <w:tr w14:paraId="38285AC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972" w:type="dxa"/>
            <w:shd w:val="clear" w:color="auto" w:fill="auto"/>
            <w:vAlign w:val="center"/>
          </w:tcPr>
          <w:p w14:paraId="72F578AD">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1853" w:type="dxa"/>
            <w:shd w:val="clear" w:color="auto" w:fill="auto"/>
            <w:vAlign w:val="center"/>
          </w:tcPr>
          <w:p w14:paraId="0912A31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6.05×10</w:t>
            </w:r>
            <w:r>
              <w:rPr>
                <w:rFonts w:ascii="Times New Roman" w:hAnsi="Times New Roman" w:eastAsia="宋体" w:cs="Times New Roman"/>
                <w:caps w:val="0"/>
                <w:smallCaps w:val="0"/>
                <w:color w:val="auto"/>
                <w:spacing w:val="0"/>
                <w:sz w:val="21"/>
                <w:highlight w:val="none"/>
                <w:vertAlign w:val="superscript"/>
              </w:rPr>
              <w:t>-8</w:t>
            </w:r>
          </w:p>
        </w:tc>
        <w:tc>
          <w:tcPr>
            <w:tcW w:w="1866" w:type="dxa"/>
            <w:shd w:val="clear" w:color="auto" w:fill="auto"/>
            <w:vAlign w:val="center"/>
          </w:tcPr>
          <w:p w14:paraId="0F8A498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3.03×10</w:t>
            </w:r>
            <w:r>
              <w:rPr>
                <w:rFonts w:ascii="Times New Roman" w:hAnsi="Times New Roman" w:eastAsia="宋体" w:cs="Times New Roman"/>
                <w:caps w:val="0"/>
                <w:smallCaps w:val="0"/>
                <w:color w:val="auto"/>
                <w:spacing w:val="0"/>
                <w:sz w:val="21"/>
                <w:highlight w:val="none"/>
                <w:vertAlign w:val="superscript"/>
              </w:rPr>
              <w:t>-8</w:t>
            </w:r>
          </w:p>
        </w:tc>
        <w:tc>
          <w:tcPr>
            <w:tcW w:w="1878" w:type="dxa"/>
            <w:shd w:val="clear" w:color="auto" w:fill="auto"/>
            <w:vAlign w:val="center"/>
          </w:tcPr>
          <w:p w14:paraId="3AFCA15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9.71×10</w:t>
            </w:r>
            <w:r>
              <w:rPr>
                <w:rFonts w:ascii="Times New Roman" w:hAnsi="Times New Roman" w:eastAsia="宋体" w:cs="Times New Roman"/>
                <w:caps w:val="0"/>
                <w:smallCaps w:val="0"/>
                <w:color w:val="auto"/>
                <w:spacing w:val="0"/>
                <w:sz w:val="21"/>
                <w:highlight w:val="none"/>
                <w:vertAlign w:val="superscript"/>
              </w:rPr>
              <w:t>-9</w:t>
            </w:r>
          </w:p>
        </w:tc>
        <w:tc>
          <w:tcPr>
            <w:tcW w:w="1902" w:type="dxa"/>
            <w:shd w:val="clear" w:color="auto" w:fill="auto"/>
            <w:vAlign w:val="center"/>
          </w:tcPr>
          <w:p w14:paraId="1E84E45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1.94×10</w:t>
            </w:r>
            <w:r>
              <w:rPr>
                <w:rFonts w:ascii="Times New Roman" w:hAnsi="Times New Roman" w:eastAsia="宋体" w:cs="Times New Roman"/>
                <w:caps w:val="0"/>
                <w:smallCaps w:val="0"/>
                <w:color w:val="auto"/>
                <w:spacing w:val="0"/>
                <w:sz w:val="21"/>
                <w:highlight w:val="none"/>
                <w:vertAlign w:val="superscript"/>
              </w:rPr>
              <w:t>-8</w:t>
            </w:r>
          </w:p>
        </w:tc>
        <w:tc>
          <w:tcPr>
            <w:tcW w:w="1890" w:type="dxa"/>
            <w:shd w:val="clear" w:color="auto" w:fill="auto"/>
            <w:vAlign w:val="center"/>
          </w:tcPr>
          <w:p w14:paraId="68C6CD7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1.39×10</w:t>
            </w:r>
            <w:r>
              <w:rPr>
                <w:rFonts w:ascii="Times New Roman" w:hAnsi="Times New Roman" w:eastAsia="宋体" w:cs="Times New Roman"/>
                <w:caps w:val="0"/>
                <w:smallCaps w:val="0"/>
                <w:color w:val="auto"/>
                <w:spacing w:val="0"/>
                <w:sz w:val="21"/>
                <w:highlight w:val="none"/>
                <w:vertAlign w:val="superscript"/>
              </w:rPr>
              <w:t>-8</w:t>
            </w:r>
          </w:p>
        </w:tc>
        <w:tc>
          <w:tcPr>
            <w:tcW w:w="1683" w:type="dxa"/>
            <w:shd w:val="clear" w:color="auto" w:fill="auto"/>
            <w:vAlign w:val="center"/>
          </w:tcPr>
          <w:p w14:paraId="31DAA9BD">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6.95×10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354" w:type="dxa"/>
            <w:shd w:val="clear" w:color="auto" w:fill="auto"/>
            <w:vAlign w:val="center"/>
          </w:tcPr>
          <w:p w14:paraId="1CB59B4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3.81×10</w:t>
            </w:r>
            <w:r>
              <w:rPr>
                <w:rFonts w:ascii="Times New Roman" w:hAnsi="Times New Roman" w:eastAsia="宋体" w:cs="Times New Roman"/>
                <w:caps w:val="0"/>
                <w:smallCaps w:val="0"/>
                <w:color w:val="auto"/>
                <w:spacing w:val="0"/>
                <w:sz w:val="21"/>
                <w:highlight w:val="none"/>
                <w:vertAlign w:val="superscript"/>
              </w:rPr>
              <w:t>-4</w:t>
            </w:r>
          </w:p>
        </w:tc>
        <w:tc>
          <w:tcPr>
            <w:tcW w:w="1421" w:type="dxa"/>
            <w:shd w:val="clear" w:color="auto" w:fill="auto"/>
            <w:vAlign w:val="center"/>
          </w:tcPr>
          <w:p w14:paraId="4410F14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1.91×10</w:t>
            </w:r>
            <w:r>
              <w:rPr>
                <w:rFonts w:ascii="Times New Roman" w:hAnsi="Times New Roman" w:eastAsia="宋体" w:cs="Times New Roman"/>
                <w:caps w:val="0"/>
                <w:smallCaps w:val="0"/>
                <w:color w:val="auto"/>
                <w:spacing w:val="0"/>
                <w:sz w:val="21"/>
                <w:highlight w:val="none"/>
                <w:vertAlign w:val="superscript"/>
              </w:rPr>
              <w:t>-4</w:t>
            </w:r>
          </w:p>
        </w:tc>
      </w:tr>
      <w:tr w14:paraId="64183B92">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3AC7FC1D">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w:t>
            </w:r>
          </w:p>
        </w:tc>
        <w:tc>
          <w:tcPr>
            <w:tcW w:w="1853" w:type="dxa"/>
            <w:shd w:val="clear" w:color="auto" w:fill="auto"/>
            <w:vAlign w:val="center"/>
          </w:tcPr>
          <w:p w14:paraId="44940F7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1.50×10</w:t>
            </w:r>
            <w:r>
              <w:rPr>
                <w:rFonts w:ascii="Times New Roman" w:hAnsi="Times New Roman" w:eastAsia="宋体" w:cs="Times New Roman"/>
                <w:caps w:val="0"/>
                <w:smallCaps w:val="0"/>
                <w:color w:val="auto"/>
                <w:spacing w:val="0"/>
                <w:sz w:val="21"/>
                <w:highlight w:val="none"/>
                <w:vertAlign w:val="superscript"/>
              </w:rPr>
              <w:t>-2</w:t>
            </w:r>
          </w:p>
        </w:tc>
        <w:tc>
          <w:tcPr>
            <w:tcW w:w="1866" w:type="dxa"/>
            <w:shd w:val="clear" w:color="auto" w:fill="auto"/>
            <w:vAlign w:val="center"/>
          </w:tcPr>
          <w:p w14:paraId="5AB64E7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7.50×10</w:t>
            </w:r>
            <w:r>
              <w:rPr>
                <w:rFonts w:ascii="Times New Roman" w:hAnsi="Times New Roman" w:eastAsia="宋体" w:cs="Times New Roman"/>
                <w:caps w:val="0"/>
                <w:smallCaps w:val="0"/>
                <w:color w:val="auto"/>
                <w:spacing w:val="0"/>
                <w:sz w:val="21"/>
                <w:highlight w:val="none"/>
                <w:vertAlign w:val="superscript"/>
              </w:rPr>
              <w:t>-3</w:t>
            </w:r>
          </w:p>
        </w:tc>
        <w:tc>
          <w:tcPr>
            <w:tcW w:w="1878" w:type="dxa"/>
            <w:shd w:val="clear" w:color="auto" w:fill="auto"/>
            <w:vAlign w:val="center"/>
          </w:tcPr>
          <w:p w14:paraId="341E2C2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2.41×10</w:t>
            </w:r>
            <w:r>
              <w:rPr>
                <w:rFonts w:ascii="Times New Roman" w:hAnsi="Times New Roman" w:eastAsia="宋体" w:cs="Times New Roman"/>
                <w:caps w:val="0"/>
                <w:smallCaps w:val="0"/>
                <w:color w:val="auto"/>
                <w:spacing w:val="0"/>
                <w:sz w:val="21"/>
                <w:highlight w:val="none"/>
                <w:vertAlign w:val="superscript"/>
              </w:rPr>
              <w:t>-3</w:t>
            </w:r>
          </w:p>
        </w:tc>
        <w:tc>
          <w:tcPr>
            <w:tcW w:w="1902" w:type="dxa"/>
            <w:shd w:val="clear" w:color="auto" w:fill="auto"/>
            <w:vAlign w:val="center"/>
          </w:tcPr>
          <w:p w14:paraId="25F1714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4.82×10</w:t>
            </w:r>
            <w:r>
              <w:rPr>
                <w:rFonts w:ascii="Times New Roman" w:hAnsi="Times New Roman" w:eastAsia="宋体" w:cs="Times New Roman"/>
                <w:caps w:val="0"/>
                <w:smallCaps w:val="0"/>
                <w:color w:val="auto"/>
                <w:spacing w:val="0"/>
                <w:sz w:val="21"/>
                <w:highlight w:val="none"/>
                <w:vertAlign w:val="superscript"/>
              </w:rPr>
              <w:t>-3</w:t>
            </w:r>
          </w:p>
        </w:tc>
        <w:tc>
          <w:tcPr>
            <w:tcW w:w="1890" w:type="dxa"/>
            <w:shd w:val="clear" w:color="auto" w:fill="auto"/>
            <w:vAlign w:val="center"/>
          </w:tcPr>
          <w:p w14:paraId="21AAF60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5.57×10</w:t>
            </w:r>
            <w:r>
              <w:rPr>
                <w:rFonts w:ascii="Times New Roman" w:hAnsi="Times New Roman" w:eastAsia="宋体" w:cs="Times New Roman"/>
                <w:caps w:val="0"/>
                <w:smallCaps w:val="0"/>
                <w:color w:val="auto"/>
                <w:spacing w:val="0"/>
                <w:sz w:val="21"/>
                <w:highlight w:val="none"/>
                <w:vertAlign w:val="superscript"/>
              </w:rPr>
              <w:t>-5</w:t>
            </w:r>
          </w:p>
        </w:tc>
        <w:tc>
          <w:tcPr>
            <w:tcW w:w="1683" w:type="dxa"/>
            <w:shd w:val="clear" w:color="auto" w:fill="auto"/>
            <w:vAlign w:val="center"/>
          </w:tcPr>
          <w:p w14:paraId="72273FD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2.79×10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54" w:type="dxa"/>
            <w:shd w:val="clear" w:color="auto" w:fill="auto"/>
            <w:vAlign w:val="center"/>
          </w:tcPr>
          <w:p w14:paraId="79C24F5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1.01×10</w:t>
            </w:r>
            <w:r>
              <w:rPr>
                <w:rFonts w:ascii="Times New Roman" w:hAnsi="Times New Roman" w:eastAsia="宋体" w:cs="Times New Roman"/>
                <w:caps w:val="0"/>
                <w:smallCaps w:val="0"/>
                <w:color w:val="auto"/>
                <w:spacing w:val="0"/>
                <w:sz w:val="21"/>
                <w:highlight w:val="none"/>
                <w:vertAlign w:val="superscript"/>
              </w:rPr>
              <w:t>-4</w:t>
            </w:r>
          </w:p>
        </w:tc>
        <w:tc>
          <w:tcPr>
            <w:tcW w:w="1421" w:type="dxa"/>
            <w:shd w:val="clear" w:color="auto" w:fill="auto"/>
            <w:vAlign w:val="center"/>
          </w:tcPr>
          <w:p w14:paraId="438CEA4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5.05×10</w:t>
            </w:r>
            <w:r>
              <w:rPr>
                <w:rFonts w:ascii="Times New Roman" w:hAnsi="Times New Roman" w:eastAsia="宋体" w:cs="Times New Roman"/>
                <w:caps w:val="0"/>
                <w:smallCaps w:val="0"/>
                <w:color w:val="auto"/>
                <w:spacing w:val="0"/>
                <w:kern w:val="0"/>
                <w:sz w:val="21"/>
                <w:highlight w:val="none"/>
                <w:vertAlign w:val="superscript"/>
                <w:lang w:bidi="ar"/>
              </w:rPr>
              <w:t>-5</w:t>
            </w:r>
          </w:p>
        </w:tc>
      </w:tr>
      <w:tr w14:paraId="211E76D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972" w:type="dxa"/>
            <w:shd w:val="clear" w:color="auto" w:fill="auto"/>
            <w:vAlign w:val="center"/>
          </w:tcPr>
          <w:p w14:paraId="6C27968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w:t>
            </w:r>
          </w:p>
        </w:tc>
        <w:tc>
          <w:tcPr>
            <w:tcW w:w="1853" w:type="dxa"/>
            <w:shd w:val="clear" w:color="auto" w:fill="auto"/>
            <w:vAlign w:val="center"/>
          </w:tcPr>
          <w:p w14:paraId="612705FE">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866" w:type="dxa"/>
            <w:shd w:val="clear" w:color="auto" w:fill="auto"/>
            <w:vAlign w:val="center"/>
          </w:tcPr>
          <w:p w14:paraId="0DF1CB3A">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878" w:type="dxa"/>
            <w:shd w:val="clear" w:color="auto" w:fill="auto"/>
            <w:vAlign w:val="center"/>
          </w:tcPr>
          <w:p w14:paraId="17FBEFA7">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902" w:type="dxa"/>
            <w:shd w:val="clear" w:color="auto" w:fill="auto"/>
            <w:vAlign w:val="center"/>
          </w:tcPr>
          <w:p w14:paraId="224CAD1F">
            <w:pPr>
              <w:spacing w:before="74"/>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890" w:type="dxa"/>
            <w:shd w:val="clear" w:color="auto" w:fill="auto"/>
            <w:vAlign w:val="center"/>
          </w:tcPr>
          <w:p w14:paraId="1342D8A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1.28×10</w:t>
            </w:r>
            <w:r>
              <w:rPr>
                <w:rFonts w:ascii="Times New Roman" w:hAnsi="Times New Roman" w:eastAsia="宋体" w:cs="Times New Roman"/>
                <w:caps w:val="0"/>
                <w:smallCaps w:val="0"/>
                <w:color w:val="auto"/>
                <w:spacing w:val="0"/>
                <w:sz w:val="21"/>
                <w:highlight w:val="none"/>
                <w:vertAlign w:val="superscript"/>
              </w:rPr>
              <w:t>-4</w:t>
            </w:r>
          </w:p>
        </w:tc>
        <w:tc>
          <w:tcPr>
            <w:tcW w:w="1683" w:type="dxa"/>
            <w:shd w:val="clear" w:color="auto" w:fill="auto"/>
            <w:vAlign w:val="center"/>
          </w:tcPr>
          <w:p w14:paraId="511137C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6.40×10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54" w:type="dxa"/>
            <w:shd w:val="clear" w:color="auto" w:fill="auto"/>
            <w:vAlign w:val="center"/>
          </w:tcPr>
          <w:p w14:paraId="2EA12F0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1421" w:type="dxa"/>
            <w:shd w:val="clear" w:color="auto" w:fill="auto"/>
            <w:vAlign w:val="center"/>
          </w:tcPr>
          <w:p w14:paraId="1EC9EBD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r>
      <w:tr w14:paraId="00541EB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1972" w:type="dxa"/>
            <w:shd w:val="clear" w:color="auto" w:fill="auto"/>
            <w:vAlign w:val="center"/>
          </w:tcPr>
          <w:p w14:paraId="64B7FDA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w:t>
            </w:r>
          </w:p>
        </w:tc>
        <w:tc>
          <w:tcPr>
            <w:tcW w:w="1853" w:type="dxa"/>
            <w:shd w:val="clear" w:color="auto" w:fill="auto"/>
            <w:vAlign w:val="center"/>
          </w:tcPr>
          <w:p w14:paraId="21115C7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9.32×10</w:t>
            </w:r>
            <w:r>
              <w:rPr>
                <w:rFonts w:ascii="Times New Roman" w:hAnsi="Times New Roman" w:eastAsia="宋体" w:cs="Times New Roman"/>
                <w:caps w:val="0"/>
                <w:smallCaps w:val="0"/>
                <w:color w:val="auto"/>
                <w:spacing w:val="0"/>
                <w:sz w:val="21"/>
                <w:highlight w:val="none"/>
                <w:vertAlign w:val="superscript"/>
              </w:rPr>
              <w:t>-2</w:t>
            </w:r>
          </w:p>
        </w:tc>
        <w:tc>
          <w:tcPr>
            <w:tcW w:w="1866" w:type="dxa"/>
            <w:shd w:val="clear" w:color="auto" w:fill="auto"/>
            <w:vAlign w:val="center"/>
          </w:tcPr>
          <w:p w14:paraId="2684E2B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4.66×10</w:t>
            </w:r>
            <w:r>
              <w:rPr>
                <w:rFonts w:ascii="Times New Roman" w:hAnsi="Times New Roman" w:eastAsia="宋体" w:cs="Times New Roman"/>
                <w:caps w:val="0"/>
                <w:smallCaps w:val="0"/>
                <w:color w:val="auto"/>
                <w:spacing w:val="0"/>
                <w:sz w:val="21"/>
                <w:highlight w:val="none"/>
                <w:vertAlign w:val="superscript"/>
              </w:rPr>
              <w:t>-2</w:t>
            </w:r>
          </w:p>
        </w:tc>
        <w:tc>
          <w:tcPr>
            <w:tcW w:w="1878" w:type="dxa"/>
            <w:shd w:val="clear" w:color="auto" w:fill="auto"/>
            <w:vAlign w:val="center"/>
          </w:tcPr>
          <w:p w14:paraId="0A1FEEF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1.49×10</w:t>
            </w:r>
            <w:r>
              <w:rPr>
                <w:rFonts w:ascii="Times New Roman" w:hAnsi="Times New Roman" w:eastAsia="宋体" w:cs="Times New Roman"/>
                <w:caps w:val="0"/>
                <w:smallCaps w:val="0"/>
                <w:color w:val="auto"/>
                <w:spacing w:val="0"/>
                <w:sz w:val="21"/>
                <w:highlight w:val="none"/>
                <w:vertAlign w:val="superscript"/>
              </w:rPr>
              <w:t>-2</w:t>
            </w:r>
          </w:p>
        </w:tc>
        <w:tc>
          <w:tcPr>
            <w:tcW w:w="1902" w:type="dxa"/>
            <w:shd w:val="clear" w:color="auto" w:fill="auto"/>
            <w:vAlign w:val="center"/>
          </w:tcPr>
          <w:p w14:paraId="5EDCBDD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2.98×10</w:t>
            </w:r>
            <w:r>
              <w:rPr>
                <w:rFonts w:ascii="Times New Roman" w:hAnsi="Times New Roman" w:eastAsia="宋体" w:cs="Times New Roman"/>
                <w:caps w:val="0"/>
                <w:smallCaps w:val="0"/>
                <w:color w:val="auto"/>
                <w:spacing w:val="0"/>
                <w:sz w:val="21"/>
                <w:highlight w:val="none"/>
                <w:vertAlign w:val="superscript"/>
              </w:rPr>
              <w:t>-2</w:t>
            </w:r>
          </w:p>
        </w:tc>
        <w:tc>
          <w:tcPr>
            <w:tcW w:w="1890" w:type="dxa"/>
            <w:shd w:val="clear" w:color="auto" w:fill="auto"/>
            <w:vAlign w:val="center"/>
          </w:tcPr>
          <w:p w14:paraId="09C98D0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1.27×10</w:t>
            </w:r>
            <w:r>
              <w:rPr>
                <w:rFonts w:ascii="Times New Roman" w:hAnsi="Times New Roman" w:eastAsia="宋体" w:cs="Times New Roman"/>
                <w:caps w:val="0"/>
                <w:smallCaps w:val="0"/>
                <w:color w:val="auto"/>
                <w:spacing w:val="0"/>
                <w:sz w:val="21"/>
                <w:highlight w:val="none"/>
                <w:vertAlign w:val="superscript"/>
              </w:rPr>
              <w:t>-4</w:t>
            </w:r>
          </w:p>
        </w:tc>
        <w:tc>
          <w:tcPr>
            <w:tcW w:w="1683" w:type="dxa"/>
            <w:shd w:val="clear" w:color="auto" w:fill="auto"/>
            <w:vAlign w:val="center"/>
          </w:tcPr>
          <w:p w14:paraId="5F3819E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6.35×10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54" w:type="dxa"/>
            <w:shd w:val="clear" w:color="auto" w:fill="auto"/>
            <w:vAlign w:val="center"/>
          </w:tcPr>
          <w:p w14:paraId="566A5B5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4.86×10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421" w:type="dxa"/>
            <w:shd w:val="clear" w:color="auto" w:fill="auto"/>
            <w:vAlign w:val="center"/>
          </w:tcPr>
          <w:p w14:paraId="347F966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2.43×10</w:t>
            </w:r>
            <w:r>
              <w:rPr>
                <w:rFonts w:ascii="Times New Roman" w:hAnsi="Times New Roman" w:eastAsia="宋体" w:cs="Times New Roman"/>
                <w:caps w:val="0"/>
                <w:smallCaps w:val="0"/>
                <w:color w:val="auto"/>
                <w:spacing w:val="0"/>
                <w:kern w:val="0"/>
                <w:sz w:val="21"/>
                <w:highlight w:val="none"/>
                <w:vertAlign w:val="superscript"/>
                <w:lang w:bidi="ar"/>
              </w:rPr>
              <w:t>-5</w:t>
            </w:r>
          </w:p>
        </w:tc>
      </w:tr>
      <w:tr w14:paraId="2C04D3F9">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3BC0E01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98</w:t>
            </w:r>
          </w:p>
        </w:tc>
        <w:tc>
          <w:tcPr>
            <w:tcW w:w="1853" w:type="dxa"/>
            <w:shd w:val="clear" w:color="auto" w:fill="auto"/>
            <w:vAlign w:val="center"/>
          </w:tcPr>
          <w:p w14:paraId="24D90F2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1.11×10</w:t>
            </w:r>
            <w:r>
              <w:rPr>
                <w:rFonts w:ascii="Times New Roman" w:hAnsi="Times New Roman" w:eastAsia="宋体" w:cs="Times New Roman"/>
                <w:caps w:val="0"/>
                <w:smallCaps w:val="0"/>
                <w:color w:val="auto"/>
                <w:spacing w:val="0"/>
                <w:sz w:val="21"/>
                <w:highlight w:val="none"/>
                <w:vertAlign w:val="superscript"/>
              </w:rPr>
              <w:t>-1</w:t>
            </w:r>
          </w:p>
        </w:tc>
        <w:tc>
          <w:tcPr>
            <w:tcW w:w="1866" w:type="dxa"/>
            <w:shd w:val="clear" w:color="auto" w:fill="auto"/>
            <w:vAlign w:val="center"/>
          </w:tcPr>
          <w:p w14:paraId="6B69D6B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5.60×10</w:t>
            </w:r>
            <w:r>
              <w:rPr>
                <w:rFonts w:ascii="Times New Roman" w:hAnsi="Times New Roman" w:eastAsia="宋体" w:cs="Times New Roman"/>
                <w:caps w:val="0"/>
                <w:smallCaps w:val="0"/>
                <w:color w:val="auto"/>
                <w:spacing w:val="0"/>
                <w:sz w:val="21"/>
                <w:highlight w:val="none"/>
                <w:vertAlign w:val="superscript"/>
              </w:rPr>
              <w:t>-2</w:t>
            </w:r>
          </w:p>
        </w:tc>
        <w:tc>
          <w:tcPr>
            <w:tcW w:w="1878" w:type="dxa"/>
            <w:shd w:val="clear" w:color="auto" w:fill="auto"/>
            <w:vAlign w:val="center"/>
          </w:tcPr>
          <w:p w14:paraId="4F9D41A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1.79×10</w:t>
            </w:r>
            <w:r>
              <w:rPr>
                <w:rFonts w:ascii="Times New Roman" w:hAnsi="Times New Roman" w:eastAsia="宋体" w:cs="Times New Roman"/>
                <w:caps w:val="0"/>
                <w:smallCaps w:val="0"/>
                <w:color w:val="auto"/>
                <w:spacing w:val="0"/>
                <w:sz w:val="21"/>
                <w:highlight w:val="none"/>
                <w:vertAlign w:val="superscript"/>
              </w:rPr>
              <w:t>-2</w:t>
            </w:r>
          </w:p>
        </w:tc>
        <w:tc>
          <w:tcPr>
            <w:tcW w:w="1902" w:type="dxa"/>
            <w:shd w:val="clear" w:color="auto" w:fill="auto"/>
            <w:vAlign w:val="center"/>
          </w:tcPr>
          <w:p w14:paraId="1BFAB20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3.58×10</w:t>
            </w:r>
            <w:r>
              <w:rPr>
                <w:rFonts w:ascii="Times New Roman" w:hAnsi="Times New Roman" w:eastAsia="宋体" w:cs="Times New Roman"/>
                <w:caps w:val="0"/>
                <w:smallCaps w:val="0"/>
                <w:color w:val="auto"/>
                <w:spacing w:val="0"/>
                <w:sz w:val="21"/>
                <w:highlight w:val="none"/>
                <w:vertAlign w:val="superscript"/>
              </w:rPr>
              <w:t>-2</w:t>
            </w:r>
          </w:p>
        </w:tc>
        <w:tc>
          <w:tcPr>
            <w:tcW w:w="1890" w:type="dxa"/>
            <w:shd w:val="clear" w:color="auto" w:fill="auto"/>
            <w:vAlign w:val="center"/>
          </w:tcPr>
          <w:p w14:paraId="6B0E357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683" w:type="dxa"/>
            <w:shd w:val="clear" w:color="auto" w:fill="auto"/>
            <w:vAlign w:val="center"/>
          </w:tcPr>
          <w:p w14:paraId="7EF739D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354" w:type="dxa"/>
            <w:shd w:val="clear" w:color="auto" w:fill="auto"/>
            <w:vAlign w:val="center"/>
          </w:tcPr>
          <w:p w14:paraId="742C202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1421" w:type="dxa"/>
            <w:shd w:val="clear" w:color="auto" w:fill="auto"/>
            <w:vAlign w:val="center"/>
          </w:tcPr>
          <w:p w14:paraId="6CF2998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r>
      <w:tr w14:paraId="193BF63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4D57866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w:t>
            </w:r>
          </w:p>
        </w:tc>
        <w:tc>
          <w:tcPr>
            <w:tcW w:w="1853" w:type="dxa"/>
            <w:shd w:val="clear" w:color="auto" w:fill="auto"/>
            <w:vAlign w:val="center"/>
          </w:tcPr>
          <w:p w14:paraId="1A48009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1.11×10</w:t>
            </w:r>
            <w:r>
              <w:rPr>
                <w:rFonts w:ascii="Times New Roman" w:hAnsi="Times New Roman" w:eastAsia="宋体" w:cs="Times New Roman"/>
                <w:caps w:val="0"/>
                <w:smallCaps w:val="0"/>
                <w:color w:val="auto"/>
                <w:spacing w:val="0"/>
                <w:sz w:val="21"/>
                <w:highlight w:val="none"/>
                <w:vertAlign w:val="superscript"/>
              </w:rPr>
              <w:t>-1</w:t>
            </w:r>
          </w:p>
        </w:tc>
        <w:tc>
          <w:tcPr>
            <w:tcW w:w="1866" w:type="dxa"/>
            <w:shd w:val="clear" w:color="auto" w:fill="auto"/>
            <w:vAlign w:val="center"/>
          </w:tcPr>
          <w:p w14:paraId="5386827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5.60×10</w:t>
            </w:r>
            <w:r>
              <w:rPr>
                <w:rFonts w:ascii="Times New Roman" w:hAnsi="Times New Roman" w:eastAsia="宋体" w:cs="Times New Roman"/>
                <w:caps w:val="0"/>
                <w:smallCaps w:val="0"/>
                <w:color w:val="auto"/>
                <w:spacing w:val="0"/>
                <w:sz w:val="21"/>
                <w:highlight w:val="none"/>
                <w:vertAlign w:val="superscript"/>
              </w:rPr>
              <w:t>-2</w:t>
            </w:r>
          </w:p>
        </w:tc>
        <w:tc>
          <w:tcPr>
            <w:tcW w:w="1878" w:type="dxa"/>
            <w:shd w:val="clear" w:color="auto" w:fill="auto"/>
            <w:vAlign w:val="center"/>
          </w:tcPr>
          <w:p w14:paraId="038D379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1.79×10</w:t>
            </w:r>
            <w:r>
              <w:rPr>
                <w:rFonts w:ascii="Times New Roman" w:hAnsi="Times New Roman" w:eastAsia="宋体" w:cs="Times New Roman"/>
                <w:caps w:val="0"/>
                <w:smallCaps w:val="0"/>
                <w:color w:val="auto"/>
                <w:spacing w:val="0"/>
                <w:sz w:val="21"/>
                <w:highlight w:val="none"/>
                <w:vertAlign w:val="superscript"/>
              </w:rPr>
              <w:t>-2</w:t>
            </w:r>
          </w:p>
        </w:tc>
        <w:tc>
          <w:tcPr>
            <w:tcW w:w="1902" w:type="dxa"/>
            <w:shd w:val="clear" w:color="auto" w:fill="auto"/>
            <w:vAlign w:val="center"/>
          </w:tcPr>
          <w:p w14:paraId="5D2C576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3.58×10</w:t>
            </w:r>
            <w:r>
              <w:rPr>
                <w:rFonts w:ascii="Times New Roman" w:hAnsi="Times New Roman" w:eastAsia="宋体" w:cs="Times New Roman"/>
                <w:caps w:val="0"/>
                <w:smallCaps w:val="0"/>
                <w:color w:val="auto"/>
                <w:spacing w:val="0"/>
                <w:sz w:val="21"/>
                <w:highlight w:val="none"/>
                <w:vertAlign w:val="superscript"/>
              </w:rPr>
              <w:t>-2</w:t>
            </w:r>
          </w:p>
        </w:tc>
        <w:tc>
          <w:tcPr>
            <w:tcW w:w="1890" w:type="dxa"/>
            <w:shd w:val="clear" w:color="auto" w:fill="auto"/>
            <w:vAlign w:val="center"/>
          </w:tcPr>
          <w:p w14:paraId="0A9F893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1.24×10</w:t>
            </w:r>
            <w:r>
              <w:rPr>
                <w:rFonts w:ascii="Times New Roman" w:hAnsi="Times New Roman" w:eastAsia="宋体" w:cs="Times New Roman"/>
                <w:caps w:val="0"/>
                <w:smallCaps w:val="0"/>
                <w:color w:val="auto"/>
                <w:spacing w:val="0"/>
                <w:sz w:val="21"/>
                <w:highlight w:val="none"/>
                <w:vertAlign w:val="superscript"/>
              </w:rPr>
              <w:t>-4</w:t>
            </w:r>
          </w:p>
        </w:tc>
        <w:tc>
          <w:tcPr>
            <w:tcW w:w="1683" w:type="dxa"/>
            <w:shd w:val="clear" w:color="auto" w:fill="auto"/>
            <w:vAlign w:val="center"/>
          </w:tcPr>
          <w:p w14:paraId="3A64CA9A">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6.20×10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54" w:type="dxa"/>
            <w:shd w:val="clear" w:color="auto" w:fill="auto"/>
            <w:vAlign w:val="center"/>
          </w:tcPr>
          <w:p w14:paraId="42A22A0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3.07×10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421" w:type="dxa"/>
            <w:shd w:val="clear" w:color="auto" w:fill="auto"/>
            <w:vAlign w:val="center"/>
          </w:tcPr>
          <w:p w14:paraId="71328E1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1.54×10</w:t>
            </w:r>
            <w:r>
              <w:rPr>
                <w:rFonts w:ascii="Times New Roman" w:hAnsi="Times New Roman" w:eastAsia="宋体" w:cs="Times New Roman"/>
                <w:caps w:val="0"/>
                <w:smallCaps w:val="0"/>
                <w:color w:val="auto"/>
                <w:spacing w:val="0"/>
                <w:kern w:val="0"/>
                <w:sz w:val="21"/>
                <w:highlight w:val="none"/>
                <w:vertAlign w:val="superscript"/>
                <w:lang w:bidi="ar"/>
              </w:rPr>
              <w:t>-5</w:t>
            </w:r>
          </w:p>
        </w:tc>
      </w:tr>
      <w:tr w14:paraId="511BD6A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346E14B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w:t>
            </w:r>
          </w:p>
        </w:tc>
        <w:tc>
          <w:tcPr>
            <w:tcW w:w="1853" w:type="dxa"/>
            <w:shd w:val="clear" w:color="auto" w:fill="auto"/>
            <w:vAlign w:val="center"/>
          </w:tcPr>
          <w:p w14:paraId="68000C6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9.11×10</w:t>
            </w:r>
            <w:r>
              <w:rPr>
                <w:rFonts w:ascii="Times New Roman" w:hAnsi="Times New Roman" w:eastAsia="宋体" w:cs="Times New Roman"/>
                <w:caps w:val="0"/>
                <w:smallCaps w:val="0"/>
                <w:color w:val="auto"/>
                <w:spacing w:val="0"/>
                <w:sz w:val="21"/>
                <w:highlight w:val="none"/>
                <w:vertAlign w:val="superscript"/>
              </w:rPr>
              <w:t>-2</w:t>
            </w:r>
          </w:p>
        </w:tc>
        <w:tc>
          <w:tcPr>
            <w:tcW w:w="1866" w:type="dxa"/>
            <w:shd w:val="clear" w:color="auto" w:fill="auto"/>
            <w:vAlign w:val="center"/>
          </w:tcPr>
          <w:p w14:paraId="6F037E1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4.56×10</w:t>
            </w:r>
            <w:r>
              <w:rPr>
                <w:rFonts w:ascii="Times New Roman" w:hAnsi="Times New Roman" w:eastAsia="宋体" w:cs="Times New Roman"/>
                <w:caps w:val="0"/>
                <w:smallCaps w:val="0"/>
                <w:color w:val="auto"/>
                <w:spacing w:val="0"/>
                <w:sz w:val="21"/>
                <w:highlight w:val="none"/>
                <w:vertAlign w:val="superscript"/>
              </w:rPr>
              <w:t>-2</w:t>
            </w:r>
          </w:p>
        </w:tc>
        <w:tc>
          <w:tcPr>
            <w:tcW w:w="1878" w:type="dxa"/>
            <w:shd w:val="clear" w:color="auto" w:fill="auto"/>
            <w:vAlign w:val="center"/>
          </w:tcPr>
          <w:p w14:paraId="191CB24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1.46×10</w:t>
            </w:r>
            <w:r>
              <w:rPr>
                <w:rFonts w:ascii="Times New Roman" w:hAnsi="Times New Roman" w:eastAsia="宋体" w:cs="Times New Roman"/>
                <w:caps w:val="0"/>
                <w:smallCaps w:val="0"/>
                <w:color w:val="auto"/>
                <w:spacing w:val="0"/>
                <w:sz w:val="21"/>
                <w:highlight w:val="none"/>
                <w:vertAlign w:val="superscript"/>
              </w:rPr>
              <w:t>-2</w:t>
            </w:r>
          </w:p>
        </w:tc>
        <w:tc>
          <w:tcPr>
            <w:tcW w:w="1902" w:type="dxa"/>
            <w:shd w:val="clear" w:color="auto" w:fill="auto"/>
            <w:vAlign w:val="center"/>
          </w:tcPr>
          <w:p w14:paraId="5B70474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2.92×10</w:t>
            </w:r>
            <w:r>
              <w:rPr>
                <w:rFonts w:ascii="Times New Roman" w:hAnsi="Times New Roman" w:eastAsia="宋体" w:cs="Times New Roman"/>
                <w:caps w:val="0"/>
                <w:smallCaps w:val="0"/>
                <w:color w:val="auto"/>
                <w:spacing w:val="0"/>
                <w:sz w:val="21"/>
                <w:highlight w:val="none"/>
                <w:vertAlign w:val="superscript"/>
              </w:rPr>
              <w:t>-2</w:t>
            </w:r>
          </w:p>
        </w:tc>
        <w:tc>
          <w:tcPr>
            <w:tcW w:w="1890" w:type="dxa"/>
            <w:shd w:val="clear" w:color="auto" w:fill="auto"/>
            <w:vAlign w:val="center"/>
          </w:tcPr>
          <w:p w14:paraId="53D2129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8.59×10</w:t>
            </w:r>
            <w:r>
              <w:rPr>
                <w:rFonts w:ascii="Times New Roman" w:hAnsi="Times New Roman" w:eastAsia="宋体" w:cs="Times New Roman"/>
                <w:caps w:val="0"/>
                <w:smallCaps w:val="0"/>
                <w:color w:val="auto"/>
                <w:spacing w:val="0"/>
                <w:sz w:val="21"/>
                <w:highlight w:val="none"/>
                <w:vertAlign w:val="superscript"/>
              </w:rPr>
              <w:t>-5</w:t>
            </w:r>
          </w:p>
        </w:tc>
        <w:tc>
          <w:tcPr>
            <w:tcW w:w="1683" w:type="dxa"/>
            <w:shd w:val="clear" w:color="auto" w:fill="auto"/>
            <w:vAlign w:val="center"/>
          </w:tcPr>
          <w:p w14:paraId="7C60D32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4.30×10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54" w:type="dxa"/>
            <w:shd w:val="clear" w:color="auto" w:fill="auto"/>
            <w:vAlign w:val="center"/>
          </w:tcPr>
          <w:p w14:paraId="4293B20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1.81×10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421" w:type="dxa"/>
            <w:shd w:val="clear" w:color="auto" w:fill="auto"/>
            <w:vAlign w:val="center"/>
          </w:tcPr>
          <w:p w14:paraId="6F6A8A5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9.05×10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543BFB7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7E5ACBED">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300</w:t>
            </w:r>
          </w:p>
        </w:tc>
        <w:tc>
          <w:tcPr>
            <w:tcW w:w="1853" w:type="dxa"/>
            <w:shd w:val="clear" w:color="auto" w:fill="auto"/>
            <w:vAlign w:val="center"/>
          </w:tcPr>
          <w:p w14:paraId="337DE0D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3.85×10</w:t>
            </w:r>
            <w:r>
              <w:rPr>
                <w:rFonts w:ascii="Times New Roman" w:hAnsi="Times New Roman" w:eastAsia="宋体" w:cs="Times New Roman"/>
                <w:caps w:val="0"/>
                <w:smallCaps w:val="0"/>
                <w:color w:val="auto"/>
                <w:spacing w:val="0"/>
                <w:sz w:val="21"/>
                <w:highlight w:val="none"/>
                <w:vertAlign w:val="superscript"/>
              </w:rPr>
              <w:t>-2</w:t>
            </w:r>
          </w:p>
        </w:tc>
        <w:tc>
          <w:tcPr>
            <w:tcW w:w="1866" w:type="dxa"/>
            <w:shd w:val="clear" w:color="auto" w:fill="auto"/>
            <w:vAlign w:val="center"/>
          </w:tcPr>
          <w:p w14:paraId="26723A4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1.93×10</w:t>
            </w:r>
            <w:r>
              <w:rPr>
                <w:rFonts w:ascii="Times New Roman" w:hAnsi="Times New Roman" w:eastAsia="宋体" w:cs="Times New Roman"/>
                <w:caps w:val="0"/>
                <w:smallCaps w:val="0"/>
                <w:color w:val="auto"/>
                <w:spacing w:val="0"/>
                <w:sz w:val="21"/>
                <w:highlight w:val="none"/>
                <w:vertAlign w:val="superscript"/>
              </w:rPr>
              <w:t>-2</w:t>
            </w:r>
          </w:p>
        </w:tc>
        <w:tc>
          <w:tcPr>
            <w:tcW w:w="1878" w:type="dxa"/>
            <w:shd w:val="clear" w:color="auto" w:fill="auto"/>
            <w:vAlign w:val="center"/>
          </w:tcPr>
          <w:p w14:paraId="2A52EBB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6.18×10</w:t>
            </w:r>
            <w:r>
              <w:rPr>
                <w:rFonts w:ascii="Times New Roman" w:hAnsi="Times New Roman" w:eastAsia="宋体" w:cs="Times New Roman"/>
                <w:caps w:val="0"/>
                <w:smallCaps w:val="0"/>
                <w:color w:val="auto"/>
                <w:spacing w:val="0"/>
                <w:sz w:val="21"/>
                <w:highlight w:val="none"/>
                <w:vertAlign w:val="superscript"/>
              </w:rPr>
              <w:t>-3</w:t>
            </w:r>
          </w:p>
        </w:tc>
        <w:tc>
          <w:tcPr>
            <w:tcW w:w="1902" w:type="dxa"/>
            <w:shd w:val="clear" w:color="auto" w:fill="auto"/>
            <w:vAlign w:val="center"/>
          </w:tcPr>
          <w:p w14:paraId="792D42F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1.24×10</w:t>
            </w:r>
            <w:r>
              <w:rPr>
                <w:rFonts w:ascii="Times New Roman" w:hAnsi="Times New Roman" w:eastAsia="宋体" w:cs="Times New Roman"/>
                <w:caps w:val="0"/>
                <w:smallCaps w:val="0"/>
                <w:color w:val="auto"/>
                <w:spacing w:val="0"/>
                <w:sz w:val="21"/>
                <w:highlight w:val="none"/>
                <w:vertAlign w:val="superscript"/>
              </w:rPr>
              <w:t>-2</w:t>
            </w:r>
          </w:p>
        </w:tc>
        <w:tc>
          <w:tcPr>
            <w:tcW w:w="1890" w:type="dxa"/>
            <w:shd w:val="clear" w:color="auto" w:fill="auto"/>
            <w:vAlign w:val="center"/>
          </w:tcPr>
          <w:p w14:paraId="2789CF0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3.25×10</w:t>
            </w:r>
            <w:r>
              <w:rPr>
                <w:rFonts w:ascii="Times New Roman" w:hAnsi="Times New Roman" w:eastAsia="宋体" w:cs="Times New Roman"/>
                <w:caps w:val="0"/>
                <w:smallCaps w:val="0"/>
                <w:color w:val="auto"/>
                <w:spacing w:val="0"/>
                <w:sz w:val="21"/>
                <w:highlight w:val="none"/>
                <w:vertAlign w:val="superscript"/>
              </w:rPr>
              <w:t>-5</w:t>
            </w:r>
          </w:p>
        </w:tc>
        <w:tc>
          <w:tcPr>
            <w:tcW w:w="1683" w:type="dxa"/>
            <w:shd w:val="clear" w:color="auto" w:fill="auto"/>
            <w:vAlign w:val="center"/>
          </w:tcPr>
          <w:p w14:paraId="6F47B5E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1.63×10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354" w:type="dxa"/>
            <w:shd w:val="clear" w:color="auto" w:fill="auto"/>
            <w:vAlign w:val="center"/>
          </w:tcPr>
          <w:p w14:paraId="0C86D008">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7.24×10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421" w:type="dxa"/>
            <w:shd w:val="clear" w:color="auto" w:fill="auto"/>
            <w:vAlign w:val="center"/>
          </w:tcPr>
          <w:p w14:paraId="460BE49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3.62×10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2C5DE37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1D3085B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w:t>
            </w:r>
          </w:p>
        </w:tc>
        <w:tc>
          <w:tcPr>
            <w:tcW w:w="1853" w:type="dxa"/>
            <w:shd w:val="clear" w:color="auto" w:fill="auto"/>
            <w:vAlign w:val="center"/>
          </w:tcPr>
          <w:p w14:paraId="368FAA3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1.76×10</w:t>
            </w:r>
            <w:r>
              <w:rPr>
                <w:rFonts w:ascii="Times New Roman" w:hAnsi="Times New Roman" w:eastAsia="宋体" w:cs="Times New Roman"/>
                <w:caps w:val="0"/>
                <w:smallCaps w:val="0"/>
                <w:color w:val="auto"/>
                <w:spacing w:val="0"/>
                <w:sz w:val="21"/>
                <w:highlight w:val="none"/>
                <w:vertAlign w:val="superscript"/>
              </w:rPr>
              <w:t>-2</w:t>
            </w:r>
          </w:p>
        </w:tc>
        <w:tc>
          <w:tcPr>
            <w:tcW w:w="1866" w:type="dxa"/>
            <w:shd w:val="clear" w:color="auto" w:fill="auto"/>
            <w:vAlign w:val="center"/>
          </w:tcPr>
          <w:p w14:paraId="6BA7699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8.80×10</w:t>
            </w:r>
            <w:r>
              <w:rPr>
                <w:rFonts w:ascii="Times New Roman" w:hAnsi="Times New Roman" w:eastAsia="宋体" w:cs="Times New Roman"/>
                <w:caps w:val="0"/>
                <w:smallCaps w:val="0"/>
                <w:color w:val="auto"/>
                <w:spacing w:val="0"/>
                <w:sz w:val="21"/>
                <w:highlight w:val="none"/>
                <w:vertAlign w:val="superscript"/>
              </w:rPr>
              <w:t>-3</w:t>
            </w:r>
          </w:p>
        </w:tc>
        <w:tc>
          <w:tcPr>
            <w:tcW w:w="1878" w:type="dxa"/>
            <w:shd w:val="clear" w:color="auto" w:fill="auto"/>
            <w:vAlign w:val="center"/>
          </w:tcPr>
          <w:p w14:paraId="561530A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2.82×10</w:t>
            </w:r>
            <w:r>
              <w:rPr>
                <w:rFonts w:ascii="Times New Roman" w:hAnsi="Times New Roman" w:eastAsia="宋体" w:cs="Times New Roman"/>
                <w:caps w:val="0"/>
                <w:smallCaps w:val="0"/>
                <w:color w:val="auto"/>
                <w:spacing w:val="0"/>
                <w:sz w:val="21"/>
                <w:highlight w:val="none"/>
                <w:vertAlign w:val="superscript"/>
              </w:rPr>
              <w:t>-3</w:t>
            </w:r>
          </w:p>
        </w:tc>
        <w:tc>
          <w:tcPr>
            <w:tcW w:w="1902" w:type="dxa"/>
            <w:shd w:val="clear" w:color="auto" w:fill="auto"/>
            <w:vAlign w:val="center"/>
          </w:tcPr>
          <w:p w14:paraId="037D58D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5.64×10</w:t>
            </w:r>
            <w:r>
              <w:rPr>
                <w:rFonts w:ascii="Times New Roman" w:hAnsi="Times New Roman" w:eastAsia="宋体" w:cs="Times New Roman"/>
                <w:caps w:val="0"/>
                <w:smallCaps w:val="0"/>
                <w:color w:val="auto"/>
                <w:spacing w:val="0"/>
                <w:sz w:val="21"/>
                <w:highlight w:val="none"/>
                <w:vertAlign w:val="superscript"/>
              </w:rPr>
              <w:t>-3</w:t>
            </w:r>
          </w:p>
        </w:tc>
        <w:tc>
          <w:tcPr>
            <w:tcW w:w="1890" w:type="dxa"/>
            <w:shd w:val="clear" w:color="auto" w:fill="auto"/>
            <w:vAlign w:val="center"/>
          </w:tcPr>
          <w:p w14:paraId="6E1FF0B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1.47×10</w:t>
            </w:r>
            <w:r>
              <w:rPr>
                <w:rFonts w:ascii="Times New Roman" w:hAnsi="Times New Roman" w:eastAsia="宋体" w:cs="Times New Roman"/>
                <w:caps w:val="0"/>
                <w:smallCaps w:val="0"/>
                <w:color w:val="auto"/>
                <w:spacing w:val="0"/>
                <w:sz w:val="21"/>
                <w:highlight w:val="none"/>
                <w:vertAlign w:val="superscript"/>
              </w:rPr>
              <w:t>-5</w:t>
            </w:r>
          </w:p>
        </w:tc>
        <w:tc>
          <w:tcPr>
            <w:tcW w:w="1683" w:type="dxa"/>
            <w:shd w:val="clear" w:color="auto" w:fill="auto"/>
            <w:vAlign w:val="center"/>
          </w:tcPr>
          <w:p w14:paraId="018507B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7.35×10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354" w:type="dxa"/>
            <w:shd w:val="clear" w:color="auto" w:fill="auto"/>
            <w:vAlign w:val="center"/>
          </w:tcPr>
          <w:p w14:paraId="734937D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3.44×10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421" w:type="dxa"/>
            <w:shd w:val="clear" w:color="auto" w:fill="auto"/>
            <w:vAlign w:val="center"/>
          </w:tcPr>
          <w:p w14:paraId="6F2F95F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1.72×10</w:t>
            </w:r>
            <w:r>
              <w:rPr>
                <w:rFonts w:ascii="Times New Roman" w:hAnsi="Times New Roman" w:eastAsia="宋体" w:cs="Times New Roman"/>
                <w:caps w:val="0"/>
                <w:smallCaps w:val="0"/>
                <w:color w:val="auto"/>
                <w:spacing w:val="0"/>
                <w:kern w:val="0"/>
                <w:sz w:val="21"/>
                <w:highlight w:val="none"/>
                <w:vertAlign w:val="superscript"/>
                <w:lang w:bidi="ar"/>
              </w:rPr>
              <w:t>-6</w:t>
            </w:r>
          </w:p>
        </w:tc>
      </w:tr>
      <w:tr w14:paraId="25F21BE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7E9F456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750</w:t>
            </w:r>
          </w:p>
        </w:tc>
        <w:tc>
          <w:tcPr>
            <w:tcW w:w="1853" w:type="dxa"/>
            <w:shd w:val="clear" w:color="auto" w:fill="auto"/>
            <w:vAlign w:val="center"/>
          </w:tcPr>
          <w:p w14:paraId="0A7D745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9.09×10</w:t>
            </w:r>
            <w:r>
              <w:rPr>
                <w:rFonts w:ascii="Times New Roman" w:hAnsi="Times New Roman" w:eastAsia="宋体" w:cs="Times New Roman"/>
                <w:caps w:val="0"/>
                <w:smallCaps w:val="0"/>
                <w:color w:val="auto"/>
                <w:spacing w:val="0"/>
                <w:sz w:val="21"/>
                <w:highlight w:val="none"/>
                <w:vertAlign w:val="superscript"/>
              </w:rPr>
              <w:t>-3</w:t>
            </w:r>
          </w:p>
        </w:tc>
        <w:tc>
          <w:tcPr>
            <w:tcW w:w="1866" w:type="dxa"/>
            <w:shd w:val="clear" w:color="auto" w:fill="auto"/>
            <w:vAlign w:val="center"/>
          </w:tcPr>
          <w:p w14:paraId="3783934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4.55×10</w:t>
            </w:r>
            <w:r>
              <w:rPr>
                <w:rFonts w:ascii="Times New Roman" w:hAnsi="Times New Roman" w:eastAsia="宋体" w:cs="Times New Roman"/>
                <w:caps w:val="0"/>
                <w:smallCaps w:val="0"/>
                <w:color w:val="auto"/>
                <w:spacing w:val="0"/>
                <w:sz w:val="21"/>
                <w:highlight w:val="none"/>
                <w:vertAlign w:val="superscript"/>
              </w:rPr>
              <w:t>-3</w:t>
            </w:r>
          </w:p>
        </w:tc>
        <w:tc>
          <w:tcPr>
            <w:tcW w:w="1878" w:type="dxa"/>
            <w:shd w:val="clear" w:color="auto" w:fill="auto"/>
            <w:vAlign w:val="center"/>
          </w:tcPr>
          <w:p w14:paraId="6A35134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1.46×10</w:t>
            </w:r>
            <w:r>
              <w:rPr>
                <w:rFonts w:ascii="Times New Roman" w:hAnsi="Times New Roman" w:eastAsia="宋体" w:cs="Times New Roman"/>
                <w:caps w:val="0"/>
                <w:smallCaps w:val="0"/>
                <w:color w:val="auto"/>
                <w:spacing w:val="0"/>
                <w:sz w:val="21"/>
                <w:highlight w:val="none"/>
                <w:vertAlign w:val="superscript"/>
              </w:rPr>
              <w:t>-3</w:t>
            </w:r>
          </w:p>
        </w:tc>
        <w:tc>
          <w:tcPr>
            <w:tcW w:w="1902" w:type="dxa"/>
            <w:shd w:val="clear" w:color="auto" w:fill="auto"/>
            <w:vAlign w:val="center"/>
          </w:tcPr>
          <w:p w14:paraId="6B01C36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2.92×10</w:t>
            </w:r>
            <w:r>
              <w:rPr>
                <w:rFonts w:ascii="Times New Roman" w:hAnsi="Times New Roman" w:eastAsia="宋体" w:cs="Times New Roman"/>
                <w:caps w:val="0"/>
                <w:smallCaps w:val="0"/>
                <w:color w:val="auto"/>
                <w:spacing w:val="0"/>
                <w:sz w:val="21"/>
                <w:highlight w:val="none"/>
                <w:vertAlign w:val="superscript"/>
              </w:rPr>
              <w:t>-3</w:t>
            </w:r>
          </w:p>
        </w:tc>
        <w:tc>
          <w:tcPr>
            <w:tcW w:w="1890" w:type="dxa"/>
            <w:shd w:val="clear" w:color="auto" w:fill="auto"/>
            <w:vAlign w:val="center"/>
          </w:tcPr>
          <w:p w14:paraId="6F8F8FB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7.57×10</w:t>
            </w:r>
            <w:r>
              <w:rPr>
                <w:rFonts w:ascii="Times New Roman" w:hAnsi="Times New Roman" w:eastAsia="宋体" w:cs="Times New Roman"/>
                <w:caps w:val="0"/>
                <w:smallCaps w:val="0"/>
                <w:color w:val="auto"/>
                <w:spacing w:val="0"/>
                <w:sz w:val="21"/>
                <w:highlight w:val="none"/>
                <w:vertAlign w:val="superscript"/>
              </w:rPr>
              <w:t>-6</w:t>
            </w:r>
          </w:p>
        </w:tc>
        <w:tc>
          <w:tcPr>
            <w:tcW w:w="1683" w:type="dxa"/>
            <w:shd w:val="clear" w:color="auto" w:fill="auto"/>
            <w:vAlign w:val="center"/>
          </w:tcPr>
          <w:p w14:paraId="4D5BBC8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3.79×10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354" w:type="dxa"/>
            <w:shd w:val="clear" w:color="auto" w:fill="auto"/>
            <w:vAlign w:val="center"/>
          </w:tcPr>
          <w:p w14:paraId="3C87A2A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1.84×10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421" w:type="dxa"/>
            <w:shd w:val="clear" w:color="auto" w:fill="auto"/>
            <w:vAlign w:val="center"/>
          </w:tcPr>
          <w:p w14:paraId="66F0770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9.20×10</w:t>
            </w:r>
            <w:r>
              <w:rPr>
                <w:rFonts w:ascii="Times New Roman" w:hAnsi="Times New Roman" w:eastAsia="宋体" w:cs="Times New Roman"/>
                <w:caps w:val="0"/>
                <w:smallCaps w:val="0"/>
                <w:color w:val="auto"/>
                <w:spacing w:val="0"/>
                <w:sz w:val="21"/>
                <w:highlight w:val="none"/>
                <w:vertAlign w:val="superscript"/>
              </w:rPr>
              <w:t>-7</w:t>
            </w:r>
          </w:p>
        </w:tc>
      </w:tr>
      <w:tr w14:paraId="74C52B5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26C1D432">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w:t>
            </w:r>
          </w:p>
        </w:tc>
        <w:tc>
          <w:tcPr>
            <w:tcW w:w="1853" w:type="dxa"/>
            <w:shd w:val="clear" w:color="auto" w:fill="auto"/>
            <w:vAlign w:val="center"/>
          </w:tcPr>
          <w:p w14:paraId="3E9DDF7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5.69×10</w:t>
            </w:r>
            <w:r>
              <w:rPr>
                <w:rFonts w:ascii="Times New Roman" w:hAnsi="Times New Roman" w:eastAsia="宋体" w:cs="Times New Roman"/>
                <w:caps w:val="0"/>
                <w:smallCaps w:val="0"/>
                <w:color w:val="auto"/>
                <w:spacing w:val="0"/>
                <w:sz w:val="21"/>
                <w:highlight w:val="none"/>
                <w:vertAlign w:val="superscript"/>
              </w:rPr>
              <w:t>-3</w:t>
            </w:r>
          </w:p>
        </w:tc>
        <w:tc>
          <w:tcPr>
            <w:tcW w:w="1866" w:type="dxa"/>
            <w:shd w:val="clear" w:color="auto" w:fill="auto"/>
            <w:vAlign w:val="center"/>
          </w:tcPr>
          <w:p w14:paraId="2600132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2.85×10</w:t>
            </w:r>
            <w:r>
              <w:rPr>
                <w:rFonts w:ascii="Times New Roman" w:hAnsi="Times New Roman" w:eastAsia="宋体" w:cs="Times New Roman"/>
                <w:caps w:val="0"/>
                <w:smallCaps w:val="0"/>
                <w:color w:val="auto"/>
                <w:spacing w:val="0"/>
                <w:sz w:val="21"/>
                <w:highlight w:val="none"/>
                <w:vertAlign w:val="superscript"/>
              </w:rPr>
              <w:t>-3</w:t>
            </w:r>
          </w:p>
        </w:tc>
        <w:tc>
          <w:tcPr>
            <w:tcW w:w="1878" w:type="dxa"/>
            <w:shd w:val="clear" w:color="auto" w:fill="auto"/>
            <w:vAlign w:val="center"/>
          </w:tcPr>
          <w:p w14:paraId="2924216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9.12×10</w:t>
            </w:r>
            <w:r>
              <w:rPr>
                <w:rFonts w:ascii="Times New Roman" w:hAnsi="Times New Roman" w:eastAsia="宋体" w:cs="Times New Roman"/>
                <w:caps w:val="0"/>
                <w:smallCaps w:val="0"/>
                <w:color w:val="auto"/>
                <w:spacing w:val="0"/>
                <w:sz w:val="21"/>
                <w:highlight w:val="none"/>
                <w:vertAlign w:val="superscript"/>
              </w:rPr>
              <w:t>-4</w:t>
            </w:r>
          </w:p>
        </w:tc>
        <w:tc>
          <w:tcPr>
            <w:tcW w:w="1902" w:type="dxa"/>
            <w:shd w:val="clear" w:color="auto" w:fill="auto"/>
            <w:vAlign w:val="center"/>
          </w:tcPr>
          <w:p w14:paraId="1B8B6B0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1.82×10</w:t>
            </w:r>
            <w:r>
              <w:rPr>
                <w:rFonts w:ascii="Times New Roman" w:hAnsi="Times New Roman" w:eastAsia="宋体" w:cs="Times New Roman"/>
                <w:caps w:val="0"/>
                <w:smallCaps w:val="0"/>
                <w:color w:val="auto"/>
                <w:spacing w:val="0"/>
                <w:sz w:val="21"/>
                <w:highlight w:val="none"/>
                <w:vertAlign w:val="superscript"/>
              </w:rPr>
              <w:t>-3</w:t>
            </w:r>
          </w:p>
        </w:tc>
        <w:tc>
          <w:tcPr>
            <w:tcW w:w="1890" w:type="dxa"/>
            <w:shd w:val="clear" w:color="auto" w:fill="auto"/>
            <w:vAlign w:val="center"/>
          </w:tcPr>
          <w:p w14:paraId="04C1C15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4.73×10</w:t>
            </w:r>
            <w:r>
              <w:rPr>
                <w:rFonts w:ascii="Times New Roman" w:hAnsi="Times New Roman" w:eastAsia="宋体" w:cs="Times New Roman"/>
                <w:caps w:val="0"/>
                <w:smallCaps w:val="0"/>
                <w:color w:val="auto"/>
                <w:spacing w:val="0"/>
                <w:sz w:val="21"/>
                <w:highlight w:val="none"/>
                <w:vertAlign w:val="superscript"/>
              </w:rPr>
              <w:t>-6</w:t>
            </w:r>
          </w:p>
        </w:tc>
        <w:tc>
          <w:tcPr>
            <w:tcW w:w="1683" w:type="dxa"/>
            <w:shd w:val="clear" w:color="auto" w:fill="auto"/>
            <w:vAlign w:val="center"/>
          </w:tcPr>
          <w:p w14:paraId="56EB0B3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2.37×10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354" w:type="dxa"/>
            <w:shd w:val="clear" w:color="auto" w:fill="auto"/>
            <w:vAlign w:val="center"/>
          </w:tcPr>
          <w:p w14:paraId="43D7B63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1.15×10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421" w:type="dxa"/>
            <w:shd w:val="clear" w:color="auto" w:fill="auto"/>
            <w:vAlign w:val="center"/>
          </w:tcPr>
          <w:p w14:paraId="2874CD90">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5.75×10</w:t>
            </w:r>
            <w:r>
              <w:rPr>
                <w:rFonts w:ascii="Times New Roman" w:hAnsi="Times New Roman" w:eastAsia="宋体" w:cs="Times New Roman"/>
                <w:caps w:val="0"/>
                <w:smallCaps w:val="0"/>
                <w:color w:val="auto"/>
                <w:spacing w:val="0"/>
                <w:sz w:val="21"/>
                <w:highlight w:val="none"/>
                <w:vertAlign w:val="superscript"/>
              </w:rPr>
              <w:t>-7</w:t>
            </w:r>
          </w:p>
        </w:tc>
      </w:tr>
      <w:tr w14:paraId="0A5FA87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3DBB58F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w:t>
            </w:r>
          </w:p>
        </w:tc>
        <w:tc>
          <w:tcPr>
            <w:tcW w:w="1853" w:type="dxa"/>
            <w:shd w:val="clear" w:color="auto" w:fill="auto"/>
            <w:vAlign w:val="center"/>
          </w:tcPr>
          <w:p w14:paraId="510DEB2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1.32×10</w:t>
            </w:r>
            <w:r>
              <w:rPr>
                <w:rFonts w:ascii="Times New Roman" w:hAnsi="Times New Roman" w:eastAsia="宋体" w:cs="Times New Roman"/>
                <w:caps w:val="0"/>
                <w:smallCaps w:val="0"/>
                <w:color w:val="auto"/>
                <w:spacing w:val="0"/>
                <w:sz w:val="21"/>
                <w:highlight w:val="none"/>
                <w:vertAlign w:val="superscript"/>
              </w:rPr>
              <w:t>-3</w:t>
            </w:r>
          </w:p>
        </w:tc>
        <w:tc>
          <w:tcPr>
            <w:tcW w:w="1866" w:type="dxa"/>
            <w:shd w:val="clear" w:color="auto" w:fill="auto"/>
            <w:vAlign w:val="center"/>
          </w:tcPr>
          <w:p w14:paraId="798139D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6.60×10</w:t>
            </w:r>
            <w:r>
              <w:rPr>
                <w:rFonts w:ascii="Times New Roman" w:hAnsi="Times New Roman" w:eastAsia="宋体" w:cs="Times New Roman"/>
                <w:caps w:val="0"/>
                <w:smallCaps w:val="0"/>
                <w:color w:val="auto"/>
                <w:spacing w:val="0"/>
                <w:sz w:val="21"/>
                <w:highlight w:val="none"/>
                <w:vertAlign w:val="superscript"/>
              </w:rPr>
              <w:t>-4</w:t>
            </w:r>
          </w:p>
        </w:tc>
        <w:tc>
          <w:tcPr>
            <w:tcW w:w="1878" w:type="dxa"/>
            <w:shd w:val="clear" w:color="auto" w:fill="auto"/>
            <w:vAlign w:val="center"/>
          </w:tcPr>
          <w:p w14:paraId="40363C6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2.12×10</w:t>
            </w:r>
            <w:r>
              <w:rPr>
                <w:rFonts w:ascii="Times New Roman" w:hAnsi="Times New Roman" w:eastAsia="宋体" w:cs="Times New Roman"/>
                <w:caps w:val="0"/>
                <w:smallCaps w:val="0"/>
                <w:color w:val="auto"/>
                <w:spacing w:val="0"/>
                <w:sz w:val="21"/>
                <w:highlight w:val="none"/>
                <w:vertAlign w:val="superscript"/>
              </w:rPr>
              <w:t>-4</w:t>
            </w:r>
          </w:p>
        </w:tc>
        <w:tc>
          <w:tcPr>
            <w:tcW w:w="1902" w:type="dxa"/>
            <w:shd w:val="clear" w:color="auto" w:fill="auto"/>
            <w:vAlign w:val="center"/>
          </w:tcPr>
          <w:p w14:paraId="08E2C87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4.24×10</w:t>
            </w:r>
            <w:r>
              <w:rPr>
                <w:rFonts w:ascii="Times New Roman" w:hAnsi="Times New Roman" w:eastAsia="宋体" w:cs="Times New Roman"/>
                <w:caps w:val="0"/>
                <w:smallCaps w:val="0"/>
                <w:color w:val="auto"/>
                <w:spacing w:val="0"/>
                <w:sz w:val="21"/>
                <w:highlight w:val="none"/>
                <w:vertAlign w:val="superscript"/>
              </w:rPr>
              <w:t>-4</w:t>
            </w:r>
          </w:p>
        </w:tc>
        <w:tc>
          <w:tcPr>
            <w:tcW w:w="1890" w:type="dxa"/>
            <w:shd w:val="clear" w:color="auto" w:fill="auto"/>
            <w:vAlign w:val="center"/>
          </w:tcPr>
          <w:p w14:paraId="4C7AF5F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1.10×10</w:t>
            </w:r>
            <w:r>
              <w:rPr>
                <w:rFonts w:ascii="Times New Roman" w:hAnsi="Times New Roman" w:eastAsia="宋体" w:cs="Times New Roman"/>
                <w:caps w:val="0"/>
                <w:smallCaps w:val="0"/>
                <w:color w:val="auto"/>
                <w:spacing w:val="0"/>
                <w:sz w:val="21"/>
                <w:highlight w:val="none"/>
                <w:vertAlign w:val="superscript"/>
              </w:rPr>
              <w:t>-6</w:t>
            </w:r>
          </w:p>
        </w:tc>
        <w:tc>
          <w:tcPr>
            <w:tcW w:w="1683" w:type="dxa"/>
            <w:shd w:val="clear" w:color="auto" w:fill="auto"/>
            <w:vAlign w:val="center"/>
          </w:tcPr>
          <w:p w14:paraId="3BCBE69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5.50×10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354" w:type="dxa"/>
            <w:shd w:val="clear" w:color="auto" w:fill="auto"/>
            <w:vAlign w:val="center"/>
          </w:tcPr>
          <w:p w14:paraId="5E9FA50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2.45×10</w:t>
            </w:r>
            <w:r>
              <w:rPr>
                <w:rFonts w:ascii="Times New Roman" w:hAnsi="Times New Roman" w:eastAsia="宋体" w:cs="Times New Roman"/>
                <w:caps w:val="0"/>
                <w:smallCaps w:val="0"/>
                <w:color w:val="auto"/>
                <w:spacing w:val="0"/>
                <w:sz w:val="21"/>
                <w:highlight w:val="none"/>
                <w:vertAlign w:val="superscript"/>
              </w:rPr>
              <w:t>-7</w:t>
            </w:r>
          </w:p>
        </w:tc>
        <w:tc>
          <w:tcPr>
            <w:tcW w:w="1421" w:type="dxa"/>
            <w:shd w:val="clear" w:color="auto" w:fill="auto"/>
            <w:vAlign w:val="center"/>
          </w:tcPr>
          <w:p w14:paraId="5F8041C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1.23×10</w:t>
            </w:r>
            <w:r>
              <w:rPr>
                <w:rFonts w:ascii="Times New Roman" w:hAnsi="Times New Roman" w:eastAsia="宋体" w:cs="Times New Roman"/>
                <w:caps w:val="0"/>
                <w:smallCaps w:val="0"/>
                <w:color w:val="auto"/>
                <w:spacing w:val="0"/>
                <w:sz w:val="21"/>
                <w:highlight w:val="none"/>
                <w:vertAlign w:val="superscript"/>
              </w:rPr>
              <w:t>-7</w:t>
            </w:r>
          </w:p>
        </w:tc>
      </w:tr>
      <w:tr w14:paraId="46567AB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3C083DD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5000</w:t>
            </w:r>
          </w:p>
        </w:tc>
        <w:tc>
          <w:tcPr>
            <w:tcW w:w="1853" w:type="dxa"/>
            <w:shd w:val="clear" w:color="auto" w:fill="auto"/>
            <w:vAlign w:val="center"/>
          </w:tcPr>
          <w:p w14:paraId="77FA0CE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4.60×10</w:t>
            </w:r>
            <w:r>
              <w:rPr>
                <w:rFonts w:ascii="Times New Roman" w:hAnsi="Times New Roman" w:eastAsia="宋体" w:cs="Times New Roman"/>
                <w:caps w:val="0"/>
                <w:smallCaps w:val="0"/>
                <w:color w:val="auto"/>
                <w:spacing w:val="0"/>
                <w:sz w:val="21"/>
                <w:highlight w:val="none"/>
                <w:vertAlign w:val="superscript"/>
              </w:rPr>
              <w:t>-4</w:t>
            </w:r>
          </w:p>
        </w:tc>
        <w:tc>
          <w:tcPr>
            <w:tcW w:w="1866" w:type="dxa"/>
            <w:shd w:val="clear" w:color="auto" w:fill="auto"/>
            <w:vAlign w:val="center"/>
          </w:tcPr>
          <w:p w14:paraId="28C12CC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2.30×10</w:t>
            </w:r>
            <w:r>
              <w:rPr>
                <w:rFonts w:ascii="Times New Roman" w:hAnsi="Times New Roman" w:eastAsia="宋体" w:cs="Times New Roman"/>
                <w:caps w:val="0"/>
                <w:smallCaps w:val="0"/>
                <w:color w:val="auto"/>
                <w:spacing w:val="0"/>
                <w:sz w:val="21"/>
                <w:highlight w:val="none"/>
                <w:vertAlign w:val="superscript"/>
              </w:rPr>
              <w:t>-4</w:t>
            </w:r>
          </w:p>
        </w:tc>
        <w:tc>
          <w:tcPr>
            <w:tcW w:w="1878" w:type="dxa"/>
            <w:shd w:val="clear" w:color="auto" w:fill="auto"/>
            <w:vAlign w:val="center"/>
          </w:tcPr>
          <w:p w14:paraId="4DA48F4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7.38×10</w:t>
            </w:r>
            <w:r>
              <w:rPr>
                <w:rFonts w:ascii="Times New Roman" w:hAnsi="Times New Roman" w:eastAsia="宋体" w:cs="Times New Roman"/>
                <w:caps w:val="0"/>
                <w:smallCaps w:val="0"/>
                <w:color w:val="auto"/>
                <w:spacing w:val="0"/>
                <w:sz w:val="21"/>
                <w:highlight w:val="none"/>
                <w:vertAlign w:val="superscript"/>
              </w:rPr>
              <w:t>-5</w:t>
            </w:r>
          </w:p>
        </w:tc>
        <w:tc>
          <w:tcPr>
            <w:tcW w:w="1902" w:type="dxa"/>
            <w:shd w:val="clear" w:color="auto" w:fill="auto"/>
            <w:vAlign w:val="center"/>
          </w:tcPr>
          <w:p w14:paraId="52360F3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1.48×10</w:t>
            </w:r>
            <w:r>
              <w:rPr>
                <w:rFonts w:ascii="Times New Roman" w:hAnsi="Times New Roman" w:eastAsia="宋体" w:cs="Times New Roman"/>
                <w:caps w:val="0"/>
                <w:smallCaps w:val="0"/>
                <w:color w:val="auto"/>
                <w:spacing w:val="0"/>
                <w:sz w:val="21"/>
                <w:highlight w:val="none"/>
                <w:vertAlign w:val="superscript"/>
              </w:rPr>
              <w:t>-4</w:t>
            </w:r>
          </w:p>
        </w:tc>
        <w:tc>
          <w:tcPr>
            <w:tcW w:w="1890" w:type="dxa"/>
            <w:shd w:val="clear" w:color="auto" w:fill="auto"/>
            <w:vAlign w:val="center"/>
          </w:tcPr>
          <w:p w14:paraId="34E11FE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3.83×10</w:t>
            </w:r>
            <w:r>
              <w:rPr>
                <w:rFonts w:ascii="Times New Roman" w:hAnsi="Times New Roman" w:eastAsia="宋体" w:cs="Times New Roman"/>
                <w:caps w:val="0"/>
                <w:smallCaps w:val="0"/>
                <w:color w:val="auto"/>
                <w:spacing w:val="0"/>
                <w:sz w:val="21"/>
                <w:highlight w:val="none"/>
                <w:vertAlign w:val="superscript"/>
              </w:rPr>
              <w:t>-7</w:t>
            </w:r>
          </w:p>
        </w:tc>
        <w:tc>
          <w:tcPr>
            <w:tcW w:w="1683" w:type="dxa"/>
            <w:shd w:val="clear" w:color="auto" w:fill="auto"/>
            <w:vAlign w:val="center"/>
          </w:tcPr>
          <w:p w14:paraId="4DC7D1C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1.92×10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354" w:type="dxa"/>
            <w:shd w:val="clear" w:color="auto" w:fill="auto"/>
            <w:vAlign w:val="center"/>
          </w:tcPr>
          <w:p w14:paraId="70EA249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9.00×10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421" w:type="dxa"/>
            <w:shd w:val="clear" w:color="auto" w:fill="auto"/>
            <w:vAlign w:val="center"/>
          </w:tcPr>
          <w:p w14:paraId="460CE53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4.50×10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7392F61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PrEx>
        <w:trPr>
          <w:jc w:val="center"/>
        </w:trPr>
        <w:tc>
          <w:tcPr>
            <w:tcW w:w="1972" w:type="dxa"/>
            <w:shd w:val="clear" w:color="auto" w:fill="auto"/>
            <w:vAlign w:val="center"/>
          </w:tcPr>
          <w:p w14:paraId="7279AFF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10000</w:t>
            </w:r>
          </w:p>
        </w:tc>
        <w:tc>
          <w:tcPr>
            <w:tcW w:w="1853" w:type="dxa"/>
            <w:shd w:val="clear" w:color="auto" w:fill="auto"/>
            <w:vAlign w:val="center"/>
          </w:tcPr>
          <w:p w14:paraId="15579A6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1.65×10</w:t>
            </w:r>
            <w:r>
              <w:rPr>
                <w:rFonts w:ascii="Times New Roman" w:hAnsi="Times New Roman" w:eastAsia="宋体" w:cs="Times New Roman"/>
                <w:caps w:val="0"/>
                <w:smallCaps w:val="0"/>
                <w:color w:val="auto"/>
                <w:spacing w:val="0"/>
                <w:sz w:val="21"/>
                <w:highlight w:val="none"/>
                <w:vertAlign w:val="superscript"/>
              </w:rPr>
              <w:t>-4</w:t>
            </w:r>
          </w:p>
        </w:tc>
        <w:tc>
          <w:tcPr>
            <w:tcW w:w="1866" w:type="dxa"/>
            <w:shd w:val="clear" w:color="auto" w:fill="auto"/>
            <w:vAlign w:val="center"/>
          </w:tcPr>
          <w:p w14:paraId="449FF3C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8.25×10</w:t>
            </w:r>
            <w:r>
              <w:rPr>
                <w:rFonts w:ascii="Times New Roman" w:hAnsi="Times New Roman" w:eastAsia="宋体" w:cs="Times New Roman"/>
                <w:caps w:val="0"/>
                <w:smallCaps w:val="0"/>
                <w:color w:val="auto"/>
                <w:spacing w:val="0"/>
                <w:sz w:val="21"/>
                <w:highlight w:val="none"/>
                <w:vertAlign w:val="superscript"/>
              </w:rPr>
              <w:t>-5</w:t>
            </w:r>
          </w:p>
        </w:tc>
        <w:tc>
          <w:tcPr>
            <w:tcW w:w="1878" w:type="dxa"/>
            <w:shd w:val="clear" w:color="auto" w:fill="auto"/>
            <w:vAlign w:val="center"/>
          </w:tcPr>
          <w:p w14:paraId="67AF389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2.65×10</w:t>
            </w:r>
            <w:r>
              <w:rPr>
                <w:rFonts w:ascii="Times New Roman" w:hAnsi="Times New Roman" w:eastAsia="宋体" w:cs="Times New Roman"/>
                <w:caps w:val="0"/>
                <w:smallCaps w:val="0"/>
                <w:color w:val="auto"/>
                <w:spacing w:val="0"/>
                <w:sz w:val="21"/>
                <w:highlight w:val="none"/>
                <w:vertAlign w:val="superscript"/>
              </w:rPr>
              <w:t>-5</w:t>
            </w:r>
          </w:p>
        </w:tc>
        <w:tc>
          <w:tcPr>
            <w:tcW w:w="1902" w:type="dxa"/>
            <w:shd w:val="clear" w:color="auto" w:fill="auto"/>
            <w:vAlign w:val="center"/>
          </w:tcPr>
          <w:p w14:paraId="54BEFC8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5.30×10</w:t>
            </w:r>
            <w:r>
              <w:rPr>
                <w:rFonts w:ascii="Times New Roman" w:hAnsi="Times New Roman" w:eastAsia="宋体" w:cs="Times New Roman"/>
                <w:caps w:val="0"/>
                <w:smallCaps w:val="0"/>
                <w:color w:val="auto"/>
                <w:spacing w:val="0"/>
                <w:sz w:val="21"/>
                <w:highlight w:val="none"/>
                <w:vertAlign w:val="superscript"/>
              </w:rPr>
              <w:t>-5</w:t>
            </w:r>
          </w:p>
        </w:tc>
        <w:tc>
          <w:tcPr>
            <w:tcW w:w="1890" w:type="dxa"/>
            <w:shd w:val="clear" w:color="auto" w:fill="auto"/>
            <w:vAlign w:val="center"/>
          </w:tcPr>
          <w:p w14:paraId="7044ED8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1.38×10</w:t>
            </w:r>
            <w:r>
              <w:rPr>
                <w:rFonts w:ascii="Times New Roman" w:hAnsi="Times New Roman" w:eastAsia="宋体" w:cs="Times New Roman"/>
                <w:caps w:val="0"/>
                <w:smallCaps w:val="0"/>
                <w:color w:val="auto"/>
                <w:spacing w:val="0"/>
                <w:sz w:val="21"/>
                <w:highlight w:val="none"/>
                <w:vertAlign w:val="superscript"/>
              </w:rPr>
              <w:t>-7</w:t>
            </w:r>
          </w:p>
        </w:tc>
        <w:tc>
          <w:tcPr>
            <w:tcW w:w="1683" w:type="dxa"/>
            <w:shd w:val="clear" w:color="auto" w:fill="auto"/>
            <w:vAlign w:val="center"/>
          </w:tcPr>
          <w:p w14:paraId="0B7E033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6.90×10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354" w:type="dxa"/>
            <w:shd w:val="clear" w:color="auto" w:fill="auto"/>
            <w:vAlign w:val="center"/>
          </w:tcPr>
          <w:p w14:paraId="088A7E5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4.95×10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421" w:type="dxa"/>
            <w:shd w:val="clear" w:color="auto" w:fill="auto"/>
            <w:vAlign w:val="center"/>
          </w:tcPr>
          <w:p w14:paraId="175F1C0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2.48×10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0B0889E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74A2AB0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15000</w:t>
            </w:r>
          </w:p>
        </w:tc>
        <w:tc>
          <w:tcPr>
            <w:tcW w:w="1853" w:type="dxa"/>
            <w:shd w:val="clear" w:color="auto" w:fill="auto"/>
            <w:vAlign w:val="center"/>
          </w:tcPr>
          <w:p w14:paraId="4E3C541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9.13×10</w:t>
            </w:r>
            <w:r>
              <w:rPr>
                <w:rFonts w:ascii="Times New Roman" w:hAnsi="Times New Roman" w:eastAsia="宋体" w:cs="Times New Roman"/>
                <w:caps w:val="0"/>
                <w:smallCaps w:val="0"/>
                <w:color w:val="auto"/>
                <w:spacing w:val="0"/>
                <w:sz w:val="21"/>
                <w:highlight w:val="none"/>
                <w:vertAlign w:val="superscript"/>
              </w:rPr>
              <w:t>-5</w:t>
            </w:r>
          </w:p>
        </w:tc>
        <w:tc>
          <w:tcPr>
            <w:tcW w:w="1866" w:type="dxa"/>
            <w:shd w:val="clear" w:color="auto" w:fill="auto"/>
            <w:vAlign w:val="center"/>
          </w:tcPr>
          <w:p w14:paraId="4BF1863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4.57×10</w:t>
            </w:r>
            <w:r>
              <w:rPr>
                <w:rFonts w:ascii="Times New Roman" w:hAnsi="Times New Roman" w:eastAsia="宋体" w:cs="Times New Roman"/>
                <w:caps w:val="0"/>
                <w:smallCaps w:val="0"/>
                <w:color w:val="auto"/>
                <w:spacing w:val="0"/>
                <w:sz w:val="21"/>
                <w:highlight w:val="none"/>
                <w:vertAlign w:val="superscript"/>
              </w:rPr>
              <w:t>-5</w:t>
            </w:r>
          </w:p>
        </w:tc>
        <w:tc>
          <w:tcPr>
            <w:tcW w:w="1878" w:type="dxa"/>
            <w:shd w:val="clear" w:color="auto" w:fill="auto"/>
            <w:vAlign w:val="center"/>
          </w:tcPr>
          <w:p w14:paraId="7A9AC72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1.46×10</w:t>
            </w:r>
            <w:r>
              <w:rPr>
                <w:rFonts w:ascii="Times New Roman" w:hAnsi="Times New Roman" w:eastAsia="宋体" w:cs="Times New Roman"/>
                <w:caps w:val="0"/>
                <w:smallCaps w:val="0"/>
                <w:color w:val="auto"/>
                <w:spacing w:val="0"/>
                <w:sz w:val="21"/>
                <w:highlight w:val="none"/>
                <w:vertAlign w:val="superscript"/>
              </w:rPr>
              <w:t>-5</w:t>
            </w:r>
          </w:p>
        </w:tc>
        <w:tc>
          <w:tcPr>
            <w:tcW w:w="1902" w:type="dxa"/>
            <w:shd w:val="clear" w:color="auto" w:fill="auto"/>
            <w:vAlign w:val="center"/>
          </w:tcPr>
          <w:p w14:paraId="3F0D507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2.92×10</w:t>
            </w:r>
            <w:r>
              <w:rPr>
                <w:rFonts w:ascii="Times New Roman" w:hAnsi="Times New Roman" w:eastAsia="宋体" w:cs="Times New Roman"/>
                <w:caps w:val="0"/>
                <w:smallCaps w:val="0"/>
                <w:color w:val="auto"/>
                <w:spacing w:val="0"/>
                <w:sz w:val="21"/>
                <w:highlight w:val="none"/>
                <w:vertAlign w:val="superscript"/>
              </w:rPr>
              <w:t>-5</w:t>
            </w:r>
          </w:p>
        </w:tc>
        <w:tc>
          <w:tcPr>
            <w:tcW w:w="1890" w:type="dxa"/>
            <w:shd w:val="clear" w:color="auto" w:fill="auto"/>
            <w:vAlign w:val="center"/>
          </w:tcPr>
          <w:p w14:paraId="4F6BAC8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7.61×10</w:t>
            </w:r>
            <w:r>
              <w:rPr>
                <w:rFonts w:ascii="Times New Roman" w:hAnsi="Times New Roman" w:eastAsia="宋体" w:cs="Times New Roman"/>
                <w:caps w:val="0"/>
                <w:smallCaps w:val="0"/>
                <w:color w:val="auto"/>
                <w:spacing w:val="0"/>
                <w:sz w:val="21"/>
                <w:highlight w:val="none"/>
                <w:vertAlign w:val="superscript"/>
              </w:rPr>
              <w:t>-8</w:t>
            </w:r>
          </w:p>
        </w:tc>
        <w:tc>
          <w:tcPr>
            <w:tcW w:w="1683" w:type="dxa"/>
            <w:shd w:val="clear" w:color="auto" w:fill="auto"/>
            <w:vAlign w:val="center"/>
          </w:tcPr>
          <w:p w14:paraId="2E473759">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3.81×10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354" w:type="dxa"/>
            <w:shd w:val="clear" w:color="auto" w:fill="auto"/>
            <w:vAlign w:val="center"/>
          </w:tcPr>
          <w:p w14:paraId="3EECF5E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3.72×10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421" w:type="dxa"/>
            <w:shd w:val="clear" w:color="auto" w:fill="auto"/>
            <w:vAlign w:val="center"/>
          </w:tcPr>
          <w:p w14:paraId="0D1D6EC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1.86×10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2B1CCD7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0053F09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20000</w:t>
            </w:r>
          </w:p>
        </w:tc>
        <w:tc>
          <w:tcPr>
            <w:tcW w:w="1853" w:type="dxa"/>
            <w:shd w:val="clear" w:color="auto" w:fill="auto"/>
            <w:vAlign w:val="center"/>
          </w:tcPr>
          <w:p w14:paraId="5B766A5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6.05×10</w:t>
            </w:r>
            <w:r>
              <w:rPr>
                <w:rFonts w:ascii="Times New Roman" w:hAnsi="Times New Roman" w:eastAsia="宋体" w:cs="Times New Roman"/>
                <w:caps w:val="0"/>
                <w:smallCaps w:val="0"/>
                <w:color w:val="auto"/>
                <w:spacing w:val="0"/>
                <w:sz w:val="21"/>
                <w:highlight w:val="none"/>
                <w:vertAlign w:val="superscript"/>
              </w:rPr>
              <w:t>-5</w:t>
            </w:r>
          </w:p>
        </w:tc>
        <w:tc>
          <w:tcPr>
            <w:tcW w:w="1866" w:type="dxa"/>
            <w:shd w:val="clear" w:color="auto" w:fill="auto"/>
            <w:vAlign w:val="center"/>
          </w:tcPr>
          <w:p w14:paraId="5F064EE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3.03×10</w:t>
            </w:r>
            <w:r>
              <w:rPr>
                <w:rFonts w:ascii="Times New Roman" w:hAnsi="Times New Roman" w:eastAsia="宋体" w:cs="Times New Roman"/>
                <w:caps w:val="0"/>
                <w:smallCaps w:val="0"/>
                <w:color w:val="auto"/>
                <w:spacing w:val="0"/>
                <w:sz w:val="21"/>
                <w:highlight w:val="none"/>
                <w:vertAlign w:val="superscript"/>
              </w:rPr>
              <w:t>-5</w:t>
            </w:r>
          </w:p>
        </w:tc>
        <w:tc>
          <w:tcPr>
            <w:tcW w:w="1878" w:type="dxa"/>
            <w:shd w:val="clear" w:color="auto" w:fill="auto"/>
            <w:vAlign w:val="center"/>
          </w:tcPr>
          <w:p w14:paraId="558F586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9.71×10</w:t>
            </w:r>
            <w:r>
              <w:rPr>
                <w:rFonts w:ascii="Times New Roman" w:hAnsi="Times New Roman" w:eastAsia="宋体" w:cs="Times New Roman"/>
                <w:caps w:val="0"/>
                <w:smallCaps w:val="0"/>
                <w:color w:val="auto"/>
                <w:spacing w:val="0"/>
                <w:sz w:val="21"/>
                <w:highlight w:val="none"/>
                <w:vertAlign w:val="superscript"/>
              </w:rPr>
              <w:t>-6</w:t>
            </w:r>
          </w:p>
        </w:tc>
        <w:tc>
          <w:tcPr>
            <w:tcW w:w="1902" w:type="dxa"/>
            <w:shd w:val="clear" w:color="auto" w:fill="auto"/>
            <w:vAlign w:val="center"/>
          </w:tcPr>
          <w:p w14:paraId="6E4D796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1.94×10</w:t>
            </w:r>
            <w:r>
              <w:rPr>
                <w:rFonts w:ascii="Times New Roman" w:hAnsi="Times New Roman" w:eastAsia="宋体" w:cs="Times New Roman"/>
                <w:caps w:val="0"/>
                <w:smallCaps w:val="0"/>
                <w:color w:val="auto"/>
                <w:spacing w:val="0"/>
                <w:sz w:val="21"/>
                <w:highlight w:val="none"/>
                <w:vertAlign w:val="superscript"/>
              </w:rPr>
              <w:t>-5</w:t>
            </w:r>
          </w:p>
        </w:tc>
        <w:tc>
          <w:tcPr>
            <w:tcW w:w="1890" w:type="dxa"/>
            <w:shd w:val="clear" w:color="auto" w:fill="auto"/>
            <w:vAlign w:val="center"/>
          </w:tcPr>
          <w:p w14:paraId="7858B72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5.06×10</w:t>
            </w:r>
            <w:r>
              <w:rPr>
                <w:rFonts w:ascii="Times New Roman" w:hAnsi="Times New Roman" w:eastAsia="宋体" w:cs="Times New Roman"/>
                <w:caps w:val="0"/>
                <w:smallCaps w:val="0"/>
                <w:color w:val="auto"/>
                <w:spacing w:val="0"/>
                <w:sz w:val="21"/>
                <w:highlight w:val="none"/>
                <w:vertAlign w:val="superscript"/>
              </w:rPr>
              <w:t>-8</w:t>
            </w:r>
          </w:p>
        </w:tc>
        <w:tc>
          <w:tcPr>
            <w:tcW w:w="1683" w:type="dxa"/>
            <w:shd w:val="clear" w:color="auto" w:fill="auto"/>
            <w:vAlign w:val="center"/>
          </w:tcPr>
          <w:p w14:paraId="0266A7A2">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2.53×10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354" w:type="dxa"/>
            <w:shd w:val="clear" w:color="auto" w:fill="auto"/>
            <w:vAlign w:val="center"/>
          </w:tcPr>
          <w:p w14:paraId="780E575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3.04×10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421" w:type="dxa"/>
            <w:shd w:val="clear" w:color="auto" w:fill="auto"/>
            <w:vAlign w:val="center"/>
          </w:tcPr>
          <w:p w14:paraId="39195E3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1.52×10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7A08CBE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71349D0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25000</w:t>
            </w:r>
          </w:p>
        </w:tc>
        <w:tc>
          <w:tcPr>
            <w:tcW w:w="1853" w:type="dxa"/>
            <w:shd w:val="clear" w:color="auto" w:fill="auto"/>
            <w:vAlign w:val="center"/>
          </w:tcPr>
          <w:p w14:paraId="3329800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4.43×10</w:t>
            </w:r>
            <w:r>
              <w:rPr>
                <w:rFonts w:ascii="Times New Roman" w:hAnsi="Times New Roman" w:eastAsia="宋体" w:cs="Times New Roman"/>
                <w:caps w:val="0"/>
                <w:smallCaps w:val="0"/>
                <w:color w:val="auto"/>
                <w:spacing w:val="0"/>
                <w:sz w:val="21"/>
                <w:highlight w:val="none"/>
                <w:vertAlign w:val="superscript"/>
              </w:rPr>
              <w:t>-5</w:t>
            </w:r>
          </w:p>
        </w:tc>
        <w:tc>
          <w:tcPr>
            <w:tcW w:w="1866" w:type="dxa"/>
            <w:shd w:val="clear" w:color="auto" w:fill="auto"/>
            <w:vAlign w:val="center"/>
          </w:tcPr>
          <w:p w14:paraId="0D85C50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2.22×10</w:t>
            </w:r>
            <w:r>
              <w:rPr>
                <w:rFonts w:ascii="Times New Roman" w:hAnsi="Times New Roman" w:eastAsia="宋体" w:cs="Times New Roman"/>
                <w:caps w:val="0"/>
                <w:smallCaps w:val="0"/>
                <w:color w:val="auto"/>
                <w:spacing w:val="0"/>
                <w:sz w:val="21"/>
                <w:highlight w:val="none"/>
                <w:vertAlign w:val="superscript"/>
              </w:rPr>
              <w:t>-5</w:t>
            </w:r>
          </w:p>
        </w:tc>
        <w:tc>
          <w:tcPr>
            <w:tcW w:w="1878" w:type="dxa"/>
            <w:shd w:val="clear" w:color="auto" w:fill="auto"/>
            <w:vAlign w:val="center"/>
          </w:tcPr>
          <w:p w14:paraId="7DD6374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7.10×10</w:t>
            </w:r>
            <w:r>
              <w:rPr>
                <w:rFonts w:ascii="Times New Roman" w:hAnsi="Times New Roman" w:eastAsia="宋体" w:cs="Times New Roman"/>
                <w:caps w:val="0"/>
                <w:smallCaps w:val="0"/>
                <w:color w:val="auto"/>
                <w:spacing w:val="0"/>
                <w:sz w:val="21"/>
                <w:highlight w:val="none"/>
                <w:vertAlign w:val="superscript"/>
              </w:rPr>
              <w:t>-6</w:t>
            </w:r>
          </w:p>
        </w:tc>
        <w:tc>
          <w:tcPr>
            <w:tcW w:w="1902" w:type="dxa"/>
            <w:shd w:val="clear" w:color="auto" w:fill="auto"/>
            <w:vAlign w:val="center"/>
          </w:tcPr>
          <w:p w14:paraId="20CD665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1.42×10</w:t>
            </w:r>
            <w:r>
              <w:rPr>
                <w:rFonts w:ascii="Times New Roman" w:hAnsi="Times New Roman" w:eastAsia="宋体" w:cs="Times New Roman"/>
                <w:caps w:val="0"/>
                <w:smallCaps w:val="0"/>
                <w:color w:val="auto"/>
                <w:spacing w:val="0"/>
                <w:sz w:val="21"/>
                <w:highlight w:val="none"/>
                <w:vertAlign w:val="superscript"/>
              </w:rPr>
              <w:t>-5</w:t>
            </w:r>
          </w:p>
        </w:tc>
        <w:tc>
          <w:tcPr>
            <w:tcW w:w="1890" w:type="dxa"/>
            <w:shd w:val="clear" w:color="auto" w:fill="auto"/>
            <w:vAlign w:val="center"/>
          </w:tcPr>
          <w:p w14:paraId="1E2E24F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3.69×10</w:t>
            </w:r>
            <w:r>
              <w:rPr>
                <w:rFonts w:ascii="Times New Roman" w:hAnsi="Times New Roman" w:eastAsia="宋体" w:cs="Times New Roman"/>
                <w:caps w:val="0"/>
                <w:smallCaps w:val="0"/>
                <w:color w:val="auto"/>
                <w:spacing w:val="0"/>
                <w:sz w:val="21"/>
                <w:highlight w:val="none"/>
                <w:vertAlign w:val="superscript"/>
              </w:rPr>
              <w:t>-8</w:t>
            </w:r>
          </w:p>
        </w:tc>
        <w:tc>
          <w:tcPr>
            <w:tcW w:w="1683" w:type="dxa"/>
            <w:shd w:val="clear" w:color="auto" w:fill="auto"/>
            <w:vAlign w:val="center"/>
          </w:tcPr>
          <w:p w14:paraId="0A2E6C36">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1.85×10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354" w:type="dxa"/>
            <w:shd w:val="clear" w:color="auto" w:fill="auto"/>
            <w:vAlign w:val="center"/>
          </w:tcPr>
          <w:p w14:paraId="0EB26F9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2.60×10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421" w:type="dxa"/>
            <w:shd w:val="clear" w:color="auto" w:fill="auto"/>
            <w:vAlign w:val="center"/>
          </w:tcPr>
          <w:p w14:paraId="37DF518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1.30×10</w:t>
            </w:r>
            <w:r>
              <w:rPr>
                <w:rFonts w:ascii="Times New Roman" w:hAnsi="Times New Roman" w:eastAsia="宋体" w:cs="Times New Roman"/>
                <w:caps w:val="0"/>
                <w:smallCaps w:val="0"/>
                <w:color w:val="auto"/>
                <w:spacing w:val="0"/>
                <w:kern w:val="0"/>
                <w:sz w:val="21"/>
                <w:highlight w:val="none"/>
                <w:vertAlign w:val="superscript"/>
                <w:lang w:bidi="ar"/>
              </w:rPr>
              <w:t>-8</w:t>
            </w:r>
          </w:p>
        </w:tc>
      </w:tr>
      <w:tr w14:paraId="01AF8E0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377AC36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下风向最大质量浓度及占标率/%</w:t>
            </w:r>
          </w:p>
        </w:tc>
        <w:tc>
          <w:tcPr>
            <w:tcW w:w="1853" w:type="dxa"/>
            <w:shd w:val="clear" w:color="auto" w:fill="auto"/>
            <w:vAlign w:val="center"/>
          </w:tcPr>
          <w:p w14:paraId="229B125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1.11×10</w:t>
            </w:r>
            <w:r>
              <w:rPr>
                <w:rFonts w:ascii="Times New Roman" w:hAnsi="Times New Roman" w:eastAsia="宋体" w:cs="Times New Roman"/>
                <w:caps w:val="0"/>
                <w:smallCaps w:val="0"/>
                <w:color w:val="auto"/>
                <w:spacing w:val="0"/>
                <w:sz w:val="21"/>
                <w:highlight w:val="none"/>
                <w:vertAlign w:val="superscript"/>
              </w:rPr>
              <w:t>-1</w:t>
            </w:r>
          </w:p>
        </w:tc>
        <w:tc>
          <w:tcPr>
            <w:tcW w:w="1866" w:type="dxa"/>
            <w:shd w:val="clear" w:color="auto" w:fill="auto"/>
            <w:vAlign w:val="center"/>
          </w:tcPr>
          <w:p w14:paraId="7D228F0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5.60×10</w:t>
            </w:r>
            <w:r>
              <w:rPr>
                <w:rFonts w:ascii="Times New Roman" w:hAnsi="Times New Roman" w:eastAsia="宋体" w:cs="Times New Roman"/>
                <w:caps w:val="0"/>
                <w:smallCaps w:val="0"/>
                <w:color w:val="auto"/>
                <w:spacing w:val="0"/>
                <w:sz w:val="21"/>
                <w:highlight w:val="none"/>
                <w:vertAlign w:val="superscript"/>
              </w:rPr>
              <w:t>-2</w:t>
            </w:r>
          </w:p>
        </w:tc>
        <w:tc>
          <w:tcPr>
            <w:tcW w:w="1878" w:type="dxa"/>
            <w:shd w:val="clear" w:color="auto" w:fill="auto"/>
            <w:vAlign w:val="center"/>
          </w:tcPr>
          <w:p w14:paraId="67A3E99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1.79×10</w:t>
            </w:r>
            <w:r>
              <w:rPr>
                <w:rFonts w:ascii="Times New Roman" w:hAnsi="Times New Roman" w:eastAsia="宋体" w:cs="Times New Roman"/>
                <w:caps w:val="0"/>
                <w:smallCaps w:val="0"/>
                <w:color w:val="auto"/>
                <w:spacing w:val="0"/>
                <w:sz w:val="21"/>
                <w:highlight w:val="none"/>
                <w:vertAlign w:val="superscript"/>
              </w:rPr>
              <w:t>-2</w:t>
            </w:r>
          </w:p>
        </w:tc>
        <w:tc>
          <w:tcPr>
            <w:tcW w:w="1902" w:type="dxa"/>
            <w:shd w:val="clear" w:color="auto" w:fill="auto"/>
            <w:vAlign w:val="center"/>
          </w:tcPr>
          <w:p w14:paraId="6E88C6B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3.58×10</w:t>
            </w:r>
            <w:r>
              <w:rPr>
                <w:rFonts w:ascii="Times New Roman" w:hAnsi="Times New Roman" w:eastAsia="宋体" w:cs="Times New Roman"/>
                <w:caps w:val="0"/>
                <w:smallCaps w:val="0"/>
                <w:color w:val="auto"/>
                <w:spacing w:val="0"/>
                <w:sz w:val="21"/>
                <w:highlight w:val="none"/>
                <w:vertAlign w:val="superscript"/>
              </w:rPr>
              <w:t>-2</w:t>
            </w:r>
          </w:p>
        </w:tc>
        <w:tc>
          <w:tcPr>
            <w:tcW w:w="1890" w:type="dxa"/>
            <w:shd w:val="clear" w:color="auto" w:fill="auto"/>
            <w:vAlign w:val="center"/>
          </w:tcPr>
          <w:p w14:paraId="12C0A2A1">
            <w:pPr>
              <w:spacing w:before="74"/>
              <w:jc w:val="center"/>
              <w:rPr>
                <w:rFonts w:ascii="Times New Roman" w:hAnsi="Times New Roman" w:eastAsia="宋体" w:cs="Times New Roman"/>
                <w:caps w:val="0"/>
                <w:smallCaps w:val="0"/>
                <w:color w:val="auto"/>
                <w:spacing w:val="0"/>
                <w:sz w:val="21"/>
                <w:highlight w:val="none"/>
              </w:rPr>
            </w:pPr>
          </w:p>
        </w:tc>
        <w:tc>
          <w:tcPr>
            <w:tcW w:w="1683" w:type="dxa"/>
            <w:shd w:val="clear" w:color="auto" w:fill="auto"/>
            <w:vAlign w:val="center"/>
          </w:tcPr>
          <w:p w14:paraId="30772B69">
            <w:pPr>
              <w:spacing w:before="74"/>
              <w:jc w:val="center"/>
              <w:rPr>
                <w:rFonts w:ascii="Times New Roman" w:hAnsi="Times New Roman" w:eastAsia="宋体" w:cs="Times New Roman"/>
                <w:caps w:val="0"/>
                <w:smallCaps w:val="0"/>
                <w:color w:val="auto"/>
                <w:spacing w:val="0"/>
                <w:sz w:val="21"/>
                <w:highlight w:val="none"/>
              </w:rPr>
            </w:pPr>
          </w:p>
        </w:tc>
        <w:tc>
          <w:tcPr>
            <w:tcW w:w="1354" w:type="dxa"/>
            <w:shd w:val="clear" w:color="auto" w:fill="auto"/>
            <w:vAlign w:val="center"/>
          </w:tcPr>
          <w:p w14:paraId="5943B05B">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3.33×10</w:t>
            </w:r>
            <w:r>
              <w:rPr>
                <w:rFonts w:ascii="Times New Roman" w:hAnsi="Times New Roman" w:eastAsia="宋体" w:cs="Times New Roman"/>
                <w:caps w:val="0"/>
                <w:smallCaps w:val="0"/>
                <w:color w:val="auto"/>
                <w:spacing w:val="0"/>
                <w:sz w:val="21"/>
                <w:highlight w:val="none"/>
                <w:vertAlign w:val="superscript"/>
              </w:rPr>
              <w:t>-3</w:t>
            </w:r>
          </w:p>
        </w:tc>
        <w:tc>
          <w:tcPr>
            <w:tcW w:w="1421" w:type="dxa"/>
            <w:shd w:val="clear" w:color="auto" w:fill="auto"/>
            <w:vAlign w:val="center"/>
          </w:tcPr>
          <w:p w14:paraId="01C2E28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1.67×</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-3</w:t>
            </w:r>
          </w:p>
        </w:tc>
      </w:tr>
      <w:tr w14:paraId="1090E5BB">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1E1D2B2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最大质量浓度点距离/m</w:t>
            </w:r>
          </w:p>
        </w:tc>
        <w:tc>
          <w:tcPr>
            <w:tcW w:w="3719" w:type="dxa"/>
            <w:gridSpan w:val="2"/>
            <w:shd w:val="clear" w:color="auto" w:fill="auto"/>
            <w:vAlign w:val="center"/>
          </w:tcPr>
          <w:p w14:paraId="47187BD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98</w:t>
            </w:r>
          </w:p>
        </w:tc>
        <w:tc>
          <w:tcPr>
            <w:tcW w:w="3780" w:type="dxa"/>
            <w:gridSpan w:val="2"/>
            <w:shd w:val="clear" w:color="auto" w:fill="auto"/>
            <w:vAlign w:val="center"/>
          </w:tcPr>
          <w:p w14:paraId="519E403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98</w:t>
            </w:r>
          </w:p>
        </w:tc>
        <w:tc>
          <w:tcPr>
            <w:tcW w:w="3573" w:type="dxa"/>
            <w:gridSpan w:val="2"/>
            <w:shd w:val="clear" w:color="auto" w:fill="auto"/>
            <w:vAlign w:val="center"/>
          </w:tcPr>
          <w:p w14:paraId="05D321E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w:t>
            </w:r>
          </w:p>
        </w:tc>
        <w:tc>
          <w:tcPr>
            <w:tcW w:w="2775" w:type="dxa"/>
            <w:gridSpan w:val="2"/>
            <w:shd w:val="clear" w:color="auto" w:fill="auto"/>
            <w:vAlign w:val="center"/>
          </w:tcPr>
          <w:p w14:paraId="19CDA610">
            <w:pPr>
              <w:spacing w:before="74"/>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r>
      <w:tr w14:paraId="2A85313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1972" w:type="dxa"/>
            <w:shd w:val="clear" w:color="auto" w:fill="auto"/>
            <w:vAlign w:val="center"/>
          </w:tcPr>
          <w:p w14:paraId="052D6AB5">
            <w:pPr>
              <w:pStyle w:val="171"/>
              <w:spacing w:before="0" w:beforeLines="0" w:after="0" w:afterLines="0" w:line="240" w:lineRule="auto"/>
              <w:ind w:firstLine="0"/>
              <w:rPr>
                <w:caps w:val="0"/>
                <w:smallCaps w:val="0"/>
                <w:color w:val="auto"/>
                <w:spacing w:val="0"/>
                <w:sz w:val="21"/>
                <w:highlight w:val="none"/>
              </w:rPr>
            </w:pPr>
            <w:r>
              <w:rPr>
                <w:i/>
                <w:caps w:val="0"/>
                <w:smallCaps w:val="0"/>
                <w:color w:val="auto"/>
                <w:spacing w:val="0"/>
                <w:sz w:val="21"/>
                <w:highlight w:val="none"/>
              </w:rPr>
              <w:t>D</w:t>
            </w:r>
            <w:r>
              <w:rPr>
                <w:caps w:val="0"/>
                <w:smallCaps w:val="0"/>
                <w:color w:val="auto"/>
                <w:spacing w:val="0"/>
                <w:sz w:val="21"/>
                <w:highlight w:val="none"/>
                <w:vertAlign w:val="subscript"/>
              </w:rPr>
              <w:t>10%</w:t>
            </w:r>
            <w:r>
              <w:rPr>
                <w:caps w:val="0"/>
                <w:smallCaps w:val="0"/>
                <w:color w:val="auto"/>
                <w:spacing w:val="0"/>
                <w:sz w:val="21"/>
                <w:highlight w:val="none"/>
              </w:rPr>
              <w:t>最远距离/m</w:t>
            </w:r>
          </w:p>
        </w:tc>
        <w:tc>
          <w:tcPr>
            <w:tcW w:w="3719" w:type="dxa"/>
            <w:gridSpan w:val="2"/>
            <w:shd w:val="clear" w:color="auto" w:fill="auto"/>
            <w:vAlign w:val="center"/>
          </w:tcPr>
          <w:p w14:paraId="31484FD7">
            <w:pPr>
              <w:pStyle w:val="171"/>
              <w:spacing w:before="0" w:beforeLines="0" w:after="0" w:afterLines="0" w:line="240" w:lineRule="auto"/>
              <w:rPr>
                <w:caps w:val="0"/>
                <w:smallCaps w:val="0"/>
                <w:color w:val="auto"/>
                <w:spacing w:val="0"/>
                <w:sz w:val="21"/>
                <w:highlight w:val="none"/>
              </w:rPr>
            </w:pPr>
            <w:r>
              <w:rPr>
                <w:caps w:val="0"/>
                <w:smallCaps w:val="0"/>
                <w:color w:val="auto"/>
                <w:spacing w:val="0"/>
                <w:sz w:val="21"/>
                <w:highlight w:val="none"/>
              </w:rPr>
              <w:t>-</w:t>
            </w:r>
          </w:p>
        </w:tc>
        <w:tc>
          <w:tcPr>
            <w:tcW w:w="3780" w:type="dxa"/>
            <w:gridSpan w:val="2"/>
            <w:shd w:val="clear" w:color="auto" w:fill="auto"/>
            <w:vAlign w:val="center"/>
          </w:tcPr>
          <w:p w14:paraId="1BCE90C1">
            <w:pPr>
              <w:pStyle w:val="171"/>
              <w:spacing w:before="0" w:beforeLines="0" w:after="0" w:afterLines="0" w:line="240" w:lineRule="auto"/>
              <w:rPr>
                <w:caps w:val="0"/>
                <w:smallCaps w:val="0"/>
                <w:color w:val="auto"/>
                <w:spacing w:val="0"/>
                <w:sz w:val="21"/>
                <w:highlight w:val="none"/>
              </w:rPr>
            </w:pPr>
            <w:r>
              <w:rPr>
                <w:caps w:val="0"/>
                <w:smallCaps w:val="0"/>
                <w:color w:val="auto"/>
                <w:spacing w:val="0"/>
                <w:sz w:val="21"/>
                <w:highlight w:val="none"/>
              </w:rPr>
              <w:t>-</w:t>
            </w:r>
          </w:p>
        </w:tc>
        <w:tc>
          <w:tcPr>
            <w:tcW w:w="3573" w:type="dxa"/>
            <w:gridSpan w:val="2"/>
            <w:shd w:val="clear" w:color="auto" w:fill="auto"/>
            <w:vAlign w:val="center"/>
          </w:tcPr>
          <w:p w14:paraId="205AB97D">
            <w:pPr>
              <w:pStyle w:val="171"/>
              <w:spacing w:before="0" w:beforeLines="0" w:after="0" w:afterLines="0" w:line="240" w:lineRule="auto"/>
              <w:rPr>
                <w:caps w:val="0"/>
                <w:smallCaps w:val="0"/>
                <w:color w:val="auto"/>
                <w:spacing w:val="0"/>
                <w:sz w:val="21"/>
                <w:highlight w:val="none"/>
              </w:rPr>
            </w:pPr>
            <w:r>
              <w:rPr>
                <w:caps w:val="0"/>
                <w:smallCaps w:val="0"/>
                <w:color w:val="auto"/>
                <w:spacing w:val="0"/>
                <w:sz w:val="21"/>
                <w:highlight w:val="none"/>
              </w:rPr>
              <w:t>-</w:t>
            </w:r>
          </w:p>
        </w:tc>
        <w:tc>
          <w:tcPr>
            <w:tcW w:w="2775" w:type="dxa"/>
            <w:gridSpan w:val="2"/>
            <w:shd w:val="clear" w:color="auto" w:fill="auto"/>
            <w:vAlign w:val="center"/>
          </w:tcPr>
          <w:p w14:paraId="7F7A2F60">
            <w:pPr>
              <w:pStyle w:val="171"/>
              <w:spacing w:before="0" w:beforeLines="0" w:after="0" w:afterLines="0" w:line="240" w:lineRule="auto"/>
              <w:rPr>
                <w:caps w:val="0"/>
                <w:smallCaps w:val="0"/>
                <w:color w:val="auto"/>
                <w:spacing w:val="0"/>
                <w:sz w:val="21"/>
                <w:highlight w:val="none"/>
              </w:rPr>
            </w:pPr>
            <w:r>
              <w:rPr>
                <w:rFonts w:hint="eastAsia"/>
                <w:caps w:val="0"/>
                <w:smallCaps w:val="0"/>
                <w:color w:val="auto"/>
                <w:spacing w:val="0"/>
                <w:sz w:val="21"/>
                <w:highlight w:val="none"/>
              </w:rPr>
              <w:t>-</w:t>
            </w:r>
          </w:p>
        </w:tc>
      </w:tr>
    </w:tbl>
    <w:p w14:paraId="6F82FC3C">
      <w:pPr>
        <w:pStyle w:val="11"/>
        <w:spacing w:before="120"/>
        <w:rPr>
          <w:caps w:val="0"/>
          <w:smallCaps w:val="0"/>
          <w:color w:val="auto"/>
          <w:spacing w:val="0"/>
          <w:highlight w:val="none"/>
        </w:rPr>
      </w:pPr>
      <w:r>
        <w:rPr>
          <w:caps w:val="0"/>
          <w:smallCaps w:val="0"/>
          <w:color w:val="auto"/>
          <w:spacing w:val="0"/>
          <w:highlight w:val="none"/>
        </w:rPr>
        <w:t>表5.2-</w:t>
      </w:r>
      <w:r>
        <w:rPr>
          <w:rFonts w:hint="eastAsia"/>
          <w:caps w:val="0"/>
          <w:smallCaps w:val="0"/>
          <w:color w:val="auto"/>
          <w:spacing w:val="0"/>
          <w:highlight w:val="none"/>
        </w:rPr>
        <w:t>10</w:t>
      </w:r>
      <w:r>
        <w:rPr>
          <w:caps w:val="0"/>
          <w:smallCaps w:val="0"/>
          <w:color w:val="auto"/>
          <w:spacing w:val="0"/>
          <w:highlight w:val="none"/>
        </w:rPr>
        <w:t>工艺废气非甲烷总烃估算模型计算结果表</w:t>
      </w:r>
    </w:p>
    <w:tbl>
      <w:tblPr>
        <w:tblStyle w:val="172"/>
        <w:tblW w:w="4996" w:type="pct"/>
        <w:jc w:val="center"/>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2277"/>
        <w:gridCol w:w="1558"/>
        <w:gridCol w:w="1375"/>
        <w:gridCol w:w="1558"/>
        <w:gridCol w:w="1489"/>
        <w:gridCol w:w="1558"/>
        <w:gridCol w:w="1490"/>
        <w:gridCol w:w="1563"/>
        <w:gridCol w:w="1339"/>
      </w:tblGrid>
      <w:tr w14:paraId="34E57039">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PrEx>
        <w:trPr>
          <w:tblHeader/>
          <w:jc w:val="center"/>
        </w:trPr>
        <w:tc>
          <w:tcPr>
            <w:tcW w:w="2271" w:type="dxa"/>
            <w:vMerge w:val="restart"/>
            <w:shd w:val="clear" w:color="auto" w:fill="auto"/>
            <w:vAlign w:val="center"/>
          </w:tcPr>
          <w:p w14:paraId="57050BB1">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下风向距离/m</w:t>
            </w:r>
          </w:p>
        </w:tc>
        <w:tc>
          <w:tcPr>
            <w:tcW w:w="2924" w:type="dxa"/>
            <w:gridSpan w:val="2"/>
            <w:shd w:val="clear" w:color="auto" w:fill="auto"/>
            <w:vAlign w:val="center"/>
          </w:tcPr>
          <w:p w14:paraId="29CAB5B7">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DA007</w:t>
            </w:r>
          </w:p>
        </w:tc>
        <w:tc>
          <w:tcPr>
            <w:tcW w:w="3037" w:type="dxa"/>
            <w:gridSpan w:val="2"/>
            <w:shd w:val="clear" w:color="auto" w:fill="auto"/>
            <w:vAlign w:val="center"/>
          </w:tcPr>
          <w:p w14:paraId="26F60898">
            <w:pPr>
              <w:pStyle w:val="171"/>
              <w:wordWrap/>
              <w:spacing w:before="0" w:beforeLines="0" w:beforeAutospacing="0" w:after="0" w:afterLines="0" w:afterAutospacing="0" w:line="240" w:lineRule="auto"/>
              <w:ind w:left="0" w:leftChars="0" w:right="0" w:rightChars="0" w:firstLine="0" w:firstLineChars="0"/>
              <w:rPr>
                <w:rFonts w:hint="eastAsia" w:eastAsia="宋体"/>
                <w:b/>
                <w:bCs/>
                <w:caps w:val="0"/>
                <w:smallCaps w:val="0"/>
                <w:color w:val="auto"/>
                <w:spacing w:val="0"/>
                <w:sz w:val="21"/>
                <w:highlight w:val="none"/>
                <w:lang w:eastAsia="zh-CN"/>
              </w:rPr>
            </w:pPr>
            <w:r>
              <w:rPr>
                <w:b/>
                <w:bCs/>
                <w:caps w:val="0"/>
                <w:smallCaps w:val="0"/>
                <w:color w:val="auto"/>
                <w:spacing w:val="0"/>
                <w:sz w:val="21"/>
                <w:highlight w:val="none"/>
              </w:rPr>
              <w:t>DA00</w:t>
            </w:r>
            <w:r>
              <w:rPr>
                <w:rFonts w:hint="eastAsia"/>
                <w:b/>
                <w:bCs/>
                <w:caps w:val="0"/>
                <w:smallCaps w:val="0"/>
                <w:color w:val="auto"/>
                <w:spacing w:val="0"/>
                <w:sz w:val="21"/>
                <w:highlight w:val="none"/>
                <w:lang w:val="en-US" w:eastAsia="zh-CN"/>
              </w:rPr>
              <w:t>9</w:t>
            </w:r>
          </w:p>
        </w:tc>
        <w:tc>
          <w:tcPr>
            <w:tcW w:w="3038" w:type="dxa"/>
            <w:gridSpan w:val="2"/>
            <w:shd w:val="clear" w:color="auto" w:fill="auto"/>
            <w:vAlign w:val="center"/>
          </w:tcPr>
          <w:p w14:paraId="52923F8D">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生产车间无组织</w:t>
            </w:r>
          </w:p>
        </w:tc>
        <w:tc>
          <w:tcPr>
            <w:tcW w:w="2893" w:type="dxa"/>
            <w:gridSpan w:val="2"/>
            <w:shd w:val="clear" w:color="auto" w:fill="auto"/>
            <w:vAlign w:val="center"/>
          </w:tcPr>
          <w:p w14:paraId="0F411134">
            <w:pPr>
              <w:pStyle w:val="171"/>
              <w:wordWrap/>
              <w:spacing w:before="0" w:beforeLines="0" w:beforeAutospacing="0" w:after="0" w:afterLines="0" w:afterAutospacing="0" w:line="240" w:lineRule="auto"/>
              <w:ind w:left="0" w:leftChars="0" w:right="0" w:rightChars="0" w:firstLine="0" w:firstLineChars="0"/>
              <w:rPr>
                <w:b/>
                <w:bCs/>
                <w:caps w:val="0"/>
                <w:smallCaps w:val="0"/>
                <w:color w:val="auto"/>
                <w:spacing w:val="0"/>
                <w:sz w:val="21"/>
                <w:highlight w:val="none"/>
              </w:rPr>
            </w:pPr>
            <w:r>
              <w:rPr>
                <w:b/>
                <w:bCs/>
                <w:caps w:val="0"/>
                <w:smallCaps w:val="0"/>
                <w:color w:val="auto"/>
                <w:spacing w:val="0"/>
                <w:sz w:val="21"/>
                <w:highlight w:val="none"/>
              </w:rPr>
              <w:t>实验室</w:t>
            </w:r>
            <w:r>
              <w:rPr>
                <w:rFonts w:hint="eastAsia"/>
                <w:b/>
                <w:bCs/>
                <w:caps w:val="0"/>
                <w:smallCaps w:val="0"/>
                <w:color w:val="auto"/>
                <w:spacing w:val="0"/>
                <w:sz w:val="21"/>
                <w:highlight w:val="none"/>
              </w:rPr>
              <w:t>无组织</w:t>
            </w:r>
            <w:r>
              <w:rPr>
                <w:b/>
                <w:bCs/>
                <w:caps w:val="0"/>
                <w:smallCaps w:val="0"/>
                <w:color w:val="auto"/>
                <w:spacing w:val="0"/>
                <w:sz w:val="21"/>
                <w:highlight w:val="none"/>
              </w:rPr>
              <w:t>废气</w:t>
            </w:r>
          </w:p>
        </w:tc>
      </w:tr>
      <w:tr w14:paraId="3990133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vMerge w:val="continue"/>
            <w:shd w:val="clear" w:color="auto" w:fill="auto"/>
            <w:vAlign w:val="center"/>
          </w:tcPr>
          <w:p w14:paraId="0E0067EA">
            <w:pPr>
              <w:pStyle w:val="171"/>
              <w:spacing w:before="0" w:beforeLines="0" w:after="0" w:afterLines="0" w:line="240" w:lineRule="auto"/>
              <w:ind w:firstLine="0"/>
              <w:rPr>
                <w:b/>
                <w:bCs/>
                <w:caps w:val="0"/>
                <w:smallCaps w:val="0"/>
                <w:color w:val="auto"/>
                <w:spacing w:val="0"/>
                <w:sz w:val="21"/>
                <w:highlight w:val="none"/>
              </w:rPr>
            </w:pPr>
          </w:p>
        </w:tc>
        <w:tc>
          <w:tcPr>
            <w:tcW w:w="11892" w:type="dxa"/>
            <w:gridSpan w:val="8"/>
            <w:shd w:val="clear" w:color="auto" w:fill="auto"/>
            <w:vAlign w:val="center"/>
          </w:tcPr>
          <w:p w14:paraId="597A2FA7">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非甲烷总烃</w:t>
            </w:r>
          </w:p>
        </w:tc>
      </w:tr>
      <w:tr w14:paraId="17CC27B1">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vMerge w:val="continue"/>
            <w:shd w:val="clear" w:color="auto" w:fill="auto"/>
            <w:vAlign w:val="center"/>
          </w:tcPr>
          <w:p w14:paraId="40CA52FB">
            <w:pPr>
              <w:pStyle w:val="171"/>
              <w:spacing w:before="0" w:beforeLines="0" w:after="0" w:afterLines="0" w:line="240" w:lineRule="auto"/>
              <w:ind w:firstLine="0"/>
              <w:rPr>
                <w:b/>
                <w:bCs/>
                <w:caps w:val="0"/>
                <w:smallCaps w:val="0"/>
                <w:color w:val="auto"/>
                <w:spacing w:val="0"/>
                <w:sz w:val="21"/>
                <w:highlight w:val="none"/>
              </w:rPr>
            </w:pPr>
          </w:p>
        </w:tc>
        <w:tc>
          <w:tcPr>
            <w:tcW w:w="1553" w:type="dxa"/>
            <w:shd w:val="clear" w:color="auto" w:fill="auto"/>
            <w:vAlign w:val="center"/>
          </w:tcPr>
          <w:p w14:paraId="53261D8B">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371" w:type="dxa"/>
            <w:shd w:val="clear" w:color="auto" w:fill="auto"/>
            <w:vAlign w:val="center"/>
          </w:tcPr>
          <w:p w14:paraId="2E7ABA3C">
            <w:pPr>
              <w:pStyle w:val="171"/>
              <w:spacing w:before="0" w:beforeLines="0" w:after="0" w:afterLines="0" w:line="240" w:lineRule="auto"/>
              <w:ind w:firstLine="0"/>
              <w:jc w:val="both"/>
              <w:rPr>
                <w:b/>
                <w:bCs/>
                <w:caps w:val="0"/>
                <w:smallCaps w:val="0"/>
                <w:color w:val="auto"/>
                <w:spacing w:val="0"/>
                <w:sz w:val="21"/>
                <w:highlight w:val="none"/>
              </w:rPr>
            </w:pPr>
            <w:r>
              <w:rPr>
                <w:b/>
                <w:bCs/>
                <w:caps w:val="0"/>
                <w:smallCaps w:val="0"/>
                <w:color w:val="auto"/>
                <w:spacing w:val="0"/>
                <w:sz w:val="21"/>
                <w:highlight w:val="none"/>
              </w:rPr>
              <w:t>占标率/%</w:t>
            </w:r>
          </w:p>
        </w:tc>
        <w:tc>
          <w:tcPr>
            <w:tcW w:w="1553" w:type="dxa"/>
            <w:shd w:val="clear" w:color="auto" w:fill="auto"/>
            <w:vAlign w:val="center"/>
          </w:tcPr>
          <w:p w14:paraId="2FCAF56F">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484" w:type="dxa"/>
            <w:shd w:val="clear" w:color="auto" w:fill="auto"/>
            <w:vAlign w:val="center"/>
          </w:tcPr>
          <w:p w14:paraId="4EA215E3">
            <w:pPr>
              <w:pStyle w:val="171"/>
              <w:spacing w:before="0" w:beforeLines="0" w:after="0" w:afterLines="0" w:line="240" w:lineRule="auto"/>
              <w:ind w:firstLine="0"/>
              <w:jc w:val="both"/>
              <w:rPr>
                <w:b/>
                <w:bCs/>
                <w:caps w:val="0"/>
                <w:smallCaps w:val="0"/>
                <w:color w:val="auto"/>
                <w:spacing w:val="0"/>
                <w:sz w:val="21"/>
                <w:highlight w:val="none"/>
              </w:rPr>
            </w:pPr>
            <w:r>
              <w:rPr>
                <w:b/>
                <w:bCs/>
                <w:caps w:val="0"/>
                <w:smallCaps w:val="0"/>
                <w:color w:val="auto"/>
                <w:spacing w:val="0"/>
                <w:sz w:val="21"/>
                <w:highlight w:val="none"/>
              </w:rPr>
              <w:t>占标率/%</w:t>
            </w:r>
          </w:p>
        </w:tc>
        <w:tc>
          <w:tcPr>
            <w:tcW w:w="1553" w:type="dxa"/>
            <w:shd w:val="clear" w:color="auto" w:fill="auto"/>
            <w:vAlign w:val="center"/>
          </w:tcPr>
          <w:p w14:paraId="5136FF8E">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485" w:type="dxa"/>
            <w:shd w:val="clear" w:color="auto" w:fill="auto"/>
            <w:vAlign w:val="center"/>
          </w:tcPr>
          <w:p w14:paraId="704A0DB9">
            <w:pPr>
              <w:pStyle w:val="171"/>
              <w:spacing w:before="0" w:beforeLines="0" w:after="0" w:afterLines="0" w:line="240" w:lineRule="auto"/>
              <w:ind w:firstLine="0"/>
              <w:jc w:val="both"/>
              <w:rPr>
                <w:b/>
                <w:bCs/>
                <w:caps w:val="0"/>
                <w:smallCaps w:val="0"/>
                <w:color w:val="auto"/>
                <w:spacing w:val="0"/>
                <w:sz w:val="21"/>
                <w:highlight w:val="none"/>
              </w:rPr>
            </w:pPr>
            <w:r>
              <w:rPr>
                <w:b/>
                <w:bCs/>
                <w:caps w:val="0"/>
                <w:smallCaps w:val="0"/>
                <w:color w:val="auto"/>
                <w:spacing w:val="0"/>
                <w:sz w:val="21"/>
                <w:highlight w:val="none"/>
              </w:rPr>
              <w:t>占标率/%</w:t>
            </w:r>
          </w:p>
        </w:tc>
        <w:tc>
          <w:tcPr>
            <w:tcW w:w="1558" w:type="dxa"/>
            <w:shd w:val="clear" w:color="auto" w:fill="auto"/>
            <w:vAlign w:val="center"/>
          </w:tcPr>
          <w:p w14:paraId="240B786F">
            <w:pPr>
              <w:pStyle w:val="171"/>
              <w:spacing w:before="0" w:beforeLines="0" w:after="0" w:afterLines="0" w:line="240" w:lineRule="auto"/>
              <w:ind w:firstLine="0"/>
              <w:rPr>
                <w:b/>
                <w:bCs/>
                <w:caps w:val="0"/>
                <w:smallCaps w:val="0"/>
                <w:color w:val="auto"/>
                <w:spacing w:val="0"/>
                <w:sz w:val="21"/>
                <w:highlight w:val="none"/>
              </w:rPr>
            </w:pPr>
            <w:r>
              <w:rPr>
                <w:b/>
                <w:bCs/>
                <w:caps w:val="0"/>
                <w:smallCaps w:val="0"/>
                <w:color w:val="auto"/>
                <w:spacing w:val="0"/>
                <w:sz w:val="21"/>
                <w:highlight w:val="none"/>
              </w:rPr>
              <w:t>预测质量浓度/（μg/m</w:t>
            </w:r>
            <w:r>
              <w:rPr>
                <w:b/>
                <w:bCs/>
                <w:caps w:val="0"/>
                <w:smallCaps w:val="0"/>
                <w:color w:val="auto"/>
                <w:spacing w:val="0"/>
                <w:sz w:val="21"/>
                <w:highlight w:val="none"/>
                <w:vertAlign w:val="superscript"/>
              </w:rPr>
              <w:t>3</w:t>
            </w:r>
            <w:r>
              <w:rPr>
                <w:b/>
                <w:bCs/>
                <w:caps w:val="0"/>
                <w:smallCaps w:val="0"/>
                <w:color w:val="auto"/>
                <w:spacing w:val="0"/>
                <w:sz w:val="21"/>
                <w:highlight w:val="none"/>
              </w:rPr>
              <w:t>）</w:t>
            </w:r>
          </w:p>
        </w:tc>
        <w:tc>
          <w:tcPr>
            <w:tcW w:w="1335" w:type="dxa"/>
            <w:shd w:val="clear" w:color="auto" w:fill="auto"/>
            <w:vAlign w:val="center"/>
          </w:tcPr>
          <w:p w14:paraId="68AE6143">
            <w:pPr>
              <w:pStyle w:val="171"/>
              <w:spacing w:before="0" w:beforeLines="0" w:after="0" w:afterLines="0" w:line="240" w:lineRule="auto"/>
              <w:ind w:firstLine="0"/>
              <w:jc w:val="both"/>
              <w:rPr>
                <w:b/>
                <w:bCs/>
                <w:caps w:val="0"/>
                <w:smallCaps w:val="0"/>
                <w:color w:val="auto"/>
                <w:spacing w:val="0"/>
                <w:sz w:val="21"/>
                <w:highlight w:val="none"/>
              </w:rPr>
            </w:pPr>
            <w:r>
              <w:rPr>
                <w:b/>
                <w:bCs/>
                <w:caps w:val="0"/>
                <w:smallCaps w:val="0"/>
                <w:color w:val="auto"/>
                <w:spacing w:val="0"/>
                <w:sz w:val="21"/>
                <w:highlight w:val="none"/>
              </w:rPr>
              <w:t>占标率/%</w:t>
            </w:r>
          </w:p>
        </w:tc>
      </w:tr>
      <w:tr w14:paraId="570F2FD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3128BBA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w:t>
            </w:r>
          </w:p>
        </w:tc>
        <w:tc>
          <w:tcPr>
            <w:tcW w:w="1553" w:type="dxa"/>
            <w:shd w:val="clear" w:color="auto" w:fill="auto"/>
            <w:vAlign w:val="center"/>
          </w:tcPr>
          <w:p w14:paraId="2D318B2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371" w:type="dxa"/>
            <w:shd w:val="clear" w:color="auto" w:fill="auto"/>
            <w:vAlign w:val="center"/>
          </w:tcPr>
          <w:p w14:paraId="61040B04">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553" w:type="dxa"/>
            <w:shd w:val="clear" w:color="auto" w:fill="auto"/>
            <w:vAlign w:val="center"/>
          </w:tcPr>
          <w:p w14:paraId="01561C2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84" w:type="dxa"/>
            <w:shd w:val="clear" w:color="auto" w:fill="auto"/>
            <w:vAlign w:val="center"/>
          </w:tcPr>
          <w:p w14:paraId="5C5B4497">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553" w:type="dxa"/>
            <w:shd w:val="clear" w:color="auto" w:fill="auto"/>
            <w:vAlign w:val="center"/>
          </w:tcPr>
          <w:p w14:paraId="0778A86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85" w:type="dxa"/>
            <w:shd w:val="clear" w:color="auto" w:fill="auto"/>
            <w:vAlign w:val="center"/>
          </w:tcPr>
          <w:p w14:paraId="19B61A9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558" w:type="dxa"/>
            <w:shd w:val="clear" w:color="auto" w:fill="auto"/>
            <w:vAlign w:val="center"/>
          </w:tcPr>
          <w:p w14:paraId="44F3716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1.43×10</w:t>
            </w:r>
            <w:r>
              <w:rPr>
                <w:rFonts w:ascii="Times New Roman" w:hAnsi="Times New Roman" w:eastAsia="宋体" w:cs="Times New Roman"/>
                <w:caps w:val="0"/>
                <w:smallCaps w:val="0"/>
                <w:color w:val="auto"/>
                <w:spacing w:val="0"/>
                <w:sz w:val="21"/>
                <w:highlight w:val="none"/>
                <w:vertAlign w:val="superscript"/>
              </w:rPr>
              <w:t>-2</w:t>
            </w:r>
          </w:p>
        </w:tc>
        <w:tc>
          <w:tcPr>
            <w:tcW w:w="1335" w:type="dxa"/>
            <w:shd w:val="clear" w:color="auto" w:fill="auto"/>
            <w:vAlign w:val="center"/>
          </w:tcPr>
          <w:p w14:paraId="5CC96452">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1.19×10</w:t>
            </w:r>
            <w:r>
              <w:rPr>
                <w:rFonts w:ascii="Times New Roman" w:hAnsi="Times New Roman" w:eastAsia="宋体" w:cs="Times New Roman"/>
                <w:caps w:val="0"/>
                <w:smallCaps w:val="0"/>
                <w:color w:val="auto"/>
                <w:spacing w:val="0"/>
                <w:sz w:val="21"/>
                <w:highlight w:val="none"/>
                <w:vertAlign w:val="superscript"/>
              </w:rPr>
              <w:t>-3</w:t>
            </w:r>
          </w:p>
        </w:tc>
      </w:tr>
      <w:tr w14:paraId="5BCCF064">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7B1C18F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w:t>
            </w:r>
          </w:p>
        </w:tc>
        <w:tc>
          <w:tcPr>
            <w:tcW w:w="1553" w:type="dxa"/>
            <w:shd w:val="clear" w:color="auto" w:fill="auto"/>
            <w:vAlign w:val="center"/>
          </w:tcPr>
          <w:p w14:paraId="024203A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1.04×10</w:t>
            </w:r>
            <w:r>
              <w:rPr>
                <w:rFonts w:ascii="Times New Roman" w:hAnsi="Times New Roman" w:eastAsia="宋体" w:cs="Times New Roman"/>
                <w:caps w:val="0"/>
                <w:smallCaps w:val="0"/>
                <w:color w:val="auto"/>
                <w:spacing w:val="0"/>
                <w:sz w:val="21"/>
                <w:highlight w:val="none"/>
                <w:vertAlign w:val="superscript"/>
              </w:rPr>
              <w:t>-5</w:t>
            </w:r>
          </w:p>
        </w:tc>
        <w:tc>
          <w:tcPr>
            <w:tcW w:w="1371" w:type="dxa"/>
            <w:shd w:val="clear" w:color="auto" w:fill="auto"/>
            <w:vAlign w:val="center"/>
          </w:tcPr>
          <w:p w14:paraId="1BBA80D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5.20×10</w:t>
            </w:r>
            <w:r>
              <w:rPr>
                <w:rFonts w:ascii="Times New Roman" w:hAnsi="Times New Roman" w:eastAsia="宋体" w:cs="Times New Roman"/>
                <w:caps w:val="0"/>
                <w:smallCaps w:val="0"/>
                <w:color w:val="auto"/>
                <w:spacing w:val="0"/>
                <w:sz w:val="21"/>
                <w:highlight w:val="none"/>
                <w:vertAlign w:val="superscript"/>
              </w:rPr>
              <w:t>-7</w:t>
            </w:r>
          </w:p>
        </w:tc>
        <w:tc>
          <w:tcPr>
            <w:tcW w:w="1553" w:type="dxa"/>
            <w:shd w:val="clear" w:color="auto" w:fill="auto"/>
            <w:vAlign w:val="center"/>
          </w:tcPr>
          <w:p w14:paraId="30D50AC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7.60×10</w:t>
            </w:r>
            <w:r>
              <w:rPr>
                <w:rFonts w:ascii="Times New Roman" w:hAnsi="Times New Roman" w:eastAsia="宋体" w:cs="Times New Roman"/>
                <w:caps w:val="0"/>
                <w:smallCaps w:val="0"/>
                <w:color w:val="auto"/>
                <w:spacing w:val="0"/>
                <w:sz w:val="21"/>
                <w:highlight w:val="none"/>
                <w:vertAlign w:val="superscript"/>
              </w:rPr>
              <w:t>-9</w:t>
            </w:r>
          </w:p>
        </w:tc>
        <w:tc>
          <w:tcPr>
            <w:tcW w:w="1484" w:type="dxa"/>
            <w:shd w:val="clear" w:color="auto" w:fill="auto"/>
            <w:vAlign w:val="center"/>
          </w:tcPr>
          <w:p w14:paraId="2E91306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3.80</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-10</w:t>
            </w:r>
          </w:p>
        </w:tc>
        <w:tc>
          <w:tcPr>
            <w:tcW w:w="1553" w:type="dxa"/>
            <w:shd w:val="clear" w:color="auto" w:fill="auto"/>
            <w:vAlign w:val="center"/>
          </w:tcPr>
          <w:p w14:paraId="5AB3E0E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6.98×10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71669D5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5.82×10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5C1C50D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1.63×10</w:t>
            </w:r>
            <w:r>
              <w:rPr>
                <w:rFonts w:ascii="Times New Roman" w:hAnsi="Times New Roman" w:eastAsia="宋体" w:cs="Times New Roman"/>
                <w:caps w:val="0"/>
                <w:smallCaps w:val="0"/>
                <w:color w:val="auto"/>
                <w:spacing w:val="0"/>
                <w:sz w:val="21"/>
                <w:highlight w:val="none"/>
                <w:vertAlign w:val="superscript"/>
              </w:rPr>
              <w:t>-3</w:t>
            </w:r>
          </w:p>
        </w:tc>
        <w:tc>
          <w:tcPr>
            <w:tcW w:w="1335" w:type="dxa"/>
            <w:shd w:val="clear" w:color="auto" w:fill="auto"/>
            <w:vAlign w:val="center"/>
          </w:tcPr>
          <w:p w14:paraId="680493CA">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1.36×</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-4</w:t>
            </w:r>
          </w:p>
        </w:tc>
      </w:tr>
      <w:tr w14:paraId="3B30D3A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5E4F0A8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w:t>
            </w:r>
          </w:p>
        </w:tc>
        <w:tc>
          <w:tcPr>
            <w:tcW w:w="1553" w:type="dxa"/>
            <w:shd w:val="clear" w:color="auto" w:fill="auto"/>
            <w:vAlign w:val="center"/>
          </w:tcPr>
          <w:p w14:paraId="4C17C39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8.53×10</w:t>
            </w:r>
            <w:r>
              <w:rPr>
                <w:rFonts w:ascii="Times New Roman" w:hAnsi="Times New Roman" w:eastAsia="宋体" w:cs="Times New Roman"/>
                <w:caps w:val="0"/>
                <w:smallCaps w:val="0"/>
                <w:color w:val="auto"/>
                <w:spacing w:val="0"/>
                <w:sz w:val="21"/>
                <w:highlight w:val="none"/>
                <w:vertAlign w:val="superscript"/>
              </w:rPr>
              <w:t>-2</w:t>
            </w:r>
          </w:p>
        </w:tc>
        <w:tc>
          <w:tcPr>
            <w:tcW w:w="1371" w:type="dxa"/>
            <w:shd w:val="clear" w:color="auto" w:fill="auto"/>
            <w:vAlign w:val="center"/>
          </w:tcPr>
          <w:p w14:paraId="132891E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4.27×10</w:t>
            </w:r>
            <w:r>
              <w:rPr>
                <w:rFonts w:ascii="Times New Roman" w:hAnsi="Times New Roman" w:eastAsia="宋体" w:cs="Times New Roman"/>
                <w:caps w:val="0"/>
                <w:smallCaps w:val="0"/>
                <w:color w:val="auto"/>
                <w:spacing w:val="0"/>
                <w:sz w:val="21"/>
                <w:highlight w:val="none"/>
                <w:vertAlign w:val="superscript"/>
              </w:rPr>
              <w:t>-3</w:t>
            </w:r>
          </w:p>
        </w:tc>
        <w:tc>
          <w:tcPr>
            <w:tcW w:w="1553" w:type="dxa"/>
            <w:shd w:val="clear" w:color="auto" w:fill="auto"/>
            <w:vAlign w:val="center"/>
          </w:tcPr>
          <w:p w14:paraId="5BB1603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3.04×10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54B8B45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1.52×10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553" w:type="dxa"/>
            <w:shd w:val="clear" w:color="auto" w:fill="auto"/>
            <w:vAlign w:val="center"/>
          </w:tcPr>
          <w:p w14:paraId="6AB4E19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7.07×10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5FBED1A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5.89×10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0B3E627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4.31×10</w:t>
            </w:r>
            <w:r>
              <w:rPr>
                <w:rFonts w:ascii="Times New Roman" w:hAnsi="Times New Roman" w:eastAsia="宋体" w:cs="Times New Roman"/>
                <w:caps w:val="0"/>
                <w:smallCaps w:val="0"/>
                <w:color w:val="auto"/>
                <w:spacing w:val="0"/>
                <w:sz w:val="21"/>
                <w:highlight w:val="none"/>
                <w:vertAlign w:val="superscript"/>
              </w:rPr>
              <w:t>-4</w:t>
            </w:r>
          </w:p>
        </w:tc>
        <w:tc>
          <w:tcPr>
            <w:tcW w:w="1335" w:type="dxa"/>
            <w:shd w:val="clear" w:color="auto" w:fill="auto"/>
            <w:vAlign w:val="center"/>
          </w:tcPr>
          <w:p w14:paraId="273C1574">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3.59×10-05</w:t>
            </w:r>
          </w:p>
        </w:tc>
      </w:tr>
      <w:tr w14:paraId="76E3FEC0">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62C48B1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w:t>
            </w:r>
          </w:p>
        </w:tc>
        <w:tc>
          <w:tcPr>
            <w:tcW w:w="1553" w:type="dxa"/>
            <w:shd w:val="clear" w:color="auto" w:fill="auto"/>
            <w:vAlign w:val="center"/>
          </w:tcPr>
          <w:p w14:paraId="136C19D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371" w:type="dxa"/>
            <w:shd w:val="clear" w:color="auto" w:fill="auto"/>
            <w:vAlign w:val="center"/>
          </w:tcPr>
          <w:p w14:paraId="7CEBFE4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553" w:type="dxa"/>
            <w:shd w:val="clear" w:color="auto" w:fill="auto"/>
            <w:vAlign w:val="center"/>
          </w:tcPr>
          <w:p w14:paraId="1BF37EF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6.99×10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428DE50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3.50×10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553" w:type="dxa"/>
            <w:shd w:val="clear" w:color="auto" w:fill="auto"/>
            <w:vAlign w:val="center"/>
          </w:tcPr>
          <w:p w14:paraId="2C9770B8">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485" w:type="dxa"/>
            <w:shd w:val="clear" w:color="auto" w:fill="auto"/>
            <w:vAlign w:val="center"/>
          </w:tcPr>
          <w:p w14:paraId="1B9F0840">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558" w:type="dxa"/>
            <w:shd w:val="clear" w:color="auto" w:fill="auto"/>
            <w:vAlign w:val="center"/>
          </w:tcPr>
          <w:p w14:paraId="414432C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335" w:type="dxa"/>
            <w:shd w:val="clear" w:color="auto" w:fill="auto"/>
            <w:vAlign w:val="center"/>
          </w:tcPr>
          <w:p w14:paraId="61B762E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r>
      <w:tr w14:paraId="2165C85F">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2271" w:type="dxa"/>
            <w:shd w:val="clear" w:color="auto" w:fill="auto"/>
            <w:vAlign w:val="center"/>
          </w:tcPr>
          <w:p w14:paraId="09BE7042">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w:t>
            </w:r>
          </w:p>
        </w:tc>
        <w:tc>
          <w:tcPr>
            <w:tcW w:w="1553" w:type="dxa"/>
            <w:shd w:val="clear" w:color="auto" w:fill="auto"/>
            <w:vAlign w:val="center"/>
          </w:tcPr>
          <w:p w14:paraId="143F51E6">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2.79×10</w:t>
            </w:r>
            <w:r>
              <w:rPr>
                <w:rFonts w:ascii="Times New Roman" w:hAnsi="Times New Roman" w:eastAsia="宋体" w:cs="Times New Roman"/>
                <w:caps w:val="0"/>
                <w:smallCaps w:val="0"/>
                <w:color w:val="auto"/>
                <w:spacing w:val="0"/>
                <w:sz w:val="21"/>
                <w:highlight w:val="none"/>
                <w:vertAlign w:val="superscript"/>
              </w:rPr>
              <w:t>-1</w:t>
            </w:r>
          </w:p>
        </w:tc>
        <w:tc>
          <w:tcPr>
            <w:tcW w:w="1371" w:type="dxa"/>
            <w:shd w:val="clear" w:color="auto" w:fill="auto"/>
            <w:vAlign w:val="center"/>
          </w:tcPr>
          <w:p w14:paraId="3F4A22E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-2</w:t>
            </w:r>
          </w:p>
        </w:tc>
        <w:tc>
          <w:tcPr>
            <w:tcW w:w="1553" w:type="dxa"/>
            <w:shd w:val="clear" w:color="auto" w:fill="auto"/>
            <w:vAlign w:val="center"/>
          </w:tcPr>
          <w:p w14:paraId="3645066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6.95×10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622B56C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3.48×10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553" w:type="dxa"/>
            <w:shd w:val="clear" w:color="auto" w:fill="auto"/>
            <w:vAlign w:val="center"/>
          </w:tcPr>
          <w:p w14:paraId="38946CD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7.14×10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333E31F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5.95×10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1438E6C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2.08×10</w:t>
            </w:r>
            <w:r>
              <w:rPr>
                <w:rFonts w:ascii="Times New Roman" w:hAnsi="Times New Roman" w:eastAsia="宋体" w:cs="Times New Roman"/>
                <w:caps w:val="0"/>
                <w:smallCaps w:val="0"/>
                <w:color w:val="auto"/>
                <w:spacing w:val="0"/>
                <w:sz w:val="21"/>
                <w:highlight w:val="none"/>
                <w:vertAlign w:val="superscript"/>
              </w:rPr>
              <w:t>-4</w:t>
            </w:r>
          </w:p>
        </w:tc>
        <w:tc>
          <w:tcPr>
            <w:tcW w:w="1335" w:type="dxa"/>
            <w:shd w:val="clear" w:color="auto" w:fill="auto"/>
            <w:vAlign w:val="center"/>
          </w:tcPr>
          <w:p w14:paraId="48CC8CB2">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1.73×</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-5</w:t>
            </w:r>
          </w:p>
        </w:tc>
      </w:tr>
      <w:tr w14:paraId="1EF3944A">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383F9BD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78</w:t>
            </w:r>
          </w:p>
        </w:tc>
        <w:tc>
          <w:tcPr>
            <w:tcW w:w="1553" w:type="dxa"/>
            <w:shd w:val="clear" w:color="auto" w:fill="auto"/>
            <w:vAlign w:val="center"/>
          </w:tcPr>
          <w:p w14:paraId="52214FA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2.80×10</w:t>
            </w:r>
            <w:r>
              <w:rPr>
                <w:rFonts w:ascii="Times New Roman" w:hAnsi="Times New Roman" w:eastAsia="宋体" w:cs="Times New Roman"/>
                <w:caps w:val="0"/>
                <w:smallCaps w:val="0"/>
                <w:color w:val="auto"/>
                <w:spacing w:val="0"/>
                <w:sz w:val="21"/>
                <w:highlight w:val="none"/>
                <w:vertAlign w:val="superscript"/>
              </w:rPr>
              <w:t>-1</w:t>
            </w:r>
          </w:p>
        </w:tc>
        <w:tc>
          <w:tcPr>
            <w:tcW w:w="1371" w:type="dxa"/>
            <w:shd w:val="clear" w:color="auto" w:fill="auto"/>
            <w:vAlign w:val="center"/>
          </w:tcPr>
          <w:p w14:paraId="3065EBA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-2</w:t>
            </w:r>
          </w:p>
        </w:tc>
        <w:tc>
          <w:tcPr>
            <w:tcW w:w="1553" w:type="dxa"/>
            <w:shd w:val="clear" w:color="auto" w:fill="auto"/>
            <w:vAlign w:val="center"/>
          </w:tcPr>
          <w:p w14:paraId="3C5E7F0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484" w:type="dxa"/>
            <w:shd w:val="clear" w:color="auto" w:fill="auto"/>
            <w:vAlign w:val="center"/>
          </w:tcPr>
          <w:p w14:paraId="792D9A70">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553" w:type="dxa"/>
            <w:shd w:val="clear" w:color="auto" w:fill="auto"/>
            <w:vAlign w:val="center"/>
          </w:tcPr>
          <w:p w14:paraId="4BB9D09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485" w:type="dxa"/>
            <w:shd w:val="clear" w:color="auto" w:fill="auto"/>
            <w:vAlign w:val="center"/>
          </w:tcPr>
          <w:p w14:paraId="0F2302C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558" w:type="dxa"/>
            <w:shd w:val="clear" w:color="auto" w:fill="auto"/>
            <w:vAlign w:val="center"/>
          </w:tcPr>
          <w:p w14:paraId="39B411C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335" w:type="dxa"/>
            <w:shd w:val="clear" w:color="auto" w:fill="auto"/>
            <w:vAlign w:val="center"/>
          </w:tcPr>
          <w:p w14:paraId="5792190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r>
      <w:tr w14:paraId="540372C9">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77AF946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w:t>
            </w:r>
          </w:p>
        </w:tc>
        <w:tc>
          <w:tcPr>
            <w:tcW w:w="1553" w:type="dxa"/>
            <w:shd w:val="clear" w:color="auto" w:fill="auto"/>
            <w:vAlign w:val="center"/>
          </w:tcPr>
          <w:p w14:paraId="6094E55B">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2.76×10</w:t>
            </w:r>
            <w:r>
              <w:rPr>
                <w:rFonts w:ascii="Times New Roman" w:hAnsi="Times New Roman" w:eastAsia="宋体" w:cs="Times New Roman"/>
                <w:caps w:val="0"/>
                <w:smallCaps w:val="0"/>
                <w:color w:val="auto"/>
                <w:spacing w:val="0"/>
                <w:sz w:val="21"/>
                <w:highlight w:val="none"/>
                <w:vertAlign w:val="superscript"/>
              </w:rPr>
              <w:t>-1</w:t>
            </w:r>
          </w:p>
        </w:tc>
        <w:tc>
          <w:tcPr>
            <w:tcW w:w="1371" w:type="dxa"/>
            <w:shd w:val="clear" w:color="auto" w:fill="auto"/>
            <w:vAlign w:val="center"/>
          </w:tcPr>
          <w:p w14:paraId="6C69977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1.38×10</w:t>
            </w:r>
            <w:r>
              <w:rPr>
                <w:rFonts w:ascii="Times New Roman" w:hAnsi="Times New Roman" w:eastAsia="宋体" w:cs="Times New Roman"/>
                <w:caps w:val="0"/>
                <w:smallCaps w:val="0"/>
                <w:color w:val="auto"/>
                <w:spacing w:val="0"/>
                <w:sz w:val="21"/>
                <w:highlight w:val="none"/>
                <w:vertAlign w:val="superscript"/>
              </w:rPr>
              <w:t>-2</w:t>
            </w:r>
          </w:p>
        </w:tc>
        <w:tc>
          <w:tcPr>
            <w:tcW w:w="1553" w:type="dxa"/>
            <w:shd w:val="clear" w:color="auto" w:fill="auto"/>
            <w:vAlign w:val="center"/>
          </w:tcPr>
          <w:p w14:paraId="7B5C524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6.79×10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689EC46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2.67×10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553" w:type="dxa"/>
            <w:shd w:val="clear" w:color="auto" w:fill="auto"/>
            <w:vAlign w:val="center"/>
          </w:tcPr>
          <w:p w14:paraId="713FE8BE">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7.20×10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595B74D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6.00×10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683C8E6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1.31×10</w:t>
            </w:r>
            <w:r>
              <w:rPr>
                <w:rFonts w:ascii="Times New Roman" w:hAnsi="Times New Roman" w:eastAsia="宋体" w:cs="Times New Roman"/>
                <w:caps w:val="0"/>
                <w:smallCaps w:val="0"/>
                <w:color w:val="auto"/>
                <w:spacing w:val="0"/>
                <w:sz w:val="21"/>
                <w:highlight w:val="none"/>
                <w:vertAlign w:val="superscript"/>
              </w:rPr>
              <w:t>-4</w:t>
            </w:r>
          </w:p>
        </w:tc>
        <w:tc>
          <w:tcPr>
            <w:tcW w:w="1335" w:type="dxa"/>
            <w:shd w:val="clear" w:color="auto" w:fill="auto"/>
            <w:vAlign w:val="center"/>
          </w:tcPr>
          <w:p w14:paraId="40CF1543">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1.09×</w:t>
            </w:r>
            <w:r>
              <w:rPr>
                <w:rFonts w:ascii="Times New Roman" w:hAnsi="Times New Roman" w:eastAsia="宋体" w:cs="Times New Roman"/>
                <w:caps w:val="0"/>
                <w:smallCaps w:val="0"/>
                <w:color w:val="auto"/>
                <w:spacing w:val="0"/>
                <w:sz w:val="21"/>
                <w:highlight w:val="none"/>
              </w:rPr>
              <w:t>10</w:t>
            </w:r>
            <w:r>
              <w:rPr>
                <w:rFonts w:ascii="Times New Roman" w:hAnsi="Times New Roman" w:eastAsia="宋体" w:cs="Times New Roman"/>
                <w:caps w:val="0"/>
                <w:smallCaps w:val="0"/>
                <w:color w:val="auto"/>
                <w:spacing w:val="0"/>
                <w:sz w:val="21"/>
                <w:highlight w:val="none"/>
                <w:vertAlign w:val="superscript"/>
              </w:rPr>
              <w:t>-5</w:t>
            </w:r>
          </w:p>
        </w:tc>
      </w:tr>
      <w:tr w14:paraId="1939ACDB">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478D181D">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122</w:t>
            </w:r>
          </w:p>
        </w:tc>
        <w:tc>
          <w:tcPr>
            <w:tcW w:w="1553" w:type="dxa"/>
            <w:shd w:val="clear" w:color="auto" w:fill="auto"/>
            <w:vAlign w:val="center"/>
          </w:tcPr>
          <w:p w14:paraId="00773FF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371" w:type="dxa"/>
            <w:shd w:val="clear" w:color="auto" w:fill="auto"/>
            <w:vAlign w:val="center"/>
          </w:tcPr>
          <w:p w14:paraId="437AAB7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553" w:type="dxa"/>
            <w:shd w:val="clear" w:color="auto" w:fill="auto"/>
            <w:vAlign w:val="center"/>
          </w:tcPr>
          <w:p w14:paraId="369BE22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1484" w:type="dxa"/>
            <w:shd w:val="clear" w:color="auto" w:fill="auto"/>
            <w:vAlign w:val="center"/>
          </w:tcPr>
          <w:p w14:paraId="7BEF9A3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553" w:type="dxa"/>
            <w:shd w:val="clear" w:color="auto" w:fill="auto"/>
            <w:vAlign w:val="center"/>
          </w:tcPr>
          <w:p w14:paraId="0D7EF913">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7.23×10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7DF692F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6.03×10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6334C45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335" w:type="dxa"/>
            <w:shd w:val="clear" w:color="auto" w:fill="auto"/>
            <w:vAlign w:val="center"/>
          </w:tcPr>
          <w:p w14:paraId="4F805308">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r>
      <w:tr w14:paraId="04319A2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2271" w:type="dxa"/>
            <w:shd w:val="clear" w:color="auto" w:fill="auto"/>
            <w:vAlign w:val="center"/>
          </w:tcPr>
          <w:p w14:paraId="3CBF4F4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w:t>
            </w:r>
          </w:p>
        </w:tc>
        <w:tc>
          <w:tcPr>
            <w:tcW w:w="1553" w:type="dxa"/>
            <w:shd w:val="clear" w:color="auto" w:fill="auto"/>
            <w:vAlign w:val="center"/>
          </w:tcPr>
          <w:p w14:paraId="3420C45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2.11×10</w:t>
            </w:r>
            <w:r>
              <w:rPr>
                <w:rFonts w:ascii="Times New Roman" w:hAnsi="Times New Roman" w:eastAsia="宋体" w:cs="Times New Roman"/>
                <w:caps w:val="0"/>
                <w:smallCaps w:val="0"/>
                <w:color w:val="auto"/>
                <w:spacing w:val="0"/>
                <w:sz w:val="21"/>
                <w:highlight w:val="none"/>
                <w:vertAlign w:val="superscript"/>
              </w:rPr>
              <w:t>-1</w:t>
            </w:r>
          </w:p>
        </w:tc>
        <w:tc>
          <w:tcPr>
            <w:tcW w:w="1371" w:type="dxa"/>
            <w:shd w:val="clear" w:color="auto" w:fill="auto"/>
            <w:vAlign w:val="center"/>
          </w:tcPr>
          <w:p w14:paraId="5995984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1.06×10</w:t>
            </w:r>
            <w:r>
              <w:rPr>
                <w:rFonts w:ascii="Times New Roman" w:hAnsi="Times New Roman" w:eastAsia="宋体" w:cs="Times New Roman"/>
                <w:caps w:val="0"/>
                <w:smallCaps w:val="0"/>
                <w:color w:val="auto"/>
                <w:spacing w:val="0"/>
                <w:sz w:val="21"/>
                <w:highlight w:val="none"/>
                <w:vertAlign w:val="superscript"/>
              </w:rPr>
              <w:t>-2</w:t>
            </w:r>
          </w:p>
        </w:tc>
        <w:tc>
          <w:tcPr>
            <w:tcW w:w="1553" w:type="dxa"/>
            <w:shd w:val="clear" w:color="auto" w:fill="auto"/>
            <w:vAlign w:val="center"/>
          </w:tcPr>
          <w:p w14:paraId="1B028A7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4.69×10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1B6AAF50">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2.11×10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553" w:type="dxa"/>
            <w:shd w:val="clear" w:color="auto" w:fill="auto"/>
            <w:vAlign w:val="center"/>
          </w:tcPr>
          <w:p w14:paraId="0B7551F7">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1.73×10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31C59AF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1.44×10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139FF49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7.74×10</w:t>
            </w:r>
            <w:r>
              <w:rPr>
                <w:rFonts w:ascii="Times New Roman" w:hAnsi="Times New Roman" w:eastAsia="宋体" w:cs="Times New Roman"/>
                <w:caps w:val="0"/>
                <w:smallCaps w:val="0"/>
                <w:color w:val="auto"/>
                <w:spacing w:val="0"/>
                <w:sz w:val="21"/>
                <w:highlight w:val="none"/>
                <w:vertAlign w:val="superscript"/>
              </w:rPr>
              <w:t>-5</w:t>
            </w:r>
          </w:p>
        </w:tc>
        <w:tc>
          <w:tcPr>
            <w:tcW w:w="1335" w:type="dxa"/>
            <w:shd w:val="clear" w:color="auto" w:fill="auto"/>
            <w:vAlign w:val="center"/>
          </w:tcPr>
          <w:p w14:paraId="2B42999C">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6.45×10</w:t>
            </w:r>
            <w:r>
              <w:rPr>
                <w:rFonts w:ascii="Times New Roman" w:hAnsi="Times New Roman" w:eastAsia="宋体" w:cs="Times New Roman"/>
                <w:caps w:val="0"/>
                <w:smallCaps w:val="0"/>
                <w:color w:val="auto"/>
                <w:spacing w:val="0"/>
                <w:sz w:val="21"/>
                <w:highlight w:val="none"/>
                <w:vertAlign w:val="superscript"/>
              </w:rPr>
              <w:t>-6</w:t>
            </w:r>
          </w:p>
        </w:tc>
      </w:tr>
      <w:tr w14:paraId="640E11D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72DF26CA">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300</w:t>
            </w:r>
          </w:p>
        </w:tc>
        <w:tc>
          <w:tcPr>
            <w:tcW w:w="1553" w:type="dxa"/>
            <w:shd w:val="clear" w:color="auto" w:fill="auto"/>
            <w:vAlign w:val="center"/>
          </w:tcPr>
          <w:p w14:paraId="1B60F43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8.88×10</w:t>
            </w:r>
            <w:r>
              <w:rPr>
                <w:rFonts w:ascii="Times New Roman" w:hAnsi="Times New Roman" w:eastAsia="宋体" w:cs="Times New Roman"/>
                <w:caps w:val="0"/>
                <w:smallCaps w:val="0"/>
                <w:color w:val="auto"/>
                <w:spacing w:val="0"/>
                <w:sz w:val="21"/>
                <w:highlight w:val="none"/>
                <w:vertAlign w:val="superscript"/>
              </w:rPr>
              <w:t>-2</w:t>
            </w:r>
          </w:p>
        </w:tc>
        <w:tc>
          <w:tcPr>
            <w:tcW w:w="1371" w:type="dxa"/>
            <w:shd w:val="clear" w:color="auto" w:fill="auto"/>
            <w:vAlign w:val="center"/>
          </w:tcPr>
          <w:p w14:paraId="54DB197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4.44×10</w:t>
            </w:r>
            <w:r>
              <w:rPr>
                <w:rFonts w:ascii="Times New Roman" w:hAnsi="Times New Roman" w:eastAsia="宋体" w:cs="Times New Roman"/>
                <w:caps w:val="0"/>
                <w:smallCaps w:val="0"/>
                <w:color w:val="auto"/>
                <w:spacing w:val="0"/>
                <w:sz w:val="21"/>
                <w:highlight w:val="none"/>
                <w:vertAlign w:val="superscript"/>
              </w:rPr>
              <w:t>-3</w:t>
            </w:r>
          </w:p>
        </w:tc>
        <w:tc>
          <w:tcPr>
            <w:tcW w:w="1553" w:type="dxa"/>
            <w:shd w:val="clear" w:color="auto" w:fill="auto"/>
            <w:vAlign w:val="center"/>
          </w:tcPr>
          <w:p w14:paraId="0847756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1.77×10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10D2D1C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8.85×10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553" w:type="dxa"/>
            <w:shd w:val="clear" w:color="auto" w:fill="auto"/>
            <w:vAlign w:val="center"/>
          </w:tcPr>
          <w:p w14:paraId="4D58B38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3.93×10</w:t>
            </w:r>
            <w:r>
              <w:rPr>
                <w:rFonts w:ascii="Times New Roman" w:hAnsi="Times New Roman" w:eastAsia="宋体" w:cs="Times New Roman"/>
                <w:caps w:val="0"/>
                <w:smallCaps w:val="0"/>
                <w:color w:val="auto"/>
                <w:spacing w:val="0"/>
                <w:sz w:val="21"/>
                <w:highlight w:val="none"/>
                <w:vertAlign w:val="superscript"/>
              </w:rPr>
              <w:t>-5</w:t>
            </w:r>
          </w:p>
        </w:tc>
        <w:tc>
          <w:tcPr>
            <w:tcW w:w="1485" w:type="dxa"/>
            <w:shd w:val="clear" w:color="auto" w:fill="auto"/>
            <w:vAlign w:val="center"/>
          </w:tcPr>
          <w:p w14:paraId="2E0BA9C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3.28×10</w:t>
            </w:r>
            <w:r>
              <w:rPr>
                <w:rFonts w:ascii="Times New Roman" w:hAnsi="Times New Roman" w:eastAsia="宋体" w:cs="Times New Roman"/>
                <w:caps w:val="0"/>
                <w:smallCaps w:val="0"/>
                <w:color w:val="auto"/>
                <w:spacing w:val="0"/>
                <w:sz w:val="21"/>
                <w:highlight w:val="none"/>
                <w:vertAlign w:val="superscript"/>
              </w:rPr>
              <w:t>-6</w:t>
            </w:r>
          </w:p>
        </w:tc>
        <w:tc>
          <w:tcPr>
            <w:tcW w:w="1558" w:type="dxa"/>
            <w:shd w:val="clear" w:color="auto" w:fill="auto"/>
            <w:vAlign w:val="center"/>
          </w:tcPr>
          <w:p w14:paraId="6B95E5A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3.10×10</w:t>
            </w:r>
            <w:r>
              <w:rPr>
                <w:rFonts w:ascii="Times New Roman" w:hAnsi="Times New Roman" w:eastAsia="宋体" w:cs="Times New Roman"/>
                <w:caps w:val="0"/>
                <w:smallCaps w:val="0"/>
                <w:color w:val="auto"/>
                <w:spacing w:val="0"/>
                <w:sz w:val="21"/>
                <w:highlight w:val="none"/>
                <w:vertAlign w:val="superscript"/>
              </w:rPr>
              <w:t>-5</w:t>
            </w:r>
          </w:p>
        </w:tc>
        <w:tc>
          <w:tcPr>
            <w:tcW w:w="1335" w:type="dxa"/>
            <w:shd w:val="clear" w:color="auto" w:fill="auto"/>
            <w:vAlign w:val="center"/>
          </w:tcPr>
          <w:p w14:paraId="5B74DFE8">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2.58×10</w:t>
            </w:r>
            <w:r>
              <w:rPr>
                <w:rFonts w:ascii="Times New Roman" w:hAnsi="Times New Roman" w:eastAsia="宋体" w:cs="Times New Roman"/>
                <w:caps w:val="0"/>
                <w:smallCaps w:val="0"/>
                <w:color w:val="auto"/>
                <w:spacing w:val="0"/>
                <w:sz w:val="21"/>
                <w:highlight w:val="none"/>
                <w:vertAlign w:val="superscript"/>
              </w:rPr>
              <w:t>-6</w:t>
            </w:r>
          </w:p>
        </w:tc>
      </w:tr>
      <w:tr w14:paraId="4635E507">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52A4B72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w:t>
            </w:r>
          </w:p>
        </w:tc>
        <w:tc>
          <w:tcPr>
            <w:tcW w:w="1553" w:type="dxa"/>
            <w:shd w:val="clear" w:color="auto" w:fill="auto"/>
            <w:vAlign w:val="center"/>
          </w:tcPr>
          <w:p w14:paraId="53EBA97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4.07×10</w:t>
            </w:r>
            <w:r>
              <w:rPr>
                <w:rFonts w:ascii="Times New Roman" w:hAnsi="Times New Roman" w:eastAsia="宋体" w:cs="Times New Roman"/>
                <w:caps w:val="0"/>
                <w:smallCaps w:val="0"/>
                <w:color w:val="auto"/>
                <w:spacing w:val="0"/>
                <w:sz w:val="21"/>
                <w:highlight w:val="none"/>
                <w:vertAlign w:val="superscript"/>
              </w:rPr>
              <w:t>-2</w:t>
            </w:r>
          </w:p>
        </w:tc>
        <w:tc>
          <w:tcPr>
            <w:tcW w:w="1371" w:type="dxa"/>
            <w:shd w:val="clear" w:color="auto" w:fill="auto"/>
            <w:vAlign w:val="center"/>
          </w:tcPr>
          <w:p w14:paraId="5887EEE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2.04×10</w:t>
            </w:r>
            <w:r>
              <w:rPr>
                <w:rFonts w:ascii="Times New Roman" w:hAnsi="Times New Roman" w:eastAsia="宋体" w:cs="Times New Roman"/>
                <w:caps w:val="0"/>
                <w:smallCaps w:val="0"/>
                <w:color w:val="auto"/>
                <w:spacing w:val="0"/>
                <w:sz w:val="21"/>
                <w:highlight w:val="none"/>
                <w:vertAlign w:val="superscript"/>
              </w:rPr>
              <w:t>-3</w:t>
            </w:r>
          </w:p>
        </w:tc>
        <w:tc>
          <w:tcPr>
            <w:tcW w:w="1553" w:type="dxa"/>
            <w:shd w:val="clear" w:color="auto" w:fill="auto"/>
            <w:vAlign w:val="center"/>
          </w:tcPr>
          <w:p w14:paraId="18FD700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8.00×10</w:t>
            </w:r>
            <w:r>
              <w:rPr>
                <w:rFonts w:ascii="Times New Roman" w:hAnsi="Times New Roman" w:eastAsia="宋体" w:cs="Times New Roman"/>
                <w:caps w:val="0"/>
                <w:smallCaps w:val="0"/>
                <w:color w:val="auto"/>
                <w:spacing w:val="0"/>
                <w:sz w:val="21"/>
                <w:highlight w:val="none"/>
                <w:vertAlign w:val="superscript"/>
              </w:rPr>
              <w:t>-6</w:t>
            </w:r>
          </w:p>
        </w:tc>
        <w:tc>
          <w:tcPr>
            <w:tcW w:w="1484" w:type="dxa"/>
            <w:shd w:val="clear" w:color="auto" w:fill="auto"/>
            <w:vAlign w:val="center"/>
          </w:tcPr>
          <w:p w14:paraId="620E8AFC">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4.00×10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553" w:type="dxa"/>
            <w:shd w:val="clear" w:color="auto" w:fill="auto"/>
            <w:vAlign w:val="center"/>
          </w:tcPr>
          <w:p w14:paraId="6EB8210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1.78×10</w:t>
            </w:r>
            <w:r>
              <w:rPr>
                <w:rFonts w:ascii="Times New Roman" w:hAnsi="Times New Roman" w:eastAsia="宋体" w:cs="Times New Roman"/>
                <w:caps w:val="0"/>
                <w:smallCaps w:val="0"/>
                <w:color w:val="auto"/>
                <w:spacing w:val="0"/>
                <w:sz w:val="21"/>
                <w:highlight w:val="none"/>
                <w:vertAlign w:val="superscript"/>
              </w:rPr>
              <w:t>-5</w:t>
            </w:r>
          </w:p>
        </w:tc>
        <w:tc>
          <w:tcPr>
            <w:tcW w:w="1485" w:type="dxa"/>
            <w:shd w:val="clear" w:color="auto" w:fill="auto"/>
            <w:vAlign w:val="center"/>
          </w:tcPr>
          <w:p w14:paraId="2F9C73B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1.48×10</w:t>
            </w:r>
            <w:r>
              <w:rPr>
                <w:rFonts w:ascii="Times New Roman" w:hAnsi="Times New Roman" w:eastAsia="宋体" w:cs="Times New Roman"/>
                <w:caps w:val="0"/>
                <w:smallCaps w:val="0"/>
                <w:color w:val="auto"/>
                <w:spacing w:val="0"/>
                <w:sz w:val="21"/>
                <w:highlight w:val="none"/>
                <w:vertAlign w:val="superscript"/>
              </w:rPr>
              <w:t>-6</w:t>
            </w:r>
          </w:p>
        </w:tc>
        <w:tc>
          <w:tcPr>
            <w:tcW w:w="1558" w:type="dxa"/>
            <w:shd w:val="clear" w:color="auto" w:fill="auto"/>
            <w:vAlign w:val="center"/>
          </w:tcPr>
          <w:p w14:paraId="54360519">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1.47×10</w:t>
            </w:r>
            <w:r>
              <w:rPr>
                <w:rFonts w:ascii="Times New Roman" w:hAnsi="Times New Roman" w:eastAsia="宋体" w:cs="Times New Roman"/>
                <w:caps w:val="0"/>
                <w:smallCaps w:val="0"/>
                <w:color w:val="auto"/>
                <w:spacing w:val="0"/>
                <w:sz w:val="21"/>
                <w:highlight w:val="none"/>
                <w:vertAlign w:val="superscript"/>
              </w:rPr>
              <w:t>-5</w:t>
            </w:r>
          </w:p>
        </w:tc>
        <w:tc>
          <w:tcPr>
            <w:tcW w:w="1335" w:type="dxa"/>
            <w:shd w:val="clear" w:color="auto" w:fill="auto"/>
            <w:vAlign w:val="center"/>
          </w:tcPr>
          <w:p w14:paraId="2AB73FB2">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1.23×10</w:t>
            </w:r>
            <w:r>
              <w:rPr>
                <w:rFonts w:ascii="Times New Roman" w:hAnsi="Times New Roman" w:eastAsia="宋体" w:cs="Times New Roman"/>
                <w:caps w:val="0"/>
                <w:smallCaps w:val="0"/>
                <w:color w:val="auto"/>
                <w:spacing w:val="0"/>
                <w:sz w:val="21"/>
                <w:highlight w:val="none"/>
                <w:vertAlign w:val="superscript"/>
              </w:rPr>
              <w:t>-6</w:t>
            </w:r>
          </w:p>
        </w:tc>
      </w:tr>
      <w:tr w14:paraId="03B50FB6">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002294C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750</w:t>
            </w:r>
          </w:p>
        </w:tc>
        <w:tc>
          <w:tcPr>
            <w:tcW w:w="1553" w:type="dxa"/>
            <w:shd w:val="clear" w:color="auto" w:fill="auto"/>
            <w:vAlign w:val="center"/>
          </w:tcPr>
          <w:p w14:paraId="5BC6AB6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2.11×10</w:t>
            </w:r>
            <w:r>
              <w:rPr>
                <w:rFonts w:ascii="Times New Roman" w:hAnsi="Times New Roman" w:eastAsia="宋体" w:cs="Times New Roman"/>
                <w:caps w:val="0"/>
                <w:smallCaps w:val="0"/>
                <w:color w:val="auto"/>
                <w:spacing w:val="0"/>
                <w:sz w:val="21"/>
                <w:highlight w:val="none"/>
                <w:vertAlign w:val="superscript"/>
              </w:rPr>
              <w:t>-2</w:t>
            </w:r>
          </w:p>
        </w:tc>
        <w:tc>
          <w:tcPr>
            <w:tcW w:w="1371" w:type="dxa"/>
            <w:shd w:val="clear" w:color="auto" w:fill="auto"/>
            <w:vAlign w:val="center"/>
          </w:tcPr>
          <w:p w14:paraId="6041A05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1.06×10</w:t>
            </w:r>
            <w:r>
              <w:rPr>
                <w:rFonts w:ascii="Times New Roman" w:hAnsi="Times New Roman" w:eastAsia="宋体" w:cs="Times New Roman"/>
                <w:caps w:val="0"/>
                <w:smallCaps w:val="0"/>
                <w:color w:val="auto"/>
                <w:spacing w:val="0"/>
                <w:sz w:val="21"/>
                <w:highlight w:val="none"/>
                <w:vertAlign w:val="superscript"/>
              </w:rPr>
              <w:t>-3</w:t>
            </w:r>
          </w:p>
        </w:tc>
        <w:tc>
          <w:tcPr>
            <w:tcW w:w="1553" w:type="dxa"/>
            <w:shd w:val="clear" w:color="auto" w:fill="auto"/>
            <w:vAlign w:val="center"/>
          </w:tcPr>
          <w:p w14:paraId="084BA3A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4.13×10</w:t>
            </w:r>
            <w:r>
              <w:rPr>
                <w:rFonts w:ascii="Times New Roman" w:hAnsi="Times New Roman" w:eastAsia="宋体" w:cs="Times New Roman"/>
                <w:caps w:val="0"/>
                <w:smallCaps w:val="0"/>
                <w:color w:val="auto"/>
                <w:spacing w:val="0"/>
                <w:sz w:val="21"/>
                <w:highlight w:val="none"/>
                <w:vertAlign w:val="superscript"/>
              </w:rPr>
              <w:t>-6</w:t>
            </w:r>
          </w:p>
        </w:tc>
        <w:tc>
          <w:tcPr>
            <w:tcW w:w="1484" w:type="dxa"/>
            <w:shd w:val="clear" w:color="auto" w:fill="auto"/>
            <w:vAlign w:val="center"/>
          </w:tcPr>
          <w:p w14:paraId="6EC152B7">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2.07×10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553" w:type="dxa"/>
            <w:shd w:val="clear" w:color="auto" w:fill="auto"/>
            <w:vAlign w:val="center"/>
          </w:tcPr>
          <w:p w14:paraId="2D21FA2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9.37×10</w:t>
            </w:r>
            <w:r>
              <w:rPr>
                <w:rFonts w:ascii="Times New Roman" w:hAnsi="Times New Roman" w:eastAsia="宋体" w:cs="Times New Roman"/>
                <w:caps w:val="0"/>
                <w:smallCaps w:val="0"/>
                <w:color w:val="auto"/>
                <w:spacing w:val="0"/>
                <w:sz w:val="21"/>
                <w:highlight w:val="none"/>
                <w:vertAlign w:val="superscript"/>
              </w:rPr>
              <w:t>-6</w:t>
            </w:r>
          </w:p>
        </w:tc>
        <w:tc>
          <w:tcPr>
            <w:tcW w:w="1485" w:type="dxa"/>
            <w:shd w:val="clear" w:color="auto" w:fill="auto"/>
            <w:vAlign w:val="center"/>
          </w:tcPr>
          <w:p w14:paraId="1BFF0C26">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7.81×10</w:t>
            </w:r>
            <w:r>
              <w:rPr>
                <w:rFonts w:ascii="Times New Roman" w:hAnsi="Times New Roman" w:eastAsia="宋体" w:cs="Times New Roman"/>
                <w:caps w:val="0"/>
                <w:smallCaps w:val="0"/>
                <w:color w:val="auto"/>
                <w:spacing w:val="0"/>
                <w:sz w:val="21"/>
                <w:highlight w:val="none"/>
                <w:vertAlign w:val="superscript"/>
              </w:rPr>
              <w:t>-7</w:t>
            </w:r>
          </w:p>
        </w:tc>
        <w:tc>
          <w:tcPr>
            <w:tcW w:w="1558" w:type="dxa"/>
            <w:shd w:val="clear" w:color="auto" w:fill="auto"/>
            <w:vAlign w:val="center"/>
          </w:tcPr>
          <w:p w14:paraId="0FE0D330">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7.86×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sz w:val="21"/>
                <w:highlight w:val="none"/>
                <w:vertAlign w:val="superscript"/>
              </w:rPr>
              <w:t>-6</w:t>
            </w:r>
          </w:p>
        </w:tc>
        <w:tc>
          <w:tcPr>
            <w:tcW w:w="1335" w:type="dxa"/>
            <w:shd w:val="clear" w:color="auto" w:fill="auto"/>
            <w:vAlign w:val="center"/>
          </w:tcPr>
          <w:p w14:paraId="01A8414D">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6.55×10</w:t>
            </w:r>
            <w:r>
              <w:rPr>
                <w:rFonts w:ascii="Times New Roman" w:hAnsi="Times New Roman" w:eastAsia="宋体" w:cs="Times New Roman"/>
                <w:caps w:val="0"/>
                <w:smallCaps w:val="0"/>
                <w:color w:val="auto"/>
                <w:spacing w:val="0"/>
                <w:sz w:val="21"/>
                <w:highlight w:val="none"/>
                <w:vertAlign w:val="superscript"/>
              </w:rPr>
              <w:t>-7</w:t>
            </w:r>
          </w:p>
        </w:tc>
      </w:tr>
      <w:tr w14:paraId="4D0977BC">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4C0E38A5">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w:t>
            </w:r>
          </w:p>
        </w:tc>
        <w:tc>
          <w:tcPr>
            <w:tcW w:w="1553" w:type="dxa"/>
            <w:shd w:val="clear" w:color="auto" w:fill="auto"/>
            <w:vAlign w:val="center"/>
          </w:tcPr>
          <w:p w14:paraId="0EB2904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1.32×10</w:t>
            </w:r>
            <w:r>
              <w:rPr>
                <w:rFonts w:ascii="Times New Roman" w:hAnsi="Times New Roman" w:eastAsia="宋体" w:cs="Times New Roman"/>
                <w:caps w:val="0"/>
                <w:smallCaps w:val="0"/>
                <w:color w:val="auto"/>
                <w:spacing w:val="0"/>
                <w:sz w:val="21"/>
                <w:highlight w:val="none"/>
                <w:vertAlign w:val="superscript"/>
              </w:rPr>
              <w:t>-2</w:t>
            </w:r>
          </w:p>
        </w:tc>
        <w:tc>
          <w:tcPr>
            <w:tcW w:w="1371" w:type="dxa"/>
            <w:shd w:val="clear" w:color="auto" w:fill="auto"/>
            <w:vAlign w:val="center"/>
          </w:tcPr>
          <w:p w14:paraId="611DBCC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6.60×10</w:t>
            </w:r>
            <w:r>
              <w:rPr>
                <w:rFonts w:ascii="Times New Roman" w:hAnsi="Times New Roman" w:eastAsia="宋体" w:cs="Times New Roman"/>
                <w:caps w:val="0"/>
                <w:smallCaps w:val="0"/>
                <w:color w:val="auto"/>
                <w:spacing w:val="0"/>
                <w:sz w:val="21"/>
                <w:highlight w:val="none"/>
                <w:vertAlign w:val="superscript"/>
              </w:rPr>
              <w:t>-4</w:t>
            </w:r>
          </w:p>
        </w:tc>
        <w:tc>
          <w:tcPr>
            <w:tcW w:w="1553" w:type="dxa"/>
            <w:shd w:val="clear" w:color="auto" w:fill="auto"/>
            <w:vAlign w:val="center"/>
          </w:tcPr>
          <w:p w14:paraId="4D8A80E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2.58×10</w:t>
            </w:r>
            <w:r>
              <w:rPr>
                <w:rFonts w:ascii="Times New Roman" w:hAnsi="Times New Roman" w:eastAsia="宋体" w:cs="Times New Roman"/>
                <w:caps w:val="0"/>
                <w:smallCaps w:val="0"/>
                <w:color w:val="auto"/>
                <w:spacing w:val="0"/>
                <w:sz w:val="21"/>
                <w:highlight w:val="none"/>
                <w:vertAlign w:val="superscript"/>
              </w:rPr>
              <w:t>-6</w:t>
            </w:r>
          </w:p>
        </w:tc>
        <w:tc>
          <w:tcPr>
            <w:tcW w:w="1484" w:type="dxa"/>
            <w:shd w:val="clear" w:color="auto" w:fill="auto"/>
            <w:vAlign w:val="center"/>
          </w:tcPr>
          <w:p w14:paraId="65D99A81">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1.29×10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1553" w:type="dxa"/>
            <w:shd w:val="clear" w:color="auto" w:fill="auto"/>
            <w:vAlign w:val="center"/>
          </w:tcPr>
          <w:p w14:paraId="2E764DB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5.84×10</w:t>
            </w:r>
            <w:r>
              <w:rPr>
                <w:rFonts w:ascii="Times New Roman" w:hAnsi="Times New Roman" w:eastAsia="宋体" w:cs="Times New Roman"/>
                <w:caps w:val="0"/>
                <w:smallCaps w:val="0"/>
                <w:color w:val="auto"/>
                <w:spacing w:val="0"/>
                <w:sz w:val="21"/>
                <w:highlight w:val="none"/>
                <w:vertAlign w:val="superscript"/>
              </w:rPr>
              <w:t>-6</w:t>
            </w:r>
          </w:p>
        </w:tc>
        <w:tc>
          <w:tcPr>
            <w:tcW w:w="1485" w:type="dxa"/>
            <w:shd w:val="clear" w:color="auto" w:fill="auto"/>
            <w:vAlign w:val="center"/>
          </w:tcPr>
          <w:p w14:paraId="62976E0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4.87×10</w:t>
            </w:r>
            <w:r>
              <w:rPr>
                <w:rFonts w:ascii="Times New Roman" w:hAnsi="Times New Roman" w:eastAsia="宋体" w:cs="Times New Roman"/>
                <w:caps w:val="0"/>
                <w:smallCaps w:val="0"/>
                <w:color w:val="auto"/>
                <w:spacing w:val="0"/>
                <w:sz w:val="21"/>
                <w:highlight w:val="none"/>
                <w:vertAlign w:val="superscript"/>
              </w:rPr>
              <w:t>-7</w:t>
            </w:r>
          </w:p>
        </w:tc>
        <w:tc>
          <w:tcPr>
            <w:tcW w:w="1558" w:type="dxa"/>
            <w:shd w:val="clear" w:color="auto" w:fill="auto"/>
            <w:vAlign w:val="center"/>
          </w:tcPr>
          <w:p w14:paraId="3E4C22B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4.94×</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sz w:val="21"/>
                <w:highlight w:val="none"/>
                <w:vertAlign w:val="superscript"/>
              </w:rPr>
              <w:t>-6</w:t>
            </w:r>
          </w:p>
        </w:tc>
        <w:tc>
          <w:tcPr>
            <w:tcW w:w="1335" w:type="dxa"/>
            <w:shd w:val="clear" w:color="auto" w:fill="auto"/>
            <w:vAlign w:val="center"/>
          </w:tcPr>
          <w:p w14:paraId="6045ED4F">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4.12×10</w:t>
            </w:r>
            <w:r>
              <w:rPr>
                <w:rFonts w:ascii="Times New Roman" w:hAnsi="Times New Roman" w:eastAsia="宋体" w:cs="Times New Roman"/>
                <w:caps w:val="0"/>
                <w:smallCaps w:val="0"/>
                <w:color w:val="auto"/>
                <w:spacing w:val="0"/>
                <w:sz w:val="21"/>
                <w:highlight w:val="none"/>
                <w:vertAlign w:val="superscript"/>
              </w:rPr>
              <w:t>-7</w:t>
            </w:r>
          </w:p>
        </w:tc>
      </w:tr>
      <w:tr w14:paraId="13B42A9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25815A9D">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w:t>
            </w:r>
          </w:p>
        </w:tc>
        <w:tc>
          <w:tcPr>
            <w:tcW w:w="1553" w:type="dxa"/>
            <w:shd w:val="clear" w:color="auto" w:fill="auto"/>
            <w:vAlign w:val="center"/>
          </w:tcPr>
          <w:p w14:paraId="72A9A62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3.07×10</w:t>
            </w:r>
            <w:r>
              <w:rPr>
                <w:rFonts w:ascii="Times New Roman" w:hAnsi="Times New Roman" w:eastAsia="宋体" w:cs="Times New Roman"/>
                <w:caps w:val="0"/>
                <w:smallCaps w:val="0"/>
                <w:color w:val="auto"/>
                <w:spacing w:val="0"/>
                <w:sz w:val="21"/>
                <w:highlight w:val="none"/>
                <w:vertAlign w:val="superscript"/>
              </w:rPr>
              <w:t>-3</w:t>
            </w:r>
          </w:p>
        </w:tc>
        <w:tc>
          <w:tcPr>
            <w:tcW w:w="1371" w:type="dxa"/>
            <w:shd w:val="clear" w:color="auto" w:fill="auto"/>
            <w:vAlign w:val="center"/>
          </w:tcPr>
          <w:p w14:paraId="674D81F7">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1.54×10</w:t>
            </w:r>
            <w:r>
              <w:rPr>
                <w:rFonts w:ascii="Times New Roman" w:hAnsi="Times New Roman" w:eastAsia="宋体" w:cs="Times New Roman"/>
                <w:caps w:val="0"/>
                <w:smallCaps w:val="0"/>
                <w:color w:val="auto"/>
                <w:spacing w:val="0"/>
                <w:sz w:val="21"/>
                <w:highlight w:val="none"/>
                <w:vertAlign w:val="superscript"/>
              </w:rPr>
              <w:t>-4</w:t>
            </w:r>
          </w:p>
        </w:tc>
        <w:tc>
          <w:tcPr>
            <w:tcW w:w="1553" w:type="dxa"/>
            <w:shd w:val="clear" w:color="auto" w:fill="auto"/>
            <w:vAlign w:val="center"/>
          </w:tcPr>
          <w:p w14:paraId="150C49B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6.00×10</w:t>
            </w:r>
            <w:r>
              <w:rPr>
                <w:rFonts w:ascii="Times New Roman" w:hAnsi="Times New Roman" w:eastAsia="宋体" w:cs="Times New Roman"/>
                <w:caps w:val="0"/>
                <w:smallCaps w:val="0"/>
                <w:color w:val="auto"/>
                <w:spacing w:val="0"/>
                <w:sz w:val="21"/>
                <w:highlight w:val="none"/>
                <w:vertAlign w:val="superscript"/>
              </w:rPr>
              <w:t>-7</w:t>
            </w:r>
          </w:p>
        </w:tc>
        <w:tc>
          <w:tcPr>
            <w:tcW w:w="1484" w:type="dxa"/>
            <w:shd w:val="clear" w:color="auto" w:fill="auto"/>
            <w:vAlign w:val="center"/>
          </w:tcPr>
          <w:p w14:paraId="7B66EB1A">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3.00×10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553" w:type="dxa"/>
            <w:shd w:val="clear" w:color="auto" w:fill="auto"/>
            <w:vAlign w:val="center"/>
          </w:tcPr>
          <w:p w14:paraId="2566230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1.23×10</w:t>
            </w:r>
            <w:r>
              <w:rPr>
                <w:rFonts w:ascii="Times New Roman" w:hAnsi="Times New Roman" w:eastAsia="宋体" w:cs="Times New Roman"/>
                <w:caps w:val="0"/>
                <w:smallCaps w:val="0"/>
                <w:color w:val="auto"/>
                <w:spacing w:val="0"/>
                <w:sz w:val="21"/>
                <w:highlight w:val="none"/>
                <w:vertAlign w:val="superscript"/>
              </w:rPr>
              <w:t>-6</w:t>
            </w:r>
          </w:p>
        </w:tc>
        <w:tc>
          <w:tcPr>
            <w:tcW w:w="1485" w:type="dxa"/>
            <w:shd w:val="clear" w:color="auto" w:fill="auto"/>
            <w:vAlign w:val="center"/>
          </w:tcPr>
          <w:p w14:paraId="2A2C42E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1.03×10</w:t>
            </w:r>
            <w:r>
              <w:rPr>
                <w:rFonts w:ascii="Times New Roman" w:hAnsi="Times New Roman" w:eastAsia="宋体" w:cs="Times New Roman"/>
                <w:caps w:val="0"/>
                <w:smallCaps w:val="0"/>
                <w:color w:val="auto"/>
                <w:spacing w:val="0"/>
                <w:sz w:val="21"/>
                <w:highlight w:val="none"/>
                <w:vertAlign w:val="superscript"/>
              </w:rPr>
              <w:t>-7</w:t>
            </w:r>
          </w:p>
        </w:tc>
        <w:tc>
          <w:tcPr>
            <w:tcW w:w="1558" w:type="dxa"/>
            <w:shd w:val="clear" w:color="auto" w:fill="auto"/>
            <w:vAlign w:val="center"/>
          </w:tcPr>
          <w:p w14:paraId="22E0DED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1.05×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sz w:val="21"/>
                <w:highlight w:val="none"/>
                <w:vertAlign w:val="superscript"/>
              </w:rPr>
              <w:t>-6</w:t>
            </w:r>
          </w:p>
        </w:tc>
        <w:tc>
          <w:tcPr>
            <w:tcW w:w="1335" w:type="dxa"/>
            <w:shd w:val="clear" w:color="auto" w:fill="auto"/>
            <w:vAlign w:val="center"/>
          </w:tcPr>
          <w:p w14:paraId="398601EB">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8.75×10</w:t>
            </w:r>
            <w:r>
              <w:rPr>
                <w:rFonts w:ascii="Times New Roman" w:hAnsi="Times New Roman" w:eastAsia="宋体" w:cs="Times New Roman"/>
                <w:caps w:val="0"/>
                <w:smallCaps w:val="0"/>
                <w:color w:val="auto"/>
                <w:spacing w:val="0"/>
                <w:sz w:val="21"/>
                <w:highlight w:val="none"/>
                <w:vertAlign w:val="superscript"/>
              </w:rPr>
              <w:t>-8</w:t>
            </w:r>
          </w:p>
        </w:tc>
      </w:tr>
      <w:tr w14:paraId="005ED819">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0184CDF2">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5000</w:t>
            </w:r>
          </w:p>
        </w:tc>
        <w:tc>
          <w:tcPr>
            <w:tcW w:w="1553" w:type="dxa"/>
            <w:shd w:val="clear" w:color="auto" w:fill="auto"/>
            <w:vAlign w:val="center"/>
          </w:tcPr>
          <w:p w14:paraId="1E777EA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1.07×10</w:t>
            </w:r>
            <w:r>
              <w:rPr>
                <w:rFonts w:ascii="Times New Roman" w:hAnsi="Times New Roman" w:eastAsia="宋体" w:cs="Times New Roman"/>
                <w:caps w:val="0"/>
                <w:smallCaps w:val="0"/>
                <w:color w:val="auto"/>
                <w:spacing w:val="0"/>
                <w:sz w:val="21"/>
                <w:highlight w:val="none"/>
                <w:vertAlign w:val="superscript"/>
              </w:rPr>
              <w:t>-3</w:t>
            </w:r>
          </w:p>
        </w:tc>
        <w:tc>
          <w:tcPr>
            <w:tcW w:w="1371" w:type="dxa"/>
            <w:shd w:val="clear" w:color="auto" w:fill="auto"/>
            <w:vAlign w:val="center"/>
          </w:tcPr>
          <w:p w14:paraId="35006A98">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5.35×10</w:t>
            </w:r>
            <w:r>
              <w:rPr>
                <w:rFonts w:ascii="Times New Roman" w:hAnsi="Times New Roman" w:eastAsia="宋体" w:cs="Times New Roman"/>
                <w:caps w:val="0"/>
                <w:smallCaps w:val="0"/>
                <w:color w:val="auto"/>
                <w:spacing w:val="0"/>
                <w:sz w:val="21"/>
                <w:highlight w:val="none"/>
                <w:vertAlign w:val="superscript"/>
              </w:rPr>
              <w:t>-5</w:t>
            </w:r>
          </w:p>
        </w:tc>
        <w:tc>
          <w:tcPr>
            <w:tcW w:w="1553" w:type="dxa"/>
            <w:shd w:val="clear" w:color="auto" w:fill="auto"/>
            <w:vAlign w:val="center"/>
          </w:tcPr>
          <w:p w14:paraId="4277032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2.09×10</w:t>
            </w:r>
            <w:r>
              <w:rPr>
                <w:rFonts w:ascii="Times New Roman" w:hAnsi="Times New Roman" w:eastAsia="宋体" w:cs="Times New Roman"/>
                <w:caps w:val="0"/>
                <w:smallCaps w:val="0"/>
                <w:color w:val="auto"/>
                <w:spacing w:val="0"/>
                <w:sz w:val="21"/>
                <w:highlight w:val="none"/>
                <w:vertAlign w:val="superscript"/>
              </w:rPr>
              <w:t>-7</w:t>
            </w:r>
          </w:p>
        </w:tc>
        <w:tc>
          <w:tcPr>
            <w:tcW w:w="1484" w:type="dxa"/>
            <w:shd w:val="clear" w:color="auto" w:fill="auto"/>
            <w:vAlign w:val="center"/>
          </w:tcPr>
          <w:p w14:paraId="1209CA9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1.05×10</w:t>
            </w:r>
            <w:r>
              <w:rPr>
                <w:rFonts w:ascii="Times New Roman" w:hAnsi="Times New Roman" w:eastAsia="宋体" w:cs="Times New Roman"/>
                <w:caps w:val="0"/>
                <w:smallCaps w:val="0"/>
                <w:color w:val="auto"/>
                <w:spacing w:val="0"/>
                <w:kern w:val="0"/>
                <w:sz w:val="21"/>
                <w:highlight w:val="none"/>
                <w:vertAlign w:val="superscript"/>
                <w:lang w:bidi="ar"/>
              </w:rPr>
              <w:t>-8</w:t>
            </w:r>
          </w:p>
        </w:tc>
        <w:tc>
          <w:tcPr>
            <w:tcW w:w="1553" w:type="dxa"/>
            <w:shd w:val="clear" w:color="auto" w:fill="auto"/>
            <w:vAlign w:val="center"/>
          </w:tcPr>
          <w:p w14:paraId="2E05F50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4.53×10</w:t>
            </w:r>
            <w:r>
              <w:rPr>
                <w:rFonts w:ascii="Times New Roman" w:hAnsi="Times New Roman" w:eastAsia="宋体" w:cs="Times New Roman"/>
                <w:caps w:val="0"/>
                <w:smallCaps w:val="0"/>
                <w:color w:val="auto"/>
                <w:spacing w:val="0"/>
                <w:sz w:val="21"/>
                <w:highlight w:val="none"/>
                <w:vertAlign w:val="superscript"/>
              </w:rPr>
              <w:t>-7</w:t>
            </w:r>
          </w:p>
        </w:tc>
        <w:tc>
          <w:tcPr>
            <w:tcW w:w="1485" w:type="dxa"/>
            <w:shd w:val="clear" w:color="auto" w:fill="auto"/>
            <w:vAlign w:val="center"/>
          </w:tcPr>
          <w:p w14:paraId="370DF50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3.78×10</w:t>
            </w:r>
            <w:r>
              <w:rPr>
                <w:rFonts w:ascii="Times New Roman" w:hAnsi="Times New Roman" w:eastAsia="宋体" w:cs="Times New Roman"/>
                <w:caps w:val="0"/>
                <w:smallCaps w:val="0"/>
                <w:color w:val="auto"/>
                <w:spacing w:val="0"/>
                <w:sz w:val="21"/>
                <w:highlight w:val="none"/>
                <w:vertAlign w:val="superscript"/>
              </w:rPr>
              <w:t>-8</w:t>
            </w:r>
          </w:p>
        </w:tc>
        <w:tc>
          <w:tcPr>
            <w:tcW w:w="1558" w:type="dxa"/>
            <w:shd w:val="clear" w:color="auto" w:fill="auto"/>
            <w:vAlign w:val="center"/>
          </w:tcPr>
          <w:p w14:paraId="3D77E3F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3.85×10</w:t>
            </w:r>
            <w:r>
              <w:rPr>
                <w:rFonts w:ascii="Times New Roman" w:hAnsi="Times New Roman" w:eastAsia="宋体" w:cs="Times New Roman"/>
                <w:caps w:val="0"/>
                <w:smallCaps w:val="0"/>
                <w:color w:val="auto"/>
                <w:spacing w:val="0"/>
                <w:sz w:val="21"/>
                <w:highlight w:val="none"/>
                <w:vertAlign w:val="superscript"/>
              </w:rPr>
              <w:t>-7</w:t>
            </w:r>
          </w:p>
        </w:tc>
        <w:tc>
          <w:tcPr>
            <w:tcW w:w="1335" w:type="dxa"/>
            <w:shd w:val="clear" w:color="auto" w:fill="auto"/>
            <w:vAlign w:val="center"/>
          </w:tcPr>
          <w:p w14:paraId="6A0E9087">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3.21×10</w:t>
            </w:r>
            <w:r>
              <w:rPr>
                <w:rFonts w:ascii="Times New Roman" w:hAnsi="Times New Roman" w:eastAsia="宋体" w:cs="Times New Roman"/>
                <w:caps w:val="0"/>
                <w:smallCaps w:val="0"/>
                <w:color w:val="auto"/>
                <w:spacing w:val="0"/>
                <w:sz w:val="21"/>
                <w:highlight w:val="none"/>
                <w:vertAlign w:val="superscript"/>
              </w:rPr>
              <w:t>-8</w:t>
            </w:r>
          </w:p>
        </w:tc>
      </w:tr>
      <w:tr w14:paraId="4B98CBB5">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2A4D600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10000</w:t>
            </w:r>
          </w:p>
        </w:tc>
        <w:tc>
          <w:tcPr>
            <w:tcW w:w="1553" w:type="dxa"/>
            <w:shd w:val="clear" w:color="auto" w:fill="auto"/>
            <w:vAlign w:val="center"/>
          </w:tcPr>
          <w:p w14:paraId="009AE570">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3.82×10</w:t>
            </w:r>
            <w:r>
              <w:rPr>
                <w:rFonts w:ascii="Times New Roman" w:hAnsi="Times New Roman" w:eastAsia="宋体" w:cs="Times New Roman"/>
                <w:caps w:val="0"/>
                <w:smallCaps w:val="0"/>
                <w:color w:val="auto"/>
                <w:spacing w:val="0"/>
                <w:sz w:val="21"/>
                <w:highlight w:val="none"/>
                <w:vertAlign w:val="superscript"/>
              </w:rPr>
              <w:t>-4</w:t>
            </w:r>
          </w:p>
        </w:tc>
        <w:tc>
          <w:tcPr>
            <w:tcW w:w="1371" w:type="dxa"/>
            <w:shd w:val="clear" w:color="auto" w:fill="auto"/>
            <w:vAlign w:val="center"/>
          </w:tcPr>
          <w:p w14:paraId="71F67444">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1.91×10</w:t>
            </w:r>
            <w:r>
              <w:rPr>
                <w:rFonts w:ascii="Times New Roman" w:hAnsi="Times New Roman" w:eastAsia="宋体" w:cs="Times New Roman"/>
                <w:caps w:val="0"/>
                <w:smallCaps w:val="0"/>
                <w:color w:val="auto"/>
                <w:spacing w:val="0"/>
                <w:sz w:val="21"/>
                <w:highlight w:val="none"/>
                <w:vertAlign w:val="superscript"/>
              </w:rPr>
              <w:t>-5</w:t>
            </w:r>
          </w:p>
        </w:tc>
        <w:tc>
          <w:tcPr>
            <w:tcW w:w="1553" w:type="dxa"/>
            <w:shd w:val="clear" w:color="auto" w:fill="auto"/>
            <w:vAlign w:val="center"/>
          </w:tcPr>
          <w:p w14:paraId="3267A00E">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7.51×10</w:t>
            </w:r>
            <w:r>
              <w:rPr>
                <w:rFonts w:ascii="Times New Roman" w:hAnsi="Times New Roman" w:eastAsia="宋体" w:cs="Times New Roman"/>
                <w:caps w:val="0"/>
                <w:smallCaps w:val="0"/>
                <w:color w:val="auto"/>
                <w:spacing w:val="0"/>
                <w:sz w:val="21"/>
                <w:highlight w:val="none"/>
                <w:vertAlign w:val="superscript"/>
              </w:rPr>
              <w:t>-8</w:t>
            </w:r>
          </w:p>
        </w:tc>
        <w:tc>
          <w:tcPr>
            <w:tcW w:w="1484" w:type="dxa"/>
            <w:shd w:val="clear" w:color="auto" w:fill="auto"/>
            <w:vAlign w:val="center"/>
          </w:tcPr>
          <w:p w14:paraId="6165485E">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3.76×10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553" w:type="dxa"/>
            <w:shd w:val="clear" w:color="auto" w:fill="auto"/>
            <w:vAlign w:val="center"/>
          </w:tcPr>
          <w:p w14:paraId="6BD00F9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2.49×10</w:t>
            </w:r>
            <w:r>
              <w:rPr>
                <w:rFonts w:ascii="Times New Roman" w:hAnsi="Times New Roman" w:eastAsia="宋体" w:cs="Times New Roman"/>
                <w:caps w:val="0"/>
                <w:smallCaps w:val="0"/>
                <w:color w:val="auto"/>
                <w:spacing w:val="0"/>
                <w:sz w:val="21"/>
                <w:highlight w:val="none"/>
                <w:vertAlign w:val="superscript"/>
              </w:rPr>
              <w:t>-7</w:t>
            </w:r>
          </w:p>
        </w:tc>
        <w:tc>
          <w:tcPr>
            <w:tcW w:w="1485" w:type="dxa"/>
            <w:shd w:val="clear" w:color="auto" w:fill="auto"/>
            <w:vAlign w:val="center"/>
          </w:tcPr>
          <w:p w14:paraId="7AC25032">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2.08×10</w:t>
            </w:r>
            <w:r>
              <w:rPr>
                <w:rFonts w:ascii="Times New Roman" w:hAnsi="Times New Roman" w:eastAsia="宋体" w:cs="Times New Roman"/>
                <w:caps w:val="0"/>
                <w:smallCaps w:val="0"/>
                <w:color w:val="auto"/>
                <w:spacing w:val="0"/>
                <w:sz w:val="21"/>
                <w:highlight w:val="none"/>
                <w:vertAlign w:val="superscript"/>
              </w:rPr>
              <w:t>-8</w:t>
            </w:r>
          </w:p>
        </w:tc>
        <w:tc>
          <w:tcPr>
            <w:tcW w:w="1558" w:type="dxa"/>
            <w:shd w:val="clear" w:color="auto" w:fill="auto"/>
            <w:vAlign w:val="center"/>
          </w:tcPr>
          <w:p w14:paraId="2AE4DFD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2.12×10</w:t>
            </w:r>
            <w:r>
              <w:rPr>
                <w:rFonts w:ascii="Times New Roman" w:hAnsi="Times New Roman" w:eastAsia="宋体" w:cs="Times New Roman"/>
                <w:caps w:val="0"/>
                <w:smallCaps w:val="0"/>
                <w:color w:val="auto"/>
                <w:spacing w:val="0"/>
                <w:sz w:val="21"/>
                <w:highlight w:val="none"/>
                <w:vertAlign w:val="superscript"/>
              </w:rPr>
              <w:t>-7</w:t>
            </w:r>
          </w:p>
        </w:tc>
        <w:tc>
          <w:tcPr>
            <w:tcW w:w="1335" w:type="dxa"/>
            <w:shd w:val="clear" w:color="auto" w:fill="auto"/>
            <w:vAlign w:val="center"/>
          </w:tcPr>
          <w:p w14:paraId="118DD25F">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1.77×10</w:t>
            </w:r>
            <w:r>
              <w:rPr>
                <w:rFonts w:ascii="Times New Roman" w:hAnsi="Times New Roman" w:eastAsia="宋体" w:cs="Times New Roman"/>
                <w:caps w:val="0"/>
                <w:smallCaps w:val="0"/>
                <w:color w:val="auto"/>
                <w:spacing w:val="0"/>
                <w:sz w:val="21"/>
                <w:highlight w:val="none"/>
                <w:vertAlign w:val="superscript"/>
              </w:rPr>
              <w:t>-8</w:t>
            </w:r>
          </w:p>
        </w:tc>
      </w:tr>
      <w:tr w14:paraId="19060F98">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1D06BF64">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15000</w:t>
            </w:r>
          </w:p>
        </w:tc>
        <w:tc>
          <w:tcPr>
            <w:tcW w:w="1553" w:type="dxa"/>
            <w:shd w:val="clear" w:color="auto" w:fill="auto"/>
            <w:vAlign w:val="center"/>
          </w:tcPr>
          <w:p w14:paraId="1E691749">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2.11×10</w:t>
            </w:r>
            <w:r>
              <w:rPr>
                <w:rFonts w:ascii="Times New Roman" w:hAnsi="Times New Roman" w:eastAsia="宋体" w:cs="Times New Roman"/>
                <w:caps w:val="0"/>
                <w:smallCaps w:val="0"/>
                <w:color w:val="auto"/>
                <w:spacing w:val="0"/>
                <w:sz w:val="21"/>
                <w:highlight w:val="none"/>
                <w:vertAlign w:val="superscript"/>
              </w:rPr>
              <w:t>-4</w:t>
            </w:r>
          </w:p>
        </w:tc>
        <w:tc>
          <w:tcPr>
            <w:tcW w:w="1371" w:type="dxa"/>
            <w:shd w:val="clear" w:color="auto" w:fill="auto"/>
            <w:vAlign w:val="center"/>
          </w:tcPr>
          <w:p w14:paraId="70A6171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1.06×10</w:t>
            </w:r>
            <w:r>
              <w:rPr>
                <w:rFonts w:ascii="Times New Roman" w:hAnsi="Times New Roman" w:eastAsia="宋体" w:cs="Times New Roman"/>
                <w:caps w:val="0"/>
                <w:smallCaps w:val="0"/>
                <w:color w:val="auto"/>
                <w:spacing w:val="0"/>
                <w:sz w:val="21"/>
                <w:highlight w:val="none"/>
                <w:vertAlign w:val="superscript"/>
              </w:rPr>
              <w:t>-5</w:t>
            </w:r>
          </w:p>
        </w:tc>
        <w:tc>
          <w:tcPr>
            <w:tcW w:w="1553" w:type="dxa"/>
            <w:shd w:val="clear" w:color="auto" w:fill="auto"/>
            <w:vAlign w:val="center"/>
          </w:tcPr>
          <w:p w14:paraId="7F902C6C">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4.16×10</w:t>
            </w:r>
            <w:r>
              <w:rPr>
                <w:rFonts w:ascii="Times New Roman" w:hAnsi="Times New Roman" w:eastAsia="宋体" w:cs="Times New Roman"/>
                <w:caps w:val="0"/>
                <w:smallCaps w:val="0"/>
                <w:color w:val="auto"/>
                <w:spacing w:val="0"/>
                <w:sz w:val="21"/>
                <w:highlight w:val="none"/>
                <w:vertAlign w:val="superscript"/>
              </w:rPr>
              <w:t>-8</w:t>
            </w:r>
          </w:p>
        </w:tc>
        <w:tc>
          <w:tcPr>
            <w:tcW w:w="1484" w:type="dxa"/>
            <w:shd w:val="clear" w:color="auto" w:fill="auto"/>
            <w:vAlign w:val="center"/>
          </w:tcPr>
          <w:p w14:paraId="3C2ADB85">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2.08×10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553" w:type="dxa"/>
            <w:shd w:val="clear" w:color="auto" w:fill="auto"/>
            <w:vAlign w:val="center"/>
          </w:tcPr>
          <w:p w14:paraId="5FE8884F">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1.88×10</w:t>
            </w:r>
            <w:r>
              <w:rPr>
                <w:rFonts w:ascii="Times New Roman" w:hAnsi="Times New Roman" w:eastAsia="宋体" w:cs="Times New Roman"/>
                <w:caps w:val="0"/>
                <w:smallCaps w:val="0"/>
                <w:color w:val="auto"/>
                <w:spacing w:val="0"/>
                <w:sz w:val="21"/>
                <w:highlight w:val="none"/>
                <w:vertAlign w:val="superscript"/>
              </w:rPr>
              <w:t>-7</w:t>
            </w:r>
          </w:p>
        </w:tc>
        <w:tc>
          <w:tcPr>
            <w:tcW w:w="1485" w:type="dxa"/>
            <w:shd w:val="clear" w:color="auto" w:fill="auto"/>
            <w:vAlign w:val="center"/>
          </w:tcPr>
          <w:p w14:paraId="4A0FDF1D">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1.57×10</w:t>
            </w:r>
            <w:r>
              <w:rPr>
                <w:rFonts w:ascii="Times New Roman" w:hAnsi="Times New Roman" w:eastAsia="宋体" w:cs="Times New Roman"/>
                <w:caps w:val="0"/>
                <w:smallCaps w:val="0"/>
                <w:color w:val="auto"/>
                <w:spacing w:val="0"/>
                <w:sz w:val="21"/>
                <w:highlight w:val="none"/>
                <w:vertAlign w:val="superscript"/>
              </w:rPr>
              <w:t>-8</w:t>
            </w:r>
          </w:p>
        </w:tc>
        <w:tc>
          <w:tcPr>
            <w:tcW w:w="1558" w:type="dxa"/>
            <w:shd w:val="clear" w:color="auto" w:fill="auto"/>
            <w:vAlign w:val="center"/>
          </w:tcPr>
          <w:p w14:paraId="1020C66A">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1.59×10</w:t>
            </w:r>
            <w:r>
              <w:rPr>
                <w:rFonts w:ascii="Times New Roman" w:hAnsi="Times New Roman" w:eastAsia="宋体" w:cs="Times New Roman"/>
                <w:caps w:val="0"/>
                <w:smallCaps w:val="0"/>
                <w:color w:val="auto"/>
                <w:spacing w:val="0"/>
                <w:sz w:val="21"/>
                <w:highlight w:val="none"/>
                <w:vertAlign w:val="superscript"/>
              </w:rPr>
              <w:t>-7</w:t>
            </w:r>
          </w:p>
        </w:tc>
        <w:tc>
          <w:tcPr>
            <w:tcW w:w="1335" w:type="dxa"/>
            <w:shd w:val="clear" w:color="auto" w:fill="auto"/>
            <w:vAlign w:val="center"/>
          </w:tcPr>
          <w:p w14:paraId="26ABB401">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1.33×10</w:t>
            </w:r>
            <w:r>
              <w:rPr>
                <w:rFonts w:ascii="Times New Roman" w:hAnsi="Times New Roman" w:eastAsia="宋体" w:cs="Times New Roman"/>
                <w:caps w:val="0"/>
                <w:smallCaps w:val="0"/>
                <w:color w:val="auto"/>
                <w:spacing w:val="0"/>
                <w:sz w:val="21"/>
                <w:highlight w:val="none"/>
                <w:vertAlign w:val="superscript"/>
              </w:rPr>
              <w:t>-8</w:t>
            </w:r>
          </w:p>
        </w:tc>
      </w:tr>
      <w:tr w14:paraId="0376DA9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673CE96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20000</w:t>
            </w:r>
          </w:p>
        </w:tc>
        <w:tc>
          <w:tcPr>
            <w:tcW w:w="1553" w:type="dxa"/>
            <w:shd w:val="clear" w:color="auto" w:fill="auto"/>
            <w:vAlign w:val="center"/>
          </w:tcPr>
          <w:p w14:paraId="7F359295">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-4</w:t>
            </w:r>
          </w:p>
        </w:tc>
        <w:tc>
          <w:tcPr>
            <w:tcW w:w="1371" w:type="dxa"/>
            <w:shd w:val="clear" w:color="auto" w:fill="auto"/>
            <w:vAlign w:val="center"/>
          </w:tcPr>
          <w:p w14:paraId="7325D9F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7.00×10</w:t>
            </w:r>
            <w:r>
              <w:rPr>
                <w:rFonts w:ascii="Times New Roman" w:hAnsi="Times New Roman" w:eastAsia="宋体" w:cs="Times New Roman"/>
                <w:caps w:val="0"/>
                <w:smallCaps w:val="0"/>
                <w:color w:val="auto"/>
                <w:spacing w:val="0"/>
                <w:sz w:val="21"/>
                <w:highlight w:val="none"/>
                <w:vertAlign w:val="superscript"/>
              </w:rPr>
              <w:t>-6</w:t>
            </w:r>
          </w:p>
        </w:tc>
        <w:tc>
          <w:tcPr>
            <w:tcW w:w="1553" w:type="dxa"/>
            <w:shd w:val="clear" w:color="auto" w:fill="auto"/>
            <w:vAlign w:val="center"/>
          </w:tcPr>
          <w:p w14:paraId="734E031F">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2.76×10</w:t>
            </w:r>
            <w:r>
              <w:rPr>
                <w:rFonts w:ascii="Times New Roman" w:hAnsi="Times New Roman" w:eastAsia="宋体" w:cs="Times New Roman"/>
                <w:caps w:val="0"/>
                <w:smallCaps w:val="0"/>
                <w:color w:val="auto"/>
                <w:spacing w:val="0"/>
                <w:sz w:val="21"/>
                <w:highlight w:val="none"/>
                <w:vertAlign w:val="superscript"/>
              </w:rPr>
              <w:t>-8</w:t>
            </w:r>
          </w:p>
        </w:tc>
        <w:tc>
          <w:tcPr>
            <w:tcW w:w="1484" w:type="dxa"/>
            <w:shd w:val="clear" w:color="auto" w:fill="auto"/>
            <w:vAlign w:val="center"/>
          </w:tcPr>
          <w:p w14:paraId="4BA6983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1.38×10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553" w:type="dxa"/>
            <w:shd w:val="clear" w:color="auto" w:fill="auto"/>
            <w:vAlign w:val="center"/>
          </w:tcPr>
          <w:p w14:paraId="2DF5BADB">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1.53×10</w:t>
            </w:r>
            <w:r>
              <w:rPr>
                <w:rFonts w:ascii="Times New Roman" w:hAnsi="Times New Roman" w:eastAsia="宋体" w:cs="Times New Roman"/>
                <w:caps w:val="0"/>
                <w:smallCaps w:val="0"/>
                <w:color w:val="auto"/>
                <w:spacing w:val="0"/>
                <w:sz w:val="21"/>
                <w:highlight w:val="none"/>
                <w:vertAlign w:val="superscript"/>
              </w:rPr>
              <w:t>-7</w:t>
            </w:r>
          </w:p>
        </w:tc>
        <w:tc>
          <w:tcPr>
            <w:tcW w:w="1485" w:type="dxa"/>
            <w:shd w:val="clear" w:color="auto" w:fill="auto"/>
            <w:vAlign w:val="center"/>
          </w:tcPr>
          <w:p w14:paraId="7465B618">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1.28×10</w:t>
            </w:r>
            <w:r>
              <w:rPr>
                <w:rFonts w:ascii="Times New Roman" w:hAnsi="Times New Roman" w:eastAsia="宋体" w:cs="Times New Roman"/>
                <w:caps w:val="0"/>
                <w:smallCaps w:val="0"/>
                <w:color w:val="auto"/>
                <w:spacing w:val="0"/>
                <w:sz w:val="21"/>
                <w:highlight w:val="none"/>
                <w:vertAlign w:val="superscript"/>
              </w:rPr>
              <w:t>-8</w:t>
            </w:r>
          </w:p>
        </w:tc>
        <w:tc>
          <w:tcPr>
            <w:tcW w:w="1558" w:type="dxa"/>
            <w:shd w:val="clear" w:color="auto" w:fill="auto"/>
            <w:vAlign w:val="center"/>
          </w:tcPr>
          <w:p w14:paraId="6E2F17A8">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1.30×10</w:t>
            </w:r>
            <w:r>
              <w:rPr>
                <w:rFonts w:ascii="Times New Roman" w:hAnsi="Times New Roman" w:eastAsia="宋体" w:cs="Times New Roman"/>
                <w:caps w:val="0"/>
                <w:smallCaps w:val="0"/>
                <w:color w:val="auto"/>
                <w:spacing w:val="0"/>
                <w:sz w:val="21"/>
                <w:highlight w:val="none"/>
                <w:vertAlign w:val="superscript"/>
              </w:rPr>
              <w:t>-7</w:t>
            </w:r>
          </w:p>
        </w:tc>
        <w:tc>
          <w:tcPr>
            <w:tcW w:w="1335" w:type="dxa"/>
            <w:shd w:val="clear" w:color="auto" w:fill="auto"/>
            <w:vAlign w:val="center"/>
          </w:tcPr>
          <w:p w14:paraId="5158DB14">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1.08×10</w:t>
            </w:r>
            <w:r>
              <w:rPr>
                <w:rFonts w:ascii="Times New Roman" w:hAnsi="Times New Roman" w:eastAsia="宋体" w:cs="Times New Roman"/>
                <w:caps w:val="0"/>
                <w:smallCaps w:val="0"/>
                <w:color w:val="auto"/>
                <w:spacing w:val="0"/>
                <w:sz w:val="21"/>
                <w:highlight w:val="none"/>
                <w:vertAlign w:val="superscript"/>
              </w:rPr>
              <w:t>-8</w:t>
            </w:r>
          </w:p>
        </w:tc>
      </w:tr>
      <w:tr w14:paraId="693BF07E">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0CEB2648">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25000</w:t>
            </w:r>
          </w:p>
        </w:tc>
        <w:tc>
          <w:tcPr>
            <w:tcW w:w="1553" w:type="dxa"/>
            <w:shd w:val="clear" w:color="auto" w:fill="auto"/>
            <w:vAlign w:val="center"/>
          </w:tcPr>
          <w:p w14:paraId="509014F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1.02×10</w:t>
            </w:r>
            <w:r>
              <w:rPr>
                <w:rFonts w:ascii="Times New Roman" w:hAnsi="Times New Roman" w:eastAsia="宋体" w:cs="Times New Roman"/>
                <w:caps w:val="0"/>
                <w:smallCaps w:val="0"/>
                <w:color w:val="auto"/>
                <w:spacing w:val="0"/>
                <w:sz w:val="21"/>
                <w:highlight w:val="none"/>
                <w:vertAlign w:val="superscript"/>
              </w:rPr>
              <w:t>-4</w:t>
            </w:r>
          </w:p>
        </w:tc>
        <w:tc>
          <w:tcPr>
            <w:tcW w:w="1371" w:type="dxa"/>
            <w:shd w:val="clear" w:color="auto" w:fill="auto"/>
            <w:vAlign w:val="center"/>
          </w:tcPr>
          <w:p w14:paraId="156C1762">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5.10×10</w:t>
            </w:r>
            <w:r>
              <w:rPr>
                <w:rFonts w:ascii="Times New Roman" w:hAnsi="Times New Roman" w:eastAsia="宋体" w:cs="Times New Roman"/>
                <w:caps w:val="0"/>
                <w:smallCaps w:val="0"/>
                <w:color w:val="auto"/>
                <w:spacing w:val="0"/>
                <w:sz w:val="21"/>
                <w:highlight w:val="none"/>
                <w:vertAlign w:val="superscript"/>
              </w:rPr>
              <w:t>-6</w:t>
            </w:r>
          </w:p>
        </w:tc>
        <w:tc>
          <w:tcPr>
            <w:tcW w:w="1553" w:type="dxa"/>
            <w:shd w:val="clear" w:color="auto" w:fill="auto"/>
            <w:vAlign w:val="center"/>
          </w:tcPr>
          <w:p w14:paraId="17B46CD1">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2.02×10</w:t>
            </w:r>
            <w:r>
              <w:rPr>
                <w:rFonts w:ascii="Times New Roman" w:hAnsi="Times New Roman" w:eastAsia="宋体" w:cs="Times New Roman"/>
                <w:caps w:val="0"/>
                <w:smallCaps w:val="0"/>
                <w:color w:val="auto"/>
                <w:spacing w:val="0"/>
                <w:sz w:val="21"/>
                <w:highlight w:val="none"/>
                <w:vertAlign w:val="superscript"/>
              </w:rPr>
              <w:t>-8</w:t>
            </w:r>
          </w:p>
        </w:tc>
        <w:tc>
          <w:tcPr>
            <w:tcW w:w="1484" w:type="dxa"/>
            <w:shd w:val="clear" w:color="auto" w:fill="auto"/>
            <w:vAlign w:val="center"/>
          </w:tcPr>
          <w:p w14:paraId="2E99E68F">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1.01×10</w:t>
            </w:r>
            <w:r>
              <w:rPr>
                <w:rFonts w:ascii="Times New Roman" w:hAnsi="Times New Roman" w:eastAsia="宋体" w:cs="Times New Roman"/>
                <w:caps w:val="0"/>
                <w:smallCaps w:val="0"/>
                <w:color w:val="auto"/>
                <w:spacing w:val="0"/>
                <w:kern w:val="0"/>
                <w:sz w:val="21"/>
                <w:highlight w:val="none"/>
                <w:vertAlign w:val="superscript"/>
                <w:lang w:bidi="ar"/>
              </w:rPr>
              <w:t>-9</w:t>
            </w:r>
          </w:p>
        </w:tc>
        <w:tc>
          <w:tcPr>
            <w:tcW w:w="1553" w:type="dxa"/>
            <w:shd w:val="clear" w:color="auto" w:fill="auto"/>
            <w:vAlign w:val="center"/>
          </w:tcPr>
          <w:p w14:paraId="1A5D3933">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1.31×10</w:t>
            </w:r>
            <w:r>
              <w:rPr>
                <w:rFonts w:ascii="Times New Roman" w:hAnsi="Times New Roman" w:eastAsia="宋体" w:cs="Times New Roman"/>
                <w:caps w:val="0"/>
                <w:smallCaps w:val="0"/>
                <w:color w:val="auto"/>
                <w:spacing w:val="0"/>
                <w:sz w:val="21"/>
                <w:highlight w:val="none"/>
                <w:vertAlign w:val="superscript"/>
              </w:rPr>
              <w:t>-7</w:t>
            </w:r>
          </w:p>
        </w:tc>
        <w:tc>
          <w:tcPr>
            <w:tcW w:w="1485" w:type="dxa"/>
            <w:shd w:val="clear" w:color="auto" w:fill="auto"/>
            <w:vAlign w:val="center"/>
          </w:tcPr>
          <w:p w14:paraId="386F4047">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1.09×10</w:t>
            </w:r>
            <w:r>
              <w:rPr>
                <w:rFonts w:ascii="Times New Roman" w:hAnsi="Times New Roman" w:eastAsia="宋体" w:cs="Times New Roman"/>
                <w:caps w:val="0"/>
                <w:smallCaps w:val="0"/>
                <w:color w:val="auto"/>
                <w:spacing w:val="0"/>
                <w:sz w:val="21"/>
                <w:highlight w:val="none"/>
                <w:vertAlign w:val="superscript"/>
              </w:rPr>
              <w:t>-8</w:t>
            </w:r>
          </w:p>
        </w:tc>
        <w:tc>
          <w:tcPr>
            <w:tcW w:w="1558" w:type="dxa"/>
            <w:shd w:val="clear" w:color="auto" w:fill="auto"/>
            <w:vAlign w:val="center"/>
          </w:tcPr>
          <w:p w14:paraId="7E3D9E74">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1.11×10</w:t>
            </w:r>
            <w:r>
              <w:rPr>
                <w:rFonts w:ascii="Times New Roman" w:hAnsi="Times New Roman" w:eastAsia="宋体" w:cs="Times New Roman"/>
                <w:caps w:val="0"/>
                <w:smallCaps w:val="0"/>
                <w:color w:val="auto"/>
                <w:spacing w:val="0"/>
                <w:sz w:val="21"/>
                <w:highlight w:val="none"/>
                <w:vertAlign w:val="superscript"/>
              </w:rPr>
              <w:t>-7</w:t>
            </w:r>
          </w:p>
        </w:tc>
        <w:tc>
          <w:tcPr>
            <w:tcW w:w="1335" w:type="dxa"/>
            <w:shd w:val="clear" w:color="auto" w:fill="auto"/>
            <w:vAlign w:val="center"/>
          </w:tcPr>
          <w:p w14:paraId="041DDE4F">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9.25×10</w:t>
            </w:r>
            <w:r>
              <w:rPr>
                <w:rFonts w:ascii="Times New Roman" w:hAnsi="Times New Roman" w:eastAsia="宋体" w:cs="Times New Roman"/>
                <w:caps w:val="0"/>
                <w:smallCaps w:val="0"/>
                <w:color w:val="auto"/>
                <w:spacing w:val="0"/>
                <w:sz w:val="21"/>
                <w:highlight w:val="none"/>
                <w:vertAlign w:val="superscript"/>
              </w:rPr>
              <w:t>-9</w:t>
            </w:r>
          </w:p>
        </w:tc>
      </w:tr>
      <w:tr w14:paraId="0EBA3DB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1A54160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下风向最大质量浓度及占标率/%</w:t>
            </w:r>
          </w:p>
        </w:tc>
        <w:tc>
          <w:tcPr>
            <w:tcW w:w="1553" w:type="dxa"/>
            <w:shd w:val="clear" w:color="auto" w:fill="auto"/>
            <w:vAlign w:val="center"/>
          </w:tcPr>
          <w:p w14:paraId="33481203">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2.80×10</w:t>
            </w:r>
            <w:r>
              <w:rPr>
                <w:rFonts w:ascii="Times New Roman" w:hAnsi="Times New Roman" w:eastAsia="宋体" w:cs="Times New Roman"/>
                <w:caps w:val="0"/>
                <w:smallCaps w:val="0"/>
                <w:color w:val="auto"/>
                <w:spacing w:val="0"/>
                <w:sz w:val="21"/>
                <w:highlight w:val="none"/>
                <w:vertAlign w:val="superscript"/>
              </w:rPr>
              <w:t>-1</w:t>
            </w:r>
          </w:p>
        </w:tc>
        <w:tc>
          <w:tcPr>
            <w:tcW w:w="1371" w:type="dxa"/>
            <w:shd w:val="clear" w:color="auto" w:fill="auto"/>
            <w:vAlign w:val="center"/>
          </w:tcPr>
          <w:p w14:paraId="291FCA2D">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1.40×10</w:t>
            </w:r>
            <w:r>
              <w:rPr>
                <w:rFonts w:ascii="Times New Roman" w:hAnsi="Times New Roman" w:eastAsia="宋体" w:cs="Times New Roman"/>
                <w:caps w:val="0"/>
                <w:smallCaps w:val="0"/>
                <w:color w:val="auto"/>
                <w:spacing w:val="0"/>
                <w:sz w:val="21"/>
                <w:highlight w:val="none"/>
                <w:vertAlign w:val="superscript"/>
              </w:rPr>
              <w:t>-2</w:t>
            </w:r>
          </w:p>
        </w:tc>
        <w:tc>
          <w:tcPr>
            <w:tcW w:w="1553" w:type="dxa"/>
            <w:shd w:val="clear" w:color="auto" w:fill="auto"/>
            <w:vAlign w:val="center"/>
          </w:tcPr>
          <w:p w14:paraId="136D9A6A">
            <w:pPr>
              <w:spacing w:before="74"/>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6.99×10</w:t>
            </w:r>
            <w:r>
              <w:rPr>
                <w:rFonts w:ascii="Times New Roman" w:hAnsi="Times New Roman" w:eastAsia="宋体" w:cs="Times New Roman"/>
                <w:caps w:val="0"/>
                <w:smallCaps w:val="0"/>
                <w:color w:val="auto"/>
                <w:spacing w:val="0"/>
                <w:sz w:val="21"/>
                <w:highlight w:val="none"/>
                <w:vertAlign w:val="superscript"/>
              </w:rPr>
              <w:t>-5</w:t>
            </w:r>
          </w:p>
        </w:tc>
        <w:tc>
          <w:tcPr>
            <w:tcW w:w="1484" w:type="dxa"/>
            <w:shd w:val="clear" w:color="auto" w:fill="auto"/>
            <w:vAlign w:val="center"/>
          </w:tcPr>
          <w:p w14:paraId="6A8F5C48">
            <w:pPr>
              <w:spacing w:before="74"/>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3.50×10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553" w:type="dxa"/>
            <w:shd w:val="clear" w:color="auto" w:fill="auto"/>
            <w:vAlign w:val="center"/>
          </w:tcPr>
          <w:p w14:paraId="1638A15C">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7.23×10</w:t>
            </w:r>
            <w:r>
              <w:rPr>
                <w:rFonts w:ascii="Times New Roman" w:hAnsi="Times New Roman" w:eastAsia="宋体" w:cs="Times New Roman"/>
                <w:caps w:val="0"/>
                <w:smallCaps w:val="0"/>
                <w:color w:val="auto"/>
                <w:spacing w:val="0"/>
                <w:sz w:val="21"/>
                <w:highlight w:val="none"/>
                <w:vertAlign w:val="superscript"/>
              </w:rPr>
              <w:t>-4</w:t>
            </w:r>
          </w:p>
        </w:tc>
        <w:tc>
          <w:tcPr>
            <w:tcW w:w="1485" w:type="dxa"/>
            <w:shd w:val="clear" w:color="auto" w:fill="auto"/>
            <w:vAlign w:val="center"/>
          </w:tcPr>
          <w:p w14:paraId="06788805">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6.03×10</w:t>
            </w:r>
            <w:r>
              <w:rPr>
                <w:rFonts w:ascii="Times New Roman" w:hAnsi="Times New Roman" w:eastAsia="宋体" w:cs="Times New Roman"/>
                <w:caps w:val="0"/>
                <w:smallCaps w:val="0"/>
                <w:color w:val="auto"/>
                <w:spacing w:val="0"/>
                <w:sz w:val="21"/>
                <w:highlight w:val="none"/>
                <w:vertAlign w:val="superscript"/>
              </w:rPr>
              <w:t>-5</w:t>
            </w:r>
          </w:p>
        </w:tc>
        <w:tc>
          <w:tcPr>
            <w:tcW w:w="1558" w:type="dxa"/>
            <w:shd w:val="clear" w:color="auto" w:fill="auto"/>
            <w:vAlign w:val="center"/>
          </w:tcPr>
          <w:p w14:paraId="41D02341">
            <w:pPr>
              <w:spacing w:before="74"/>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1.43×10</w:t>
            </w:r>
            <w:r>
              <w:rPr>
                <w:rFonts w:ascii="Times New Roman" w:hAnsi="Times New Roman" w:eastAsia="宋体" w:cs="Times New Roman"/>
                <w:caps w:val="0"/>
                <w:smallCaps w:val="0"/>
                <w:color w:val="auto"/>
                <w:spacing w:val="0"/>
                <w:sz w:val="21"/>
                <w:highlight w:val="none"/>
                <w:vertAlign w:val="superscript"/>
              </w:rPr>
              <w:t>-2</w:t>
            </w:r>
          </w:p>
        </w:tc>
        <w:tc>
          <w:tcPr>
            <w:tcW w:w="1335" w:type="dxa"/>
            <w:shd w:val="clear" w:color="auto" w:fill="auto"/>
            <w:vAlign w:val="center"/>
          </w:tcPr>
          <w:p w14:paraId="74EB21DD">
            <w:pPr>
              <w:spacing w:before="74"/>
              <w:jc w:val="right"/>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1.19×10</w:t>
            </w:r>
            <w:r>
              <w:rPr>
                <w:rFonts w:ascii="Times New Roman" w:hAnsi="Times New Roman" w:eastAsia="宋体" w:cs="Times New Roman"/>
                <w:caps w:val="0"/>
                <w:smallCaps w:val="0"/>
                <w:color w:val="auto"/>
                <w:spacing w:val="0"/>
                <w:sz w:val="21"/>
                <w:highlight w:val="none"/>
                <w:vertAlign w:val="superscript"/>
              </w:rPr>
              <w:t>-3</w:t>
            </w:r>
          </w:p>
        </w:tc>
      </w:tr>
      <w:tr w14:paraId="0E991D03">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2AD8E457">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最大质量浓度点距离/m</w:t>
            </w:r>
          </w:p>
        </w:tc>
        <w:tc>
          <w:tcPr>
            <w:tcW w:w="2924" w:type="dxa"/>
            <w:gridSpan w:val="2"/>
            <w:shd w:val="clear" w:color="auto" w:fill="auto"/>
            <w:vAlign w:val="center"/>
          </w:tcPr>
          <w:p w14:paraId="6BAFA4B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78</w:t>
            </w:r>
          </w:p>
        </w:tc>
        <w:tc>
          <w:tcPr>
            <w:tcW w:w="3037" w:type="dxa"/>
            <w:gridSpan w:val="2"/>
            <w:shd w:val="clear" w:color="auto" w:fill="auto"/>
            <w:vAlign w:val="center"/>
          </w:tcPr>
          <w:p w14:paraId="3F9A4A01">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72</w:t>
            </w:r>
          </w:p>
        </w:tc>
        <w:tc>
          <w:tcPr>
            <w:tcW w:w="3038" w:type="dxa"/>
            <w:gridSpan w:val="2"/>
            <w:shd w:val="clear" w:color="auto" w:fill="auto"/>
            <w:vAlign w:val="center"/>
          </w:tcPr>
          <w:p w14:paraId="594ADC6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122</w:t>
            </w:r>
          </w:p>
        </w:tc>
        <w:tc>
          <w:tcPr>
            <w:tcW w:w="2893" w:type="dxa"/>
            <w:gridSpan w:val="2"/>
            <w:shd w:val="clear" w:color="auto" w:fill="auto"/>
            <w:vAlign w:val="center"/>
          </w:tcPr>
          <w:p w14:paraId="07540EE9">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10</w:t>
            </w:r>
          </w:p>
        </w:tc>
      </w:tr>
      <w:tr w14:paraId="1BE20FBD">
        <w:tblPrEx>
          <w:tblBorders>
            <w:top w:val="single" w:color="000000" w:themeColor="text1" w:sz="6" w:space="0"/>
            <w:left w:val="none" w:color="auto" w:sz="0" w:space="0"/>
            <w:bottom w:val="single" w:color="000000" w:themeColor="text1" w:sz="6" w:space="0"/>
            <w:right w:val="none" w:color="auto" w:sz="0"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271" w:type="dxa"/>
            <w:shd w:val="clear" w:color="auto" w:fill="auto"/>
            <w:vAlign w:val="center"/>
          </w:tcPr>
          <w:p w14:paraId="49299B14">
            <w:pPr>
              <w:pStyle w:val="171"/>
              <w:spacing w:before="0" w:beforeLines="0" w:after="0" w:afterLines="0" w:line="240" w:lineRule="auto"/>
              <w:ind w:firstLine="0"/>
              <w:rPr>
                <w:caps w:val="0"/>
                <w:smallCaps w:val="0"/>
                <w:color w:val="auto"/>
                <w:spacing w:val="0"/>
                <w:sz w:val="21"/>
                <w:highlight w:val="none"/>
              </w:rPr>
            </w:pPr>
            <w:r>
              <w:rPr>
                <w:i/>
                <w:caps w:val="0"/>
                <w:smallCaps w:val="0"/>
                <w:color w:val="auto"/>
                <w:spacing w:val="0"/>
                <w:sz w:val="21"/>
                <w:highlight w:val="none"/>
              </w:rPr>
              <w:t>D</w:t>
            </w:r>
            <w:r>
              <w:rPr>
                <w:caps w:val="0"/>
                <w:smallCaps w:val="0"/>
                <w:color w:val="auto"/>
                <w:spacing w:val="0"/>
                <w:sz w:val="21"/>
                <w:highlight w:val="none"/>
                <w:vertAlign w:val="subscript"/>
              </w:rPr>
              <w:t>10%</w:t>
            </w:r>
            <w:r>
              <w:rPr>
                <w:caps w:val="0"/>
                <w:smallCaps w:val="0"/>
                <w:color w:val="auto"/>
                <w:spacing w:val="0"/>
                <w:sz w:val="21"/>
                <w:highlight w:val="none"/>
              </w:rPr>
              <w:t>最远距离/m</w:t>
            </w:r>
          </w:p>
        </w:tc>
        <w:tc>
          <w:tcPr>
            <w:tcW w:w="2924" w:type="dxa"/>
            <w:gridSpan w:val="2"/>
            <w:shd w:val="clear" w:color="auto" w:fill="auto"/>
            <w:vAlign w:val="center"/>
          </w:tcPr>
          <w:p w14:paraId="5C5F42F0">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3037" w:type="dxa"/>
            <w:gridSpan w:val="2"/>
            <w:shd w:val="clear" w:color="auto" w:fill="auto"/>
            <w:vAlign w:val="center"/>
          </w:tcPr>
          <w:p w14:paraId="0DD79843">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3038" w:type="dxa"/>
            <w:gridSpan w:val="2"/>
            <w:shd w:val="clear" w:color="auto" w:fill="auto"/>
            <w:vAlign w:val="center"/>
          </w:tcPr>
          <w:p w14:paraId="6DA46C4C">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c>
          <w:tcPr>
            <w:tcW w:w="2893" w:type="dxa"/>
            <w:gridSpan w:val="2"/>
            <w:shd w:val="clear" w:color="auto" w:fill="auto"/>
            <w:vAlign w:val="center"/>
          </w:tcPr>
          <w:p w14:paraId="6C48E5C6">
            <w:pPr>
              <w:pStyle w:val="171"/>
              <w:spacing w:before="0" w:beforeLines="0" w:after="0" w:afterLines="0" w:line="240" w:lineRule="auto"/>
              <w:ind w:firstLine="0"/>
              <w:rPr>
                <w:caps w:val="0"/>
                <w:smallCaps w:val="0"/>
                <w:color w:val="auto"/>
                <w:spacing w:val="0"/>
                <w:sz w:val="21"/>
                <w:highlight w:val="none"/>
              </w:rPr>
            </w:pPr>
            <w:r>
              <w:rPr>
                <w:caps w:val="0"/>
                <w:smallCaps w:val="0"/>
                <w:color w:val="auto"/>
                <w:spacing w:val="0"/>
                <w:sz w:val="21"/>
                <w:highlight w:val="none"/>
              </w:rPr>
              <w:t>-</w:t>
            </w:r>
          </w:p>
        </w:tc>
      </w:tr>
    </w:tbl>
    <w:p w14:paraId="00143AA7">
      <w:pPr>
        <w:pStyle w:val="109"/>
        <w:rPr>
          <w:rFonts w:ascii="Times New Roman" w:hAnsi="Times New Roman" w:eastAsia="宋体" w:cs="Times New Roman"/>
          <w:caps w:val="0"/>
          <w:smallCaps w:val="0"/>
          <w:color w:val="auto"/>
          <w:spacing w:val="0"/>
          <w:highlight w:val="none"/>
        </w:rPr>
      </w:pPr>
    </w:p>
    <w:p w14:paraId="605210DC">
      <w:pPr>
        <w:pStyle w:val="109"/>
        <w:rPr>
          <w:rFonts w:ascii="Times New Roman" w:hAnsi="Times New Roman" w:eastAsia="宋体" w:cs="Times New Roman"/>
          <w:caps w:val="0"/>
          <w:smallCaps w:val="0"/>
          <w:color w:val="auto"/>
          <w:spacing w:val="0"/>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08AEF544">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5.2.2.3大气环境防护距离</w:t>
      </w:r>
    </w:p>
    <w:p w14:paraId="43F33DA8">
      <w:pPr>
        <w:pStyle w:val="117"/>
        <w:rPr>
          <w:rFonts w:ascii="Times New Roman" w:hAnsi="Times New Roman" w:cs="Times New Roman"/>
          <w:caps w:val="0"/>
          <w:smallCaps w:val="0"/>
          <w:color w:val="auto"/>
          <w:spacing w:val="0"/>
          <w:kern w:val="0"/>
          <w:highlight w:val="none"/>
        </w:rPr>
      </w:pPr>
      <w:r>
        <w:rPr>
          <w:rFonts w:ascii="Times New Roman" w:hAnsi="Times New Roman" w:cs="Times New Roman"/>
          <w:caps w:val="0"/>
          <w:smallCaps w:val="0"/>
          <w:color w:val="auto"/>
          <w:spacing w:val="0"/>
          <w:kern w:val="0"/>
          <w:highlight w:val="none"/>
        </w:rPr>
        <w:t>根据HJ2.2-2018导则，“对于项目厂界浓度满足大气污染物厂界浓度限值，但厂界外大气污染物短期贡献浓度超过环境质量浓度限值的，可以自厂界向外设置一定范围的大气环境防护区域。”根据本项目估算模式计算结果，本项目厂界周边大气污染物短期贡献浓度最大占标率为</w:t>
      </w:r>
      <w:r>
        <w:rPr>
          <w:rFonts w:hint="eastAsia" w:ascii="Times New Roman" w:hAnsi="Times New Roman" w:cs="Times New Roman"/>
          <w:caps w:val="0"/>
          <w:smallCaps w:val="0"/>
          <w:color w:val="auto"/>
          <w:spacing w:val="0"/>
          <w:kern w:val="0"/>
          <w:highlight w:val="none"/>
          <w:lang w:val="en-US" w:eastAsia="zh-CN"/>
        </w:rPr>
        <w:t>0.7</w:t>
      </w:r>
      <w:r>
        <w:rPr>
          <w:rFonts w:ascii="Times New Roman" w:hAnsi="Times New Roman" w:cs="Times New Roman"/>
          <w:caps w:val="0"/>
          <w:smallCaps w:val="0"/>
          <w:color w:val="auto"/>
          <w:spacing w:val="0"/>
          <w:kern w:val="0"/>
          <w:highlight w:val="none"/>
        </w:rPr>
        <w:t>%，无超标范围，因此不需设置大气环境防护距离。</w:t>
      </w:r>
    </w:p>
    <w:p w14:paraId="78998770">
      <w:pPr>
        <w:pStyle w:val="65"/>
        <w:widowControl w:val="0"/>
        <w:ind w:firstLine="0" w:firstLineChars="0"/>
        <w:outlineLvl w:val="2"/>
        <w:rPr>
          <w:rFonts w:eastAsia="宋体"/>
          <w:b/>
          <w:bCs/>
          <w:caps w:val="0"/>
          <w:smallCaps w:val="0"/>
          <w:color w:val="auto"/>
          <w:spacing w:val="0"/>
          <w:kern w:val="0"/>
          <w:sz w:val="30"/>
          <w:szCs w:val="30"/>
          <w:highlight w:val="none"/>
          <w:lang w:bidi="ar"/>
        </w:rPr>
      </w:pPr>
      <w:bookmarkStart w:id="170" w:name="_Toc342462499"/>
      <w:bookmarkStart w:id="171" w:name="_Toc477951980"/>
      <w:bookmarkStart w:id="172" w:name="_Toc14372"/>
      <w:r>
        <w:rPr>
          <w:rFonts w:eastAsia="宋体"/>
          <w:b/>
          <w:bCs/>
          <w:caps w:val="0"/>
          <w:smallCaps w:val="0"/>
          <w:color w:val="auto"/>
          <w:spacing w:val="0"/>
          <w:kern w:val="0"/>
          <w:sz w:val="30"/>
          <w:szCs w:val="30"/>
          <w:highlight w:val="none"/>
          <w:lang w:bidi="ar"/>
        </w:rPr>
        <w:t>5.2.3声环境影响</w:t>
      </w:r>
      <w:bookmarkEnd w:id="170"/>
      <w:bookmarkEnd w:id="171"/>
      <w:r>
        <w:rPr>
          <w:rFonts w:eastAsia="宋体"/>
          <w:b/>
          <w:bCs/>
          <w:caps w:val="0"/>
          <w:smallCaps w:val="0"/>
          <w:color w:val="auto"/>
          <w:spacing w:val="0"/>
          <w:kern w:val="0"/>
          <w:sz w:val="30"/>
          <w:szCs w:val="30"/>
          <w:highlight w:val="none"/>
          <w:lang w:bidi="ar"/>
        </w:rPr>
        <w:t>预测与评价</w:t>
      </w:r>
      <w:bookmarkEnd w:id="172"/>
    </w:p>
    <w:p w14:paraId="71B63956">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5.2.3.1预测因子与预测内容</w:t>
      </w:r>
    </w:p>
    <w:p w14:paraId="2023B5C1">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根据声环境评价等级的划分结果，本项目厂区声环境评价等级为三级。本报告将分别按照相应的评价等级进行声环境影响预测与评价。</w:t>
      </w:r>
    </w:p>
    <w:p w14:paraId="5A1E11E2">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拟建项目噪声污染源主要包括磁控溅射设备、激光刻线机等设备运行噪声，噪声源强为80~90dB，室内设备通过厂房或建筑隔声后，室外设备通过减振装置降噪后，对区域声环境影响性较小。噪声源强见下表：</w:t>
      </w:r>
    </w:p>
    <w:p w14:paraId="566D43DD">
      <w:pPr>
        <w:widowControl w:val="0"/>
        <w:spacing w:before="66" w:line="222" w:lineRule="auto"/>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szCs w:val="24"/>
          <w:highlight w:val="none"/>
        </w:rPr>
        <w:t>表5.2-1</w:t>
      </w:r>
      <w:r>
        <w:rPr>
          <w:rFonts w:hint="eastAsia" w:ascii="Times New Roman" w:hAnsi="Times New Roman" w:eastAsia="宋体" w:cs="Times New Roman"/>
          <w:b/>
          <w:bCs/>
          <w:caps w:val="0"/>
          <w:smallCaps w:val="0"/>
          <w:color w:val="auto"/>
          <w:spacing w:val="0"/>
          <w:szCs w:val="24"/>
          <w:highlight w:val="none"/>
          <w:lang w:val="en-US" w:eastAsia="zh-CN"/>
        </w:rPr>
        <w:t>1</w:t>
      </w:r>
      <w:r>
        <w:rPr>
          <w:rFonts w:ascii="Times New Roman" w:hAnsi="Times New Roman" w:eastAsia="宋体" w:cs="Times New Roman"/>
          <w:b/>
          <w:bCs/>
          <w:caps w:val="0"/>
          <w:smallCaps w:val="0"/>
          <w:color w:val="auto"/>
          <w:spacing w:val="0"/>
          <w:szCs w:val="24"/>
          <w:highlight w:val="none"/>
        </w:rPr>
        <w:t>本项目</w:t>
      </w:r>
      <w:r>
        <w:rPr>
          <w:rFonts w:ascii="Times New Roman" w:hAnsi="Times New Roman" w:eastAsia="宋体" w:cs="Times New Roman"/>
          <w:b/>
          <w:bCs/>
          <w:caps w:val="0"/>
          <w:smallCaps w:val="0"/>
          <w:color w:val="auto"/>
          <w:spacing w:val="0"/>
          <w:highlight w:val="none"/>
        </w:rPr>
        <w:t>主要噪声源强</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36"/>
        <w:gridCol w:w="662"/>
        <w:gridCol w:w="437"/>
        <w:gridCol w:w="879"/>
        <w:gridCol w:w="673"/>
        <w:gridCol w:w="530"/>
        <w:gridCol w:w="436"/>
        <w:gridCol w:w="480"/>
        <w:gridCol w:w="438"/>
        <w:gridCol w:w="878"/>
        <w:gridCol w:w="800"/>
        <w:gridCol w:w="880"/>
        <w:gridCol w:w="656"/>
        <w:gridCol w:w="672"/>
      </w:tblGrid>
      <w:tr w14:paraId="4F5BF2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15" w:hRule="atLeast"/>
          <w:jc w:val="center"/>
        </w:trPr>
        <w:tc>
          <w:tcPr>
            <w:tcW w:w="230" w:type="pct"/>
            <w:vMerge w:val="restart"/>
            <w:tcBorders>
              <w:top w:val="single" w:color="auto" w:sz="8" w:space="0"/>
            </w:tcBorders>
            <w:vAlign w:val="center"/>
          </w:tcPr>
          <w:p w14:paraId="7739DE4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序号</w:t>
            </w:r>
          </w:p>
        </w:tc>
        <w:tc>
          <w:tcPr>
            <w:tcW w:w="234" w:type="pct"/>
            <w:vMerge w:val="restart"/>
            <w:tcBorders>
              <w:top w:val="single" w:color="auto" w:sz="8" w:space="0"/>
            </w:tcBorders>
            <w:vAlign w:val="center"/>
          </w:tcPr>
          <w:p w14:paraId="1AE5C27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建筑物名称</w:t>
            </w:r>
          </w:p>
        </w:tc>
        <w:tc>
          <w:tcPr>
            <w:tcW w:w="356" w:type="pct"/>
            <w:vMerge w:val="restart"/>
            <w:tcBorders>
              <w:top w:val="single" w:color="auto" w:sz="8" w:space="0"/>
            </w:tcBorders>
            <w:vAlign w:val="center"/>
          </w:tcPr>
          <w:p w14:paraId="31AFF80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声源名称</w:t>
            </w:r>
          </w:p>
        </w:tc>
        <w:tc>
          <w:tcPr>
            <w:tcW w:w="235" w:type="pct"/>
            <w:vMerge w:val="restart"/>
            <w:tcBorders>
              <w:top w:val="single" w:color="auto" w:sz="8" w:space="0"/>
            </w:tcBorders>
            <w:vAlign w:val="center"/>
          </w:tcPr>
          <w:p w14:paraId="60F98B5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型号</w:t>
            </w:r>
          </w:p>
        </w:tc>
        <w:tc>
          <w:tcPr>
            <w:tcW w:w="472" w:type="pct"/>
            <w:tcBorders>
              <w:top w:val="single" w:color="auto" w:sz="8" w:space="0"/>
            </w:tcBorders>
            <w:vAlign w:val="center"/>
          </w:tcPr>
          <w:p w14:paraId="78331F9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声源</w:t>
            </w:r>
          </w:p>
          <w:p w14:paraId="75F17A0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源强</w:t>
            </w:r>
          </w:p>
        </w:tc>
        <w:tc>
          <w:tcPr>
            <w:tcW w:w="362" w:type="pct"/>
            <w:vMerge w:val="restart"/>
            <w:tcBorders>
              <w:top w:val="single" w:color="auto" w:sz="8" w:space="0"/>
            </w:tcBorders>
            <w:vAlign w:val="center"/>
          </w:tcPr>
          <w:p w14:paraId="69B2FFD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声源控制措施</w:t>
            </w:r>
          </w:p>
        </w:tc>
        <w:tc>
          <w:tcPr>
            <w:tcW w:w="779" w:type="pct"/>
            <w:gridSpan w:val="3"/>
            <w:tcBorders>
              <w:top w:val="single" w:color="auto" w:sz="8" w:space="0"/>
            </w:tcBorders>
            <w:vAlign w:val="center"/>
          </w:tcPr>
          <w:p w14:paraId="0499CC9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空间相对位置/m</w:t>
            </w:r>
          </w:p>
        </w:tc>
        <w:tc>
          <w:tcPr>
            <w:tcW w:w="236" w:type="pct"/>
            <w:vMerge w:val="restart"/>
            <w:tcBorders>
              <w:top w:val="single" w:color="auto" w:sz="8" w:space="0"/>
            </w:tcBorders>
            <w:vAlign w:val="center"/>
          </w:tcPr>
          <w:p w14:paraId="0853294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距室内边界距离/m</w:t>
            </w:r>
          </w:p>
        </w:tc>
        <w:tc>
          <w:tcPr>
            <w:tcW w:w="472" w:type="pct"/>
            <w:vMerge w:val="restart"/>
            <w:tcBorders>
              <w:top w:val="single" w:color="auto" w:sz="8" w:space="0"/>
            </w:tcBorders>
            <w:vAlign w:val="center"/>
          </w:tcPr>
          <w:p w14:paraId="4D674A9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室内边界声级/dB(A)</w:t>
            </w:r>
          </w:p>
        </w:tc>
        <w:tc>
          <w:tcPr>
            <w:tcW w:w="430" w:type="pct"/>
            <w:vMerge w:val="restart"/>
            <w:tcBorders>
              <w:top w:val="single" w:color="auto" w:sz="8" w:space="0"/>
            </w:tcBorders>
            <w:vAlign w:val="center"/>
          </w:tcPr>
          <w:p w14:paraId="7E26673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运行时段</w:t>
            </w:r>
          </w:p>
        </w:tc>
        <w:tc>
          <w:tcPr>
            <w:tcW w:w="473" w:type="pct"/>
            <w:vMerge w:val="restart"/>
            <w:tcBorders>
              <w:top w:val="single" w:color="auto" w:sz="8" w:space="0"/>
            </w:tcBorders>
            <w:vAlign w:val="center"/>
          </w:tcPr>
          <w:p w14:paraId="0762F81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建筑物插入损失/dB(A)</w:t>
            </w:r>
          </w:p>
        </w:tc>
        <w:tc>
          <w:tcPr>
            <w:tcW w:w="715" w:type="pct"/>
            <w:gridSpan w:val="2"/>
            <w:tcBorders>
              <w:top w:val="single" w:color="auto" w:sz="8" w:space="0"/>
            </w:tcBorders>
            <w:vAlign w:val="center"/>
          </w:tcPr>
          <w:p w14:paraId="7B06A36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建筑物外噪声</w:t>
            </w:r>
          </w:p>
        </w:tc>
      </w:tr>
      <w:tr w14:paraId="3D9115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30" w:type="pct"/>
            <w:vMerge w:val="continue"/>
            <w:tcBorders>
              <w:bottom w:val="single" w:color="auto" w:sz="8" w:space="0"/>
            </w:tcBorders>
            <w:vAlign w:val="center"/>
          </w:tcPr>
          <w:p w14:paraId="1B7F4E44">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tcBorders>
              <w:bottom w:val="single" w:color="auto" w:sz="8" w:space="0"/>
            </w:tcBorders>
            <w:vAlign w:val="center"/>
          </w:tcPr>
          <w:p w14:paraId="76A5B931">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Merge w:val="continue"/>
            <w:tcBorders>
              <w:bottom w:val="single" w:color="auto" w:sz="8" w:space="0"/>
            </w:tcBorders>
            <w:vAlign w:val="center"/>
          </w:tcPr>
          <w:p w14:paraId="638D8B9A">
            <w:pPr>
              <w:pStyle w:val="210"/>
              <w:widowControl w:val="0"/>
              <w:rPr>
                <w:rFonts w:ascii="Times New Roman" w:hAnsi="Times New Roman" w:eastAsia="宋体" w:cs="Times New Roman"/>
                <w:caps w:val="0"/>
                <w:smallCaps w:val="0"/>
                <w:color w:val="auto"/>
                <w:spacing w:val="0"/>
                <w:sz w:val="21"/>
                <w:szCs w:val="21"/>
                <w:highlight w:val="none"/>
              </w:rPr>
            </w:pPr>
          </w:p>
        </w:tc>
        <w:tc>
          <w:tcPr>
            <w:tcW w:w="235" w:type="pct"/>
            <w:vMerge w:val="continue"/>
            <w:tcBorders>
              <w:bottom w:val="single" w:color="auto" w:sz="8" w:space="0"/>
            </w:tcBorders>
            <w:vAlign w:val="center"/>
          </w:tcPr>
          <w:p w14:paraId="30A8707F">
            <w:pPr>
              <w:pStyle w:val="210"/>
              <w:widowControl w:val="0"/>
              <w:rPr>
                <w:rFonts w:ascii="Times New Roman" w:hAnsi="Times New Roman" w:eastAsia="宋体" w:cs="Times New Roman"/>
                <w:caps w:val="0"/>
                <w:smallCaps w:val="0"/>
                <w:color w:val="auto"/>
                <w:spacing w:val="0"/>
                <w:sz w:val="21"/>
                <w:szCs w:val="21"/>
                <w:highlight w:val="none"/>
              </w:rPr>
            </w:pPr>
          </w:p>
        </w:tc>
        <w:tc>
          <w:tcPr>
            <w:tcW w:w="472" w:type="pct"/>
            <w:tcBorders>
              <w:bottom w:val="single" w:color="auto" w:sz="8" w:space="0"/>
            </w:tcBorders>
            <w:vAlign w:val="center"/>
          </w:tcPr>
          <w:p w14:paraId="2D7B7F1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声功</w:t>
            </w:r>
          </w:p>
          <w:p w14:paraId="2C5BACE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率级/dB(A)</w:t>
            </w:r>
          </w:p>
        </w:tc>
        <w:tc>
          <w:tcPr>
            <w:tcW w:w="362" w:type="pct"/>
            <w:vMerge w:val="continue"/>
            <w:tcBorders>
              <w:bottom w:val="single" w:color="auto" w:sz="8" w:space="0"/>
            </w:tcBorders>
            <w:vAlign w:val="center"/>
          </w:tcPr>
          <w:p w14:paraId="41168949">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bottom w:val="single" w:color="auto" w:sz="8" w:space="0"/>
            </w:tcBorders>
            <w:vAlign w:val="center"/>
          </w:tcPr>
          <w:p w14:paraId="26ED031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X</w:t>
            </w:r>
          </w:p>
        </w:tc>
        <w:tc>
          <w:tcPr>
            <w:tcW w:w="235" w:type="pct"/>
            <w:tcBorders>
              <w:bottom w:val="single" w:color="auto" w:sz="8" w:space="0"/>
            </w:tcBorders>
            <w:vAlign w:val="center"/>
          </w:tcPr>
          <w:p w14:paraId="702E3DF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Y</w:t>
            </w:r>
          </w:p>
        </w:tc>
        <w:tc>
          <w:tcPr>
            <w:tcW w:w="258" w:type="pct"/>
            <w:tcBorders>
              <w:bottom w:val="single" w:color="auto" w:sz="8" w:space="0"/>
            </w:tcBorders>
            <w:vAlign w:val="center"/>
          </w:tcPr>
          <w:p w14:paraId="551C3DF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Z</w:t>
            </w:r>
          </w:p>
        </w:tc>
        <w:tc>
          <w:tcPr>
            <w:tcW w:w="236" w:type="pct"/>
            <w:vMerge w:val="continue"/>
            <w:tcBorders>
              <w:bottom w:val="single" w:color="auto" w:sz="8" w:space="0"/>
            </w:tcBorders>
            <w:vAlign w:val="center"/>
          </w:tcPr>
          <w:p w14:paraId="5C6F939D">
            <w:pPr>
              <w:pStyle w:val="210"/>
              <w:widowControl w:val="0"/>
              <w:rPr>
                <w:rFonts w:ascii="Times New Roman" w:hAnsi="Times New Roman" w:eastAsia="宋体" w:cs="Times New Roman"/>
                <w:caps w:val="0"/>
                <w:smallCaps w:val="0"/>
                <w:color w:val="auto"/>
                <w:spacing w:val="0"/>
                <w:sz w:val="21"/>
                <w:szCs w:val="21"/>
                <w:highlight w:val="none"/>
              </w:rPr>
            </w:pPr>
          </w:p>
        </w:tc>
        <w:tc>
          <w:tcPr>
            <w:tcW w:w="472" w:type="pct"/>
            <w:vMerge w:val="continue"/>
            <w:tcBorders>
              <w:bottom w:val="single" w:color="auto" w:sz="8" w:space="0"/>
            </w:tcBorders>
            <w:vAlign w:val="center"/>
          </w:tcPr>
          <w:p w14:paraId="694BD6B8">
            <w:pPr>
              <w:pStyle w:val="210"/>
              <w:widowControl w:val="0"/>
              <w:rPr>
                <w:rFonts w:ascii="Times New Roman" w:hAnsi="Times New Roman" w:eastAsia="宋体" w:cs="Times New Roman"/>
                <w:caps w:val="0"/>
                <w:smallCaps w:val="0"/>
                <w:color w:val="auto"/>
                <w:spacing w:val="0"/>
                <w:sz w:val="21"/>
                <w:szCs w:val="21"/>
                <w:highlight w:val="none"/>
              </w:rPr>
            </w:pPr>
          </w:p>
        </w:tc>
        <w:tc>
          <w:tcPr>
            <w:tcW w:w="430" w:type="pct"/>
            <w:vMerge w:val="continue"/>
            <w:tcBorders>
              <w:bottom w:val="single" w:color="auto" w:sz="8" w:space="0"/>
            </w:tcBorders>
            <w:vAlign w:val="center"/>
          </w:tcPr>
          <w:p w14:paraId="4BDFCC34">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Merge w:val="continue"/>
            <w:tcBorders>
              <w:bottom w:val="single" w:color="auto" w:sz="8" w:space="0"/>
            </w:tcBorders>
            <w:vAlign w:val="center"/>
          </w:tcPr>
          <w:p w14:paraId="226EA3F1">
            <w:pPr>
              <w:pStyle w:val="210"/>
              <w:widowControl w:val="0"/>
              <w:rPr>
                <w:rFonts w:ascii="Times New Roman" w:hAnsi="Times New Roman" w:eastAsia="宋体" w:cs="Times New Roman"/>
                <w:caps w:val="0"/>
                <w:smallCaps w:val="0"/>
                <w:color w:val="auto"/>
                <w:spacing w:val="0"/>
                <w:sz w:val="21"/>
                <w:szCs w:val="21"/>
                <w:highlight w:val="none"/>
              </w:rPr>
            </w:pPr>
          </w:p>
        </w:tc>
        <w:tc>
          <w:tcPr>
            <w:tcW w:w="353" w:type="pct"/>
            <w:tcBorders>
              <w:bottom w:val="single" w:color="auto" w:sz="8" w:space="0"/>
            </w:tcBorders>
            <w:vAlign w:val="center"/>
          </w:tcPr>
          <w:p w14:paraId="27BE3BC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声压级/dB(A)</w:t>
            </w:r>
          </w:p>
        </w:tc>
        <w:tc>
          <w:tcPr>
            <w:tcW w:w="361" w:type="pct"/>
            <w:tcBorders>
              <w:bottom w:val="single" w:color="auto" w:sz="8" w:space="0"/>
            </w:tcBorders>
            <w:vAlign w:val="center"/>
          </w:tcPr>
          <w:p w14:paraId="272C620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建筑物外距离</w:t>
            </w:r>
          </w:p>
        </w:tc>
      </w:tr>
      <w:tr w14:paraId="0BE0D8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0" w:type="pct"/>
            <w:vMerge w:val="restart"/>
            <w:tcBorders>
              <w:top w:val="single" w:color="auto" w:sz="8" w:space="0"/>
            </w:tcBorders>
            <w:vAlign w:val="center"/>
          </w:tcPr>
          <w:p w14:paraId="4EA7945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c>
          <w:tcPr>
            <w:tcW w:w="234" w:type="pct"/>
            <w:vMerge w:val="restart"/>
            <w:tcBorders>
              <w:top w:val="single" w:color="auto" w:sz="8" w:space="0"/>
            </w:tcBorders>
            <w:vAlign w:val="center"/>
          </w:tcPr>
          <w:p w14:paraId="6455CFE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生产车间</w:t>
            </w:r>
          </w:p>
        </w:tc>
        <w:tc>
          <w:tcPr>
            <w:tcW w:w="356" w:type="pct"/>
            <w:tcBorders>
              <w:top w:val="single" w:color="auto" w:sz="8" w:space="0"/>
            </w:tcBorders>
          </w:tcPr>
          <w:p w14:paraId="73C51EAE">
            <w:pPr>
              <w:pStyle w:val="66"/>
              <w:widowControl w:val="0"/>
              <w:ind w:left="0"/>
              <w:jc w:val="both"/>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bCs/>
                <w:caps w:val="0"/>
                <w:smallCaps w:val="0"/>
                <w:color w:val="auto"/>
                <w:spacing w:val="0"/>
                <w:highlight w:val="none"/>
                <w:lang w:eastAsia="en-US"/>
              </w:rPr>
              <w:t>CSS沉积镀膜设备</w:t>
            </w:r>
          </w:p>
        </w:tc>
        <w:tc>
          <w:tcPr>
            <w:tcW w:w="235" w:type="pct"/>
            <w:tcBorders>
              <w:top w:val="single" w:color="auto" w:sz="8" w:space="0"/>
            </w:tcBorders>
            <w:vAlign w:val="center"/>
          </w:tcPr>
          <w:p w14:paraId="25DDAA8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tcBorders>
              <w:top w:val="single" w:color="auto" w:sz="8" w:space="0"/>
            </w:tcBorders>
            <w:vAlign w:val="center"/>
          </w:tcPr>
          <w:p w14:paraId="4104515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restart"/>
            <w:tcBorders>
              <w:top w:val="single" w:color="auto" w:sz="8" w:space="0"/>
            </w:tcBorders>
            <w:vAlign w:val="center"/>
          </w:tcPr>
          <w:p w14:paraId="78C0AA24">
            <w:pPr>
              <w:pStyle w:val="210"/>
              <w:widowControl w:val="0"/>
              <w:jc w:val="both"/>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选用低噪设备，房屋封闭、减振、隔声处理</w:t>
            </w:r>
          </w:p>
        </w:tc>
        <w:tc>
          <w:tcPr>
            <w:tcW w:w="285" w:type="pct"/>
            <w:tcBorders>
              <w:top w:val="single" w:color="auto" w:sz="8" w:space="0"/>
            </w:tcBorders>
            <w:vAlign w:val="center"/>
          </w:tcPr>
          <w:p w14:paraId="6B02636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10</w:t>
            </w:r>
          </w:p>
        </w:tc>
        <w:tc>
          <w:tcPr>
            <w:tcW w:w="235" w:type="pct"/>
            <w:tcBorders>
              <w:top w:val="single" w:color="auto" w:sz="8" w:space="0"/>
            </w:tcBorders>
            <w:vAlign w:val="center"/>
          </w:tcPr>
          <w:p w14:paraId="08458E1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16</w:t>
            </w:r>
          </w:p>
        </w:tc>
        <w:tc>
          <w:tcPr>
            <w:tcW w:w="258" w:type="pct"/>
            <w:tcBorders>
              <w:top w:val="single" w:color="auto" w:sz="8" w:space="0"/>
            </w:tcBorders>
            <w:vAlign w:val="center"/>
          </w:tcPr>
          <w:p w14:paraId="1DC6F9A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tcBorders>
              <w:top w:val="single" w:color="auto" w:sz="8" w:space="0"/>
            </w:tcBorders>
            <w:vAlign w:val="center"/>
          </w:tcPr>
          <w:p w14:paraId="1A302E9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10</w:t>
            </w:r>
          </w:p>
        </w:tc>
        <w:tc>
          <w:tcPr>
            <w:tcW w:w="472" w:type="pct"/>
            <w:tcBorders>
              <w:top w:val="single" w:color="auto" w:sz="8" w:space="0"/>
            </w:tcBorders>
            <w:vAlign w:val="center"/>
          </w:tcPr>
          <w:p w14:paraId="122B438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65</w:t>
            </w:r>
          </w:p>
        </w:tc>
        <w:tc>
          <w:tcPr>
            <w:tcW w:w="430" w:type="pct"/>
            <w:vMerge w:val="restart"/>
            <w:tcBorders>
              <w:top w:val="single" w:color="auto" w:sz="8" w:space="0"/>
            </w:tcBorders>
            <w:vAlign w:val="center"/>
          </w:tcPr>
          <w:p w14:paraId="1077408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7200h</w:t>
            </w:r>
          </w:p>
        </w:tc>
        <w:tc>
          <w:tcPr>
            <w:tcW w:w="473" w:type="pct"/>
            <w:tcBorders>
              <w:top w:val="single" w:color="auto" w:sz="8" w:space="0"/>
            </w:tcBorders>
            <w:vAlign w:val="center"/>
          </w:tcPr>
          <w:p w14:paraId="19FDE38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20</w:t>
            </w:r>
          </w:p>
        </w:tc>
        <w:tc>
          <w:tcPr>
            <w:tcW w:w="353" w:type="pct"/>
            <w:tcBorders>
              <w:top w:val="single" w:color="auto" w:sz="8" w:space="0"/>
            </w:tcBorders>
            <w:vAlign w:val="center"/>
          </w:tcPr>
          <w:p w14:paraId="02388CD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45</w:t>
            </w:r>
          </w:p>
        </w:tc>
        <w:tc>
          <w:tcPr>
            <w:tcW w:w="361" w:type="pct"/>
            <w:tcBorders>
              <w:top w:val="single" w:color="auto" w:sz="8" w:space="0"/>
            </w:tcBorders>
            <w:vAlign w:val="center"/>
          </w:tcPr>
          <w:p w14:paraId="7867C7E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4A112D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0" w:type="pct"/>
            <w:vMerge w:val="continue"/>
            <w:vAlign w:val="center"/>
          </w:tcPr>
          <w:p w14:paraId="6190329A">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33A91E08">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2BCE171B">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涂覆前预清洗设备</w:t>
            </w:r>
          </w:p>
        </w:tc>
        <w:tc>
          <w:tcPr>
            <w:tcW w:w="235" w:type="pct"/>
            <w:vAlign w:val="center"/>
          </w:tcPr>
          <w:p w14:paraId="760DAD9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03539B8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0399DED3">
            <w:pPr>
              <w:pStyle w:val="210"/>
              <w:widowControl w:val="0"/>
              <w:jc w:val="both"/>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F41678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22</w:t>
            </w:r>
          </w:p>
        </w:tc>
        <w:tc>
          <w:tcPr>
            <w:tcW w:w="235" w:type="pct"/>
            <w:vAlign w:val="center"/>
          </w:tcPr>
          <w:p w14:paraId="4662B00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23</w:t>
            </w:r>
          </w:p>
        </w:tc>
        <w:tc>
          <w:tcPr>
            <w:tcW w:w="258" w:type="pct"/>
            <w:vAlign w:val="center"/>
          </w:tcPr>
          <w:p w14:paraId="569C60C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621BADF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22</w:t>
            </w:r>
          </w:p>
        </w:tc>
        <w:tc>
          <w:tcPr>
            <w:tcW w:w="472" w:type="pct"/>
            <w:vAlign w:val="center"/>
          </w:tcPr>
          <w:p w14:paraId="63D3B23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58</w:t>
            </w:r>
          </w:p>
        </w:tc>
        <w:tc>
          <w:tcPr>
            <w:tcW w:w="430" w:type="pct"/>
            <w:vMerge w:val="continue"/>
            <w:vAlign w:val="center"/>
          </w:tcPr>
          <w:p w14:paraId="4D996712">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7E06F4C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5A8E398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38</w:t>
            </w:r>
          </w:p>
        </w:tc>
        <w:tc>
          <w:tcPr>
            <w:tcW w:w="361" w:type="pct"/>
            <w:vAlign w:val="center"/>
          </w:tcPr>
          <w:p w14:paraId="2E8A1ED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2B57EF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7519DBA9">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2992A6D">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114229D2">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氯化镉涂覆机</w:t>
            </w:r>
          </w:p>
        </w:tc>
        <w:tc>
          <w:tcPr>
            <w:tcW w:w="235" w:type="pct"/>
            <w:vAlign w:val="center"/>
          </w:tcPr>
          <w:p w14:paraId="0A171E4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3E13521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61C7EF48">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F0FA36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35</w:t>
            </w:r>
          </w:p>
        </w:tc>
        <w:tc>
          <w:tcPr>
            <w:tcW w:w="235" w:type="pct"/>
            <w:vAlign w:val="center"/>
          </w:tcPr>
          <w:p w14:paraId="2B8BEAB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24</w:t>
            </w:r>
          </w:p>
        </w:tc>
        <w:tc>
          <w:tcPr>
            <w:tcW w:w="258" w:type="pct"/>
            <w:vAlign w:val="center"/>
          </w:tcPr>
          <w:p w14:paraId="676A2C8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12BDA4A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24</w:t>
            </w:r>
          </w:p>
        </w:tc>
        <w:tc>
          <w:tcPr>
            <w:tcW w:w="472" w:type="pct"/>
            <w:vAlign w:val="center"/>
          </w:tcPr>
          <w:p w14:paraId="0EEE5D6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57</w:t>
            </w:r>
          </w:p>
        </w:tc>
        <w:tc>
          <w:tcPr>
            <w:tcW w:w="430" w:type="pct"/>
            <w:vMerge w:val="continue"/>
            <w:vAlign w:val="center"/>
          </w:tcPr>
          <w:p w14:paraId="089038EF">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42450E2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EDA007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37</w:t>
            </w:r>
          </w:p>
        </w:tc>
        <w:tc>
          <w:tcPr>
            <w:tcW w:w="361" w:type="pct"/>
            <w:vAlign w:val="center"/>
          </w:tcPr>
          <w:p w14:paraId="630B1FE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74FAA8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0" w:type="pct"/>
            <w:vMerge w:val="continue"/>
            <w:vAlign w:val="center"/>
          </w:tcPr>
          <w:p w14:paraId="20A2CEC0">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6CE3F88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5FBB475B">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活化炉</w:t>
            </w:r>
          </w:p>
        </w:tc>
        <w:tc>
          <w:tcPr>
            <w:tcW w:w="235" w:type="pct"/>
            <w:vAlign w:val="center"/>
          </w:tcPr>
          <w:p w14:paraId="6254D66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2D7022B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17DFD8C3">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D6B9CF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95</w:t>
            </w:r>
          </w:p>
        </w:tc>
        <w:tc>
          <w:tcPr>
            <w:tcW w:w="235" w:type="pct"/>
            <w:vAlign w:val="center"/>
          </w:tcPr>
          <w:p w14:paraId="6204C36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87</w:t>
            </w:r>
          </w:p>
        </w:tc>
        <w:tc>
          <w:tcPr>
            <w:tcW w:w="258" w:type="pct"/>
            <w:vAlign w:val="center"/>
          </w:tcPr>
          <w:p w14:paraId="323A7FC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17B0959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33</w:t>
            </w:r>
          </w:p>
        </w:tc>
        <w:tc>
          <w:tcPr>
            <w:tcW w:w="472" w:type="pct"/>
            <w:vAlign w:val="center"/>
          </w:tcPr>
          <w:p w14:paraId="75EF564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3AD68348">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0EE05E1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5A1FF0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3224EBF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72815B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6D27FC60">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12A48567">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67E36F58">
            <w:pPr>
              <w:widowControl w:val="0"/>
              <w:jc w:val="center"/>
              <w:textAlignment w:val="bottom"/>
              <w:rPr>
                <w:rFonts w:ascii="Times New Roman" w:hAnsi="Times New Roman" w:eastAsia="宋体" w:cs="Times New Roman"/>
                <w:caps w:val="0"/>
                <w:smallCaps w:val="0"/>
                <w:color w:val="auto"/>
                <w:spacing w:val="0"/>
                <w:kern w:val="0"/>
                <w:sz w:val="21"/>
                <w:highlight w:val="none"/>
              </w:rPr>
            </w:pPr>
            <w:r>
              <w:rPr>
                <w:rFonts w:ascii="Times New Roman" w:hAnsi="Times New Roman" w:eastAsia="宋体" w:cs="Times New Roman"/>
                <w:bCs/>
                <w:caps w:val="0"/>
                <w:smallCaps w:val="0"/>
                <w:color w:val="auto"/>
                <w:spacing w:val="0"/>
                <w:sz w:val="21"/>
                <w:highlight w:val="none"/>
                <w:lang w:eastAsia="en-US"/>
              </w:rPr>
              <w:t>涂层清洗机</w:t>
            </w:r>
          </w:p>
        </w:tc>
        <w:tc>
          <w:tcPr>
            <w:tcW w:w="235" w:type="pct"/>
            <w:vAlign w:val="center"/>
          </w:tcPr>
          <w:p w14:paraId="682C723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2D42282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4DEC8AD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5F51EE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42</w:t>
            </w:r>
          </w:p>
        </w:tc>
        <w:tc>
          <w:tcPr>
            <w:tcW w:w="235" w:type="pct"/>
            <w:vAlign w:val="center"/>
          </w:tcPr>
          <w:p w14:paraId="335A9ED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64</w:t>
            </w:r>
          </w:p>
        </w:tc>
        <w:tc>
          <w:tcPr>
            <w:tcW w:w="258" w:type="pct"/>
            <w:vAlign w:val="center"/>
          </w:tcPr>
          <w:p w14:paraId="40B7926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0F1575C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42</w:t>
            </w:r>
          </w:p>
        </w:tc>
        <w:tc>
          <w:tcPr>
            <w:tcW w:w="472" w:type="pct"/>
            <w:vAlign w:val="center"/>
          </w:tcPr>
          <w:p w14:paraId="1BB2523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53</w:t>
            </w:r>
          </w:p>
        </w:tc>
        <w:tc>
          <w:tcPr>
            <w:tcW w:w="430" w:type="pct"/>
            <w:vMerge w:val="continue"/>
            <w:vAlign w:val="center"/>
          </w:tcPr>
          <w:p w14:paraId="6D457054">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428EFB8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B64484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33</w:t>
            </w:r>
          </w:p>
        </w:tc>
        <w:tc>
          <w:tcPr>
            <w:tcW w:w="361" w:type="pct"/>
            <w:vAlign w:val="center"/>
          </w:tcPr>
          <w:p w14:paraId="7893044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w:t>
            </w:r>
          </w:p>
        </w:tc>
      </w:tr>
      <w:tr w14:paraId="2B366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49BE149B">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C1BC827">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27C2AF5C">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蚀刻机</w:t>
            </w:r>
          </w:p>
        </w:tc>
        <w:tc>
          <w:tcPr>
            <w:tcW w:w="235" w:type="pct"/>
            <w:vAlign w:val="center"/>
          </w:tcPr>
          <w:p w14:paraId="585ED89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7EDDD2F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7C5C0185">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9844D4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58</w:t>
            </w:r>
          </w:p>
        </w:tc>
        <w:tc>
          <w:tcPr>
            <w:tcW w:w="235" w:type="pct"/>
            <w:vAlign w:val="center"/>
          </w:tcPr>
          <w:p w14:paraId="42857B5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33</w:t>
            </w:r>
          </w:p>
        </w:tc>
        <w:tc>
          <w:tcPr>
            <w:tcW w:w="258" w:type="pct"/>
            <w:vAlign w:val="center"/>
          </w:tcPr>
          <w:p w14:paraId="448EEBE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470048C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33</w:t>
            </w:r>
          </w:p>
        </w:tc>
        <w:tc>
          <w:tcPr>
            <w:tcW w:w="472" w:type="pct"/>
            <w:vAlign w:val="center"/>
          </w:tcPr>
          <w:p w14:paraId="0B27092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6E7343E2">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365FAAF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395A724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5A7935C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152D9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6F885334">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1EA52D59">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50FCB166">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过渡层磁控镀膜设备</w:t>
            </w:r>
          </w:p>
        </w:tc>
        <w:tc>
          <w:tcPr>
            <w:tcW w:w="235" w:type="pct"/>
            <w:vAlign w:val="center"/>
          </w:tcPr>
          <w:p w14:paraId="4F002D1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7F1ED810">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219E6DEA">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283BFAA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49</w:t>
            </w:r>
          </w:p>
        </w:tc>
        <w:tc>
          <w:tcPr>
            <w:tcW w:w="235" w:type="pct"/>
            <w:vAlign w:val="center"/>
          </w:tcPr>
          <w:p w14:paraId="68D8EFD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52</w:t>
            </w:r>
          </w:p>
        </w:tc>
        <w:tc>
          <w:tcPr>
            <w:tcW w:w="258" w:type="pct"/>
            <w:vAlign w:val="center"/>
          </w:tcPr>
          <w:p w14:paraId="1EDFD4F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0D11BCF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49</w:t>
            </w:r>
          </w:p>
        </w:tc>
        <w:tc>
          <w:tcPr>
            <w:tcW w:w="472" w:type="pct"/>
            <w:vAlign w:val="center"/>
          </w:tcPr>
          <w:p w14:paraId="5BAB703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56</w:t>
            </w:r>
          </w:p>
        </w:tc>
        <w:tc>
          <w:tcPr>
            <w:tcW w:w="430" w:type="pct"/>
            <w:vMerge w:val="continue"/>
            <w:vAlign w:val="center"/>
          </w:tcPr>
          <w:p w14:paraId="16866B00">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5C51759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15E009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36</w:t>
            </w:r>
          </w:p>
        </w:tc>
        <w:tc>
          <w:tcPr>
            <w:tcW w:w="361" w:type="pct"/>
            <w:vAlign w:val="center"/>
          </w:tcPr>
          <w:p w14:paraId="5B04F29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1497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30" w:type="pct"/>
            <w:vMerge w:val="continue"/>
            <w:vAlign w:val="center"/>
          </w:tcPr>
          <w:p w14:paraId="1E305C86">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56A3D36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5EB8C4A4">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清洗机</w:t>
            </w:r>
          </w:p>
        </w:tc>
        <w:tc>
          <w:tcPr>
            <w:tcW w:w="235" w:type="pct"/>
            <w:vAlign w:val="center"/>
          </w:tcPr>
          <w:p w14:paraId="475E1B1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76EBF84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72B14FEF">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867C68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60</w:t>
            </w:r>
          </w:p>
        </w:tc>
        <w:tc>
          <w:tcPr>
            <w:tcW w:w="235" w:type="pct"/>
            <w:vAlign w:val="center"/>
          </w:tcPr>
          <w:p w14:paraId="4E1119B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35</w:t>
            </w:r>
          </w:p>
        </w:tc>
        <w:tc>
          <w:tcPr>
            <w:tcW w:w="258" w:type="pct"/>
            <w:vAlign w:val="center"/>
          </w:tcPr>
          <w:p w14:paraId="594F7F5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75EE22F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w:t>
            </w:r>
          </w:p>
        </w:tc>
        <w:tc>
          <w:tcPr>
            <w:tcW w:w="472" w:type="pct"/>
            <w:vAlign w:val="center"/>
          </w:tcPr>
          <w:p w14:paraId="62B098D5">
            <w:pPr>
              <w:widowControl w:val="0"/>
              <w:jc w:val="center"/>
              <w:textAlignment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 w:val="22"/>
                <w:szCs w:val="22"/>
                <w:highlight w:val="none"/>
                <w:lang w:bidi="ar"/>
              </w:rPr>
              <w:t>54</w:t>
            </w:r>
          </w:p>
        </w:tc>
        <w:tc>
          <w:tcPr>
            <w:tcW w:w="430" w:type="pct"/>
            <w:vMerge w:val="continue"/>
            <w:vAlign w:val="center"/>
          </w:tcPr>
          <w:p w14:paraId="46C838C9">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4B79E24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32015D12">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34</w:t>
            </w:r>
          </w:p>
        </w:tc>
        <w:tc>
          <w:tcPr>
            <w:tcW w:w="361" w:type="pct"/>
            <w:vAlign w:val="center"/>
          </w:tcPr>
          <w:p w14:paraId="2CA157B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47D6EB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43AB482D">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73F963FD">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7D5E4793">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激光刻划机P1</w:t>
            </w:r>
          </w:p>
        </w:tc>
        <w:tc>
          <w:tcPr>
            <w:tcW w:w="235" w:type="pct"/>
            <w:vAlign w:val="center"/>
          </w:tcPr>
          <w:p w14:paraId="0CFAEF4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759F5DA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257389D6">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90306F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78</w:t>
            </w:r>
          </w:p>
        </w:tc>
        <w:tc>
          <w:tcPr>
            <w:tcW w:w="235" w:type="pct"/>
            <w:vAlign w:val="center"/>
          </w:tcPr>
          <w:p w14:paraId="0B0569D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47</w:t>
            </w:r>
          </w:p>
        </w:tc>
        <w:tc>
          <w:tcPr>
            <w:tcW w:w="258" w:type="pct"/>
            <w:vAlign w:val="center"/>
          </w:tcPr>
          <w:p w14:paraId="3C3B168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0149452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47</w:t>
            </w:r>
          </w:p>
        </w:tc>
        <w:tc>
          <w:tcPr>
            <w:tcW w:w="472" w:type="pct"/>
            <w:vAlign w:val="center"/>
          </w:tcPr>
          <w:p w14:paraId="6895B79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57</w:t>
            </w:r>
          </w:p>
        </w:tc>
        <w:tc>
          <w:tcPr>
            <w:tcW w:w="430" w:type="pct"/>
            <w:vMerge w:val="continue"/>
            <w:vAlign w:val="center"/>
          </w:tcPr>
          <w:p w14:paraId="05410282">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1DD47C3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4408E317">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37</w:t>
            </w:r>
          </w:p>
        </w:tc>
        <w:tc>
          <w:tcPr>
            <w:tcW w:w="361" w:type="pct"/>
            <w:vAlign w:val="center"/>
          </w:tcPr>
          <w:p w14:paraId="4021BAC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2C3552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2072743A">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20C5A07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Borders>
              <w:bottom w:val="single" w:color="auto" w:sz="8" w:space="0"/>
            </w:tcBorders>
          </w:tcPr>
          <w:p w14:paraId="095618FB">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光刻胶处理系统</w:t>
            </w:r>
          </w:p>
        </w:tc>
        <w:tc>
          <w:tcPr>
            <w:tcW w:w="235" w:type="pct"/>
            <w:tcBorders>
              <w:bottom w:val="single" w:color="auto" w:sz="8" w:space="0"/>
            </w:tcBorders>
            <w:vAlign w:val="center"/>
          </w:tcPr>
          <w:p w14:paraId="11C7F58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tcBorders>
              <w:bottom w:val="single" w:color="auto" w:sz="8" w:space="0"/>
            </w:tcBorders>
            <w:vAlign w:val="center"/>
          </w:tcPr>
          <w:p w14:paraId="1AB68DE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6212F7EB">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bottom w:val="single" w:color="auto" w:sz="8" w:space="0"/>
            </w:tcBorders>
            <w:vAlign w:val="center"/>
          </w:tcPr>
          <w:p w14:paraId="34DEEE4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95</w:t>
            </w:r>
          </w:p>
        </w:tc>
        <w:tc>
          <w:tcPr>
            <w:tcW w:w="235" w:type="pct"/>
            <w:tcBorders>
              <w:bottom w:val="single" w:color="auto" w:sz="8" w:space="0"/>
            </w:tcBorders>
            <w:vAlign w:val="center"/>
          </w:tcPr>
          <w:p w14:paraId="55AD1E18">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38</w:t>
            </w:r>
          </w:p>
        </w:tc>
        <w:tc>
          <w:tcPr>
            <w:tcW w:w="258" w:type="pct"/>
            <w:tcBorders>
              <w:bottom w:val="single" w:color="auto" w:sz="8" w:space="0"/>
            </w:tcBorders>
            <w:vAlign w:val="center"/>
          </w:tcPr>
          <w:p w14:paraId="06D2E49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tcBorders>
              <w:bottom w:val="single" w:color="auto" w:sz="8" w:space="0"/>
            </w:tcBorders>
            <w:vAlign w:val="center"/>
          </w:tcPr>
          <w:p w14:paraId="44823BD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w:t>
            </w:r>
          </w:p>
        </w:tc>
        <w:tc>
          <w:tcPr>
            <w:tcW w:w="472" w:type="pct"/>
            <w:tcBorders>
              <w:bottom w:val="single" w:color="auto" w:sz="8" w:space="0"/>
            </w:tcBorders>
            <w:vAlign w:val="center"/>
          </w:tcPr>
          <w:p w14:paraId="2015BE7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53</w:t>
            </w:r>
          </w:p>
        </w:tc>
        <w:tc>
          <w:tcPr>
            <w:tcW w:w="430" w:type="pct"/>
            <w:vMerge w:val="continue"/>
            <w:vAlign w:val="center"/>
          </w:tcPr>
          <w:p w14:paraId="0C610158">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bottom w:val="single" w:color="auto" w:sz="8" w:space="0"/>
            </w:tcBorders>
            <w:vAlign w:val="center"/>
          </w:tcPr>
          <w:p w14:paraId="22D4054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tcBorders>
              <w:bottom w:val="single" w:color="auto" w:sz="8" w:space="0"/>
            </w:tcBorders>
            <w:vAlign w:val="center"/>
          </w:tcPr>
          <w:p w14:paraId="39AA4C8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33</w:t>
            </w:r>
          </w:p>
        </w:tc>
        <w:tc>
          <w:tcPr>
            <w:tcW w:w="361" w:type="pct"/>
            <w:tcBorders>
              <w:bottom w:val="single" w:color="auto" w:sz="8" w:space="0"/>
            </w:tcBorders>
            <w:vAlign w:val="center"/>
          </w:tcPr>
          <w:p w14:paraId="01F4EB5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0F1E7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D10DBDA">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78107976">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Borders>
              <w:top w:val="single" w:color="auto" w:sz="8" w:space="0"/>
              <w:bottom w:val="single" w:color="auto" w:sz="4" w:space="0"/>
            </w:tcBorders>
          </w:tcPr>
          <w:p w14:paraId="0839E6C0">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激光刻划机P2</w:t>
            </w:r>
          </w:p>
        </w:tc>
        <w:tc>
          <w:tcPr>
            <w:tcW w:w="235" w:type="pct"/>
            <w:tcBorders>
              <w:top w:val="single" w:color="auto" w:sz="8" w:space="0"/>
              <w:bottom w:val="single" w:color="auto" w:sz="4" w:space="0"/>
            </w:tcBorders>
            <w:vAlign w:val="center"/>
          </w:tcPr>
          <w:p w14:paraId="359E10F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tcBorders>
              <w:top w:val="single" w:color="auto" w:sz="8" w:space="0"/>
              <w:bottom w:val="single" w:color="auto" w:sz="4" w:space="0"/>
            </w:tcBorders>
            <w:vAlign w:val="center"/>
          </w:tcPr>
          <w:p w14:paraId="678EE06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w:t>
            </w:r>
          </w:p>
        </w:tc>
        <w:tc>
          <w:tcPr>
            <w:tcW w:w="362" w:type="pct"/>
            <w:vMerge w:val="continue"/>
            <w:vAlign w:val="center"/>
          </w:tcPr>
          <w:p w14:paraId="0F2911E2">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top w:val="single" w:color="auto" w:sz="8" w:space="0"/>
              <w:bottom w:val="single" w:color="auto" w:sz="4" w:space="0"/>
            </w:tcBorders>
            <w:vAlign w:val="center"/>
          </w:tcPr>
          <w:p w14:paraId="31A706E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116</w:t>
            </w:r>
          </w:p>
        </w:tc>
        <w:tc>
          <w:tcPr>
            <w:tcW w:w="235" w:type="pct"/>
            <w:tcBorders>
              <w:top w:val="single" w:color="auto" w:sz="8" w:space="0"/>
              <w:bottom w:val="single" w:color="auto" w:sz="4" w:space="0"/>
            </w:tcBorders>
            <w:vAlign w:val="center"/>
          </w:tcPr>
          <w:p w14:paraId="309B4BA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72</w:t>
            </w:r>
          </w:p>
        </w:tc>
        <w:tc>
          <w:tcPr>
            <w:tcW w:w="258" w:type="pct"/>
            <w:tcBorders>
              <w:top w:val="single" w:color="auto" w:sz="8" w:space="0"/>
              <w:bottom w:val="single" w:color="auto" w:sz="4" w:space="0"/>
            </w:tcBorders>
            <w:vAlign w:val="center"/>
          </w:tcPr>
          <w:p w14:paraId="570815F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tcBorders>
              <w:top w:val="single" w:color="auto" w:sz="8" w:space="0"/>
              <w:bottom w:val="single" w:color="auto" w:sz="4" w:space="0"/>
            </w:tcBorders>
            <w:vAlign w:val="center"/>
          </w:tcPr>
          <w:p w14:paraId="5553F6E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48</w:t>
            </w:r>
          </w:p>
        </w:tc>
        <w:tc>
          <w:tcPr>
            <w:tcW w:w="472" w:type="pct"/>
            <w:tcBorders>
              <w:top w:val="single" w:color="auto" w:sz="8" w:space="0"/>
              <w:bottom w:val="single" w:color="auto" w:sz="4" w:space="0"/>
            </w:tcBorders>
            <w:vAlign w:val="center"/>
          </w:tcPr>
          <w:p w14:paraId="00818A4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51</w:t>
            </w:r>
          </w:p>
        </w:tc>
        <w:tc>
          <w:tcPr>
            <w:tcW w:w="430" w:type="pct"/>
            <w:vMerge w:val="continue"/>
            <w:vAlign w:val="center"/>
          </w:tcPr>
          <w:p w14:paraId="3B47F582">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top w:val="single" w:color="auto" w:sz="8" w:space="0"/>
              <w:bottom w:val="single" w:color="auto" w:sz="4" w:space="0"/>
            </w:tcBorders>
            <w:vAlign w:val="center"/>
          </w:tcPr>
          <w:p w14:paraId="2D2862E5">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tcBorders>
              <w:top w:val="single" w:color="auto" w:sz="8" w:space="0"/>
              <w:bottom w:val="single" w:color="auto" w:sz="4" w:space="0"/>
            </w:tcBorders>
            <w:vAlign w:val="center"/>
          </w:tcPr>
          <w:p w14:paraId="57CD1B4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31</w:t>
            </w:r>
          </w:p>
        </w:tc>
        <w:tc>
          <w:tcPr>
            <w:tcW w:w="361" w:type="pct"/>
            <w:tcBorders>
              <w:top w:val="single" w:color="auto" w:sz="8" w:space="0"/>
              <w:bottom w:val="single" w:color="auto" w:sz="4" w:space="0"/>
            </w:tcBorders>
            <w:vAlign w:val="center"/>
          </w:tcPr>
          <w:p w14:paraId="4A0C3D0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F860E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213AE7E5">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9A9ED25">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Borders>
              <w:top w:val="single" w:color="auto" w:sz="4" w:space="0"/>
            </w:tcBorders>
          </w:tcPr>
          <w:p w14:paraId="6927BE85">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背电极磁控溅射前清洗机</w:t>
            </w:r>
          </w:p>
        </w:tc>
        <w:tc>
          <w:tcPr>
            <w:tcW w:w="235" w:type="pct"/>
            <w:tcBorders>
              <w:top w:val="single" w:color="auto" w:sz="4" w:space="0"/>
            </w:tcBorders>
            <w:vAlign w:val="center"/>
          </w:tcPr>
          <w:p w14:paraId="3EE45C7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tcBorders>
              <w:top w:val="single" w:color="auto" w:sz="4" w:space="0"/>
            </w:tcBorders>
            <w:vAlign w:val="center"/>
          </w:tcPr>
          <w:p w14:paraId="27E71E1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w:t>
            </w:r>
          </w:p>
        </w:tc>
        <w:tc>
          <w:tcPr>
            <w:tcW w:w="362" w:type="pct"/>
            <w:vMerge w:val="continue"/>
            <w:vAlign w:val="center"/>
          </w:tcPr>
          <w:p w14:paraId="61F3670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tcBorders>
              <w:top w:val="single" w:color="auto" w:sz="4" w:space="0"/>
            </w:tcBorders>
            <w:vAlign w:val="center"/>
          </w:tcPr>
          <w:p w14:paraId="504B507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127</w:t>
            </w:r>
          </w:p>
        </w:tc>
        <w:tc>
          <w:tcPr>
            <w:tcW w:w="235" w:type="pct"/>
            <w:tcBorders>
              <w:top w:val="single" w:color="auto" w:sz="4" w:space="0"/>
            </w:tcBorders>
            <w:vAlign w:val="center"/>
          </w:tcPr>
          <w:p w14:paraId="1B4ADD1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50</w:t>
            </w:r>
          </w:p>
        </w:tc>
        <w:tc>
          <w:tcPr>
            <w:tcW w:w="258" w:type="pct"/>
            <w:tcBorders>
              <w:top w:val="single" w:color="auto" w:sz="4" w:space="0"/>
            </w:tcBorders>
            <w:vAlign w:val="center"/>
          </w:tcPr>
          <w:p w14:paraId="23DFACF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tcBorders>
              <w:top w:val="single" w:color="auto" w:sz="4" w:space="0"/>
            </w:tcBorders>
            <w:vAlign w:val="center"/>
          </w:tcPr>
          <w:p w14:paraId="3056726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50</w:t>
            </w:r>
          </w:p>
        </w:tc>
        <w:tc>
          <w:tcPr>
            <w:tcW w:w="472" w:type="pct"/>
            <w:tcBorders>
              <w:top w:val="single" w:color="auto" w:sz="4" w:space="0"/>
            </w:tcBorders>
            <w:vAlign w:val="center"/>
          </w:tcPr>
          <w:p w14:paraId="5F7A764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46</w:t>
            </w:r>
          </w:p>
        </w:tc>
        <w:tc>
          <w:tcPr>
            <w:tcW w:w="430" w:type="pct"/>
            <w:vMerge w:val="continue"/>
            <w:vAlign w:val="center"/>
          </w:tcPr>
          <w:p w14:paraId="7CE898AE">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tcBorders>
              <w:top w:val="single" w:color="auto" w:sz="4" w:space="0"/>
            </w:tcBorders>
            <w:vAlign w:val="center"/>
          </w:tcPr>
          <w:p w14:paraId="60F08A7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tcBorders>
              <w:top w:val="single" w:color="auto" w:sz="4" w:space="0"/>
            </w:tcBorders>
            <w:vAlign w:val="center"/>
          </w:tcPr>
          <w:p w14:paraId="7604FC8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26</w:t>
            </w:r>
          </w:p>
        </w:tc>
        <w:tc>
          <w:tcPr>
            <w:tcW w:w="361" w:type="pct"/>
            <w:tcBorders>
              <w:top w:val="single" w:color="auto" w:sz="4" w:space="0"/>
            </w:tcBorders>
            <w:vAlign w:val="center"/>
          </w:tcPr>
          <w:p w14:paraId="11CFD66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03FDFC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471C90E0">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212BFDF4">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0E47EC26">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背电极磁控溅射设备</w:t>
            </w:r>
          </w:p>
        </w:tc>
        <w:tc>
          <w:tcPr>
            <w:tcW w:w="235" w:type="pct"/>
            <w:vAlign w:val="center"/>
          </w:tcPr>
          <w:p w14:paraId="0731CB4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4DAF087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3677F9CF">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607A3DE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133</w:t>
            </w:r>
          </w:p>
        </w:tc>
        <w:tc>
          <w:tcPr>
            <w:tcW w:w="235" w:type="pct"/>
            <w:vAlign w:val="center"/>
          </w:tcPr>
          <w:p w14:paraId="571BF60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55</w:t>
            </w:r>
          </w:p>
        </w:tc>
        <w:tc>
          <w:tcPr>
            <w:tcW w:w="258" w:type="pct"/>
            <w:vAlign w:val="center"/>
          </w:tcPr>
          <w:p w14:paraId="04C734B0">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47C17B5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55</w:t>
            </w:r>
          </w:p>
        </w:tc>
        <w:tc>
          <w:tcPr>
            <w:tcW w:w="472" w:type="pct"/>
            <w:vAlign w:val="center"/>
          </w:tcPr>
          <w:p w14:paraId="2213CC1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2DDA8C8A">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621912F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DC6358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41C48FB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0BA2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7D620676">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622E1F2B">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65367CE2">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退火炉</w:t>
            </w:r>
          </w:p>
        </w:tc>
        <w:tc>
          <w:tcPr>
            <w:tcW w:w="235" w:type="pct"/>
            <w:vAlign w:val="center"/>
          </w:tcPr>
          <w:p w14:paraId="7E5B99E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42D0956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74A58EC8">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F08579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162</w:t>
            </w:r>
          </w:p>
        </w:tc>
        <w:tc>
          <w:tcPr>
            <w:tcW w:w="235" w:type="pct"/>
            <w:vAlign w:val="center"/>
          </w:tcPr>
          <w:p w14:paraId="0CE72249">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60</w:t>
            </w:r>
          </w:p>
        </w:tc>
        <w:tc>
          <w:tcPr>
            <w:tcW w:w="258" w:type="pct"/>
            <w:vAlign w:val="center"/>
          </w:tcPr>
          <w:p w14:paraId="1E8BBD8B">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6659082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60</w:t>
            </w:r>
          </w:p>
        </w:tc>
        <w:tc>
          <w:tcPr>
            <w:tcW w:w="472" w:type="pct"/>
            <w:vAlign w:val="center"/>
          </w:tcPr>
          <w:p w14:paraId="3CA7FE6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54</w:t>
            </w:r>
          </w:p>
        </w:tc>
        <w:tc>
          <w:tcPr>
            <w:tcW w:w="430" w:type="pct"/>
            <w:vMerge w:val="continue"/>
            <w:vAlign w:val="center"/>
          </w:tcPr>
          <w:p w14:paraId="23ED314F">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7D11665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2DF8044">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34</w:t>
            </w:r>
          </w:p>
        </w:tc>
        <w:tc>
          <w:tcPr>
            <w:tcW w:w="361" w:type="pct"/>
            <w:vAlign w:val="center"/>
          </w:tcPr>
          <w:p w14:paraId="2D55B1F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4EB49F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7488371C">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3A040FF4">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03048A70">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激光刻线机P3</w:t>
            </w:r>
          </w:p>
        </w:tc>
        <w:tc>
          <w:tcPr>
            <w:tcW w:w="235" w:type="pct"/>
            <w:vAlign w:val="center"/>
          </w:tcPr>
          <w:p w14:paraId="3CF3046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61A244A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5FA6B1C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65F99CB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177</w:t>
            </w:r>
          </w:p>
        </w:tc>
        <w:tc>
          <w:tcPr>
            <w:tcW w:w="235" w:type="pct"/>
            <w:vAlign w:val="center"/>
          </w:tcPr>
          <w:p w14:paraId="76CAFD6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57</w:t>
            </w:r>
          </w:p>
        </w:tc>
        <w:tc>
          <w:tcPr>
            <w:tcW w:w="258" w:type="pct"/>
            <w:vAlign w:val="center"/>
          </w:tcPr>
          <w:p w14:paraId="6705EDF1">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15AB6C3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57</w:t>
            </w:r>
          </w:p>
        </w:tc>
        <w:tc>
          <w:tcPr>
            <w:tcW w:w="472" w:type="pct"/>
            <w:vAlign w:val="center"/>
          </w:tcPr>
          <w:p w14:paraId="38715C2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55</w:t>
            </w:r>
          </w:p>
        </w:tc>
        <w:tc>
          <w:tcPr>
            <w:tcW w:w="430" w:type="pct"/>
            <w:vMerge w:val="continue"/>
            <w:vAlign w:val="center"/>
          </w:tcPr>
          <w:p w14:paraId="758EBE74">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6C6E478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2BAFFB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35</w:t>
            </w:r>
          </w:p>
        </w:tc>
        <w:tc>
          <w:tcPr>
            <w:tcW w:w="361" w:type="pct"/>
            <w:vAlign w:val="center"/>
          </w:tcPr>
          <w:p w14:paraId="17C94A9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774EAD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 w:type="pct"/>
            <w:vMerge w:val="continue"/>
            <w:vAlign w:val="center"/>
          </w:tcPr>
          <w:p w14:paraId="72969BFF">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6B842BF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1387EE0A">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激光清边机</w:t>
            </w:r>
          </w:p>
        </w:tc>
        <w:tc>
          <w:tcPr>
            <w:tcW w:w="235" w:type="pct"/>
            <w:vAlign w:val="center"/>
          </w:tcPr>
          <w:p w14:paraId="79E1E4C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0B6C1C3B">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60F5244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ADCDC6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196</w:t>
            </w:r>
          </w:p>
        </w:tc>
        <w:tc>
          <w:tcPr>
            <w:tcW w:w="235" w:type="pct"/>
            <w:vAlign w:val="center"/>
          </w:tcPr>
          <w:p w14:paraId="490B792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94</w:t>
            </w:r>
          </w:p>
        </w:tc>
        <w:tc>
          <w:tcPr>
            <w:tcW w:w="258" w:type="pct"/>
            <w:vAlign w:val="center"/>
          </w:tcPr>
          <w:p w14:paraId="478F349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4FFC686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w:t>
            </w:r>
          </w:p>
        </w:tc>
        <w:tc>
          <w:tcPr>
            <w:tcW w:w="472" w:type="pct"/>
            <w:vAlign w:val="center"/>
          </w:tcPr>
          <w:p w14:paraId="1221559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62</w:t>
            </w:r>
          </w:p>
        </w:tc>
        <w:tc>
          <w:tcPr>
            <w:tcW w:w="430" w:type="pct"/>
            <w:vMerge w:val="continue"/>
            <w:vAlign w:val="center"/>
          </w:tcPr>
          <w:p w14:paraId="74F676D1">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0A7357E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1FC7F43C">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42</w:t>
            </w:r>
          </w:p>
        </w:tc>
        <w:tc>
          <w:tcPr>
            <w:tcW w:w="361" w:type="pct"/>
            <w:vAlign w:val="center"/>
          </w:tcPr>
          <w:p w14:paraId="506051C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51B1A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763BF2F2">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54B2DE29">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114BAAAD">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w:t>
            </w:r>
            <w:r>
              <w:rPr>
                <w:rFonts w:ascii="Times New Roman" w:hAnsi="Times New Roman" w:eastAsia="宋体" w:cs="Times New Roman"/>
                <w:bCs/>
                <w:caps w:val="0"/>
                <w:smallCaps w:val="0"/>
                <w:color w:val="auto"/>
                <w:spacing w:val="0"/>
                <w:sz w:val="21"/>
                <w:highlight w:val="none"/>
              </w:rPr>
              <w:t>5</w:t>
            </w:r>
          </w:p>
        </w:tc>
        <w:tc>
          <w:tcPr>
            <w:tcW w:w="235" w:type="pct"/>
            <w:vAlign w:val="center"/>
          </w:tcPr>
          <w:p w14:paraId="394F23E6">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73F405C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27AC69B7">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3D25FD35">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249</w:t>
            </w:r>
          </w:p>
        </w:tc>
        <w:tc>
          <w:tcPr>
            <w:tcW w:w="235" w:type="pct"/>
            <w:vAlign w:val="center"/>
          </w:tcPr>
          <w:p w14:paraId="7D62FA0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85</w:t>
            </w:r>
          </w:p>
        </w:tc>
        <w:tc>
          <w:tcPr>
            <w:tcW w:w="258" w:type="pct"/>
            <w:vAlign w:val="center"/>
          </w:tcPr>
          <w:p w14:paraId="59DFA1E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53476F3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35</w:t>
            </w:r>
          </w:p>
        </w:tc>
        <w:tc>
          <w:tcPr>
            <w:tcW w:w="472" w:type="pct"/>
            <w:vAlign w:val="center"/>
          </w:tcPr>
          <w:p w14:paraId="23C13D9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59</w:t>
            </w:r>
          </w:p>
        </w:tc>
        <w:tc>
          <w:tcPr>
            <w:tcW w:w="430" w:type="pct"/>
            <w:vMerge w:val="continue"/>
            <w:vAlign w:val="center"/>
          </w:tcPr>
          <w:p w14:paraId="5EE8CD23">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0F1D43B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49D4328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39</w:t>
            </w:r>
          </w:p>
        </w:tc>
        <w:tc>
          <w:tcPr>
            <w:tcW w:w="361" w:type="pct"/>
            <w:vAlign w:val="center"/>
          </w:tcPr>
          <w:p w14:paraId="5FCEE6B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51A07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2E05AA38">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6C79D557">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tcPr>
          <w:p w14:paraId="45106A03">
            <w:pPr>
              <w:widowControl w:val="0"/>
              <w:jc w:val="center"/>
              <w:textAlignment w:val="bottom"/>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lang w:eastAsia="en-US"/>
              </w:rPr>
              <w:t>激光刻划机P</w:t>
            </w:r>
            <w:r>
              <w:rPr>
                <w:rFonts w:ascii="Times New Roman" w:hAnsi="Times New Roman" w:eastAsia="宋体" w:cs="Times New Roman"/>
                <w:bCs/>
                <w:caps w:val="0"/>
                <w:smallCaps w:val="0"/>
                <w:color w:val="auto"/>
                <w:spacing w:val="0"/>
                <w:sz w:val="21"/>
                <w:highlight w:val="none"/>
              </w:rPr>
              <w:t>6</w:t>
            </w:r>
          </w:p>
        </w:tc>
        <w:tc>
          <w:tcPr>
            <w:tcW w:w="235" w:type="pct"/>
            <w:vAlign w:val="center"/>
          </w:tcPr>
          <w:p w14:paraId="1FF77CB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6EE7893F">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c>
          <w:tcPr>
            <w:tcW w:w="362" w:type="pct"/>
            <w:vMerge w:val="continue"/>
            <w:vAlign w:val="center"/>
          </w:tcPr>
          <w:p w14:paraId="492D00BE">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7525ECE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286</w:t>
            </w:r>
          </w:p>
        </w:tc>
        <w:tc>
          <w:tcPr>
            <w:tcW w:w="235" w:type="pct"/>
            <w:vAlign w:val="center"/>
          </w:tcPr>
          <w:p w14:paraId="3F9FE3C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71</w:t>
            </w:r>
          </w:p>
        </w:tc>
        <w:tc>
          <w:tcPr>
            <w:tcW w:w="258" w:type="pct"/>
            <w:vAlign w:val="center"/>
          </w:tcPr>
          <w:p w14:paraId="573E964C">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236" w:type="pct"/>
            <w:vAlign w:val="center"/>
          </w:tcPr>
          <w:p w14:paraId="5728F31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w:t>
            </w:r>
          </w:p>
        </w:tc>
        <w:tc>
          <w:tcPr>
            <w:tcW w:w="472" w:type="pct"/>
            <w:vAlign w:val="center"/>
          </w:tcPr>
          <w:p w14:paraId="1851852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60</w:t>
            </w:r>
          </w:p>
        </w:tc>
        <w:tc>
          <w:tcPr>
            <w:tcW w:w="430" w:type="pct"/>
            <w:vMerge w:val="continue"/>
            <w:vAlign w:val="center"/>
          </w:tcPr>
          <w:p w14:paraId="6CF2AC5A">
            <w:pPr>
              <w:pStyle w:val="210"/>
              <w:widowControl w:val="0"/>
              <w:rPr>
                <w:rFonts w:ascii="Times New Roman" w:hAnsi="Times New Roman" w:eastAsia="宋体" w:cs="Times New Roman"/>
                <w:caps w:val="0"/>
                <w:smallCaps w:val="0"/>
                <w:color w:val="auto"/>
                <w:spacing w:val="0"/>
                <w:sz w:val="21"/>
                <w:szCs w:val="21"/>
                <w:highlight w:val="none"/>
              </w:rPr>
            </w:pPr>
          </w:p>
        </w:tc>
        <w:tc>
          <w:tcPr>
            <w:tcW w:w="473" w:type="pct"/>
            <w:vAlign w:val="center"/>
          </w:tcPr>
          <w:p w14:paraId="48900BE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745E178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2"/>
                <w:szCs w:val="22"/>
                <w:highlight w:val="none"/>
                <w:lang w:bidi="ar"/>
              </w:rPr>
              <w:t>40</w:t>
            </w:r>
          </w:p>
        </w:tc>
        <w:tc>
          <w:tcPr>
            <w:tcW w:w="361" w:type="pct"/>
            <w:vAlign w:val="center"/>
          </w:tcPr>
          <w:p w14:paraId="78B23CF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128F0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458F5E10">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4E3BAA61">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3F746157">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73F5BCAF">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3D506D20">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12A45481">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11FD5EF6">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126</w:t>
            </w:r>
          </w:p>
        </w:tc>
        <w:tc>
          <w:tcPr>
            <w:tcW w:w="235" w:type="pct"/>
            <w:vAlign w:val="center"/>
          </w:tcPr>
          <w:p w14:paraId="14496F71">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481" w:type="dxa"/>
            <w:vAlign w:val="center"/>
          </w:tcPr>
          <w:p w14:paraId="4EF6D08D">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439" w:type="dxa"/>
            <w:vAlign w:val="center"/>
          </w:tcPr>
          <w:p w14:paraId="0BFFFBD1">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472" w:type="pct"/>
            <w:vAlign w:val="center"/>
          </w:tcPr>
          <w:p w14:paraId="3C38F428">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70</w:t>
            </w:r>
          </w:p>
        </w:tc>
        <w:tc>
          <w:tcPr>
            <w:tcW w:w="430" w:type="pct"/>
            <w:vMerge w:val="continue"/>
            <w:vAlign w:val="center"/>
          </w:tcPr>
          <w:p w14:paraId="16527598">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5951A541">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2E6FAD48">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50</w:t>
            </w:r>
          </w:p>
        </w:tc>
        <w:tc>
          <w:tcPr>
            <w:tcW w:w="672" w:type="dxa"/>
            <w:vAlign w:val="center"/>
          </w:tcPr>
          <w:p w14:paraId="2F6F9A3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488989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615794CA">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2CD2713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768009F2">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3FCAF70E">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24ADCAC5">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10C4A291">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FF1F5A1">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145</w:t>
            </w:r>
          </w:p>
        </w:tc>
        <w:tc>
          <w:tcPr>
            <w:tcW w:w="235" w:type="pct"/>
            <w:vAlign w:val="center"/>
          </w:tcPr>
          <w:p w14:paraId="7AA88334">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481" w:type="dxa"/>
            <w:vAlign w:val="center"/>
          </w:tcPr>
          <w:p w14:paraId="021A2B17">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439" w:type="dxa"/>
            <w:vAlign w:val="center"/>
          </w:tcPr>
          <w:p w14:paraId="284008EF">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472" w:type="pct"/>
            <w:vAlign w:val="center"/>
          </w:tcPr>
          <w:p w14:paraId="59213878">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74</w:t>
            </w:r>
          </w:p>
        </w:tc>
        <w:tc>
          <w:tcPr>
            <w:tcW w:w="430" w:type="pct"/>
            <w:vMerge w:val="continue"/>
            <w:vAlign w:val="center"/>
          </w:tcPr>
          <w:p w14:paraId="13A097E5">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2F4CD1D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3BBA08E">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54</w:t>
            </w:r>
          </w:p>
        </w:tc>
        <w:tc>
          <w:tcPr>
            <w:tcW w:w="672" w:type="dxa"/>
            <w:vAlign w:val="center"/>
          </w:tcPr>
          <w:p w14:paraId="55EA4A5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26DF61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0552E529">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207AC497">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1AC13079">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439445D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0E1902C8">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26E4C22C">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7FB4E556">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4</w:t>
            </w:r>
          </w:p>
        </w:tc>
        <w:tc>
          <w:tcPr>
            <w:tcW w:w="235" w:type="pct"/>
            <w:vAlign w:val="center"/>
          </w:tcPr>
          <w:p w14:paraId="2E47BC1B">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37</w:t>
            </w:r>
          </w:p>
        </w:tc>
        <w:tc>
          <w:tcPr>
            <w:tcW w:w="481" w:type="dxa"/>
            <w:vAlign w:val="center"/>
          </w:tcPr>
          <w:p w14:paraId="0C9BB673">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439" w:type="dxa"/>
            <w:vAlign w:val="center"/>
          </w:tcPr>
          <w:p w14:paraId="7D8379BE">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4</w:t>
            </w:r>
          </w:p>
        </w:tc>
        <w:tc>
          <w:tcPr>
            <w:tcW w:w="472" w:type="pct"/>
            <w:vAlign w:val="center"/>
          </w:tcPr>
          <w:p w14:paraId="381D1876">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68</w:t>
            </w:r>
          </w:p>
        </w:tc>
        <w:tc>
          <w:tcPr>
            <w:tcW w:w="430" w:type="pct"/>
            <w:vMerge w:val="continue"/>
            <w:vAlign w:val="center"/>
          </w:tcPr>
          <w:p w14:paraId="521A1FD4">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3F96F71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68BB1392">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48</w:t>
            </w:r>
          </w:p>
        </w:tc>
        <w:tc>
          <w:tcPr>
            <w:tcW w:w="672" w:type="dxa"/>
            <w:vAlign w:val="center"/>
          </w:tcPr>
          <w:p w14:paraId="0C0ABE1E">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19BDF5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tcBorders>
              <w:bottom w:val="single" w:color="auto" w:sz="8" w:space="0"/>
            </w:tcBorders>
            <w:vAlign w:val="center"/>
          </w:tcPr>
          <w:p w14:paraId="62C991AE">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tcBorders>
              <w:bottom w:val="single" w:color="auto" w:sz="8" w:space="0"/>
            </w:tcBorders>
            <w:vAlign w:val="center"/>
          </w:tcPr>
          <w:p w14:paraId="7F4D433C">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26D06570">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2350034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46A40967">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2A56E535">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40683C26">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153</w:t>
            </w:r>
          </w:p>
        </w:tc>
        <w:tc>
          <w:tcPr>
            <w:tcW w:w="235" w:type="pct"/>
            <w:vAlign w:val="center"/>
          </w:tcPr>
          <w:p w14:paraId="114D12DA">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106</w:t>
            </w:r>
          </w:p>
        </w:tc>
        <w:tc>
          <w:tcPr>
            <w:tcW w:w="481" w:type="dxa"/>
            <w:vAlign w:val="center"/>
          </w:tcPr>
          <w:p w14:paraId="3D0C7192">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1.2</w:t>
            </w:r>
          </w:p>
        </w:tc>
        <w:tc>
          <w:tcPr>
            <w:tcW w:w="439" w:type="dxa"/>
            <w:vAlign w:val="center"/>
          </w:tcPr>
          <w:p w14:paraId="438805A2">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6</w:t>
            </w:r>
          </w:p>
        </w:tc>
        <w:tc>
          <w:tcPr>
            <w:tcW w:w="472" w:type="pct"/>
            <w:vAlign w:val="center"/>
          </w:tcPr>
          <w:p w14:paraId="3029A1D8">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64</w:t>
            </w:r>
          </w:p>
        </w:tc>
        <w:tc>
          <w:tcPr>
            <w:tcW w:w="430" w:type="pct"/>
            <w:vMerge w:val="continue"/>
            <w:vAlign w:val="center"/>
          </w:tcPr>
          <w:p w14:paraId="596E5B7F">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42B417A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375FC662">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44</w:t>
            </w:r>
          </w:p>
        </w:tc>
        <w:tc>
          <w:tcPr>
            <w:tcW w:w="672" w:type="dxa"/>
            <w:vAlign w:val="center"/>
          </w:tcPr>
          <w:p w14:paraId="2D9E6D1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294433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restart"/>
            <w:tcBorders>
              <w:top w:val="single" w:color="auto" w:sz="8" w:space="0"/>
            </w:tcBorders>
            <w:vAlign w:val="center"/>
          </w:tcPr>
          <w:p w14:paraId="31E7068B">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234" w:type="pct"/>
            <w:vMerge w:val="restart"/>
            <w:tcBorders>
              <w:top w:val="single" w:color="auto" w:sz="8" w:space="0"/>
            </w:tcBorders>
            <w:vAlign w:val="center"/>
          </w:tcPr>
          <w:p w14:paraId="172895EC">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污水处理站</w:t>
            </w:r>
          </w:p>
        </w:tc>
        <w:tc>
          <w:tcPr>
            <w:tcW w:w="356" w:type="pct"/>
            <w:vAlign w:val="center"/>
          </w:tcPr>
          <w:p w14:paraId="74F85EE3">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风机</w:t>
            </w:r>
          </w:p>
        </w:tc>
        <w:tc>
          <w:tcPr>
            <w:tcW w:w="235" w:type="pct"/>
            <w:vAlign w:val="center"/>
          </w:tcPr>
          <w:p w14:paraId="314C372A">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6A2DB64A">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653D5433">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67E1B9D0">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33</w:t>
            </w:r>
          </w:p>
        </w:tc>
        <w:tc>
          <w:tcPr>
            <w:tcW w:w="235" w:type="pct"/>
            <w:vAlign w:val="center"/>
          </w:tcPr>
          <w:p w14:paraId="094603D4">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258" w:type="pct"/>
            <w:vAlign w:val="center"/>
          </w:tcPr>
          <w:p w14:paraId="30410517">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w:t>
            </w:r>
          </w:p>
        </w:tc>
        <w:tc>
          <w:tcPr>
            <w:tcW w:w="236" w:type="pct"/>
            <w:vAlign w:val="center"/>
          </w:tcPr>
          <w:p w14:paraId="3C218940">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w:t>
            </w:r>
          </w:p>
        </w:tc>
        <w:tc>
          <w:tcPr>
            <w:tcW w:w="472" w:type="pct"/>
            <w:vAlign w:val="center"/>
          </w:tcPr>
          <w:p w14:paraId="556BC943">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70</w:t>
            </w:r>
          </w:p>
        </w:tc>
        <w:tc>
          <w:tcPr>
            <w:tcW w:w="430" w:type="pct"/>
            <w:vMerge w:val="continue"/>
            <w:vAlign w:val="center"/>
          </w:tcPr>
          <w:p w14:paraId="5C9B60A2">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3443E9B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5D146DCB">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50</w:t>
            </w:r>
          </w:p>
        </w:tc>
        <w:tc>
          <w:tcPr>
            <w:tcW w:w="672" w:type="dxa"/>
            <w:vAlign w:val="center"/>
          </w:tcPr>
          <w:p w14:paraId="00C3EEA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06819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vAlign w:val="center"/>
          </w:tcPr>
          <w:p w14:paraId="2A46F09D">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vAlign w:val="center"/>
          </w:tcPr>
          <w:p w14:paraId="0BA106C5">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31A0D8AA">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水泵</w:t>
            </w:r>
          </w:p>
        </w:tc>
        <w:tc>
          <w:tcPr>
            <w:tcW w:w="235" w:type="pct"/>
            <w:vAlign w:val="center"/>
          </w:tcPr>
          <w:p w14:paraId="4727483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472" w:type="pct"/>
            <w:vAlign w:val="center"/>
          </w:tcPr>
          <w:p w14:paraId="44191989">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281D3486">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74AFC4CB">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36</w:t>
            </w:r>
          </w:p>
        </w:tc>
        <w:tc>
          <w:tcPr>
            <w:tcW w:w="235" w:type="pct"/>
            <w:vAlign w:val="center"/>
          </w:tcPr>
          <w:p w14:paraId="57ACF952">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5</w:t>
            </w:r>
          </w:p>
        </w:tc>
        <w:tc>
          <w:tcPr>
            <w:tcW w:w="258" w:type="pct"/>
            <w:vAlign w:val="center"/>
          </w:tcPr>
          <w:p w14:paraId="6C18323A">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w:t>
            </w:r>
          </w:p>
        </w:tc>
        <w:tc>
          <w:tcPr>
            <w:tcW w:w="236" w:type="pct"/>
            <w:vAlign w:val="center"/>
          </w:tcPr>
          <w:p w14:paraId="1B268EB2">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5</w:t>
            </w:r>
          </w:p>
        </w:tc>
        <w:tc>
          <w:tcPr>
            <w:tcW w:w="472" w:type="pct"/>
            <w:vAlign w:val="center"/>
          </w:tcPr>
          <w:p w14:paraId="079CECDA">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66</w:t>
            </w:r>
          </w:p>
        </w:tc>
        <w:tc>
          <w:tcPr>
            <w:tcW w:w="430" w:type="pct"/>
            <w:vMerge w:val="continue"/>
            <w:vAlign w:val="center"/>
          </w:tcPr>
          <w:p w14:paraId="748A5C7A">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462842E8">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24357CB4">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46</w:t>
            </w:r>
          </w:p>
        </w:tc>
        <w:tc>
          <w:tcPr>
            <w:tcW w:w="672" w:type="dxa"/>
            <w:vAlign w:val="center"/>
          </w:tcPr>
          <w:p w14:paraId="54B4CCC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r w14:paraId="2C5AA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30" w:type="pct"/>
            <w:vMerge w:val="continue"/>
            <w:tcBorders>
              <w:bottom w:val="single" w:color="auto" w:sz="8" w:space="0"/>
            </w:tcBorders>
            <w:vAlign w:val="center"/>
          </w:tcPr>
          <w:p w14:paraId="351F12AB">
            <w:pPr>
              <w:pStyle w:val="210"/>
              <w:widowControl w:val="0"/>
              <w:rPr>
                <w:rFonts w:ascii="Times New Roman" w:hAnsi="Times New Roman" w:eastAsia="宋体" w:cs="Times New Roman"/>
                <w:caps w:val="0"/>
                <w:smallCaps w:val="0"/>
                <w:color w:val="auto"/>
                <w:spacing w:val="0"/>
                <w:sz w:val="21"/>
                <w:szCs w:val="21"/>
                <w:highlight w:val="none"/>
              </w:rPr>
            </w:pPr>
          </w:p>
        </w:tc>
        <w:tc>
          <w:tcPr>
            <w:tcW w:w="234" w:type="pct"/>
            <w:vMerge w:val="continue"/>
            <w:tcBorders>
              <w:bottom w:val="single" w:color="auto" w:sz="8" w:space="0"/>
            </w:tcBorders>
            <w:vAlign w:val="center"/>
          </w:tcPr>
          <w:p w14:paraId="5470C0A4">
            <w:pPr>
              <w:pStyle w:val="210"/>
              <w:widowControl w:val="0"/>
              <w:rPr>
                <w:rFonts w:ascii="Times New Roman" w:hAnsi="Times New Roman" w:eastAsia="宋体" w:cs="Times New Roman"/>
                <w:caps w:val="0"/>
                <w:smallCaps w:val="0"/>
                <w:color w:val="auto"/>
                <w:spacing w:val="0"/>
                <w:sz w:val="21"/>
                <w:szCs w:val="21"/>
                <w:highlight w:val="none"/>
              </w:rPr>
            </w:pPr>
          </w:p>
        </w:tc>
        <w:tc>
          <w:tcPr>
            <w:tcW w:w="356" w:type="pct"/>
            <w:vAlign w:val="center"/>
          </w:tcPr>
          <w:p w14:paraId="2812D998">
            <w:pPr>
              <w:widowControl w:val="0"/>
              <w:jc w:val="center"/>
              <w:textAlignment w:val="bottom"/>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水泵</w:t>
            </w:r>
          </w:p>
        </w:tc>
        <w:tc>
          <w:tcPr>
            <w:tcW w:w="235" w:type="pct"/>
            <w:vAlign w:val="center"/>
          </w:tcPr>
          <w:p w14:paraId="32974194">
            <w:pPr>
              <w:pStyle w:val="210"/>
              <w:widowControl w:val="0"/>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sz w:val="21"/>
                <w:szCs w:val="21"/>
                <w:highlight w:val="none"/>
              </w:rPr>
              <w:t>/</w:t>
            </w:r>
          </w:p>
        </w:tc>
        <w:tc>
          <w:tcPr>
            <w:tcW w:w="472" w:type="pct"/>
            <w:vAlign w:val="center"/>
          </w:tcPr>
          <w:p w14:paraId="1C8741DA">
            <w:pPr>
              <w:pStyle w:val="233"/>
              <w:rPr>
                <w:rFonts w:cs="Times New Roman"/>
                <w:caps w:val="0"/>
                <w:smallCaps w:val="0"/>
                <w:color w:val="auto"/>
                <w:spacing w:val="0"/>
                <w:kern w:val="0"/>
                <w:highlight w:val="none"/>
                <w:lang w:bidi="ar"/>
              </w:rPr>
            </w:pPr>
            <w:r>
              <w:rPr>
                <w:rFonts w:cs="Times New Roman"/>
                <w:caps w:val="0"/>
                <w:smallCaps w:val="0"/>
                <w:color w:val="auto"/>
                <w:spacing w:val="0"/>
                <w:highlight w:val="none"/>
              </w:rPr>
              <w:t>80</w:t>
            </w:r>
          </w:p>
        </w:tc>
        <w:tc>
          <w:tcPr>
            <w:tcW w:w="362" w:type="pct"/>
            <w:vMerge w:val="continue"/>
            <w:vAlign w:val="center"/>
          </w:tcPr>
          <w:p w14:paraId="1802B539">
            <w:pPr>
              <w:pStyle w:val="210"/>
              <w:widowControl w:val="0"/>
              <w:rPr>
                <w:rFonts w:ascii="Times New Roman" w:hAnsi="Times New Roman" w:eastAsia="宋体" w:cs="Times New Roman"/>
                <w:caps w:val="0"/>
                <w:smallCaps w:val="0"/>
                <w:color w:val="auto"/>
                <w:spacing w:val="0"/>
                <w:sz w:val="21"/>
                <w:szCs w:val="21"/>
                <w:highlight w:val="none"/>
              </w:rPr>
            </w:pPr>
          </w:p>
        </w:tc>
        <w:tc>
          <w:tcPr>
            <w:tcW w:w="285" w:type="pct"/>
            <w:vAlign w:val="center"/>
          </w:tcPr>
          <w:p w14:paraId="690DE1CA">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30</w:t>
            </w:r>
          </w:p>
        </w:tc>
        <w:tc>
          <w:tcPr>
            <w:tcW w:w="235" w:type="pct"/>
            <w:vAlign w:val="center"/>
          </w:tcPr>
          <w:p w14:paraId="2AEEC699">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258" w:type="pct"/>
            <w:vAlign w:val="center"/>
          </w:tcPr>
          <w:p w14:paraId="7051E6F5">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1.2</w:t>
            </w:r>
          </w:p>
        </w:tc>
        <w:tc>
          <w:tcPr>
            <w:tcW w:w="236" w:type="pct"/>
            <w:vAlign w:val="center"/>
          </w:tcPr>
          <w:p w14:paraId="3275A9D5">
            <w:pPr>
              <w:pStyle w:val="210"/>
              <w:widowControl w:val="0"/>
              <w:rPr>
                <w:rFonts w:ascii="Times New Roman" w:hAnsi="Times New Roman" w:eastAsia="宋体"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sz w:val="21"/>
                <w:szCs w:val="21"/>
                <w:highlight w:val="none"/>
              </w:rPr>
              <w:t>2</w:t>
            </w:r>
          </w:p>
        </w:tc>
        <w:tc>
          <w:tcPr>
            <w:tcW w:w="472" w:type="pct"/>
            <w:vAlign w:val="center"/>
          </w:tcPr>
          <w:p w14:paraId="1E630CE0">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74</w:t>
            </w:r>
          </w:p>
        </w:tc>
        <w:tc>
          <w:tcPr>
            <w:tcW w:w="430" w:type="pct"/>
            <w:vMerge w:val="continue"/>
            <w:vAlign w:val="center"/>
          </w:tcPr>
          <w:p w14:paraId="7267BB75">
            <w:pPr>
              <w:pStyle w:val="210"/>
              <w:widowControl w:val="0"/>
              <w:rPr>
                <w:rFonts w:ascii="Times New Roman" w:hAnsi="Times New Roman" w:eastAsia="宋体" w:cs="Times New Roman"/>
                <w:caps w:val="0"/>
                <w:smallCaps w:val="0"/>
                <w:color w:val="auto"/>
                <w:spacing w:val="0"/>
                <w:sz w:val="21"/>
                <w:szCs w:val="21"/>
                <w:highlight w:val="none"/>
              </w:rPr>
            </w:pPr>
          </w:p>
        </w:tc>
        <w:tc>
          <w:tcPr>
            <w:tcW w:w="879" w:type="dxa"/>
            <w:vAlign w:val="center"/>
          </w:tcPr>
          <w:p w14:paraId="17848ABD">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20</w:t>
            </w:r>
          </w:p>
        </w:tc>
        <w:tc>
          <w:tcPr>
            <w:tcW w:w="353" w:type="pct"/>
            <w:vAlign w:val="center"/>
          </w:tcPr>
          <w:p w14:paraId="0B02521C">
            <w:pPr>
              <w:widowControl w:val="0"/>
              <w:jc w:val="center"/>
              <w:textAlignment w:val="center"/>
              <w:rPr>
                <w:rFonts w:ascii="Times New Roman" w:hAnsi="Times New Roman" w:eastAsia="宋体" w:cs="Times New Roman"/>
                <w:caps w:val="0"/>
                <w:smallCaps w:val="0"/>
                <w:color w:val="auto"/>
                <w:spacing w:val="0"/>
                <w:kern w:val="0"/>
                <w:sz w:val="22"/>
                <w:szCs w:val="22"/>
                <w:highlight w:val="none"/>
                <w:lang w:bidi="ar"/>
              </w:rPr>
            </w:pPr>
            <w:r>
              <w:rPr>
                <w:rFonts w:hint="eastAsia" w:ascii="Times New Roman" w:hAnsi="Times New Roman" w:eastAsia="宋体" w:cs="Times New Roman"/>
                <w:caps w:val="0"/>
                <w:smallCaps w:val="0"/>
                <w:color w:val="auto"/>
                <w:spacing w:val="0"/>
                <w:kern w:val="0"/>
                <w:sz w:val="22"/>
                <w:szCs w:val="22"/>
                <w:highlight w:val="none"/>
                <w:lang w:bidi="ar"/>
              </w:rPr>
              <w:t>54</w:t>
            </w:r>
          </w:p>
        </w:tc>
        <w:tc>
          <w:tcPr>
            <w:tcW w:w="672" w:type="dxa"/>
            <w:vAlign w:val="center"/>
          </w:tcPr>
          <w:p w14:paraId="2309C8C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r>
    </w:tbl>
    <w:p w14:paraId="46C40E11">
      <w:pPr>
        <w:pStyle w:val="231"/>
        <w:rPr>
          <w:rFonts w:hint="default" w:cs="Times New Roman"/>
          <w:caps w:val="0"/>
          <w:smallCaps w:val="0"/>
          <w:color w:val="auto"/>
          <w:spacing w:val="0"/>
          <w:highlight w:val="none"/>
        </w:rPr>
      </w:pPr>
      <w:r>
        <w:rPr>
          <w:rFonts w:hint="default" w:cs="Times New Roman"/>
          <w:caps w:val="0"/>
          <w:smallCaps w:val="0"/>
          <w:color w:val="auto"/>
          <w:spacing w:val="0"/>
          <w:highlight w:val="none"/>
        </w:rPr>
        <w:t>表5.2-1</w:t>
      </w:r>
      <w:r>
        <w:rPr>
          <w:rFonts w:hint="eastAsia" w:cs="Times New Roman"/>
          <w:caps w:val="0"/>
          <w:smallCaps w:val="0"/>
          <w:color w:val="auto"/>
          <w:spacing w:val="0"/>
          <w:highlight w:val="none"/>
          <w:lang w:val="en-US" w:eastAsia="zh-CN"/>
        </w:rPr>
        <w:t>2</w:t>
      </w:r>
      <w:r>
        <w:rPr>
          <w:rFonts w:hint="default" w:cs="Times New Roman"/>
          <w:caps w:val="0"/>
          <w:smallCaps w:val="0"/>
          <w:color w:val="auto"/>
          <w:spacing w:val="0"/>
          <w:highlight w:val="none"/>
        </w:rPr>
        <w:t>现有工程</w:t>
      </w:r>
      <w:r>
        <w:rPr>
          <w:rFonts w:hint="default" w:cs="Times New Roman"/>
          <w:bCs/>
          <w:caps w:val="0"/>
          <w:smallCaps w:val="0"/>
          <w:color w:val="auto"/>
          <w:spacing w:val="0"/>
          <w:highlight w:val="none"/>
        </w:rPr>
        <w:t>主要噪声源强</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5"/>
        <w:gridCol w:w="764"/>
        <w:gridCol w:w="605"/>
        <w:gridCol w:w="741"/>
        <w:gridCol w:w="574"/>
        <w:gridCol w:w="574"/>
        <w:gridCol w:w="574"/>
        <w:gridCol w:w="542"/>
        <w:gridCol w:w="721"/>
        <w:gridCol w:w="741"/>
        <w:gridCol w:w="947"/>
        <w:gridCol w:w="947"/>
        <w:gridCol w:w="570"/>
      </w:tblGrid>
      <w:tr w14:paraId="163E45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264" w:type="pct"/>
            <w:vMerge w:val="restart"/>
            <w:vAlign w:val="center"/>
          </w:tcPr>
          <w:p w14:paraId="3B684AEC">
            <w:pPr>
              <w:pStyle w:val="233"/>
              <w:rPr>
                <w:rFonts w:cs="Times New Roman"/>
                <w:caps w:val="0"/>
                <w:smallCaps w:val="0"/>
                <w:color w:val="auto"/>
                <w:spacing w:val="0"/>
                <w:highlight w:val="none"/>
              </w:rPr>
            </w:pPr>
            <w:r>
              <w:rPr>
                <w:rFonts w:cs="Times New Roman"/>
                <w:caps w:val="0"/>
                <w:smallCaps w:val="0"/>
                <w:color w:val="auto"/>
                <w:spacing w:val="0"/>
                <w:highlight w:val="none"/>
              </w:rPr>
              <w:t>序号</w:t>
            </w:r>
          </w:p>
        </w:tc>
        <w:tc>
          <w:tcPr>
            <w:tcW w:w="266" w:type="pct"/>
            <w:vMerge w:val="restart"/>
            <w:vAlign w:val="center"/>
          </w:tcPr>
          <w:p w14:paraId="1C7A2359">
            <w:pPr>
              <w:pStyle w:val="233"/>
              <w:rPr>
                <w:rFonts w:cs="Times New Roman"/>
                <w:caps w:val="0"/>
                <w:smallCaps w:val="0"/>
                <w:color w:val="auto"/>
                <w:spacing w:val="0"/>
                <w:highlight w:val="none"/>
              </w:rPr>
            </w:pPr>
            <w:r>
              <w:rPr>
                <w:rFonts w:cs="Times New Roman"/>
                <w:caps w:val="0"/>
                <w:smallCaps w:val="0"/>
                <w:color w:val="auto"/>
                <w:spacing w:val="0"/>
                <w:highlight w:val="none"/>
              </w:rPr>
              <w:t>建筑物名称</w:t>
            </w:r>
          </w:p>
        </w:tc>
        <w:tc>
          <w:tcPr>
            <w:tcW w:w="410" w:type="pct"/>
            <w:vMerge w:val="restart"/>
            <w:vAlign w:val="center"/>
          </w:tcPr>
          <w:p w14:paraId="646ECB83">
            <w:pPr>
              <w:pStyle w:val="233"/>
              <w:rPr>
                <w:rFonts w:cs="Times New Roman"/>
                <w:caps w:val="0"/>
                <w:smallCaps w:val="0"/>
                <w:color w:val="auto"/>
                <w:spacing w:val="0"/>
                <w:highlight w:val="none"/>
              </w:rPr>
            </w:pPr>
            <w:r>
              <w:rPr>
                <w:rFonts w:cs="Times New Roman"/>
                <w:caps w:val="0"/>
                <w:smallCaps w:val="0"/>
                <w:color w:val="auto"/>
                <w:spacing w:val="0"/>
                <w:highlight w:val="none"/>
              </w:rPr>
              <w:t>声源名称</w:t>
            </w:r>
          </w:p>
        </w:tc>
        <w:tc>
          <w:tcPr>
            <w:tcW w:w="326" w:type="pct"/>
            <w:vMerge w:val="restart"/>
            <w:vAlign w:val="center"/>
          </w:tcPr>
          <w:p w14:paraId="4C59CF32">
            <w:pPr>
              <w:pStyle w:val="233"/>
              <w:rPr>
                <w:rFonts w:cs="Times New Roman"/>
                <w:caps w:val="0"/>
                <w:smallCaps w:val="0"/>
                <w:color w:val="auto"/>
                <w:spacing w:val="0"/>
                <w:highlight w:val="none"/>
              </w:rPr>
            </w:pPr>
            <w:r>
              <w:rPr>
                <w:rFonts w:cs="Times New Roman"/>
                <w:caps w:val="0"/>
                <w:smallCaps w:val="0"/>
                <w:color w:val="auto"/>
                <w:spacing w:val="0"/>
                <w:highlight w:val="none"/>
              </w:rPr>
              <w:t>声压级/dB(A)</w:t>
            </w:r>
          </w:p>
        </w:tc>
        <w:tc>
          <w:tcPr>
            <w:tcW w:w="398" w:type="pct"/>
            <w:vMerge w:val="restart"/>
            <w:vAlign w:val="center"/>
          </w:tcPr>
          <w:p w14:paraId="21826541">
            <w:pPr>
              <w:pStyle w:val="233"/>
              <w:rPr>
                <w:rFonts w:cs="Times New Roman"/>
                <w:caps w:val="0"/>
                <w:smallCaps w:val="0"/>
                <w:color w:val="auto"/>
                <w:spacing w:val="0"/>
                <w:highlight w:val="none"/>
              </w:rPr>
            </w:pPr>
            <w:r>
              <w:rPr>
                <w:rFonts w:cs="Times New Roman"/>
                <w:caps w:val="0"/>
                <w:smallCaps w:val="0"/>
                <w:color w:val="auto"/>
                <w:spacing w:val="0"/>
                <w:highlight w:val="none"/>
              </w:rPr>
              <w:t>声源控制措施</w:t>
            </w:r>
          </w:p>
        </w:tc>
        <w:tc>
          <w:tcPr>
            <w:tcW w:w="927" w:type="pct"/>
            <w:gridSpan w:val="3"/>
            <w:vAlign w:val="center"/>
          </w:tcPr>
          <w:p w14:paraId="5A9BA7F7">
            <w:pPr>
              <w:pStyle w:val="233"/>
              <w:rPr>
                <w:rFonts w:cs="Times New Roman"/>
                <w:caps w:val="0"/>
                <w:smallCaps w:val="0"/>
                <w:color w:val="auto"/>
                <w:spacing w:val="0"/>
                <w:highlight w:val="none"/>
              </w:rPr>
            </w:pPr>
            <w:r>
              <w:rPr>
                <w:rFonts w:cs="Times New Roman"/>
                <w:caps w:val="0"/>
                <w:smallCaps w:val="0"/>
                <w:color w:val="auto"/>
                <w:spacing w:val="0"/>
                <w:highlight w:val="none"/>
              </w:rPr>
              <w:t>空间相对位置/m</w:t>
            </w:r>
          </w:p>
        </w:tc>
        <w:tc>
          <w:tcPr>
            <w:tcW w:w="292" w:type="pct"/>
            <w:vMerge w:val="restart"/>
            <w:vAlign w:val="center"/>
          </w:tcPr>
          <w:p w14:paraId="5CF19CB4">
            <w:pPr>
              <w:pStyle w:val="233"/>
              <w:rPr>
                <w:rFonts w:cs="Times New Roman"/>
                <w:caps w:val="0"/>
                <w:smallCaps w:val="0"/>
                <w:color w:val="auto"/>
                <w:spacing w:val="0"/>
                <w:highlight w:val="none"/>
              </w:rPr>
            </w:pPr>
            <w:r>
              <w:rPr>
                <w:rFonts w:cs="Times New Roman"/>
                <w:caps w:val="0"/>
                <w:smallCaps w:val="0"/>
                <w:color w:val="auto"/>
                <w:spacing w:val="0"/>
                <w:highlight w:val="none"/>
              </w:rPr>
              <w:t>距室内边界距离</w:t>
            </w:r>
          </w:p>
        </w:tc>
        <w:tc>
          <w:tcPr>
            <w:tcW w:w="387" w:type="pct"/>
            <w:vMerge w:val="restart"/>
            <w:vAlign w:val="center"/>
          </w:tcPr>
          <w:p w14:paraId="58EF60B4">
            <w:pPr>
              <w:pStyle w:val="233"/>
              <w:rPr>
                <w:rFonts w:cs="Times New Roman"/>
                <w:caps w:val="0"/>
                <w:smallCaps w:val="0"/>
                <w:color w:val="auto"/>
                <w:spacing w:val="0"/>
                <w:highlight w:val="none"/>
              </w:rPr>
            </w:pPr>
            <w:r>
              <w:rPr>
                <w:rFonts w:cs="Times New Roman"/>
                <w:caps w:val="0"/>
                <w:smallCaps w:val="0"/>
                <w:color w:val="auto"/>
                <w:spacing w:val="0"/>
                <w:highlight w:val="none"/>
              </w:rPr>
              <w:t>室内边界声级/dB(A)</w:t>
            </w:r>
          </w:p>
        </w:tc>
        <w:tc>
          <w:tcPr>
            <w:tcW w:w="398" w:type="pct"/>
            <w:vMerge w:val="restart"/>
            <w:vAlign w:val="center"/>
          </w:tcPr>
          <w:p w14:paraId="7374EFA6">
            <w:pPr>
              <w:pStyle w:val="233"/>
              <w:rPr>
                <w:rFonts w:cs="Times New Roman"/>
                <w:caps w:val="0"/>
                <w:smallCaps w:val="0"/>
                <w:color w:val="auto"/>
                <w:spacing w:val="0"/>
                <w:highlight w:val="none"/>
              </w:rPr>
            </w:pPr>
            <w:r>
              <w:rPr>
                <w:rFonts w:cs="Times New Roman"/>
                <w:caps w:val="0"/>
                <w:smallCaps w:val="0"/>
                <w:color w:val="auto"/>
                <w:spacing w:val="0"/>
                <w:highlight w:val="none"/>
              </w:rPr>
              <w:t>运行时段</w:t>
            </w:r>
          </w:p>
        </w:tc>
        <w:tc>
          <w:tcPr>
            <w:tcW w:w="509" w:type="pct"/>
            <w:vMerge w:val="restart"/>
            <w:vAlign w:val="center"/>
          </w:tcPr>
          <w:p w14:paraId="2E8DAD7D">
            <w:pPr>
              <w:pStyle w:val="233"/>
              <w:rPr>
                <w:rFonts w:cs="Times New Roman"/>
                <w:caps w:val="0"/>
                <w:smallCaps w:val="0"/>
                <w:color w:val="auto"/>
                <w:spacing w:val="0"/>
                <w:highlight w:val="none"/>
              </w:rPr>
            </w:pPr>
            <w:r>
              <w:rPr>
                <w:rFonts w:cs="Times New Roman"/>
                <w:caps w:val="0"/>
                <w:smallCaps w:val="0"/>
                <w:color w:val="auto"/>
                <w:spacing w:val="0"/>
                <w:highlight w:val="none"/>
              </w:rPr>
              <w:t>建筑物插入损失/dB(A)</w:t>
            </w:r>
          </w:p>
        </w:tc>
        <w:tc>
          <w:tcPr>
            <w:tcW w:w="816" w:type="pct"/>
            <w:gridSpan w:val="2"/>
            <w:vAlign w:val="center"/>
          </w:tcPr>
          <w:p w14:paraId="046C3A74">
            <w:pPr>
              <w:pStyle w:val="233"/>
              <w:rPr>
                <w:rFonts w:cs="Times New Roman"/>
                <w:caps w:val="0"/>
                <w:smallCaps w:val="0"/>
                <w:color w:val="auto"/>
                <w:spacing w:val="0"/>
                <w:highlight w:val="none"/>
              </w:rPr>
            </w:pPr>
            <w:r>
              <w:rPr>
                <w:rFonts w:cs="Times New Roman"/>
                <w:caps w:val="0"/>
                <w:smallCaps w:val="0"/>
                <w:color w:val="auto"/>
                <w:spacing w:val="0"/>
                <w:highlight w:val="none"/>
              </w:rPr>
              <w:t>建筑物外噪声</w:t>
            </w:r>
          </w:p>
        </w:tc>
      </w:tr>
      <w:tr w14:paraId="7F416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Merge w:val="continue"/>
            <w:vAlign w:val="center"/>
          </w:tcPr>
          <w:p w14:paraId="125837A0">
            <w:pPr>
              <w:pStyle w:val="233"/>
              <w:rPr>
                <w:rFonts w:cs="Times New Roman"/>
                <w:caps w:val="0"/>
                <w:smallCaps w:val="0"/>
                <w:color w:val="auto"/>
                <w:spacing w:val="0"/>
                <w:highlight w:val="none"/>
              </w:rPr>
            </w:pPr>
          </w:p>
        </w:tc>
        <w:tc>
          <w:tcPr>
            <w:tcW w:w="266" w:type="pct"/>
            <w:vMerge w:val="continue"/>
            <w:vAlign w:val="center"/>
          </w:tcPr>
          <w:p w14:paraId="79BE78E5">
            <w:pPr>
              <w:pStyle w:val="233"/>
              <w:rPr>
                <w:rFonts w:cs="Times New Roman"/>
                <w:caps w:val="0"/>
                <w:smallCaps w:val="0"/>
                <w:color w:val="auto"/>
                <w:spacing w:val="0"/>
                <w:highlight w:val="none"/>
              </w:rPr>
            </w:pPr>
          </w:p>
        </w:tc>
        <w:tc>
          <w:tcPr>
            <w:tcW w:w="410" w:type="pct"/>
            <w:vMerge w:val="continue"/>
            <w:vAlign w:val="center"/>
          </w:tcPr>
          <w:p w14:paraId="525205A0">
            <w:pPr>
              <w:pStyle w:val="233"/>
              <w:rPr>
                <w:rFonts w:cs="Times New Roman"/>
                <w:caps w:val="0"/>
                <w:smallCaps w:val="0"/>
                <w:color w:val="auto"/>
                <w:spacing w:val="0"/>
                <w:highlight w:val="none"/>
              </w:rPr>
            </w:pPr>
          </w:p>
        </w:tc>
        <w:tc>
          <w:tcPr>
            <w:tcW w:w="326" w:type="pct"/>
            <w:vMerge w:val="continue"/>
            <w:vAlign w:val="center"/>
          </w:tcPr>
          <w:p w14:paraId="264BE004">
            <w:pPr>
              <w:pStyle w:val="233"/>
              <w:rPr>
                <w:rFonts w:cs="Times New Roman"/>
                <w:caps w:val="0"/>
                <w:smallCaps w:val="0"/>
                <w:color w:val="auto"/>
                <w:spacing w:val="0"/>
                <w:highlight w:val="none"/>
              </w:rPr>
            </w:pPr>
          </w:p>
        </w:tc>
        <w:tc>
          <w:tcPr>
            <w:tcW w:w="398" w:type="pct"/>
            <w:vMerge w:val="continue"/>
            <w:vAlign w:val="center"/>
          </w:tcPr>
          <w:p w14:paraId="07318251">
            <w:pPr>
              <w:pStyle w:val="233"/>
              <w:rPr>
                <w:rFonts w:cs="Times New Roman"/>
                <w:caps w:val="0"/>
                <w:smallCaps w:val="0"/>
                <w:color w:val="auto"/>
                <w:spacing w:val="0"/>
                <w:highlight w:val="none"/>
              </w:rPr>
            </w:pPr>
          </w:p>
        </w:tc>
        <w:tc>
          <w:tcPr>
            <w:tcW w:w="309" w:type="pct"/>
            <w:vAlign w:val="center"/>
          </w:tcPr>
          <w:p w14:paraId="6A92E7D3">
            <w:pPr>
              <w:pStyle w:val="233"/>
              <w:rPr>
                <w:rFonts w:cs="Times New Roman"/>
                <w:caps w:val="0"/>
                <w:smallCaps w:val="0"/>
                <w:color w:val="auto"/>
                <w:spacing w:val="0"/>
                <w:highlight w:val="none"/>
              </w:rPr>
            </w:pPr>
            <w:r>
              <w:rPr>
                <w:rFonts w:cs="Times New Roman"/>
                <w:caps w:val="0"/>
                <w:smallCaps w:val="0"/>
                <w:color w:val="auto"/>
                <w:spacing w:val="0"/>
                <w:highlight w:val="none"/>
              </w:rPr>
              <w:t>X</w:t>
            </w:r>
          </w:p>
        </w:tc>
        <w:tc>
          <w:tcPr>
            <w:tcW w:w="309" w:type="pct"/>
            <w:vAlign w:val="center"/>
          </w:tcPr>
          <w:p w14:paraId="08BF83E3">
            <w:pPr>
              <w:pStyle w:val="233"/>
              <w:rPr>
                <w:rFonts w:cs="Times New Roman"/>
                <w:caps w:val="0"/>
                <w:smallCaps w:val="0"/>
                <w:color w:val="auto"/>
                <w:spacing w:val="0"/>
                <w:highlight w:val="none"/>
              </w:rPr>
            </w:pPr>
            <w:r>
              <w:rPr>
                <w:rFonts w:cs="Times New Roman"/>
                <w:caps w:val="0"/>
                <w:smallCaps w:val="0"/>
                <w:color w:val="auto"/>
                <w:spacing w:val="0"/>
                <w:highlight w:val="none"/>
              </w:rPr>
              <w:t>Y</w:t>
            </w:r>
          </w:p>
        </w:tc>
        <w:tc>
          <w:tcPr>
            <w:tcW w:w="309" w:type="pct"/>
            <w:vAlign w:val="center"/>
          </w:tcPr>
          <w:p w14:paraId="6F151C9D">
            <w:pPr>
              <w:pStyle w:val="233"/>
              <w:rPr>
                <w:rFonts w:cs="Times New Roman"/>
                <w:caps w:val="0"/>
                <w:smallCaps w:val="0"/>
                <w:color w:val="auto"/>
                <w:spacing w:val="0"/>
                <w:highlight w:val="none"/>
              </w:rPr>
            </w:pPr>
            <w:r>
              <w:rPr>
                <w:rFonts w:cs="Times New Roman"/>
                <w:caps w:val="0"/>
                <w:smallCaps w:val="0"/>
                <w:color w:val="auto"/>
                <w:spacing w:val="0"/>
                <w:highlight w:val="none"/>
              </w:rPr>
              <w:t>Z</w:t>
            </w:r>
          </w:p>
        </w:tc>
        <w:tc>
          <w:tcPr>
            <w:tcW w:w="292" w:type="pct"/>
            <w:vMerge w:val="continue"/>
            <w:vAlign w:val="center"/>
          </w:tcPr>
          <w:p w14:paraId="47072C5C">
            <w:pPr>
              <w:pStyle w:val="233"/>
              <w:rPr>
                <w:rFonts w:cs="Times New Roman"/>
                <w:caps w:val="0"/>
                <w:smallCaps w:val="0"/>
                <w:color w:val="auto"/>
                <w:spacing w:val="0"/>
                <w:highlight w:val="none"/>
              </w:rPr>
            </w:pPr>
          </w:p>
        </w:tc>
        <w:tc>
          <w:tcPr>
            <w:tcW w:w="387" w:type="pct"/>
            <w:vMerge w:val="continue"/>
            <w:vAlign w:val="center"/>
          </w:tcPr>
          <w:p w14:paraId="455BD93D">
            <w:pPr>
              <w:pStyle w:val="233"/>
              <w:rPr>
                <w:rFonts w:cs="Times New Roman"/>
                <w:caps w:val="0"/>
                <w:smallCaps w:val="0"/>
                <w:color w:val="auto"/>
                <w:spacing w:val="0"/>
                <w:highlight w:val="none"/>
              </w:rPr>
            </w:pPr>
          </w:p>
        </w:tc>
        <w:tc>
          <w:tcPr>
            <w:tcW w:w="398" w:type="pct"/>
            <w:vMerge w:val="continue"/>
            <w:vAlign w:val="center"/>
          </w:tcPr>
          <w:p w14:paraId="2DAB7DED">
            <w:pPr>
              <w:pStyle w:val="233"/>
              <w:rPr>
                <w:rFonts w:cs="Times New Roman"/>
                <w:caps w:val="0"/>
                <w:smallCaps w:val="0"/>
                <w:color w:val="auto"/>
                <w:spacing w:val="0"/>
                <w:highlight w:val="none"/>
              </w:rPr>
            </w:pPr>
          </w:p>
        </w:tc>
        <w:tc>
          <w:tcPr>
            <w:tcW w:w="509" w:type="pct"/>
            <w:vMerge w:val="continue"/>
            <w:vAlign w:val="center"/>
          </w:tcPr>
          <w:p w14:paraId="46CFF525">
            <w:pPr>
              <w:pStyle w:val="233"/>
              <w:rPr>
                <w:rFonts w:cs="Times New Roman"/>
                <w:caps w:val="0"/>
                <w:smallCaps w:val="0"/>
                <w:color w:val="auto"/>
                <w:spacing w:val="0"/>
                <w:highlight w:val="none"/>
              </w:rPr>
            </w:pPr>
          </w:p>
        </w:tc>
        <w:tc>
          <w:tcPr>
            <w:tcW w:w="509" w:type="pct"/>
            <w:vAlign w:val="center"/>
          </w:tcPr>
          <w:p w14:paraId="3C3D8B49">
            <w:pPr>
              <w:pStyle w:val="233"/>
              <w:rPr>
                <w:rFonts w:cs="Times New Roman"/>
                <w:caps w:val="0"/>
                <w:smallCaps w:val="0"/>
                <w:color w:val="auto"/>
                <w:spacing w:val="0"/>
                <w:highlight w:val="none"/>
              </w:rPr>
            </w:pPr>
            <w:r>
              <w:rPr>
                <w:rFonts w:cs="Times New Roman"/>
                <w:caps w:val="0"/>
                <w:smallCaps w:val="0"/>
                <w:color w:val="auto"/>
                <w:spacing w:val="0"/>
                <w:highlight w:val="none"/>
              </w:rPr>
              <w:t>声压级/dB(A)</w:t>
            </w:r>
          </w:p>
        </w:tc>
        <w:tc>
          <w:tcPr>
            <w:tcW w:w="306" w:type="pct"/>
            <w:vAlign w:val="center"/>
          </w:tcPr>
          <w:p w14:paraId="681604E3">
            <w:pPr>
              <w:pStyle w:val="233"/>
              <w:rPr>
                <w:rFonts w:cs="Times New Roman"/>
                <w:caps w:val="0"/>
                <w:smallCaps w:val="0"/>
                <w:color w:val="auto"/>
                <w:spacing w:val="0"/>
                <w:highlight w:val="none"/>
              </w:rPr>
            </w:pPr>
            <w:r>
              <w:rPr>
                <w:rFonts w:cs="Times New Roman"/>
                <w:caps w:val="0"/>
                <w:smallCaps w:val="0"/>
                <w:color w:val="auto"/>
                <w:spacing w:val="0"/>
                <w:highlight w:val="none"/>
              </w:rPr>
              <w:t>建筑物外距离</w:t>
            </w:r>
          </w:p>
        </w:tc>
      </w:tr>
      <w:tr w14:paraId="012179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0D4F9DCD">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66" w:type="pct"/>
            <w:vMerge w:val="restart"/>
            <w:vAlign w:val="center"/>
          </w:tcPr>
          <w:p w14:paraId="302AC5A4">
            <w:pPr>
              <w:pStyle w:val="233"/>
              <w:rPr>
                <w:rFonts w:cs="Times New Roman"/>
                <w:caps w:val="0"/>
                <w:smallCaps w:val="0"/>
                <w:color w:val="auto"/>
                <w:spacing w:val="0"/>
                <w:highlight w:val="none"/>
              </w:rPr>
            </w:pPr>
            <w:r>
              <w:rPr>
                <w:rFonts w:cs="Times New Roman"/>
                <w:caps w:val="0"/>
                <w:smallCaps w:val="0"/>
                <w:color w:val="auto"/>
                <w:spacing w:val="0"/>
                <w:highlight w:val="none"/>
              </w:rPr>
              <w:t>生产车间</w:t>
            </w:r>
          </w:p>
        </w:tc>
        <w:tc>
          <w:tcPr>
            <w:tcW w:w="410" w:type="pct"/>
            <w:vAlign w:val="center"/>
          </w:tcPr>
          <w:p w14:paraId="2B0C192C">
            <w:pPr>
              <w:pStyle w:val="233"/>
              <w:rPr>
                <w:rFonts w:cs="Times New Roman"/>
                <w:caps w:val="0"/>
                <w:smallCaps w:val="0"/>
                <w:color w:val="auto"/>
                <w:spacing w:val="0"/>
                <w:highlight w:val="none"/>
              </w:rPr>
            </w:pPr>
            <w:r>
              <w:rPr>
                <w:rFonts w:cs="Times New Roman"/>
                <w:caps w:val="0"/>
                <w:smallCaps w:val="0"/>
                <w:color w:val="auto"/>
                <w:spacing w:val="0"/>
                <w:highlight w:val="none"/>
              </w:rPr>
              <w:t>水泵</w:t>
            </w:r>
          </w:p>
        </w:tc>
        <w:tc>
          <w:tcPr>
            <w:tcW w:w="326" w:type="pct"/>
            <w:vAlign w:val="center"/>
          </w:tcPr>
          <w:p w14:paraId="65000366">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restart"/>
            <w:vAlign w:val="center"/>
          </w:tcPr>
          <w:p w14:paraId="485C8047">
            <w:pPr>
              <w:pStyle w:val="233"/>
              <w:rPr>
                <w:rFonts w:cs="Times New Roman"/>
                <w:caps w:val="0"/>
                <w:smallCaps w:val="0"/>
                <w:color w:val="auto"/>
                <w:spacing w:val="0"/>
                <w:highlight w:val="none"/>
              </w:rPr>
            </w:pPr>
            <w:r>
              <w:rPr>
                <w:rFonts w:cs="Times New Roman"/>
                <w:caps w:val="0"/>
                <w:smallCaps w:val="0"/>
                <w:color w:val="auto"/>
                <w:spacing w:val="0"/>
                <w:highlight w:val="none"/>
              </w:rPr>
              <w:t>低噪声设备、隔声、减振</w:t>
            </w:r>
          </w:p>
        </w:tc>
        <w:tc>
          <w:tcPr>
            <w:tcW w:w="309" w:type="pct"/>
            <w:vAlign w:val="center"/>
          </w:tcPr>
          <w:p w14:paraId="065A578D">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309" w:type="pct"/>
            <w:vAlign w:val="center"/>
          </w:tcPr>
          <w:p w14:paraId="6CCEFBE6">
            <w:pPr>
              <w:pStyle w:val="233"/>
              <w:rPr>
                <w:rFonts w:cs="Times New Roman"/>
                <w:caps w:val="0"/>
                <w:smallCaps w:val="0"/>
                <w:color w:val="auto"/>
                <w:spacing w:val="0"/>
                <w:highlight w:val="none"/>
              </w:rPr>
            </w:pPr>
            <w:r>
              <w:rPr>
                <w:rFonts w:cs="Times New Roman"/>
                <w:caps w:val="0"/>
                <w:smallCaps w:val="0"/>
                <w:color w:val="auto"/>
                <w:spacing w:val="0"/>
                <w:highlight w:val="none"/>
              </w:rPr>
              <w:t>4</w:t>
            </w:r>
          </w:p>
        </w:tc>
        <w:tc>
          <w:tcPr>
            <w:tcW w:w="309" w:type="pct"/>
            <w:vAlign w:val="center"/>
          </w:tcPr>
          <w:p w14:paraId="093702F7">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5FBA589B">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387" w:type="pct"/>
            <w:vAlign w:val="center"/>
          </w:tcPr>
          <w:p w14:paraId="29B04863">
            <w:pPr>
              <w:pStyle w:val="233"/>
              <w:rPr>
                <w:rFonts w:cs="Times New Roman"/>
                <w:caps w:val="0"/>
                <w:smallCaps w:val="0"/>
                <w:color w:val="auto"/>
                <w:spacing w:val="0"/>
                <w:highlight w:val="none"/>
              </w:rPr>
            </w:pPr>
            <w:r>
              <w:rPr>
                <w:rFonts w:cs="Times New Roman"/>
                <w:caps w:val="0"/>
                <w:smallCaps w:val="0"/>
                <w:color w:val="auto"/>
                <w:spacing w:val="0"/>
                <w:highlight w:val="none"/>
              </w:rPr>
              <w:t>71</w:t>
            </w:r>
          </w:p>
        </w:tc>
        <w:tc>
          <w:tcPr>
            <w:tcW w:w="398" w:type="pct"/>
            <w:vMerge w:val="restart"/>
            <w:vAlign w:val="center"/>
          </w:tcPr>
          <w:p w14:paraId="5F61C1BD">
            <w:pPr>
              <w:pStyle w:val="233"/>
              <w:rPr>
                <w:rFonts w:cs="Times New Roman"/>
                <w:caps w:val="0"/>
                <w:smallCaps w:val="0"/>
                <w:color w:val="auto"/>
                <w:spacing w:val="0"/>
                <w:highlight w:val="none"/>
              </w:rPr>
            </w:pPr>
            <w:r>
              <w:rPr>
                <w:rFonts w:cs="Times New Roman"/>
                <w:caps w:val="0"/>
                <w:smallCaps w:val="0"/>
                <w:color w:val="auto"/>
                <w:spacing w:val="0"/>
                <w:highlight w:val="none"/>
              </w:rPr>
              <w:t>7200h</w:t>
            </w:r>
          </w:p>
        </w:tc>
        <w:tc>
          <w:tcPr>
            <w:tcW w:w="509" w:type="pct"/>
            <w:vAlign w:val="center"/>
          </w:tcPr>
          <w:p w14:paraId="744CDDD4">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4976E321">
            <w:pPr>
              <w:pStyle w:val="233"/>
              <w:rPr>
                <w:rFonts w:cs="Times New Roman"/>
                <w:caps w:val="0"/>
                <w:smallCaps w:val="0"/>
                <w:color w:val="auto"/>
                <w:spacing w:val="0"/>
                <w:highlight w:val="none"/>
              </w:rPr>
            </w:pPr>
            <w:r>
              <w:rPr>
                <w:rFonts w:cs="Times New Roman"/>
                <w:caps w:val="0"/>
                <w:smallCaps w:val="0"/>
                <w:color w:val="auto"/>
                <w:spacing w:val="0"/>
                <w:highlight w:val="none"/>
              </w:rPr>
              <w:t>51</w:t>
            </w:r>
          </w:p>
        </w:tc>
        <w:tc>
          <w:tcPr>
            <w:tcW w:w="306" w:type="pct"/>
            <w:vAlign w:val="center"/>
          </w:tcPr>
          <w:p w14:paraId="25A2096E">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1D0918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2EEA04B9">
            <w:pPr>
              <w:pStyle w:val="233"/>
              <w:rPr>
                <w:rFonts w:cs="Times New Roman"/>
                <w:caps w:val="0"/>
                <w:smallCaps w:val="0"/>
                <w:color w:val="auto"/>
                <w:spacing w:val="0"/>
                <w:highlight w:val="none"/>
              </w:rPr>
            </w:pPr>
            <w:r>
              <w:rPr>
                <w:rFonts w:cs="Times New Roman"/>
                <w:caps w:val="0"/>
                <w:smallCaps w:val="0"/>
                <w:color w:val="auto"/>
                <w:spacing w:val="0"/>
                <w:highlight w:val="none"/>
              </w:rPr>
              <w:t>2</w:t>
            </w:r>
          </w:p>
        </w:tc>
        <w:tc>
          <w:tcPr>
            <w:tcW w:w="266" w:type="pct"/>
            <w:vMerge w:val="continue"/>
            <w:vAlign w:val="center"/>
          </w:tcPr>
          <w:p w14:paraId="27AC3A85">
            <w:pPr>
              <w:pStyle w:val="233"/>
              <w:rPr>
                <w:rFonts w:cs="Times New Roman"/>
                <w:caps w:val="0"/>
                <w:smallCaps w:val="0"/>
                <w:color w:val="auto"/>
                <w:spacing w:val="0"/>
                <w:highlight w:val="none"/>
              </w:rPr>
            </w:pPr>
          </w:p>
        </w:tc>
        <w:tc>
          <w:tcPr>
            <w:tcW w:w="410" w:type="pct"/>
            <w:vAlign w:val="center"/>
          </w:tcPr>
          <w:p w14:paraId="6FCA5B85">
            <w:pPr>
              <w:pStyle w:val="233"/>
              <w:rPr>
                <w:rFonts w:cs="Times New Roman"/>
                <w:caps w:val="0"/>
                <w:smallCaps w:val="0"/>
                <w:color w:val="auto"/>
                <w:spacing w:val="0"/>
                <w:highlight w:val="none"/>
              </w:rPr>
            </w:pPr>
            <w:r>
              <w:rPr>
                <w:rFonts w:cs="Times New Roman"/>
                <w:caps w:val="0"/>
                <w:smallCaps w:val="0"/>
                <w:color w:val="auto"/>
                <w:spacing w:val="0"/>
                <w:highlight w:val="none"/>
              </w:rPr>
              <w:t>水泵</w:t>
            </w:r>
          </w:p>
        </w:tc>
        <w:tc>
          <w:tcPr>
            <w:tcW w:w="326" w:type="pct"/>
            <w:vAlign w:val="center"/>
          </w:tcPr>
          <w:p w14:paraId="58F6DD97">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continue"/>
            <w:vAlign w:val="center"/>
          </w:tcPr>
          <w:p w14:paraId="686C6ACC">
            <w:pPr>
              <w:pStyle w:val="233"/>
              <w:rPr>
                <w:rFonts w:cs="Times New Roman"/>
                <w:caps w:val="0"/>
                <w:smallCaps w:val="0"/>
                <w:color w:val="auto"/>
                <w:spacing w:val="0"/>
                <w:highlight w:val="none"/>
              </w:rPr>
            </w:pPr>
          </w:p>
        </w:tc>
        <w:tc>
          <w:tcPr>
            <w:tcW w:w="309" w:type="pct"/>
            <w:vAlign w:val="center"/>
          </w:tcPr>
          <w:p w14:paraId="144745D2">
            <w:pPr>
              <w:pStyle w:val="233"/>
              <w:rPr>
                <w:rFonts w:cs="Times New Roman"/>
                <w:caps w:val="0"/>
                <w:smallCaps w:val="0"/>
                <w:color w:val="auto"/>
                <w:spacing w:val="0"/>
                <w:highlight w:val="none"/>
              </w:rPr>
            </w:pPr>
            <w:r>
              <w:rPr>
                <w:rFonts w:cs="Times New Roman"/>
                <w:caps w:val="0"/>
                <w:smallCaps w:val="0"/>
                <w:color w:val="auto"/>
                <w:spacing w:val="0"/>
                <w:highlight w:val="none"/>
              </w:rPr>
              <w:t>2</w:t>
            </w:r>
          </w:p>
        </w:tc>
        <w:tc>
          <w:tcPr>
            <w:tcW w:w="309" w:type="pct"/>
            <w:vAlign w:val="center"/>
          </w:tcPr>
          <w:p w14:paraId="2500518E">
            <w:pPr>
              <w:pStyle w:val="233"/>
              <w:rPr>
                <w:rFonts w:cs="Times New Roman"/>
                <w:caps w:val="0"/>
                <w:smallCaps w:val="0"/>
                <w:color w:val="auto"/>
                <w:spacing w:val="0"/>
                <w:highlight w:val="none"/>
              </w:rPr>
            </w:pPr>
            <w:r>
              <w:rPr>
                <w:rFonts w:cs="Times New Roman"/>
                <w:caps w:val="0"/>
                <w:smallCaps w:val="0"/>
                <w:color w:val="auto"/>
                <w:spacing w:val="0"/>
                <w:highlight w:val="none"/>
              </w:rPr>
              <w:t>5</w:t>
            </w:r>
          </w:p>
        </w:tc>
        <w:tc>
          <w:tcPr>
            <w:tcW w:w="309" w:type="pct"/>
            <w:vAlign w:val="center"/>
          </w:tcPr>
          <w:p w14:paraId="5E1EA05F">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1D6179D7">
            <w:pPr>
              <w:pStyle w:val="233"/>
              <w:rPr>
                <w:rFonts w:cs="Times New Roman"/>
                <w:caps w:val="0"/>
                <w:smallCaps w:val="0"/>
                <w:color w:val="auto"/>
                <w:spacing w:val="0"/>
                <w:highlight w:val="none"/>
              </w:rPr>
            </w:pPr>
            <w:r>
              <w:rPr>
                <w:rFonts w:cs="Times New Roman"/>
                <w:caps w:val="0"/>
                <w:smallCaps w:val="0"/>
                <w:color w:val="auto"/>
                <w:spacing w:val="0"/>
                <w:highlight w:val="none"/>
              </w:rPr>
              <w:t>2</w:t>
            </w:r>
          </w:p>
        </w:tc>
        <w:tc>
          <w:tcPr>
            <w:tcW w:w="387" w:type="pct"/>
            <w:vAlign w:val="center"/>
          </w:tcPr>
          <w:p w14:paraId="3EB4DB6E">
            <w:pPr>
              <w:pStyle w:val="233"/>
              <w:rPr>
                <w:rFonts w:cs="Times New Roman"/>
                <w:caps w:val="0"/>
                <w:smallCaps w:val="0"/>
                <w:color w:val="auto"/>
                <w:spacing w:val="0"/>
                <w:highlight w:val="none"/>
              </w:rPr>
            </w:pPr>
            <w:r>
              <w:rPr>
                <w:rFonts w:cs="Times New Roman"/>
                <w:caps w:val="0"/>
                <w:smallCaps w:val="0"/>
                <w:color w:val="auto"/>
                <w:spacing w:val="0"/>
                <w:highlight w:val="none"/>
              </w:rPr>
              <w:t>74</w:t>
            </w:r>
          </w:p>
        </w:tc>
        <w:tc>
          <w:tcPr>
            <w:tcW w:w="398" w:type="pct"/>
            <w:vMerge w:val="continue"/>
            <w:vAlign w:val="center"/>
          </w:tcPr>
          <w:p w14:paraId="326F39F0">
            <w:pPr>
              <w:pStyle w:val="233"/>
              <w:rPr>
                <w:rFonts w:cs="Times New Roman"/>
                <w:caps w:val="0"/>
                <w:smallCaps w:val="0"/>
                <w:color w:val="auto"/>
                <w:spacing w:val="0"/>
                <w:highlight w:val="none"/>
              </w:rPr>
            </w:pPr>
          </w:p>
        </w:tc>
        <w:tc>
          <w:tcPr>
            <w:tcW w:w="509" w:type="pct"/>
            <w:vAlign w:val="center"/>
          </w:tcPr>
          <w:p w14:paraId="5E40FFF3">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73F212A0">
            <w:pPr>
              <w:pStyle w:val="233"/>
              <w:rPr>
                <w:rFonts w:cs="Times New Roman"/>
                <w:caps w:val="0"/>
                <w:smallCaps w:val="0"/>
                <w:color w:val="auto"/>
                <w:spacing w:val="0"/>
                <w:highlight w:val="none"/>
              </w:rPr>
            </w:pPr>
            <w:r>
              <w:rPr>
                <w:rFonts w:cs="Times New Roman"/>
                <w:caps w:val="0"/>
                <w:smallCaps w:val="0"/>
                <w:color w:val="auto"/>
                <w:spacing w:val="0"/>
                <w:highlight w:val="none"/>
              </w:rPr>
              <w:t>54</w:t>
            </w:r>
          </w:p>
        </w:tc>
        <w:tc>
          <w:tcPr>
            <w:tcW w:w="306" w:type="pct"/>
            <w:vAlign w:val="center"/>
          </w:tcPr>
          <w:p w14:paraId="73AD5514">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629879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5A589595">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266" w:type="pct"/>
            <w:vMerge w:val="continue"/>
            <w:vAlign w:val="center"/>
          </w:tcPr>
          <w:p w14:paraId="0D8E2814">
            <w:pPr>
              <w:pStyle w:val="233"/>
              <w:rPr>
                <w:rFonts w:cs="Times New Roman"/>
                <w:caps w:val="0"/>
                <w:smallCaps w:val="0"/>
                <w:color w:val="auto"/>
                <w:spacing w:val="0"/>
                <w:highlight w:val="none"/>
              </w:rPr>
            </w:pPr>
          </w:p>
        </w:tc>
        <w:tc>
          <w:tcPr>
            <w:tcW w:w="410" w:type="pct"/>
            <w:vAlign w:val="center"/>
          </w:tcPr>
          <w:p w14:paraId="3C22FA94">
            <w:pPr>
              <w:pStyle w:val="233"/>
              <w:rPr>
                <w:rFonts w:cs="Times New Roman"/>
                <w:caps w:val="0"/>
                <w:smallCaps w:val="0"/>
                <w:color w:val="auto"/>
                <w:spacing w:val="0"/>
                <w:highlight w:val="none"/>
              </w:rPr>
            </w:pPr>
            <w:r>
              <w:rPr>
                <w:rFonts w:cs="Times New Roman"/>
                <w:caps w:val="0"/>
                <w:smallCaps w:val="0"/>
                <w:color w:val="auto"/>
                <w:spacing w:val="0"/>
                <w:highlight w:val="none"/>
              </w:rPr>
              <w:t>风机</w:t>
            </w:r>
          </w:p>
        </w:tc>
        <w:tc>
          <w:tcPr>
            <w:tcW w:w="326" w:type="pct"/>
            <w:vAlign w:val="center"/>
          </w:tcPr>
          <w:p w14:paraId="144B0F1F">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continue"/>
            <w:vAlign w:val="center"/>
          </w:tcPr>
          <w:p w14:paraId="3736D0C2">
            <w:pPr>
              <w:pStyle w:val="233"/>
              <w:rPr>
                <w:rFonts w:cs="Times New Roman"/>
                <w:caps w:val="0"/>
                <w:smallCaps w:val="0"/>
                <w:color w:val="auto"/>
                <w:spacing w:val="0"/>
                <w:highlight w:val="none"/>
              </w:rPr>
            </w:pPr>
          </w:p>
        </w:tc>
        <w:tc>
          <w:tcPr>
            <w:tcW w:w="309" w:type="pct"/>
            <w:vAlign w:val="center"/>
          </w:tcPr>
          <w:p w14:paraId="492BC205">
            <w:pPr>
              <w:pStyle w:val="233"/>
              <w:rPr>
                <w:rFonts w:cs="Times New Roman"/>
                <w:caps w:val="0"/>
                <w:smallCaps w:val="0"/>
                <w:color w:val="auto"/>
                <w:spacing w:val="0"/>
                <w:highlight w:val="none"/>
              </w:rPr>
            </w:pPr>
            <w:r>
              <w:rPr>
                <w:rFonts w:cs="Times New Roman"/>
                <w:caps w:val="0"/>
                <w:smallCaps w:val="0"/>
                <w:color w:val="auto"/>
                <w:spacing w:val="0"/>
                <w:highlight w:val="none"/>
              </w:rPr>
              <w:t>4</w:t>
            </w:r>
          </w:p>
        </w:tc>
        <w:tc>
          <w:tcPr>
            <w:tcW w:w="309" w:type="pct"/>
            <w:vAlign w:val="center"/>
          </w:tcPr>
          <w:p w14:paraId="6784A0C9">
            <w:pPr>
              <w:pStyle w:val="233"/>
              <w:rPr>
                <w:rFonts w:cs="Times New Roman"/>
                <w:caps w:val="0"/>
                <w:smallCaps w:val="0"/>
                <w:color w:val="auto"/>
                <w:spacing w:val="0"/>
                <w:highlight w:val="none"/>
              </w:rPr>
            </w:pPr>
            <w:r>
              <w:rPr>
                <w:rFonts w:cs="Times New Roman"/>
                <w:caps w:val="0"/>
                <w:smallCaps w:val="0"/>
                <w:color w:val="auto"/>
                <w:spacing w:val="0"/>
                <w:highlight w:val="none"/>
              </w:rPr>
              <w:t>12</w:t>
            </w:r>
          </w:p>
        </w:tc>
        <w:tc>
          <w:tcPr>
            <w:tcW w:w="309" w:type="pct"/>
            <w:vAlign w:val="center"/>
          </w:tcPr>
          <w:p w14:paraId="01765A6C">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103419CA">
            <w:pPr>
              <w:pStyle w:val="233"/>
              <w:rPr>
                <w:rFonts w:cs="Times New Roman"/>
                <w:caps w:val="0"/>
                <w:smallCaps w:val="0"/>
                <w:color w:val="auto"/>
                <w:spacing w:val="0"/>
                <w:highlight w:val="none"/>
              </w:rPr>
            </w:pPr>
            <w:r>
              <w:rPr>
                <w:rFonts w:cs="Times New Roman"/>
                <w:caps w:val="0"/>
                <w:smallCaps w:val="0"/>
                <w:color w:val="auto"/>
                <w:spacing w:val="0"/>
                <w:highlight w:val="none"/>
              </w:rPr>
              <w:t>8</w:t>
            </w:r>
          </w:p>
        </w:tc>
        <w:tc>
          <w:tcPr>
            <w:tcW w:w="387" w:type="pct"/>
            <w:vAlign w:val="center"/>
          </w:tcPr>
          <w:p w14:paraId="0061E9AB">
            <w:pPr>
              <w:pStyle w:val="233"/>
              <w:rPr>
                <w:rFonts w:cs="Times New Roman"/>
                <w:caps w:val="0"/>
                <w:smallCaps w:val="0"/>
                <w:color w:val="auto"/>
                <w:spacing w:val="0"/>
                <w:highlight w:val="none"/>
              </w:rPr>
            </w:pPr>
            <w:r>
              <w:rPr>
                <w:rFonts w:cs="Times New Roman"/>
                <w:caps w:val="0"/>
                <w:smallCaps w:val="0"/>
                <w:color w:val="auto"/>
                <w:spacing w:val="0"/>
                <w:highlight w:val="none"/>
              </w:rPr>
              <w:t>62</w:t>
            </w:r>
          </w:p>
        </w:tc>
        <w:tc>
          <w:tcPr>
            <w:tcW w:w="398" w:type="pct"/>
            <w:vMerge w:val="continue"/>
            <w:vAlign w:val="center"/>
          </w:tcPr>
          <w:p w14:paraId="14552ED6">
            <w:pPr>
              <w:pStyle w:val="233"/>
              <w:rPr>
                <w:rFonts w:cs="Times New Roman"/>
                <w:caps w:val="0"/>
                <w:smallCaps w:val="0"/>
                <w:color w:val="auto"/>
                <w:spacing w:val="0"/>
                <w:highlight w:val="none"/>
              </w:rPr>
            </w:pPr>
          </w:p>
        </w:tc>
        <w:tc>
          <w:tcPr>
            <w:tcW w:w="509" w:type="pct"/>
            <w:vAlign w:val="center"/>
          </w:tcPr>
          <w:p w14:paraId="512A1BF8">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3131E210">
            <w:pPr>
              <w:pStyle w:val="233"/>
              <w:rPr>
                <w:rFonts w:cs="Times New Roman"/>
                <w:caps w:val="0"/>
                <w:smallCaps w:val="0"/>
                <w:color w:val="auto"/>
                <w:spacing w:val="0"/>
                <w:highlight w:val="none"/>
              </w:rPr>
            </w:pPr>
            <w:r>
              <w:rPr>
                <w:rFonts w:cs="Times New Roman"/>
                <w:caps w:val="0"/>
                <w:smallCaps w:val="0"/>
                <w:color w:val="auto"/>
                <w:spacing w:val="0"/>
                <w:highlight w:val="none"/>
              </w:rPr>
              <w:t>42</w:t>
            </w:r>
          </w:p>
        </w:tc>
        <w:tc>
          <w:tcPr>
            <w:tcW w:w="306" w:type="pct"/>
            <w:vAlign w:val="center"/>
          </w:tcPr>
          <w:p w14:paraId="7AE3A338">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2F217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1EBD019B">
            <w:pPr>
              <w:pStyle w:val="233"/>
              <w:rPr>
                <w:rFonts w:cs="Times New Roman"/>
                <w:caps w:val="0"/>
                <w:smallCaps w:val="0"/>
                <w:color w:val="auto"/>
                <w:spacing w:val="0"/>
                <w:highlight w:val="none"/>
              </w:rPr>
            </w:pPr>
            <w:r>
              <w:rPr>
                <w:rFonts w:cs="Times New Roman"/>
                <w:caps w:val="0"/>
                <w:smallCaps w:val="0"/>
                <w:color w:val="auto"/>
                <w:spacing w:val="0"/>
                <w:highlight w:val="none"/>
              </w:rPr>
              <w:t>4</w:t>
            </w:r>
          </w:p>
        </w:tc>
        <w:tc>
          <w:tcPr>
            <w:tcW w:w="266" w:type="pct"/>
            <w:vMerge w:val="continue"/>
            <w:vAlign w:val="center"/>
          </w:tcPr>
          <w:p w14:paraId="1996FD93">
            <w:pPr>
              <w:pStyle w:val="233"/>
              <w:rPr>
                <w:rFonts w:cs="Times New Roman"/>
                <w:caps w:val="0"/>
                <w:smallCaps w:val="0"/>
                <w:color w:val="auto"/>
                <w:spacing w:val="0"/>
                <w:highlight w:val="none"/>
              </w:rPr>
            </w:pPr>
          </w:p>
        </w:tc>
        <w:tc>
          <w:tcPr>
            <w:tcW w:w="410" w:type="pct"/>
            <w:vAlign w:val="center"/>
          </w:tcPr>
          <w:p w14:paraId="042643A9">
            <w:pPr>
              <w:pStyle w:val="233"/>
              <w:rPr>
                <w:rFonts w:cs="Times New Roman"/>
                <w:caps w:val="0"/>
                <w:smallCaps w:val="0"/>
                <w:color w:val="auto"/>
                <w:spacing w:val="0"/>
                <w:highlight w:val="none"/>
              </w:rPr>
            </w:pPr>
            <w:r>
              <w:rPr>
                <w:rFonts w:cs="Times New Roman"/>
                <w:caps w:val="0"/>
                <w:smallCaps w:val="0"/>
                <w:color w:val="auto"/>
                <w:spacing w:val="0"/>
                <w:highlight w:val="none"/>
              </w:rPr>
              <w:t>组框机</w:t>
            </w:r>
          </w:p>
        </w:tc>
        <w:tc>
          <w:tcPr>
            <w:tcW w:w="326" w:type="pct"/>
            <w:vAlign w:val="center"/>
          </w:tcPr>
          <w:p w14:paraId="01ACFACF">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continue"/>
            <w:vAlign w:val="center"/>
          </w:tcPr>
          <w:p w14:paraId="3B46CC0B">
            <w:pPr>
              <w:pStyle w:val="233"/>
              <w:rPr>
                <w:rFonts w:cs="Times New Roman"/>
                <w:caps w:val="0"/>
                <w:smallCaps w:val="0"/>
                <w:color w:val="auto"/>
                <w:spacing w:val="0"/>
                <w:highlight w:val="none"/>
              </w:rPr>
            </w:pPr>
          </w:p>
        </w:tc>
        <w:tc>
          <w:tcPr>
            <w:tcW w:w="309" w:type="pct"/>
            <w:vAlign w:val="center"/>
          </w:tcPr>
          <w:p w14:paraId="5BE801C8">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309" w:type="pct"/>
            <w:vAlign w:val="center"/>
          </w:tcPr>
          <w:p w14:paraId="202D2D25">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309" w:type="pct"/>
            <w:vAlign w:val="center"/>
          </w:tcPr>
          <w:p w14:paraId="7412BE50">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763A9FB3">
            <w:pPr>
              <w:pStyle w:val="233"/>
              <w:rPr>
                <w:rFonts w:cs="Times New Roman"/>
                <w:caps w:val="0"/>
                <w:smallCaps w:val="0"/>
                <w:color w:val="auto"/>
                <w:spacing w:val="0"/>
                <w:highlight w:val="none"/>
              </w:rPr>
            </w:pPr>
            <w:r>
              <w:rPr>
                <w:rFonts w:cs="Times New Roman"/>
                <w:caps w:val="0"/>
                <w:smallCaps w:val="0"/>
                <w:color w:val="auto"/>
                <w:spacing w:val="0"/>
                <w:highlight w:val="none"/>
              </w:rPr>
              <w:t>3</w:t>
            </w:r>
          </w:p>
        </w:tc>
        <w:tc>
          <w:tcPr>
            <w:tcW w:w="387" w:type="pct"/>
            <w:vAlign w:val="center"/>
          </w:tcPr>
          <w:p w14:paraId="1EB5B129">
            <w:pPr>
              <w:pStyle w:val="233"/>
              <w:rPr>
                <w:rFonts w:cs="Times New Roman"/>
                <w:caps w:val="0"/>
                <w:smallCaps w:val="0"/>
                <w:color w:val="auto"/>
                <w:spacing w:val="0"/>
                <w:highlight w:val="none"/>
              </w:rPr>
            </w:pPr>
            <w:r>
              <w:rPr>
                <w:rFonts w:cs="Times New Roman"/>
                <w:caps w:val="0"/>
                <w:smallCaps w:val="0"/>
                <w:color w:val="auto"/>
                <w:spacing w:val="0"/>
                <w:highlight w:val="none"/>
              </w:rPr>
              <w:t>71</w:t>
            </w:r>
          </w:p>
        </w:tc>
        <w:tc>
          <w:tcPr>
            <w:tcW w:w="398" w:type="pct"/>
            <w:vMerge w:val="continue"/>
            <w:vAlign w:val="center"/>
          </w:tcPr>
          <w:p w14:paraId="227F6CCB">
            <w:pPr>
              <w:pStyle w:val="233"/>
              <w:rPr>
                <w:rFonts w:cs="Times New Roman"/>
                <w:caps w:val="0"/>
                <w:smallCaps w:val="0"/>
                <w:color w:val="auto"/>
                <w:spacing w:val="0"/>
                <w:highlight w:val="none"/>
              </w:rPr>
            </w:pPr>
          </w:p>
        </w:tc>
        <w:tc>
          <w:tcPr>
            <w:tcW w:w="946" w:type="dxa"/>
            <w:vAlign w:val="center"/>
          </w:tcPr>
          <w:p w14:paraId="0DAEE2A5">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79F4C49C">
            <w:pPr>
              <w:pStyle w:val="233"/>
              <w:rPr>
                <w:rFonts w:cs="Times New Roman"/>
                <w:caps w:val="0"/>
                <w:smallCaps w:val="0"/>
                <w:color w:val="auto"/>
                <w:spacing w:val="0"/>
                <w:highlight w:val="none"/>
              </w:rPr>
            </w:pPr>
            <w:r>
              <w:rPr>
                <w:rFonts w:cs="Times New Roman"/>
                <w:caps w:val="0"/>
                <w:smallCaps w:val="0"/>
                <w:color w:val="auto"/>
                <w:spacing w:val="0"/>
                <w:highlight w:val="none"/>
              </w:rPr>
              <w:t>51</w:t>
            </w:r>
          </w:p>
        </w:tc>
        <w:tc>
          <w:tcPr>
            <w:tcW w:w="306" w:type="pct"/>
            <w:vAlign w:val="center"/>
          </w:tcPr>
          <w:p w14:paraId="79898C6A">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3F7463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2F8B4525">
            <w:pPr>
              <w:pStyle w:val="233"/>
              <w:rPr>
                <w:rFonts w:cs="Times New Roman"/>
                <w:caps w:val="0"/>
                <w:smallCaps w:val="0"/>
                <w:color w:val="auto"/>
                <w:spacing w:val="0"/>
                <w:highlight w:val="none"/>
              </w:rPr>
            </w:pPr>
            <w:r>
              <w:rPr>
                <w:rFonts w:cs="Times New Roman"/>
                <w:caps w:val="0"/>
                <w:smallCaps w:val="0"/>
                <w:color w:val="auto"/>
                <w:spacing w:val="0"/>
                <w:highlight w:val="none"/>
              </w:rPr>
              <w:t>5</w:t>
            </w:r>
          </w:p>
        </w:tc>
        <w:tc>
          <w:tcPr>
            <w:tcW w:w="266" w:type="pct"/>
            <w:vMerge w:val="continue"/>
            <w:vAlign w:val="center"/>
          </w:tcPr>
          <w:p w14:paraId="153D1A16">
            <w:pPr>
              <w:pStyle w:val="233"/>
              <w:rPr>
                <w:rFonts w:cs="Times New Roman"/>
                <w:caps w:val="0"/>
                <w:smallCaps w:val="0"/>
                <w:color w:val="auto"/>
                <w:spacing w:val="0"/>
                <w:highlight w:val="none"/>
              </w:rPr>
            </w:pPr>
          </w:p>
        </w:tc>
        <w:tc>
          <w:tcPr>
            <w:tcW w:w="410" w:type="pct"/>
            <w:vAlign w:val="center"/>
          </w:tcPr>
          <w:p w14:paraId="31615896">
            <w:pPr>
              <w:pStyle w:val="233"/>
              <w:rPr>
                <w:rFonts w:cs="Times New Roman"/>
                <w:caps w:val="0"/>
                <w:smallCaps w:val="0"/>
                <w:color w:val="auto"/>
                <w:spacing w:val="0"/>
                <w:highlight w:val="none"/>
              </w:rPr>
            </w:pPr>
            <w:r>
              <w:rPr>
                <w:rFonts w:cs="Times New Roman"/>
                <w:caps w:val="0"/>
                <w:smallCaps w:val="0"/>
                <w:color w:val="auto"/>
                <w:spacing w:val="0"/>
                <w:highlight w:val="none"/>
              </w:rPr>
              <w:t>清洗机</w:t>
            </w:r>
          </w:p>
        </w:tc>
        <w:tc>
          <w:tcPr>
            <w:tcW w:w="326" w:type="pct"/>
            <w:vAlign w:val="center"/>
          </w:tcPr>
          <w:p w14:paraId="76C8607D">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continue"/>
            <w:vAlign w:val="center"/>
          </w:tcPr>
          <w:p w14:paraId="08A79CF0">
            <w:pPr>
              <w:pStyle w:val="233"/>
              <w:rPr>
                <w:rFonts w:cs="Times New Roman"/>
                <w:caps w:val="0"/>
                <w:smallCaps w:val="0"/>
                <w:color w:val="auto"/>
                <w:spacing w:val="0"/>
                <w:highlight w:val="none"/>
              </w:rPr>
            </w:pPr>
          </w:p>
        </w:tc>
        <w:tc>
          <w:tcPr>
            <w:tcW w:w="309" w:type="pct"/>
            <w:vAlign w:val="center"/>
          </w:tcPr>
          <w:p w14:paraId="33CC8A62">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309" w:type="pct"/>
            <w:vAlign w:val="center"/>
          </w:tcPr>
          <w:p w14:paraId="7D607FC8">
            <w:pPr>
              <w:pStyle w:val="233"/>
              <w:rPr>
                <w:rFonts w:cs="Times New Roman"/>
                <w:caps w:val="0"/>
                <w:smallCaps w:val="0"/>
                <w:color w:val="auto"/>
                <w:spacing w:val="0"/>
                <w:highlight w:val="none"/>
              </w:rPr>
            </w:pPr>
            <w:r>
              <w:rPr>
                <w:rFonts w:cs="Times New Roman"/>
                <w:caps w:val="0"/>
                <w:smallCaps w:val="0"/>
                <w:color w:val="auto"/>
                <w:spacing w:val="0"/>
                <w:highlight w:val="none"/>
              </w:rPr>
              <w:t>16</w:t>
            </w:r>
          </w:p>
        </w:tc>
        <w:tc>
          <w:tcPr>
            <w:tcW w:w="309" w:type="pct"/>
            <w:vAlign w:val="center"/>
          </w:tcPr>
          <w:p w14:paraId="5BDCA00C">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78482589">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387" w:type="pct"/>
            <w:vAlign w:val="center"/>
          </w:tcPr>
          <w:p w14:paraId="1A578E63">
            <w:pPr>
              <w:pStyle w:val="233"/>
              <w:rPr>
                <w:rFonts w:cs="Times New Roman"/>
                <w:caps w:val="0"/>
                <w:smallCaps w:val="0"/>
                <w:color w:val="auto"/>
                <w:spacing w:val="0"/>
                <w:highlight w:val="none"/>
              </w:rPr>
            </w:pPr>
            <w:r>
              <w:rPr>
                <w:rFonts w:cs="Times New Roman"/>
                <w:caps w:val="0"/>
                <w:smallCaps w:val="0"/>
                <w:color w:val="auto"/>
                <w:spacing w:val="0"/>
                <w:highlight w:val="none"/>
              </w:rPr>
              <w:t>61</w:t>
            </w:r>
          </w:p>
        </w:tc>
        <w:tc>
          <w:tcPr>
            <w:tcW w:w="398" w:type="pct"/>
            <w:vMerge w:val="continue"/>
            <w:vAlign w:val="center"/>
          </w:tcPr>
          <w:p w14:paraId="6B8570F4">
            <w:pPr>
              <w:pStyle w:val="233"/>
              <w:rPr>
                <w:rFonts w:cs="Times New Roman"/>
                <w:caps w:val="0"/>
                <w:smallCaps w:val="0"/>
                <w:color w:val="auto"/>
                <w:spacing w:val="0"/>
                <w:highlight w:val="none"/>
              </w:rPr>
            </w:pPr>
          </w:p>
        </w:tc>
        <w:tc>
          <w:tcPr>
            <w:tcW w:w="946" w:type="dxa"/>
            <w:vAlign w:val="center"/>
          </w:tcPr>
          <w:p w14:paraId="66958650">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45A017E8">
            <w:pPr>
              <w:pStyle w:val="233"/>
              <w:rPr>
                <w:rFonts w:cs="Times New Roman"/>
                <w:caps w:val="0"/>
                <w:smallCaps w:val="0"/>
                <w:color w:val="auto"/>
                <w:spacing w:val="0"/>
                <w:highlight w:val="none"/>
              </w:rPr>
            </w:pPr>
            <w:r>
              <w:rPr>
                <w:rFonts w:cs="Times New Roman"/>
                <w:caps w:val="0"/>
                <w:smallCaps w:val="0"/>
                <w:color w:val="auto"/>
                <w:spacing w:val="0"/>
                <w:highlight w:val="none"/>
              </w:rPr>
              <w:t>41</w:t>
            </w:r>
          </w:p>
        </w:tc>
        <w:tc>
          <w:tcPr>
            <w:tcW w:w="306" w:type="pct"/>
            <w:vAlign w:val="center"/>
          </w:tcPr>
          <w:p w14:paraId="78C0152E">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73290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11BC2314">
            <w:pPr>
              <w:pStyle w:val="233"/>
              <w:rPr>
                <w:rFonts w:cs="Times New Roman"/>
                <w:caps w:val="0"/>
                <w:smallCaps w:val="0"/>
                <w:color w:val="auto"/>
                <w:spacing w:val="0"/>
                <w:highlight w:val="none"/>
              </w:rPr>
            </w:pPr>
            <w:r>
              <w:rPr>
                <w:rFonts w:cs="Times New Roman"/>
                <w:caps w:val="0"/>
                <w:smallCaps w:val="0"/>
                <w:color w:val="auto"/>
                <w:spacing w:val="0"/>
                <w:highlight w:val="none"/>
              </w:rPr>
              <w:t>6</w:t>
            </w:r>
          </w:p>
        </w:tc>
        <w:tc>
          <w:tcPr>
            <w:tcW w:w="266" w:type="pct"/>
            <w:vMerge w:val="continue"/>
            <w:vAlign w:val="center"/>
          </w:tcPr>
          <w:p w14:paraId="02270C9E">
            <w:pPr>
              <w:pStyle w:val="233"/>
              <w:rPr>
                <w:rFonts w:cs="Times New Roman"/>
                <w:caps w:val="0"/>
                <w:smallCaps w:val="0"/>
                <w:color w:val="auto"/>
                <w:spacing w:val="0"/>
                <w:highlight w:val="none"/>
              </w:rPr>
            </w:pPr>
          </w:p>
        </w:tc>
        <w:tc>
          <w:tcPr>
            <w:tcW w:w="410" w:type="pct"/>
            <w:vAlign w:val="center"/>
          </w:tcPr>
          <w:p w14:paraId="750D90EC">
            <w:pPr>
              <w:pStyle w:val="233"/>
              <w:rPr>
                <w:rFonts w:cs="Times New Roman"/>
                <w:caps w:val="0"/>
                <w:smallCaps w:val="0"/>
                <w:color w:val="auto"/>
                <w:spacing w:val="0"/>
                <w:highlight w:val="none"/>
              </w:rPr>
            </w:pPr>
            <w:r>
              <w:rPr>
                <w:rFonts w:cs="Times New Roman"/>
                <w:caps w:val="0"/>
                <w:smallCaps w:val="0"/>
                <w:color w:val="auto"/>
                <w:spacing w:val="0"/>
                <w:highlight w:val="none"/>
              </w:rPr>
              <w:t>风机</w:t>
            </w:r>
          </w:p>
        </w:tc>
        <w:tc>
          <w:tcPr>
            <w:tcW w:w="326" w:type="pct"/>
            <w:vAlign w:val="center"/>
          </w:tcPr>
          <w:p w14:paraId="3E5943E1">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continue"/>
            <w:vAlign w:val="center"/>
          </w:tcPr>
          <w:p w14:paraId="7F83B20F">
            <w:pPr>
              <w:pStyle w:val="233"/>
              <w:rPr>
                <w:rFonts w:cs="Times New Roman"/>
                <w:caps w:val="0"/>
                <w:smallCaps w:val="0"/>
                <w:color w:val="auto"/>
                <w:spacing w:val="0"/>
                <w:highlight w:val="none"/>
              </w:rPr>
            </w:pPr>
          </w:p>
        </w:tc>
        <w:tc>
          <w:tcPr>
            <w:tcW w:w="309" w:type="pct"/>
            <w:vAlign w:val="center"/>
          </w:tcPr>
          <w:p w14:paraId="595ED25E">
            <w:pPr>
              <w:pStyle w:val="233"/>
              <w:rPr>
                <w:rFonts w:cs="Times New Roman"/>
                <w:caps w:val="0"/>
                <w:smallCaps w:val="0"/>
                <w:color w:val="auto"/>
                <w:spacing w:val="0"/>
                <w:highlight w:val="none"/>
              </w:rPr>
            </w:pPr>
            <w:r>
              <w:rPr>
                <w:rFonts w:cs="Times New Roman"/>
                <w:caps w:val="0"/>
                <w:smallCaps w:val="0"/>
                <w:color w:val="auto"/>
                <w:spacing w:val="0"/>
                <w:highlight w:val="none"/>
              </w:rPr>
              <w:t>15</w:t>
            </w:r>
          </w:p>
        </w:tc>
        <w:tc>
          <w:tcPr>
            <w:tcW w:w="309" w:type="pct"/>
            <w:vAlign w:val="center"/>
          </w:tcPr>
          <w:p w14:paraId="4929E009">
            <w:pPr>
              <w:pStyle w:val="233"/>
              <w:rPr>
                <w:rFonts w:cs="Times New Roman"/>
                <w:caps w:val="0"/>
                <w:smallCaps w:val="0"/>
                <w:color w:val="auto"/>
                <w:spacing w:val="0"/>
                <w:highlight w:val="none"/>
              </w:rPr>
            </w:pPr>
            <w:r>
              <w:rPr>
                <w:rFonts w:cs="Times New Roman"/>
                <w:caps w:val="0"/>
                <w:smallCaps w:val="0"/>
                <w:color w:val="auto"/>
                <w:spacing w:val="0"/>
                <w:highlight w:val="none"/>
              </w:rPr>
              <w:t>22</w:t>
            </w:r>
          </w:p>
        </w:tc>
        <w:tc>
          <w:tcPr>
            <w:tcW w:w="309" w:type="pct"/>
            <w:vAlign w:val="center"/>
          </w:tcPr>
          <w:p w14:paraId="567C71BC">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15BCC9ED">
            <w:pPr>
              <w:pStyle w:val="233"/>
              <w:rPr>
                <w:rFonts w:cs="Times New Roman"/>
                <w:caps w:val="0"/>
                <w:smallCaps w:val="0"/>
                <w:color w:val="auto"/>
                <w:spacing w:val="0"/>
                <w:highlight w:val="none"/>
              </w:rPr>
            </w:pPr>
            <w:r>
              <w:rPr>
                <w:rFonts w:cs="Times New Roman"/>
                <w:caps w:val="0"/>
                <w:smallCaps w:val="0"/>
                <w:color w:val="auto"/>
                <w:spacing w:val="0"/>
                <w:highlight w:val="none"/>
              </w:rPr>
              <w:t>15</w:t>
            </w:r>
          </w:p>
        </w:tc>
        <w:tc>
          <w:tcPr>
            <w:tcW w:w="387" w:type="pct"/>
            <w:vAlign w:val="center"/>
          </w:tcPr>
          <w:p w14:paraId="68319BF4">
            <w:pPr>
              <w:pStyle w:val="233"/>
              <w:rPr>
                <w:rFonts w:cs="Times New Roman"/>
                <w:caps w:val="0"/>
                <w:smallCaps w:val="0"/>
                <w:color w:val="auto"/>
                <w:spacing w:val="0"/>
                <w:highlight w:val="none"/>
              </w:rPr>
            </w:pPr>
            <w:r>
              <w:rPr>
                <w:rFonts w:cs="Times New Roman"/>
                <w:caps w:val="0"/>
                <w:smallCaps w:val="0"/>
                <w:color w:val="auto"/>
                <w:spacing w:val="0"/>
                <w:highlight w:val="none"/>
              </w:rPr>
              <w:t>56</w:t>
            </w:r>
          </w:p>
        </w:tc>
        <w:tc>
          <w:tcPr>
            <w:tcW w:w="398" w:type="pct"/>
            <w:vMerge w:val="continue"/>
            <w:vAlign w:val="center"/>
          </w:tcPr>
          <w:p w14:paraId="104135BC">
            <w:pPr>
              <w:pStyle w:val="233"/>
              <w:rPr>
                <w:rFonts w:cs="Times New Roman"/>
                <w:caps w:val="0"/>
                <w:smallCaps w:val="0"/>
                <w:color w:val="auto"/>
                <w:spacing w:val="0"/>
                <w:highlight w:val="none"/>
              </w:rPr>
            </w:pPr>
          </w:p>
        </w:tc>
        <w:tc>
          <w:tcPr>
            <w:tcW w:w="946" w:type="dxa"/>
            <w:vAlign w:val="center"/>
          </w:tcPr>
          <w:p w14:paraId="0817FF15">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3F5F4482">
            <w:pPr>
              <w:pStyle w:val="233"/>
              <w:rPr>
                <w:rFonts w:cs="Times New Roman"/>
                <w:caps w:val="0"/>
                <w:smallCaps w:val="0"/>
                <w:color w:val="auto"/>
                <w:spacing w:val="0"/>
                <w:highlight w:val="none"/>
              </w:rPr>
            </w:pPr>
            <w:r>
              <w:rPr>
                <w:rFonts w:cs="Times New Roman"/>
                <w:caps w:val="0"/>
                <w:smallCaps w:val="0"/>
                <w:color w:val="auto"/>
                <w:spacing w:val="0"/>
                <w:highlight w:val="none"/>
              </w:rPr>
              <w:t>36</w:t>
            </w:r>
          </w:p>
        </w:tc>
        <w:tc>
          <w:tcPr>
            <w:tcW w:w="306" w:type="pct"/>
            <w:vAlign w:val="center"/>
          </w:tcPr>
          <w:p w14:paraId="413A39AE">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r w14:paraId="5C198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4" w:type="pct"/>
            <w:vAlign w:val="center"/>
          </w:tcPr>
          <w:p w14:paraId="374EF49B">
            <w:pPr>
              <w:pStyle w:val="233"/>
              <w:rPr>
                <w:rFonts w:cs="Times New Roman"/>
                <w:caps w:val="0"/>
                <w:smallCaps w:val="0"/>
                <w:color w:val="auto"/>
                <w:spacing w:val="0"/>
                <w:highlight w:val="none"/>
              </w:rPr>
            </w:pPr>
            <w:r>
              <w:rPr>
                <w:rFonts w:cs="Times New Roman"/>
                <w:caps w:val="0"/>
                <w:smallCaps w:val="0"/>
                <w:color w:val="auto"/>
                <w:spacing w:val="0"/>
                <w:highlight w:val="none"/>
              </w:rPr>
              <w:t>7</w:t>
            </w:r>
          </w:p>
        </w:tc>
        <w:tc>
          <w:tcPr>
            <w:tcW w:w="266" w:type="pct"/>
            <w:vMerge w:val="continue"/>
            <w:vAlign w:val="center"/>
          </w:tcPr>
          <w:p w14:paraId="3CC3F755">
            <w:pPr>
              <w:pStyle w:val="233"/>
              <w:rPr>
                <w:rFonts w:cs="Times New Roman"/>
                <w:caps w:val="0"/>
                <w:smallCaps w:val="0"/>
                <w:color w:val="auto"/>
                <w:spacing w:val="0"/>
                <w:highlight w:val="none"/>
              </w:rPr>
            </w:pPr>
          </w:p>
        </w:tc>
        <w:tc>
          <w:tcPr>
            <w:tcW w:w="410" w:type="pct"/>
            <w:vAlign w:val="center"/>
          </w:tcPr>
          <w:p w14:paraId="6E4323E3">
            <w:pPr>
              <w:pStyle w:val="233"/>
              <w:rPr>
                <w:rFonts w:cs="Times New Roman"/>
                <w:caps w:val="0"/>
                <w:smallCaps w:val="0"/>
                <w:color w:val="auto"/>
                <w:spacing w:val="0"/>
                <w:highlight w:val="none"/>
              </w:rPr>
            </w:pPr>
            <w:r>
              <w:rPr>
                <w:rFonts w:cs="Times New Roman"/>
                <w:caps w:val="0"/>
                <w:smallCaps w:val="0"/>
                <w:color w:val="auto"/>
                <w:spacing w:val="0"/>
                <w:highlight w:val="none"/>
              </w:rPr>
              <w:t>风机</w:t>
            </w:r>
          </w:p>
        </w:tc>
        <w:tc>
          <w:tcPr>
            <w:tcW w:w="326" w:type="pct"/>
            <w:vAlign w:val="center"/>
          </w:tcPr>
          <w:p w14:paraId="5DAFCFAD">
            <w:pPr>
              <w:pStyle w:val="233"/>
              <w:rPr>
                <w:rFonts w:cs="Times New Roman"/>
                <w:caps w:val="0"/>
                <w:smallCaps w:val="0"/>
                <w:color w:val="auto"/>
                <w:spacing w:val="0"/>
                <w:highlight w:val="none"/>
              </w:rPr>
            </w:pPr>
            <w:r>
              <w:rPr>
                <w:rFonts w:cs="Times New Roman"/>
                <w:caps w:val="0"/>
                <w:smallCaps w:val="0"/>
                <w:color w:val="auto"/>
                <w:spacing w:val="0"/>
                <w:highlight w:val="none"/>
              </w:rPr>
              <w:t>80</w:t>
            </w:r>
          </w:p>
        </w:tc>
        <w:tc>
          <w:tcPr>
            <w:tcW w:w="398" w:type="pct"/>
            <w:vMerge w:val="continue"/>
            <w:vAlign w:val="center"/>
          </w:tcPr>
          <w:p w14:paraId="3005657F">
            <w:pPr>
              <w:pStyle w:val="233"/>
              <w:rPr>
                <w:rFonts w:cs="Times New Roman"/>
                <w:caps w:val="0"/>
                <w:smallCaps w:val="0"/>
                <w:color w:val="auto"/>
                <w:spacing w:val="0"/>
                <w:highlight w:val="none"/>
              </w:rPr>
            </w:pPr>
          </w:p>
        </w:tc>
        <w:tc>
          <w:tcPr>
            <w:tcW w:w="309" w:type="pct"/>
            <w:vAlign w:val="center"/>
          </w:tcPr>
          <w:p w14:paraId="2EB33921">
            <w:pPr>
              <w:pStyle w:val="233"/>
              <w:rPr>
                <w:rFonts w:cs="Times New Roman"/>
                <w:caps w:val="0"/>
                <w:smallCaps w:val="0"/>
                <w:color w:val="auto"/>
                <w:spacing w:val="0"/>
                <w:highlight w:val="none"/>
              </w:rPr>
            </w:pPr>
            <w:r>
              <w:rPr>
                <w:rFonts w:cs="Times New Roman"/>
                <w:caps w:val="0"/>
                <w:smallCaps w:val="0"/>
                <w:color w:val="auto"/>
                <w:spacing w:val="0"/>
                <w:highlight w:val="none"/>
              </w:rPr>
              <w:t>18</w:t>
            </w:r>
          </w:p>
        </w:tc>
        <w:tc>
          <w:tcPr>
            <w:tcW w:w="309" w:type="pct"/>
            <w:vAlign w:val="center"/>
          </w:tcPr>
          <w:p w14:paraId="6F6DB412">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309" w:type="pct"/>
            <w:vAlign w:val="center"/>
          </w:tcPr>
          <w:p w14:paraId="04454AE5">
            <w:pPr>
              <w:pStyle w:val="233"/>
              <w:rPr>
                <w:rFonts w:cs="Times New Roman"/>
                <w:caps w:val="0"/>
                <w:smallCaps w:val="0"/>
                <w:color w:val="auto"/>
                <w:spacing w:val="0"/>
                <w:highlight w:val="none"/>
              </w:rPr>
            </w:pPr>
            <w:r>
              <w:rPr>
                <w:rFonts w:cs="Times New Roman"/>
                <w:caps w:val="0"/>
                <w:smallCaps w:val="0"/>
                <w:color w:val="auto"/>
                <w:spacing w:val="0"/>
                <w:highlight w:val="none"/>
              </w:rPr>
              <w:t>1</w:t>
            </w:r>
          </w:p>
        </w:tc>
        <w:tc>
          <w:tcPr>
            <w:tcW w:w="292" w:type="pct"/>
            <w:vAlign w:val="center"/>
          </w:tcPr>
          <w:p w14:paraId="419E1A9D">
            <w:pPr>
              <w:pStyle w:val="233"/>
              <w:rPr>
                <w:rFonts w:cs="Times New Roman"/>
                <w:caps w:val="0"/>
                <w:smallCaps w:val="0"/>
                <w:color w:val="auto"/>
                <w:spacing w:val="0"/>
                <w:highlight w:val="none"/>
              </w:rPr>
            </w:pPr>
            <w:r>
              <w:rPr>
                <w:rFonts w:cs="Times New Roman"/>
                <w:caps w:val="0"/>
                <w:smallCaps w:val="0"/>
                <w:color w:val="auto"/>
                <w:spacing w:val="0"/>
                <w:highlight w:val="none"/>
              </w:rPr>
              <w:t>9</w:t>
            </w:r>
          </w:p>
        </w:tc>
        <w:tc>
          <w:tcPr>
            <w:tcW w:w="387" w:type="pct"/>
            <w:vAlign w:val="center"/>
          </w:tcPr>
          <w:p w14:paraId="21DBAF99">
            <w:pPr>
              <w:pStyle w:val="233"/>
              <w:rPr>
                <w:rFonts w:cs="Times New Roman"/>
                <w:caps w:val="0"/>
                <w:smallCaps w:val="0"/>
                <w:color w:val="auto"/>
                <w:spacing w:val="0"/>
                <w:highlight w:val="none"/>
              </w:rPr>
            </w:pPr>
            <w:r>
              <w:rPr>
                <w:rFonts w:cs="Times New Roman"/>
                <w:caps w:val="0"/>
                <w:smallCaps w:val="0"/>
                <w:color w:val="auto"/>
                <w:spacing w:val="0"/>
                <w:highlight w:val="none"/>
              </w:rPr>
              <w:t>61</w:t>
            </w:r>
          </w:p>
        </w:tc>
        <w:tc>
          <w:tcPr>
            <w:tcW w:w="398" w:type="pct"/>
            <w:vMerge w:val="continue"/>
            <w:vAlign w:val="center"/>
          </w:tcPr>
          <w:p w14:paraId="7E245B93">
            <w:pPr>
              <w:pStyle w:val="233"/>
              <w:rPr>
                <w:rFonts w:cs="Times New Roman"/>
                <w:caps w:val="0"/>
                <w:smallCaps w:val="0"/>
                <w:color w:val="auto"/>
                <w:spacing w:val="0"/>
                <w:highlight w:val="none"/>
              </w:rPr>
            </w:pPr>
          </w:p>
        </w:tc>
        <w:tc>
          <w:tcPr>
            <w:tcW w:w="946" w:type="dxa"/>
            <w:vAlign w:val="center"/>
          </w:tcPr>
          <w:p w14:paraId="349C4F05">
            <w:pPr>
              <w:pStyle w:val="233"/>
              <w:rPr>
                <w:rFonts w:cs="Times New Roman"/>
                <w:caps w:val="0"/>
                <w:smallCaps w:val="0"/>
                <w:color w:val="auto"/>
                <w:spacing w:val="0"/>
                <w:highlight w:val="none"/>
              </w:rPr>
            </w:pPr>
            <w:r>
              <w:rPr>
                <w:rFonts w:cs="Times New Roman"/>
                <w:caps w:val="0"/>
                <w:smallCaps w:val="0"/>
                <w:color w:val="auto"/>
                <w:spacing w:val="0"/>
                <w:highlight w:val="none"/>
              </w:rPr>
              <w:t>20</w:t>
            </w:r>
          </w:p>
        </w:tc>
        <w:tc>
          <w:tcPr>
            <w:tcW w:w="509" w:type="pct"/>
            <w:vAlign w:val="center"/>
          </w:tcPr>
          <w:p w14:paraId="4918B6CE">
            <w:pPr>
              <w:pStyle w:val="233"/>
              <w:rPr>
                <w:rFonts w:cs="Times New Roman"/>
                <w:caps w:val="0"/>
                <w:smallCaps w:val="0"/>
                <w:color w:val="auto"/>
                <w:spacing w:val="0"/>
                <w:highlight w:val="none"/>
              </w:rPr>
            </w:pPr>
            <w:r>
              <w:rPr>
                <w:rFonts w:cs="Times New Roman"/>
                <w:caps w:val="0"/>
                <w:smallCaps w:val="0"/>
                <w:color w:val="auto"/>
                <w:spacing w:val="0"/>
                <w:highlight w:val="none"/>
              </w:rPr>
              <w:t>41</w:t>
            </w:r>
          </w:p>
        </w:tc>
        <w:tc>
          <w:tcPr>
            <w:tcW w:w="306" w:type="pct"/>
            <w:vAlign w:val="center"/>
          </w:tcPr>
          <w:p w14:paraId="4D25FF3E">
            <w:pPr>
              <w:pStyle w:val="233"/>
              <w:rPr>
                <w:rFonts w:cs="Times New Roman"/>
                <w:caps w:val="0"/>
                <w:smallCaps w:val="0"/>
                <w:color w:val="auto"/>
                <w:spacing w:val="0"/>
                <w:highlight w:val="none"/>
              </w:rPr>
            </w:pPr>
            <w:r>
              <w:rPr>
                <w:rFonts w:cs="Times New Roman"/>
                <w:caps w:val="0"/>
                <w:smallCaps w:val="0"/>
                <w:color w:val="auto"/>
                <w:spacing w:val="0"/>
                <w:highlight w:val="none"/>
              </w:rPr>
              <w:t>1m</w:t>
            </w:r>
          </w:p>
        </w:tc>
      </w:tr>
    </w:tbl>
    <w:p w14:paraId="167C3ED4">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5.2.3.2预测模式</w:t>
      </w:r>
    </w:p>
    <w:p w14:paraId="70523CDA">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本次评价采用《环境影响评价技术导则-声环境》(HJ2.4-2021)中推荐模式进行预测，具体模式如下：</w:t>
      </w:r>
    </w:p>
    <w:p w14:paraId="7AE550D5">
      <w:pPr>
        <w:pStyle w:val="208"/>
        <w:ind w:firstLine="482"/>
        <w:rPr>
          <w:rFonts w:ascii="Times New Roman" w:hAnsi="Times New Roman" w:eastAsia="宋体" w:cs="Times New Roman"/>
          <w:b/>
          <w:bCs/>
          <w:caps w:val="0"/>
          <w:smallCaps w:val="0"/>
          <w:snapToGrid w:val="0"/>
          <w:color w:val="auto"/>
          <w:spacing w:val="0"/>
          <w:kern w:val="2"/>
          <w:szCs w:val="24"/>
          <w:highlight w:val="none"/>
        </w:rPr>
      </w:pPr>
      <w:r>
        <w:rPr>
          <w:rFonts w:ascii="Times New Roman" w:hAnsi="Times New Roman" w:eastAsia="宋体" w:cs="Times New Roman"/>
          <w:b/>
          <w:bCs/>
          <w:caps w:val="0"/>
          <w:smallCaps w:val="0"/>
          <w:snapToGrid w:val="0"/>
          <w:color w:val="auto"/>
          <w:spacing w:val="0"/>
          <w:kern w:val="2"/>
          <w:szCs w:val="24"/>
          <w:highlight w:val="none"/>
        </w:rPr>
        <w:t>室内声源</w:t>
      </w:r>
    </w:p>
    <w:p w14:paraId="53650F13">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（1）首先计算出某个室内靠近围护结构处的倍频带声压级：</w:t>
      </w:r>
    </w:p>
    <w:p w14:paraId="37ED3FD7">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式中：Loct,1</w:t>
      </w:r>
      <w:r>
        <w:rPr>
          <w:rFonts w:ascii="Times New Roman" w:hAnsi="Times New Roman" w:eastAsia="宋体" w:cs="Times New Roman"/>
          <w:caps w:val="0"/>
          <w:smallCaps w:val="0"/>
          <w:snapToGrid w:val="0"/>
          <w:color w:val="auto"/>
          <w:spacing w:val="0"/>
          <w:kern w:val="2"/>
          <w:szCs w:val="24"/>
          <w:highlight w:val="none"/>
        </w:rPr>
        <w:softHyphen/>
      </w:r>
      <w:r>
        <w:rPr>
          <w:rFonts w:ascii="Times New Roman" w:hAnsi="Times New Roman" w:eastAsia="宋体" w:cs="Times New Roman"/>
          <w:caps w:val="0"/>
          <w:smallCaps w:val="0"/>
          <w:snapToGrid w:val="0"/>
          <w:color w:val="auto"/>
          <w:spacing w:val="0"/>
          <w:kern w:val="2"/>
          <w:szCs w:val="24"/>
          <w:highlight w:val="none"/>
        </w:rPr>
        <w:t>为某个室内声源在靠近围护结构处产生的倍频带声压级，Lwoct为某个声源的倍频带声功率级，r1为室内某个声源与靠近围护结构处的距离，R为房间常数，Q为方向因子。</w:t>
      </w:r>
    </w:p>
    <w:p w14:paraId="25492C29">
      <w:pPr>
        <w:spacing w:line="360" w:lineRule="auto"/>
        <w:jc w:val="center"/>
        <w:rPr>
          <w:rFonts w:ascii="Times New Roman" w:hAnsi="Times New Roman" w:eastAsia="宋体" w:cs="Times New Roman"/>
          <w:caps w:val="0"/>
          <w:smallCaps w:val="0"/>
          <w:snapToGrid w:val="0"/>
          <w:color w:val="auto"/>
          <w:spacing w:val="0"/>
          <w:highlight w:val="none"/>
        </w:rPr>
      </w:pPr>
      <w:r>
        <w:rPr>
          <w:rFonts w:ascii="Times New Roman" w:hAnsi="Times New Roman" w:eastAsia="宋体" w:cs="Times New Roman"/>
          <w:caps w:val="0"/>
          <w:smallCaps w:val="0"/>
          <w:snapToGrid w:val="0"/>
          <w:color w:val="auto"/>
          <w:spacing w:val="0"/>
          <w:highlight w:val="none"/>
        </w:rPr>
        <w:drawing>
          <wp:inline distT="0" distB="0" distL="114300" distR="114300">
            <wp:extent cx="2466975" cy="1419225"/>
            <wp:effectExtent l="0" t="0" r="9525" b="3175"/>
            <wp:docPr id="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pic:cNvPicPr>
                  </pic:nvPicPr>
                  <pic:blipFill>
                    <a:blip r:embed="rId91"/>
                    <a:stretch>
                      <a:fillRect/>
                    </a:stretch>
                  </pic:blipFill>
                  <pic:spPr>
                    <a:xfrm>
                      <a:off x="0" y="0"/>
                      <a:ext cx="2466975" cy="1419225"/>
                    </a:xfrm>
                    <a:prstGeom prst="rect">
                      <a:avLst/>
                    </a:prstGeom>
                    <a:noFill/>
                    <a:ln>
                      <a:noFill/>
                    </a:ln>
                  </pic:spPr>
                </pic:pic>
              </a:graphicData>
            </a:graphic>
          </wp:inline>
        </w:drawing>
      </w:r>
    </w:p>
    <w:p w14:paraId="4931D6B9">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（2）计算出所有室内声源在围护结构处产生的i倍频带叠加声压级：</w:t>
      </w:r>
    </w:p>
    <w:p w14:paraId="637792F0">
      <w:pPr>
        <w:pStyle w:val="208"/>
        <w:ind w:firstLine="0" w:firstLineChars="0"/>
        <w:jc w:val="center"/>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drawing>
          <wp:inline distT="0" distB="0" distL="114300" distR="114300">
            <wp:extent cx="1857375" cy="321310"/>
            <wp:effectExtent l="0" t="0" r="9525" b="8890"/>
            <wp:docPr id="74" name="图片 19"/>
            <wp:cNvGraphicFramePr/>
            <a:graphic xmlns:a="http://schemas.openxmlformats.org/drawingml/2006/main">
              <a:graphicData uri="http://schemas.openxmlformats.org/drawingml/2006/picture">
                <pic:pic xmlns:pic="http://schemas.openxmlformats.org/drawingml/2006/picture">
                  <pic:nvPicPr>
                    <pic:cNvPr id="74" name="图片 19"/>
                    <pic:cNvPicPr/>
                  </pic:nvPicPr>
                  <pic:blipFill>
                    <a:blip r:embed="rId92"/>
                    <a:stretch>
                      <a:fillRect/>
                    </a:stretch>
                  </pic:blipFill>
                  <pic:spPr>
                    <a:xfrm>
                      <a:off x="0" y="0"/>
                      <a:ext cx="1857375" cy="321310"/>
                    </a:xfrm>
                    <a:prstGeom prst="rect">
                      <a:avLst/>
                    </a:prstGeom>
                    <a:noFill/>
                    <a:ln>
                      <a:noFill/>
                    </a:ln>
                  </pic:spPr>
                </pic:pic>
              </a:graphicData>
            </a:graphic>
          </wp:inline>
        </w:drawing>
      </w:r>
    </w:p>
    <w:p w14:paraId="525FD109">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（3）在室内近似为扩散声场时，计算出靠近室外围护结构处的声压级：</w:t>
      </w:r>
    </w:p>
    <w:p w14:paraId="008A9780">
      <w:pPr>
        <w:pStyle w:val="208"/>
        <w:ind w:firstLine="0" w:firstLineChars="0"/>
        <w:jc w:val="center"/>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drawing>
          <wp:inline distT="0" distB="0" distL="114300" distR="114300">
            <wp:extent cx="1887855" cy="321310"/>
            <wp:effectExtent l="0" t="0" r="4445" b="10795"/>
            <wp:docPr id="31" name="图片 20"/>
            <wp:cNvGraphicFramePr/>
            <a:graphic xmlns:a="http://schemas.openxmlformats.org/drawingml/2006/main">
              <a:graphicData uri="http://schemas.openxmlformats.org/drawingml/2006/picture">
                <pic:pic xmlns:pic="http://schemas.openxmlformats.org/drawingml/2006/picture">
                  <pic:nvPicPr>
                    <pic:cNvPr id="31" name="图片 20"/>
                    <pic:cNvPicPr/>
                  </pic:nvPicPr>
                  <pic:blipFill>
                    <a:blip r:embed="rId93"/>
                    <a:stretch>
                      <a:fillRect/>
                    </a:stretch>
                  </pic:blipFill>
                  <pic:spPr>
                    <a:xfrm>
                      <a:off x="0" y="0"/>
                      <a:ext cx="1887855" cy="321310"/>
                    </a:xfrm>
                    <a:prstGeom prst="rect">
                      <a:avLst/>
                    </a:prstGeom>
                    <a:noFill/>
                    <a:ln>
                      <a:noFill/>
                    </a:ln>
                  </pic:spPr>
                </pic:pic>
              </a:graphicData>
            </a:graphic>
          </wp:inline>
        </w:drawing>
      </w:r>
    </w:p>
    <w:p w14:paraId="3DEDD4A3">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（4）将室外声源的声压级和透过面积换算成等效的室外声源，计算出中心位置位于透声面积（S）处的等效声源的倍频带声功率级：</w:t>
      </w:r>
    </w:p>
    <w:p w14:paraId="1B20B1CE">
      <w:pPr>
        <w:pStyle w:val="208"/>
        <w:ind w:firstLine="0" w:firstLineChars="0"/>
        <w:jc w:val="center"/>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drawing>
          <wp:inline distT="0" distB="0" distL="114300" distR="114300">
            <wp:extent cx="1489075" cy="321310"/>
            <wp:effectExtent l="0" t="0" r="9525" b="10795"/>
            <wp:docPr id="38" name="图片 21"/>
            <wp:cNvGraphicFramePr/>
            <a:graphic xmlns:a="http://schemas.openxmlformats.org/drawingml/2006/main">
              <a:graphicData uri="http://schemas.openxmlformats.org/drawingml/2006/picture">
                <pic:pic xmlns:pic="http://schemas.openxmlformats.org/drawingml/2006/picture">
                  <pic:nvPicPr>
                    <pic:cNvPr id="38" name="图片 21"/>
                    <pic:cNvPicPr/>
                  </pic:nvPicPr>
                  <pic:blipFill>
                    <a:blip r:embed="rId94"/>
                    <a:stretch>
                      <a:fillRect/>
                    </a:stretch>
                  </pic:blipFill>
                  <pic:spPr>
                    <a:xfrm>
                      <a:off x="0" y="0"/>
                      <a:ext cx="1489075" cy="321310"/>
                    </a:xfrm>
                    <a:prstGeom prst="rect">
                      <a:avLst/>
                    </a:prstGeom>
                    <a:noFill/>
                    <a:ln>
                      <a:noFill/>
                    </a:ln>
                  </pic:spPr>
                </pic:pic>
              </a:graphicData>
            </a:graphic>
          </wp:inline>
        </w:drawing>
      </w:r>
    </w:p>
    <w:p w14:paraId="2528F763">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式中：S为透声面积，m</w:t>
      </w:r>
      <w:r>
        <w:rPr>
          <w:rFonts w:ascii="Times New Roman" w:hAnsi="Times New Roman" w:eastAsia="宋体" w:cs="Times New Roman"/>
          <w:caps w:val="0"/>
          <w:smallCaps w:val="0"/>
          <w:snapToGrid w:val="0"/>
          <w:color w:val="auto"/>
          <w:spacing w:val="0"/>
          <w:kern w:val="2"/>
          <w:szCs w:val="24"/>
          <w:highlight w:val="none"/>
          <w:vertAlign w:val="superscript"/>
        </w:rPr>
        <w:t>2</w:t>
      </w:r>
      <w:r>
        <w:rPr>
          <w:rFonts w:ascii="Times New Roman" w:hAnsi="Times New Roman" w:eastAsia="宋体" w:cs="Times New Roman"/>
          <w:caps w:val="0"/>
          <w:smallCaps w:val="0"/>
          <w:snapToGrid w:val="0"/>
          <w:color w:val="auto"/>
          <w:spacing w:val="0"/>
          <w:kern w:val="2"/>
          <w:szCs w:val="24"/>
          <w:highlight w:val="none"/>
        </w:rPr>
        <w:t>。</w:t>
      </w:r>
    </w:p>
    <w:p w14:paraId="2BBFED7C">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计算总声压级</w:t>
      </w:r>
    </w:p>
    <w:p w14:paraId="74E771A7">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设第i个室外声源在预测点产生的A声级为LAi，在T时间内该声源工作时间为ti；第j个等效室外声源在预测点产生的A声级为LAj，在T时间内该声源工作时间为tj，则拟建工程声源对预测点产生的贡献值（L</w:t>
      </w:r>
      <w:r>
        <w:rPr>
          <w:rFonts w:hint="eastAsia" w:ascii="Times New Roman" w:hAnsi="Times New Roman" w:eastAsia="宋体" w:cs="Times New Roman"/>
          <w:caps w:val="0"/>
          <w:smallCaps w:val="0"/>
          <w:snapToGrid w:val="0"/>
          <w:color w:val="auto"/>
          <w:spacing w:val="0"/>
          <w:kern w:val="2"/>
          <w:szCs w:val="24"/>
          <w:highlight w:val="none"/>
        </w:rPr>
        <w:t>×10</w:t>
      </w:r>
      <w:r>
        <w:rPr>
          <w:rFonts w:ascii="Times New Roman" w:hAnsi="Times New Roman" w:eastAsia="宋体" w:cs="Times New Roman"/>
          <w:caps w:val="0"/>
          <w:smallCaps w:val="0"/>
          <w:snapToGrid w:val="0"/>
          <w:color w:val="auto"/>
          <w:spacing w:val="0"/>
          <w:kern w:val="2"/>
          <w:szCs w:val="24"/>
          <w:highlight w:val="none"/>
        </w:rPr>
        <w:t>qg）为：</w:t>
      </w:r>
    </w:p>
    <w:p w14:paraId="08C81D5A">
      <w:pPr>
        <w:pStyle w:val="208"/>
        <w:spacing w:line="240" w:lineRule="auto"/>
        <w:ind w:firstLine="0" w:firstLineChars="0"/>
        <w:jc w:val="center"/>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drawing>
          <wp:inline distT="0" distB="0" distL="114300" distR="114300">
            <wp:extent cx="3072765" cy="583565"/>
            <wp:effectExtent l="0" t="0" r="635" b="635"/>
            <wp:docPr id="89" name="图片 22"/>
            <wp:cNvGraphicFramePr/>
            <a:graphic xmlns:a="http://schemas.openxmlformats.org/drawingml/2006/main">
              <a:graphicData uri="http://schemas.openxmlformats.org/drawingml/2006/picture">
                <pic:pic xmlns:pic="http://schemas.openxmlformats.org/drawingml/2006/picture">
                  <pic:nvPicPr>
                    <pic:cNvPr id="89" name="图片 22"/>
                    <pic:cNvPicPr/>
                  </pic:nvPicPr>
                  <pic:blipFill>
                    <a:blip r:embed="rId95"/>
                    <a:stretch>
                      <a:fillRect/>
                    </a:stretch>
                  </pic:blipFill>
                  <pic:spPr>
                    <a:xfrm>
                      <a:off x="0" y="0"/>
                      <a:ext cx="3072765" cy="583565"/>
                    </a:xfrm>
                    <a:prstGeom prst="rect">
                      <a:avLst/>
                    </a:prstGeom>
                    <a:noFill/>
                    <a:ln>
                      <a:noFill/>
                    </a:ln>
                  </pic:spPr>
                </pic:pic>
              </a:graphicData>
            </a:graphic>
          </wp:inline>
        </w:drawing>
      </w:r>
    </w:p>
    <w:p w14:paraId="2FB2F69E">
      <w:pPr>
        <w:pStyle w:val="208"/>
        <w:ind w:firstLine="480"/>
        <w:rPr>
          <w:rFonts w:ascii="Times New Roman" w:hAnsi="Times New Roman" w:eastAsia="宋体" w:cs="Times New Roman"/>
          <w:caps w:val="0"/>
          <w:smallCaps w:val="0"/>
          <w:snapToGrid w:val="0"/>
          <w:color w:val="auto"/>
          <w:spacing w:val="0"/>
          <w:kern w:val="2"/>
          <w:szCs w:val="24"/>
          <w:highlight w:val="none"/>
        </w:rPr>
      </w:pPr>
      <w:r>
        <w:rPr>
          <w:rFonts w:ascii="Times New Roman" w:hAnsi="Times New Roman" w:eastAsia="宋体" w:cs="Times New Roman"/>
          <w:caps w:val="0"/>
          <w:smallCaps w:val="0"/>
          <w:snapToGrid w:val="0"/>
          <w:color w:val="auto"/>
          <w:spacing w:val="0"/>
          <w:kern w:val="2"/>
          <w:szCs w:val="24"/>
          <w:highlight w:val="none"/>
        </w:rPr>
        <w:t>式中：T为计算等效声级的时间，N为室外声源个数，M为等效室外声源个数。</w:t>
      </w:r>
    </w:p>
    <w:p w14:paraId="56BB5ABB">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5.2.3.3预测结果</w:t>
      </w:r>
    </w:p>
    <w:p w14:paraId="04EBAC86">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本项目噪声源强及预测结果如表5.2-2所示。由表5.2-2可知，本项目投产后厂界昼间噪声贡献值在27.9dB(A)~42.7dB(A)之间，</w:t>
      </w:r>
      <w:r>
        <w:rPr>
          <w:rFonts w:eastAsia="宋体"/>
          <w:caps w:val="0"/>
          <w:smallCaps w:val="0"/>
          <w:color w:val="auto"/>
          <w:spacing w:val="0"/>
          <w:highlight w:val="none"/>
        </w:rPr>
        <w:t>厂界</w:t>
      </w:r>
      <w:r>
        <w:rPr>
          <w:rFonts w:hint="eastAsia" w:eastAsia="宋体"/>
          <w:caps w:val="0"/>
          <w:smallCaps w:val="0"/>
          <w:color w:val="auto"/>
          <w:spacing w:val="0"/>
          <w:highlight w:val="none"/>
          <w:lang w:val="en-US" w:eastAsia="zh-CN"/>
        </w:rPr>
        <w:t>北侧和西侧</w:t>
      </w:r>
      <w:r>
        <w:rPr>
          <w:rFonts w:eastAsia="宋体"/>
          <w:caps w:val="0"/>
          <w:smallCaps w:val="0"/>
          <w:color w:val="auto"/>
          <w:spacing w:val="0"/>
          <w:highlight w:val="none"/>
        </w:rPr>
        <w:t>昼间噪声贡献值满足《工业企业厂界环境噪声排放标准》（GB12348-2008）表1中3类标准</w:t>
      </w:r>
      <w:r>
        <w:rPr>
          <w:rFonts w:hint="eastAsia" w:eastAsia="宋体"/>
          <w:caps w:val="0"/>
          <w:smallCaps w:val="0"/>
          <w:color w:val="auto"/>
          <w:spacing w:val="0"/>
          <w:highlight w:val="none"/>
          <w:lang w:eastAsia="zh-CN"/>
        </w:rPr>
        <w:t>，</w:t>
      </w:r>
      <w:r>
        <w:rPr>
          <w:rFonts w:eastAsia="宋体"/>
          <w:caps w:val="0"/>
          <w:smallCaps w:val="0"/>
          <w:color w:val="auto"/>
          <w:spacing w:val="0"/>
          <w:highlight w:val="none"/>
        </w:rPr>
        <w:t>厂界</w:t>
      </w:r>
      <w:r>
        <w:rPr>
          <w:rFonts w:hint="eastAsia" w:eastAsia="宋体"/>
          <w:caps w:val="0"/>
          <w:smallCaps w:val="0"/>
          <w:color w:val="auto"/>
          <w:spacing w:val="0"/>
          <w:highlight w:val="none"/>
          <w:lang w:val="en-US" w:eastAsia="zh-CN"/>
        </w:rPr>
        <w:t>南侧和东侧</w:t>
      </w:r>
      <w:r>
        <w:rPr>
          <w:rFonts w:eastAsia="宋体"/>
          <w:caps w:val="0"/>
          <w:smallCaps w:val="0"/>
          <w:color w:val="auto"/>
          <w:spacing w:val="0"/>
          <w:highlight w:val="none"/>
        </w:rPr>
        <w:t>昼间噪声贡献值满足《工业企业厂界环境噪声排放标准》（GB12348-2008）表1中</w:t>
      </w:r>
      <w:r>
        <w:rPr>
          <w:rFonts w:hint="eastAsia" w:eastAsia="宋体"/>
          <w:caps w:val="0"/>
          <w:smallCaps w:val="0"/>
          <w:color w:val="auto"/>
          <w:spacing w:val="0"/>
          <w:highlight w:val="none"/>
          <w:lang w:val="en-US" w:eastAsia="zh-CN"/>
        </w:rPr>
        <w:t>4</w:t>
      </w:r>
      <w:r>
        <w:rPr>
          <w:rFonts w:eastAsia="宋体"/>
          <w:caps w:val="0"/>
          <w:smallCaps w:val="0"/>
          <w:color w:val="auto"/>
          <w:spacing w:val="0"/>
          <w:highlight w:val="none"/>
        </w:rPr>
        <w:t>类标准。</w:t>
      </w:r>
      <w:r>
        <w:rPr>
          <w:rFonts w:eastAsia="宋体"/>
          <w:caps w:val="0"/>
          <w:smallCaps w:val="0"/>
          <w:color w:val="auto"/>
          <w:spacing w:val="0"/>
          <w:highlight w:val="none"/>
        </w:rPr>
        <w:t>昼夜噪声贡献值等值线图见图5.2-1。</w:t>
      </w:r>
    </w:p>
    <w:p w14:paraId="4CD60699">
      <w:pPr>
        <w:widowControl w:val="0"/>
        <w:jc w:val="center"/>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表5.2-1</w:t>
      </w:r>
      <w:r>
        <w:rPr>
          <w:rFonts w:hint="eastAsia" w:ascii="Times New Roman" w:hAnsi="Times New Roman" w:eastAsia="宋体" w:cs="Times New Roman"/>
          <w:b/>
          <w:bCs/>
          <w:caps w:val="0"/>
          <w:smallCaps w:val="0"/>
          <w:color w:val="auto"/>
          <w:spacing w:val="0"/>
          <w:highlight w:val="none"/>
          <w:lang w:val="en-US" w:eastAsia="zh-CN"/>
        </w:rPr>
        <w:t>3</w:t>
      </w:r>
      <w:r>
        <w:rPr>
          <w:rFonts w:ascii="Times New Roman" w:hAnsi="Times New Roman" w:eastAsia="宋体" w:cs="Times New Roman"/>
          <w:b/>
          <w:bCs/>
          <w:caps w:val="0"/>
          <w:smallCaps w:val="0"/>
          <w:color w:val="auto"/>
          <w:spacing w:val="0"/>
          <w:highlight w:val="none"/>
        </w:rPr>
        <w:t>厂界噪声预测结果一览表单位：dB(A)</w:t>
      </w:r>
    </w:p>
    <w:tbl>
      <w:tblPr>
        <w:tblStyle w:val="176"/>
        <w:tblW w:w="500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839"/>
        <w:gridCol w:w="1218"/>
        <w:gridCol w:w="1144"/>
        <w:gridCol w:w="1173"/>
        <w:gridCol w:w="1187"/>
        <w:gridCol w:w="1132"/>
        <w:gridCol w:w="1392"/>
      </w:tblGrid>
      <w:tr w14:paraId="2F401E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839" w:type="dxa"/>
            <w:vMerge w:val="restart"/>
            <w:tcBorders>
              <w:top w:val="single" w:color="auto" w:sz="8" w:space="0"/>
              <w:tl2br w:val="nil"/>
              <w:tr2bl w:val="nil"/>
            </w:tcBorders>
          </w:tcPr>
          <w:p w14:paraId="74FA3877">
            <w:pPr>
              <w:pStyle w:val="195"/>
              <w:widowControl w:val="0"/>
              <w:spacing w:before="191" w:line="230" w:lineRule="auto"/>
              <w:ind w:left="70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位置</w:t>
            </w:r>
          </w:p>
        </w:tc>
        <w:tc>
          <w:tcPr>
            <w:tcW w:w="2362" w:type="dxa"/>
            <w:gridSpan w:val="2"/>
            <w:tcBorders>
              <w:top w:val="single" w:color="auto" w:sz="8" w:space="0"/>
              <w:tl2br w:val="nil"/>
              <w:tr2bl w:val="nil"/>
            </w:tcBorders>
          </w:tcPr>
          <w:p w14:paraId="5E53AD95">
            <w:pPr>
              <w:pStyle w:val="195"/>
              <w:widowControl w:val="0"/>
              <w:spacing w:before="35" w:line="228" w:lineRule="auto"/>
              <w:ind w:left="86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贡献值</w:t>
            </w:r>
          </w:p>
        </w:tc>
        <w:tc>
          <w:tcPr>
            <w:tcW w:w="2360" w:type="dxa"/>
            <w:gridSpan w:val="2"/>
            <w:tcBorders>
              <w:top w:val="single" w:color="auto" w:sz="8" w:space="0"/>
              <w:tl2br w:val="nil"/>
              <w:tr2bl w:val="nil"/>
            </w:tcBorders>
          </w:tcPr>
          <w:p w14:paraId="7AA35EEA">
            <w:pPr>
              <w:pStyle w:val="195"/>
              <w:widowControl w:val="0"/>
              <w:spacing w:before="40" w:line="226" w:lineRule="auto"/>
              <w:ind w:left="97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标准</w:t>
            </w:r>
          </w:p>
        </w:tc>
        <w:tc>
          <w:tcPr>
            <w:tcW w:w="2524" w:type="dxa"/>
            <w:gridSpan w:val="2"/>
            <w:tcBorders>
              <w:top w:val="single" w:color="auto" w:sz="8" w:space="0"/>
              <w:tl2br w:val="nil"/>
              <w:tr2bl w:val="nil"/>
            </w:tcBorders>
          </w:tcPr>
          <w:p w14:paraId="1855B0F7">
            <w:pPr>
              <w:pStyle w:val="195"/>
              <w:widowControl w:val="0"/>
              <w:spacing w:before="40" w:line="226" w:lineRule="auto"/>
              <w:ind w:left="83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达标情况</w:t>
            </w:r>
          </w:p>
        </w:tc>
      </w:tr>
      <w:tr w14:paraId="3F5D32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839" w:type="dxa"/>
            <w:vMerge w:val="continue"/>
            <w:tcBorders>
              <w:bottom w:val="single" w:color="auto" w:sz="8" w:space="0"/>
              <w:tl2br w:val="nil"/>
              <w:tr2bl w:val="nil"/>
            </w:tcBorders>
          </w:tcPr>
          <w:p w14:paraId="006BAAFA">
            <w:pPr>
              <w:widowControl w:val="0"/>
              <w:rPr>
                <w:rFonts w:ascii="Times New Roman" w:hAnsi="Times New Roman" w:eastAsia="宋体" w:cs="Times New Roman"/>
                <w:caps w:val="0"/>
                <w:smallCaps w:val="0"/>
                <w:color w:val="auto"/>
                <w:spacing w:val="0"/>
                <w:sz w:val="21"/>
                <w:highlight w:val="none"/>
                <w:lang w:eastAsia="en-US"/>
              </w:rPr>
            </w:pPr>
          </w:p>
        </w:tc>
        <w:tc>
          <w:tcPr>
            <w:tcW w:w="1218" w:type="dxa"/>
            <w:tcBorders>
              <w:bottom w:val="single" w:color="auto" w:sz="8" w:space="0"/>
              <w:tl2br w:val="nil"/>
              <w:tr2bl w:val="nil"/>
            </w:tcBorders>
          </w:tcPr>
          <w:p w14:paraId="52187AFB">
            <w:pPr>
              <w:pStyle w:val="195"/>
              <w:widowControl w:val="0"/>
              <w:spacing w:before="27" w:line="229" w:lineRule="auto"/>
              <w:ind w:left="394"/>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昼间</w:t>
            </w:r>
          </w:p>
        </w:tc>
        <w:tc>
          <w:tcPr>
            <w:tcW w:w="1144" w:type="dxa"/>
            <w:tcBorders>
              <w:bottom w:val="single" w:color="auto" w:sz="8" w:space="0"/>
              <w:tl2br w:val="nil"/>
              <w:tr2bl w:val="nil"/>
            </w:tcBorders>
          </w:tcPr>
          <w:p w14:paraId="03992F36">
            <w:pPr>
              <w:pStyle w:val="195"/>
              <w:widowControl w:val="0"/>
              <w:spacing w:before="28" w:line="228" w:lineRule="auto"/>
              <w:ind w:left="362"/>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夜间</w:t>
            </w:r>
          </w:p>
        </w:tc>
        <w:tc>
          <w:tcPr>
            <w:tcW w:w="1173" w:type="dxa"/>
            <w:tcBorders>
              <w:bottom w:val="single" w:color="auto" w:sz="8" w:space="0"/>
              <w:tl2br w:val="nil"/>
              <w:tr2bl w:val="nil"/>
            </w:tcBorders>
          </w:tcPr>
          <w:p w14:paraId="4AEA267F">
            <w:pPr>
              <w:pStyle w:val="195"/>
              <w:widowControl w:val="0"/>
              <w:spacing w:before="32" w:line="225" w:lineRule="auto"/>
              <w:ind w:left="374"/>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昼间</w:t>
            </w:r>
          </w:p>
        </w:tc>
        <w:tc>
          <w:tcPr>
            <w:tcW w:w="1187" w:type="dxa"/>
            <w:tcBorders>
              <w:bottom w:val="single" w:color="auto" w:sz="8" w:space="0"/>
              <w:tl2br w:val="nil"/>
              <w:tr2bl w:val="nil"/>
            </w:tcBorders>
          </w:tcPr>
          <w:p w14:paraId="1AE4E2B1">
            <w:pPr>
              <w:pStyle w:val="195"/>
              <w:widowControl w:val="0"/>
              <w:spacing w:before="32" w:line="225" w:lineRule="auto"/>
              <w:ind w:left="38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夜间</w:t>
            </w:r>
          </w:p>
        </w:tc>
        <w:tc>
          <w:tcPr>
            <w:tcW w:w="1132" w:type="dxa"/>
            <w:tcBorders>
              <w:bottom w:val="single" w:color="auto" w:sz="8" w:space="0"/>
              <w:tl2br w:val="nil"/>
              <w:tr2bl w:val="nil"/>
            </w:tcBorders>
          </w:tcPr>
          <w:p w14:paraId="1EFA4040">
            <w:pPr>
              <w:pStyle w:val="195"/>
              <w:widowControl w:val="0"/>
              <w:spacing w:before="32" w:line="225" w:lineRule="auto"/>
              <w:ind w:left="35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昼间</w:t>
            </w:r>
          </w:p>
        </w:tc>
        <w:tc>
          <w:tcPr>
            <w:tcW w:w="1392" w:type="dxa"/>
            <w:tcBorders>
              <w:bottom w:val="single" w:color="auto" w:sz="8" w:space="0"/>
              <w:tl2br w:val="nil"/>
              <w:tr2bl w:val="nil"/>
            </w:tcBorders>
          </w:tcPr>
          <w:p w14:paraId="40040144">
            <w:pPr>
              <w:pStyle w:val="195"/>
              <w:widowControl w:val="0"/>
              <w:spacing w:before="32" w:line="225" w:lineRule="auto"/>
              <w:ind w:left="49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夜间</w:t>
            </w:r>
          </w:p>
        </w:tc>
      </w:tr>
      <w:tr w14:paraId="451B60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839" w:type="dxa"/>
            <w:tcBorders>
              <w:top w:val="single" w:color="auto" w:sz="8" w:space="0"/>
              <w:tl2br w:val="nil"/>
              <w:tr2bl w:val="nil"/>
            </w:tcBorders>
          </w:tcPr>
          <w:p w14:paraId="7645FC1C">
            <w:pPr>
              <w:pStyle w:val="195"/>
              <w:widowControl w:val="0"/>
              <w:spacing w:before="5" w:line="270" w:lineRule="exact"/>
              <w:ind w:left="514"/>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position w:val="1"/>
                <w:highlight w:val="none"/>
              </w:rPr>
              <w:t>1#东厂界</w:t>
            </w:r>
          </w:p>
        </w:tc>
        <w:tc>
          <w:tcPr>
            <w:tcW w:w="1218" w:type="dxa"/>
            <w:tcBorders>
              <w:top w:val="single" w:color="auto" w:sz="8" w:space="0"/>
              <w:tl2br w:val="nil"/>
              <w:tr2bl w:val="nil"/>
            </w:tcBorders>
          </w:tcPr>
          <w:p w14:paraId="6C6A5EAD">
            <w:pPr>
              <w:widowControl w:val="0"/>
              <w:spacing w:before="50" w:line="195" w:lineRule="auto"/>
              <w:ind w:left="421"/>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24</w:t>
            </w:r>
          </w:p>
        </w:tc>
        <w:tc>
          <w:tcPr>
            <w:tcW w:w="1144" w:type="dxa"/>
            <w:tcBorders>
              <w:top w:val="single" w:color="auto" w:sz="8" w:space="0"/>
              <w:tl2br w:val="nil"/>
              <w:tr2bl w:val="nil"/>
            </w:tcBorders>
            <w:vAlign w:val="top"/>
          </w:tcPr>
          <w:p w14:paraId="1C46DE7B">
            <w:pPr>
              <w:widowControl w:val="0"/>
              <w:spacing w:before="50" w:line="195" w:lineRule="auto"/>
              <w:ind w:left="421" w:leftChars="0"/>
              <w:rPr>
                <w:rFonts w:ascii="Times New Roman" w:hAnsi="Times New Roman" w:eastAsia="宋体" w:cs="Times New Roman"/>
                <w:caps w:val="0"/>
                <w:smallCaps w:val="0"/>
                <w:color w:val="auto"/>
                <w:spacing w:val="0"/>
                <w:sz w:val="20"/>
                <w:szCs w:val="20"/>
                <w:highlight w:val="none"/>
                <w:lang w:eastAsia="en-US"/>
              </w:rPr>
            </w:pPr>
            <w:r>
              <w:rPr>
                <w:rFonts w:hint="eastAsia" w:ascii="Times New Roman" w:hAnsi="Times New Roman" w:eastAsia="宋体" w:cs="Times New Roman"/>
                <w:caps w:val="0"/>
                <w:smallCaps w:val="0"/>
                <w:color w:val="auto"/>
                <w:spacing w:val="0"/>
                <w:sz w:val="20"/>
                <w:szCs w:val="20"/>
                <w:highlight w:val="none"/>
                <w:lang w:val="en-US" w:eastAsia="zh-CN"/>
              </w:rPr>
              <w:t>24</w:t>
            </w:r>
          </w:p>
        </w:tc>
        <w:tc>
          <w:tcPr>
            <w:tcW w:w="1173" w:type="dxa"/>
            <w:vMerge w:val="restart"/>
            <w:tcBorders>
              <w:top w:val="single" w:color="auto" w:sz="8" w:space="0"/>
              <w:tl2br w:val="nil"/>
              <w:tr2bl w:val="nil"/>
            </w:tcBorders>
            <w:vAlign w:val="center"/>
          </w:tcPr>
          <w:p w14:paraId="2FA7DED8">
            <w:pPr>
              <w:widowControl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70</w:t>
            </w:r>
          </w:p>
        </w:tc>
        <w:tc>
          <w:tcPr>
            <w:tcW w:w="1187" w:type="dxa"/>
            <w:vMerge w:val="restart"/>
            <w:tcBorders>
              <w:top w:val="single" w:color="auto" w:sz="8" w:space="0"/>
              <w:tl2br w:val="nil"/>
              <w:tr2bl w:val="nil"/>
            </w:tcBorders>
            <w:vAlign w:val="center"/>
          </w:tcPr>
          <w:p w14:paraId="2CE48F0C">
            <w:pPr>
              <w:widowControl w:val="0"/>
              <w:jc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55</w:t>
            </w:r>
          </w:p>
        </w:tc>
        <w:tc>
          <w:tcPr>
            <w:tcW w:w="1132" w:type="dxa"/>
            <w:tcBorders>
              <w:top w:val="single" w:color="auto" w:sz="8" w:space="0"/>
              <w:tl2br w:val="nil"/>
              <w:tr2bl w:val="nil"/>
            </w:tcBorders>
          </w:tcPr>
          <w:p w14:paraId="376A4C34">
            <w:pPr>
              <w:pStyle w:val="195"/>
              <w:widowControl w:val="0"/>
              <w:spacing w:before="36" w:line="220" w:lineRule="auto"/>
              <w:ind w:left="35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c>
          <w:tcPr>
            <w:tcW w:w="1392" w:type="dxa"/>
            <w:tcBorders>
              <w:top w:val="single" w:color="auto" w:sz="8" w:space="0"/>
              <w:tl2br w:val="nil"/>
              <w:tr2bl w:val="nil"/>
            </w:tcBorders>
          </w:tcPr>
          <w:p w14:paraId="010BD221">
            <w:pPr>
              <w:pStyle w:val="195"/>
              <w:widowControl w:val="0"/>
              <w:spacing w:before="36" w:line="220" w:lineRule="auto"/>
              <w:ind w:left="48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r>
      <w:tr w14:paraId="1364E6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839" w:type="dxa"/>
            <w:tcBorders>
              <w:tl2br w:val="nil"/>
              <w:tr2bl w:val="nil"/>
            </w:tcBorders>
          </w:tcPr>
          <w:p w14:paraId="39D2398F">
            <w:pPr>
              <w:pStyle w:val="195"/>
              <w:widowControl w:val="0"/>
              <w:spacing w:before="7" w:line="267" w:lineRule="exact"/>
              <w:ind w:left="494"/>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position w:val="1"/>
                <w:highlight w:val="none"/>
              </w:rPr>
              <w:t>2#南厂界</w:t>
            </w:r>
          </w:p>
        </w:tc>
        <w:tc>
          <w:tcPr>
            <w:tcW w:w="1218" w:type="dxa"/>
            <w:tcBorders>
              <w:tl2br w:val="nil"/>
              <w:tr2bl w:val="nil"/>
            </w:tcBorders>
          </w:tcPr>
          <w:p w14:paraId="22226764">
            <w:pPr>
              <w:widowControl w:val="0"/>
              <w:spacing w:before="55" w:line="195" w:lineRule="auto"/>
              <w:ind w:left="420"/>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37</w:t>
            </w:r>
          </w:p>
        </w:tc>
        <w:tc>
          <w:tcPr>
            <w:tcW w:w="1144" w:type="dxa"/>
            <w:tcBorders>
              <w:tl2br w:val="nil"/>
              <w:tr2bl w:val="nil"/>
            </w:tcBorders>
            <w:vAlign w:val="top"/>
          </w:tcPr>
          <w:p w14:paraId="6DDC1CA5">
            <w:pPr>
              <w:widowControl w:val="0"/>
              <w:spacing w:before="55" w:line="195" w:lineRule="auto"/>
              <w:ind w:left="420" w:leftChars="0"/>
              <w:rPr>
                <w:rFonts w:ascii="Times New Roman" w:hAnsi="Times New Roman" w:eastAsia="宋体" w:cs="Times New Roman"/>
                <w:caps w:val="0"/>
                <w:smallCaps w:val="0"/>
                <w:color w:val="auto"/>
                <w:spacing w:val="0"/>
                <w:sz w:val="20"/>
                <w:szCs w:val="20"/>
                <w:highlight w:val="none"/>
                <w:lang w:eastAsia="en-US"/>
              </w:rPr>
            </w:pPr>
            <w:r>
              <w:rPr>
                <w:rFonts w:hint="eastAsia" w:ascii="Times New Roman" w:hAnsi="Times New Roman" w:eastAsia="宋体" w:cs="Times New Roman"/>
                <w:caps w:val="0"/>
                <w:smallCaps w:val="0"/>
                <w:color w:val="auto"/>
                <w:spacing w:val="0"/>
                <w:sz w:val="20"/>
                <w:szCs w:val="20"/>
                <w:highlight w:val="none"/>
                <w:lang w:val="en-US" w:eastAsia="zh-CN"/>
              </w:rPr>
              <w:t>37</w:t>
            </w:r>
          </w:p>
        </w:tc>
        <w:tc>
          <w:tcPr>
            <w:tcW w:w="1173" w:type="dxa"/>
            <w:vMerge w:val="continue"/>
            <w:tcBorders>
              <w:tl2br w:val="nil"/>
              <w:tr2bl w:val="nil"/>
            </w:tcBorders>
            <w:vAlign w:val="center"/>
          </w:tcPr>
          <w:p w14:paraId="5AE4D1E7">
            <w:pPr>
              <w:widowControl w:val="0"/>
              <w:jc w:val="center"/>
              <w:rPr>
                <w:rFonts w:hint="default" w:ascii="Times New Roman" w:hAnsi="Times New Roman" w:eastAsia="宋体" w:cs="Times New Roman"/>
                <w:caps w:val="0"/>
                <w:smallCaps w:val="0"/>
                <w:color w:val="auto"/>
                <w:spacing w:val="0"/>
                <w:sz w:val="21"/>
                <w:highlight w:val="none"/>
                <w:lang w:val="en-US" w:eastAsia="zh-CN"/>
              </w:rPr>
            </w:pPr>
          </w:p>
        </w:tc>
        <w:tc>
          <w:tcPr>
            <w:tcW w:w="1187" w:type="dxa"/>
            <w:vMerge w:val="continue"/>
            <w:tcBorders>
              <w:tl2br w:val="nil"/>
              <w:tr2bl w:val="nil"/>
            </w:tcBorders>
            <w:vAlign w:val="center"/>
          </w:tcPr>
          <w:p w14:paraId="62BA61F7">
            <w:pPr>
              <w:widowControl w:val="0"/>
              <w:jc w:val="center"/>
              <w:rPr>
                <w:rFonts w:hint="default" w:ascii="Times New Roman" w:hAnsi="Times New Roman" w:eastAsia="宋体" w:cs="Times New Roman"/>
                <w:caps w:val="0"/>
                <w:smallCaps w:val="0"/>
                <w:color w:val="auto"/>
                <w:spacing w:val="0"/>
                <w:sz w:val="21"/>
                <w:highlight w:val="none"/>
                <w:lang w:val="en-US" w:eastAsia="zh-CN"/>
              </w:rPr>
            </w:pPr>
          </w:p>
        </w:tc>
        <w:tc>
          <w:tcPr>
            <w:tcW w:w="1132" w:type="dxa"/>
            <w:tcBorders>
              <w:tl2br w:val="nil"/>
              <w:tr2bl w:val="nil"/>
            </w:tcBorders>
          </w:tcPr>
          <w:p w14:paraId="7CCECA2F">
            <w:pPr>
              <w:pStyle w:val="195"/>
              <w:widowControl w:val="0"/>
              <w:spacing w:before="38" w:line="218" w:lineRule="auto"/>
              <w:ind w:left="35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c>
          <w:tcPr>
            <w:tcW w:w="1392" w:type="dxa"/>
            <w:tcBorders>
              <w:tl2br w:val="nil"/>
              <w:tr2bl w:val="nil"/>
            </w:tcBorders>
          </w:tcPr>
          <w:p w14:paraId="17AFE9C7">
            <w:pPr>
              <w:pStyle w:val="195"/>
              <w:widowControl w:val="0"/>
              <w:spacing w:before="38" w:line="218" w:lineRule="auto"/>
              <w:ind w:left="48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r>
      <w:tr w14:paraId="66275B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839" w:type="dxa"/>
            <w:tcBorders>
              <w:tl2br w:val="nil"/>
              <w:tr2bl w:val="nil"/>
            </w:tcBorders>
          </w:tcPr>
          <w:p w14:paraId="69E631ED">
            <w:pPr>
              <w:pStyle w:val="195"/>
              <w:widowControl w:val="0"/>
              <w:spacing w:before="10" w:line="265" w:lineRule="exact"/>
              <w:ind w:left="498"/>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position w:val="1"/>
                <w:highlight w:val="none"/>
              </w:rPr>
              <w:t>3#西厂界</w:t>
            </w:r>
          </w:p>
        </w:tc>
        <w:tc>
          <w:tcPr>
            <w:tcW w:w="1218" w:type="dxa"/>
            <w:tcBorders>
              <w:tl2br w:val="nil"/>
              <w:tr2bl w:val="nil"/>
            </w:tcBorders>
          </w:tcPr>
          <w:p w14:paraId="2566FED7">
            <w:pPr>
              <w:widowControl w:val="0"/>
              <w:spacing w:before="57" w:line="195" w:lineRule="auto"/>
              <w:ind w:left="420"/>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38</w:t>
            </w:r>
          </w:p>
        </w:tc>
        <w:tc>
          <w:tcPr>
            <w:tcW w:w="1144" w:type="dxa"/>
            <w:tcBorders>
              <w:tl2br w:val="nil"/>
              <w:tr2bl w:val="nil"/>
            </w:tcBorders>
            <w:vAlign w:val="top"/>
          </w:tcPr>
          <w:p w14:paraId="47A6749C">
            <w:pPr>
              <w:widowControl w:val="0"/>
              <w:spacing w:before="57" w:line="195" w:lineRule="auto"/>
              <w:ind w:left="420" w:leftChars="0"/>
              <w:rPr>
                <w:rFonts w:ascii="Times New Roman" w:hAnsi="Times New Roman" w:eastAsia="宋体" w:cs="Times New Roman"/>
                <w:caps w:val="0"/>
                <w:smallCaps w:val="0"/>
                <w:color w:val="auto"/>
                <w:spacing w:val="0"/>
                <w:sz w:val="20"/>
                <w:szCs w:val="20"/>
                <w:highlight w:val="none"/>
                <w:lang w:eastAsia="en-US"/>
              </w:rPr>
            </w:pPr>
            <w:r>
              <w:rPr>
                <w:rFonts w:hint="eastAsia" w:ascii="Times New Roman" w:hAnsi="Times New Roman" w:eastAsia="宋体" w:cs="Times New Roman"/>
                <w:caps w:val="0"/>
                <w:smallCaps w:val="0"/>
                <w:color w:val="auto"/>
                <w:spacing w:val="0"/>
                <w:sz w:val="20"/>
                <w:szCs w:val="20"/>
                <w:highlight w:val="none"/>
                <w:lang w:val="en-US" w:eastAsia="zh-CN"/>
              </w:rPr>
              <w:t>38</w:t>
            </w:r>
          </w:p>
        </w:tc>
        <w:tc>
          <w:tcPr>
            <w:tcW w:w="1173" w:type="dxa"/>
            <w:vMerge w:val="restart"/>
            <w:tcBorders>
              <w:tl2br w:val="nil"/>
              <w:tr2bl w:val="nil"/>
            </w:tcBorders>
            <w:vAlign w:val="center"/>
          </w:tcPr>
          <w:p w14:paraId="05F5F046">
            <w:pPr>
              <w:widowControl w:val="0"/>
              <w:spacing w:before="57" w:line="195" w:lineRule="auto"/>
              <w:ind w:left="482" w:leftChars="0"/>
              <w:jc w:val="both"/>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0"/>
                <w:szCs w:val="20"/>
                <w:highlight w:val="none"/>
                <w:lang w:eastAsia="en-US"/>
              </w:rPr>
              <w:t>65</w:t>
            </w:r>
          </w:p>
        </w:tc>
        <w:tc>
          <w:tcPr>
            <w:tcW w:w="1187" w:type="dxa"/>
            <w:vMerge w:val="restart"/>
            <w:tcBorders>
              <w:tl2br w:val="nil"/>
              <w:tr2bl w:val="nil"/>
            </w:tcBorders>
            <w:vAlign w:val="center"/>
          </w:tcPr>
          <w:p w14:paraId="4CB18C89">
            <w:pPr>
              <w:widowControl w:val="0"/>
              <w:spacing w:before="57" w:line="192" w:lineRule="auto"/>
              <w:ind w:left="492" w:leftChars="0"/>
              <w:jc w:val="both"/>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0"/>
                <w:szCs w:val="20"/>
                <w:highlight w:val="none"/>
                <w:lang w:eastAsia="en-US"/>
              </w:rPr>
              <w:t>55</w:t>
            </w:r>
          </w:p>
        </w:tc>
        <w:tc>
          <w:tcPr>
            <w:tcW w:w="1132" w:type="dxa"/>
            <w:tcBorders>
              <w:tl2br w:val="nil"/>
              <w:tr2bl w:val="nil"/>
            </w:tcBorders>
          </w:tcPr>
          <w:p w14:paraId="29446434">
            <w:pPr>
              <w:pStyle w:val="195"/>
              <w:widowControl w:val="0"/>
              <w:spacing w:before="40" w:line="217" w:lineRule="auto"/>
              <w:ind w:left="35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c>
          <w:tcPr>
            <w:tcW w:w="1392" w:type="dxa"/>
            <w:tcBorders>
              <w:tl2br w:val="nil"/>
              <w:tr2bl w:val="nil"/>
            </w:tcBorders>
          </w:tcPr>
          <w:p w14:paraId="2039E46F">
            <w:pPr>
              <w:pStyle w:val="195"/>
              <w:widowControl w:val="0"/>
              <w:spacing w:before="40" w:line="217" w:lineRule="auto"/>
              <w:ind w:left="48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r>
      <w:tr w14:paraId="052EB2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839" w:type="dxa"/>
            <w:tcBorders>
              <w:bottom w:val="single" w:color="auto" w:sz="8" w:space="0"/>
              <w:tl2br w:val="nil"/>
              <w:tr2bl w:val="nil"/>
            </w:tcBorders>
          </w:tcPr>
          <w:p w14:paraId="37371AD7">
            <w:pPr>
              <w:pStyle w:val="195"/>
              <w:widowControl w:val="0"/>
              <w:spacing w:before="11" w:line="273" w:lineRule="exact"/>
              <w:ind w:left="493"/>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position w:val="1"/>
                <w:highlight w:val="none"/>
              </w:rPr>
              <w:t>4#北厂界</w:t>
            </w:r>
          </w:p>
        </w:tc>
        <w:tc>
          <w:tcPr>
            <w:tcW w:w="1218" w:type="dxa"/>
            <w:tcBorders>
              <w:bottom w:val="single" w:color="auto" w:sz="8" w:space="0"/>
              <w:tl2br w:val="nil"/>
              <w:tr2bl w:val="nil"/>
            </w:tcBorders>
          </w:tcPr>
          <w:p w14:paraId="7DE4F0C4">
            <w:pPr>
              <w:widowControl w:val="0"/>
              <w:spacing w:before="59" w:line="195" w:lineRule="auto"/>
              <w:ind w:left="420"/>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26</w:t>
            </w:r>
          </w:p>
        </w:tc>
        <w:tc>
          <w:tcPr>
            <w:tcW w:w="1144" w:type="dxa"/>
            <w:tcBorders>
              <w:bottom w:val="single" w:color="auto" w:sz="8" w:space="0"/>
              <w:tl2br w:val="nil"/>
              <w:tr2bl w:val="nil"/>
            </w:tcBorders>
            <w:vAlign w:val="top"/>
          </w:tcPr>
          <w:p w14:paraId="6F75DF77">
            <w:pPr>
              <w:widowControl w:val="0"/>
              <w:spacing w:before="59" w:line="195" w:lineRule="auto"/>
              <w:ind w:left="420" w:leftChars="0"/>
              <w:rPr>
                <w:rFonts w:ascii="Times New Roman" w:hAnsi="Times New Roman" w:eastAsia="宋体" w:cs="Times New Roman"/>
                <w:caps w:val="0"/>
                <w:smallCaps w:val="0"/>
                <w:color w:val="auto"/>
                <w:spacing w:val="0"/>
                <w:sz w:val="20"/>
                <w:szCs w:val="20"/>
                <w:highlight w:val="none"/>
                <w:lang w:eastAsia="en-US"/>
              </w:rPr>
            </w:pPr>
            <w:r>
              <w:rPr>
                <w:rFonts w:hint="eastAsia" w:ascii="Times New Roman" w:hAnsi="Times New Roman" w:eastAsia="宋体" w:cs="Times New Roman"/>
                <w:caps w:val="0"/>
                <w:smallCaps w:val="0"/>
                <w:color w:val="auto"/>
                <w:spacing w:val="0"/>
                <w:sz w:val="20"/>
                <w:szCs w:val="20"/>
                <w:highlight w:val="none"/>
                <w:lang w:val="en-US" w:eastAsia="zh-CN"/>
              </w:rPr>
              <w:t>26</w:t>
            </w:r>
          </w:p>
        </w:tc>
        <w:tc>
          <w:tcPr>
            <w:tcW w:w="1173" w:type="dxa"/>
            <w:vMerge w:val="continue"/>
            <w:tcBorders>
              <w:bottom w:val="single" w:color="auto" w:sz="8" w:space="0"/>
              <w:tl2br w:val="nil"/>
              <w:tr2bl w:val="nil"/>
            </w:tcBorders>
          </w:tcPr>
          <w:p w14:paraId="62F03801">
            <w:pPr>
              <w:widowControl w:val="0"/>
              <w:rPr>
                <w:rFonts w:ascii="Times New Roman" w:hAnsi="Times New Roman" w:eastAsia="宋体" w:cs="Times New Roman"/>
                <w:caps w:val="0"/>
                <w:smallCaps w:val="0"/>
                <w:color w:val="auto"/>
                <w:spacing w:val="0"/>
                <w:sz w:val="21"/>
                <w:highlight w:val="none"/>
                <w:lang w:eastAsia="en-US"/>
              </w:rPr>
            </w:pPr>
          </w:p>
        </w:tc>
        <w:tc>
          <w:tcPr>
            <w:tcW w:w="1187" w:type="dxa"/>
            <w:vMerge w:val="continue"/>
            <w:tcBorders>
              <w:bottom w:val="single" w:color="auto" w:sz="8" w:space="0"/>
              <w:tl2br w:val="nil"/>
              <w:tr2bl w:val="nil"/>
            </w:tcBorders>
          </w:tcPr>
          <w:p w14:paraId="2D8155D5">
            <w:pPr>
              <w:widowControl w:val="0"/>
              <w:rPr>
                <w:rFonts w:ascii="Times New Roman" w:hAnsi="Times New Roman" w:eastAsia="宋体" w:cs="Times New Roman"/>
                <w:caps w:val="0"/>
                <w:smallCaps w:val="0"/>
                <w:color w:val="auto"/>
                <w:spacing w:val="0"/>
                <w:sz w:val="21"/>
                <w:highlight w:val="none"/>
                <w:lang w:eastAsia="en-US"/>
              </w:rPr>
            </w:pPr>
          </w:p>
        </w:tc>
        <w:tc>
          <w:tcPr>
            <w:tcW w:w="1132" w:type="dxa"/>
            <w:tcBorders>
              <w:bottom w:val="single" w:color="auto" w:sz="8" w:space="0"/>
              <w:tl2br w:val="nil"/>
              <w:tr2bl w:val="nil"/>
            </w:tcBorders>
          </w:tcPr>
          <w:p w14:paraId="2108BE7C">
            <w:pPr>
              <w:pStyle w:val="195"/>
              <w:widowControl w:val="0"/>
              <w:spacing w:before="42" w:line="224" w:lineRule="auto"/>
              <w:ind w:left="35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c>
          <w:tcPr>
            <w:tcW w:w="1392" w:type="dxa"/>
            <w:tcBorders>
              <w:bottom w:val="single" w:color="auto" w:sz="8" w:space="0"/>
              <w:tl2br w:val="nil"/>
              <w:tr2bl w:val="nil"/>
            </w:tcBorders>
          </w:tcPr>
          <w:p w14:paraId="369AA7B7">
            <w:pPr>
              <w:pStyle w:val="195"/>
              <w:widowControl w:val="0"/>
              <w:spacing w:before="42" w:line="224" w:lineRule="auto"/>
              <w:ind w:left="48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达标</w:t>
            </w:r>
          </w:p>
        </w:tc>
      </w:tr>
    </w:tbl>
    <w:p w14:paraId="3517C4B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项目厂界</w:t>
      </w:r>
      <w:r>
        <w:rPr>
          <w:rFonts w:hint="eastAsia" w:eastAsia="宋体"/>
          <w:caps w:val="0"/>
          <w:smallCaps w:val="0"/>
          <w:color w:val="auto"/>
          <w:spacing w:val="0"/>
          <w:highlight w:val="none"/>
          <w:lang w:val="en-US" w:eastAsia="zh-CN"/>
        </w:rPr>
        <w:t>北侧和西侧</w:t>
      </w:r>
      <w:r>
        <w:rPr>
          <w:rFonts w:eastAsia="宋体"/>
          <w:caps w:val="0"/>
          <w:smallCaps w:val="0"/>
          <w:color w:val="auto"/>
          <w:spacing w:val="0"/>
          <w:highlight w:val="none"/>
        </w:rPr>
        <w:t>昼、夜间贡献值及最大贡献值均未超过《工业企业厂界环境噪声排放标准》3类区标准限值要求，厂界</w:t>
      </w:r>
      <w:r>
        <w:rPr>
          <w:rFonts w:hint="eastAsia" w:eastAsia="宋体"/>
          <w:caps w:val="0"/>
          <w:smallCaps w:val="0"/>
          <w:color w:val="auto"/>
          <w:spacing w:val="0"/>
          <w:highlight w:val="none"/>
          <w:lang w:val="en-US" w:eastAsia="zh-CN"/>
        </w:rPr>
        <w:t>南侧和东侧</w:t>
      </w:r>
      <w:r>
        <w:rPr>
          <w:rFonts w:eastAsia="宋体"/>
          <w:caps w:val="0"/>
          <w:smallCaps w:val="0"/>
          <w:color w:val="auto"/>
          <w:spacing w:val="0"/>
          <w:highlight w:val="none"/>
        </w:rPr>
        <w:t>昼、夜间贡献值及最大贡献值均未超过《工业企业厂界环境噪声排放标准》</w:t>
      </w:r>
      <w:r>
        <w:rPr>
          <w:rFonts w:hint="eastAsia" w:eastAsia="宋体"/>
          <w:caps w:val="0"/>
          <w:smallCaps w:val="0"/>
          <w:color w:val="auto"/>
          <w:spacing w:val="0"/>
          <w:highlight w:val="none"/>
          <w:lang w:val="en-US" w:eastAsia="zh-CN"/>
        </w:rPr>
        <w:t>4</w:t>
      </w:r>
      <w:r>
        <w:rPr>
          <w:rFonts w:eastAsia="宋体"/>
          <w:caps w:val="0"/>
          <w:smallCaps w:val="0"/>
          <w:color w:val="auto"/>
          <w:spacing w:val="0"/>
          <w:highlight w:val="none"/>
        </w:rPr>
        <w:t>类区标准限值要求</w:t>
      </w:r>
      <w:r>
        <w:rPr>
          <w:rFonts w:hint="eastAsia" w:eastAsia="宋体"/>
          <w:caps w:val="0"/>
          <w:smallCaps w:val="0"/>
          <w:color w:val="auto"/>
          <w:spacing w:val="0"/>
          <w:highlight w:val="none"/>
          <w:lang w:eastAsia="zh-CN"/>
        </w:rPr>
        <w:t>。</w:t>
      </w:r>
      <w:r>
        <w:rPr>
          <w:rFonts w:eastAsia="宋体"/>
          <w:caps w:val="0"/>
          <w:smallCaps w:val="0"/>
          <w:color w:val="auto"/>
          <w:spacing w:val="0"/>
          <w:highlight w:val="none"/>
        </w:rPr>
        <w:t>项目200米内无声环境敏感保护目标。因此本项目从声环境影响的角度看可行。</w:t>
      </w:r>
    </w:p>
    <w:p w14:paraId="06A8D556">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综上所述，本项目运营期间噪声对环境影响较小。</w:t>
      </w:r>
    </w:p>
    <w:p w14:paraId="6075EEE4">
      <w:pPr>
        <w:widowControl w:val="0"/>
        <w:spacing w:line="360" w:lineRule="auto"/>
        <w:jc w:val="center"/>
        <w:rPr>
          <w:rFonts w:hint="eastAsia" w:ascii="Times New Roman" w:hAnsi="Times New Roman" w:eastAsia="宋体" w:cs="Times New Roman"/>
          <w:caps w:val="0"/>
          <w:smallCaps w:val="0"/>
          <w:color w:val="auto"/>
          <w:spacing w:val="0"/>
          <w:highlight w:val="none"/>
          <w:lang w:eastAsia="zh-CN"/>
        </w:rPr>
      </w:pPr>
      <w:r>
        <w:rPr>
          <w:rFonts w:hint="eastAsia" w:ascii="Times New Roman" w:hAnsi="Times New Roman" w:eastAsia="宋体" w:cs="Times New Roman"/>
          <w:caps w:val="0"/>
          <w:smallCaps w:val="0"/>
          <w:color w:val="auto"/>
          <w:spacing w:val="0"/>
          <w:highlight w:val="none"/>
          <w:lang w:eastAsia="zh-CN"/>
        </w:rPr>
        <w:drawing>
          <wp:inline distT="0" distB="0" distL="114300" distR="114300">
            <wp:extent cx="4678045" cy="3447415"/>
            <wp:effectExtent l="0" t="0" r="8255" b="635"/>
            <wp:docPr id="26" name="图片 26" descr="70d5c7c0d8559d7792d888edfad7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0d5c7c0d8559d7792d888edfad76260"/>
                    <pic:cNvPicPr>
                      <a:picLocks noChangeAspect="1"/>
                    </pic:cNvPicPr>
                  </pic:nvPicPr>
                  <pic:blipFill>
                    <a:blip r:embed="rId96"/>
                    <a:srcRect l="29311" t="17012" r="22625" b="12230"/>
                    <a:stretch>
                      <a:fillRect/>
                    </a:stretch>
                  </pic:blipFill>
                  <pic:spPr>
                    <a:xfrm>
                      <a:off x="0" y="0"/>
                      <a:ext cx="4678045" cy="3447415"/>
                    </a:xfrm>
                    <a:prstGeom prst="rect">
                      <a:avLst/>
                    </a:prstGeom>
                  </pic:spPr>
                </pic:pic>
              </a:graphicData>
            </a:graphic>
          </wp:inline>
        </w:drawing>
      </w:r>
    </w:p>
    <w:p w14:paraId="2FEC7161">
      <w:pPr>
        <w:pStyle w:val="65"/>
        <w:widowControl w:val="0"/>
        <w:spacing w:line="240" w:lineRule="auto"/>
        <w:ind w:firstLine="0" w:firstLineChars="0"/>
        <w:jc w:val="center"/>
        <w:rPr>
          <w:rFonts w:eastAsia="宋体"/>
          <w:b/>
          <w:caps w:val="0"/>
          <w:smallCaps w:val="0"/>
          <w:color w:val="auto"/>
          <w:spacing w:val="0"/>
          <w:highlight w:val="none"/>
        </w:rPr>
      </w:pPr>
      <w:r>
        <w:rPr>
          <w:rFonts w:eastAsia="宋体"/>
          <w:b/>
          <w:caps w:val="0"/>
          <w:smallCaps w:val="0"/>
          <w:color w:val="auto"/>
          <w:spacing w:val="0"/>
          <w:highlight w:val="none"/>
        </w:rPr>
        <w:t>图5.2-1昼夜噪声贡献值等值线图</w:t>
      </w:r>
      <w:bookmarkStart w:id="173" w:name="_Toc505951366"/>
    </w:p>
    <w:p w14:paraId="78B2CF24">
      <w:pPr>
        <w:pStyle w:val="65"/>
        <w:widowControl w:val="0"/>
        <w:spacing w:before="120"/>
        <w:ind w:firstLine="0" w:firstLineChars="0"/>
        <w:outlineLvl w:val="2"/>
        <w:rPr>
          <w:rFonts w:eastAsia="宋体"/>
          <w:b/>
          <w:bCs/>
          <w:caps w:val="0"/>
          <w:smallCaps w:val="0"/>
          <w:color w:val="auto"/>
          <w:spacing w:val="0"/>
          <w:kern w:val="0"/>
          <w:sz w:val="30"/>
          <w:szCs w:val="30"/>
          <w:highlight w:val="none"/>
          <w:lang w:bidi="ar"/>
        </w:rPr>
      </w:pPr>
      <w:bookmarkStart w:id="174" w:name="_Toc16952"/>
      <w:r>
        <w:rPr>
          <w:rFonts w:eastAsia="宋体"/>
          <w:b/>
          <w:bCs/>
          <w:caps w:val="0"/>
          <w:smallCaps w:val="0"/>
          <w:color w:val="auto"/>
          <w:spacing w:val="0"/>
          <w:kern w:val="0"/>
          <w:sz w:val="30"/>
          <w:szCs w:val="30"/>
          <w:highlight w:val="none"/>
          <w:lang w:bidi="ar"/>
        </w:rPr>
        <w:t>5.2.4运营期固体废物环境影响分析</w:t>
      </w:r>
      <w:bookmarkEnd w:id="173"/>
      <w:bookmarkEnd w:id="174"/>
    </w:p>
    <w:p w14:paraId="1E85880F">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运营期固体废物主要为废靶材、废玻璃基板、废包装材料等一般固体废物，废真空罩、废石墨舟、破裂玻璃、废电池组件、过滤收尘灰、废过滤器、废离子树脂、化学包装材料、废活性炭、废润滑油、废劳保手套、</w:t>
      </w:r>
      <w:r>
        <w:rPr>
          <w:rFonts w:eastAsia="宋体"/>
          <w:caps w:val="0"/>
          <w:smallCaps w:val="0"/>
          <w:color w:val="auto"/>
          <w:spacing w:val="0"/>
          <w:highlight w:val="none"/>
        </w:rPr>
        <w:t>废</w:t>
      </w:r>
      <w:r>
        <w:rPr>
          <w:rFonts w:hint="eastAsia" w:eastAsia="宋体"/>
          <w:caps w:val="0"/>
          <w:smallCaps w:val="0"/>
          <w:color w:val="auto"/>
          <w:spacing w:val="0"/>
          <w:highlight w:val="none"/>
        </w:rPr>
        <w:t>润滑</w:t>
      </w:r>
      <w:r>
        <w:rPr>
          <w:rFonts w:eastAsia="宋体"/>
          <w:caps w:val="0"/>
          <w:smallCaps w:val="0"/>
          <w:color w:val="auto"/>
          <w:spacing w:val="0"/>
          <w:highlight w:val="none"/>
        </w:rPr>
        <w:t>油</w:t>
      </w:r>
      <w:r>
        <w:rPr>
          <w:rFonts w:hint="eastAsia" w:eastAsia="宋体"/>
          <w:caps w:val="0"/>
          <w:smallCaps w:val="0"/>
          <w:color w:val="auto"/>
          <w:spacing w:val="0"/>
          <w:highlight w:val="none"/>
        </w:rPr>
        <w:t>油</w:t>
      </w:r>
      <w:r>
        <w:rPr>
          <w:rFonts w:eastAsia="宋体"/>
          <w:caps w:val="0"/>
          <w:smallCaps w:val="0"/>
          <w:color w:val="auto"/>
          <w:spacing w:val="0"/>
          <w:highlight w:val="none"/>
        </w:rPr>
        <w:t>桶、</w:t>
      </w:r>
      <w:r>
        <w:rPr>
          <w:rFonts w:hint="eastAsia" w:eastAsia="宋体"/>
          <w:caps w:val="0"/>
          <w:smallCaps w:val="0"/>
          <w:color w:val="auto"/>
          <w:spacing w:val="0"/>
          <w:highlight w:val="none"/>
        </w:rPr>
        <w:t>废胶桶、</w:t>
      </w:r>
      <w:r>
        <w:rPr>
          <w:rFonts w:eastAsia="宋体"/>
          <w:caps w:val="0"/>
          <w:smallCaps w:val="0"/>
          <w:color w:val="auto"/>
          <w:spacing w:val="0"/>
          <w:highlight w:val="none"/>
        </w:rPr>
        <w:t>污水处理设施产生的废过滤膜、废铅蓄电池、废反渗透膜、污泥、蒸发结晶盐等。</w:t>
      </w:r>
    </w:p>
    <w:p w14:paraId="01C80EB0">
      <w:pPr>
        <w:widowControl w:val="0"/>
        <w:spacing w:line="360" w:lineRule="auto"/>
        <w:ind w:left="14" w:right="63" w:firstLine="478"/>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废靶材、废防溅射板、纯水制备废渗透膜定期由厂家进行回收，废玻璃基板、废背板玻璃、废包装材料定期外售回收单位。</w:t>
      </w:r>
    </w:p>
    <w:p w14:paraId="3DA3ADC7">
      <w:pPr>
        <w:widowControl w:val="0"/>
        <w:spacing w:line="360" w:lineRule="auto"/>
        <w:ind w:right="81" w:firstLine="484"/>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项目生产过程产生的废真空罩、废石墨舟、破裂玻璃、废电池组件、收尘灰、废活性炭、化学包装材料、废机油、</w:t>
      </w:r>
      <w:r>
        <w:rPr>
          <w:rFonts w:ascii="Times New Roman" w:hAnsi="Times New Roman" w:eastAsia="宋体" w:cs="Times New Roman"/>
          <w:caps w:val="0"/>
          <w:smallCaps w:val="0"/>
          <w:color w:val="auto"/>
          <w:spacing w:val="0"/>
          <w:highlight w:val="none"/>
        </w:rPr>
        <w:t>废</w:t>
      </w:r>
      <w:r>
        <w:rPr>
          <w:rFonts w:hint="eastAsia" w:eastAsia="宋体" w:cs="Times New Roman"/>
          <w:caps w:val="0"/>
          <w:smallCaps w:val="0"/>
          <w:color w:val="auto"/>
          <w:spacing w:val="0"/>
          <w:highlight w:val="none"/>
        </w:rPr>
        <w:t>润滑</w:t>
      </w:r>
      <w:r>
        <w:rPr>
          <w:rFonts w:ascii="Times New Roman" w:hAnsi="Times New Roman" w:eastAsia="宋体" w:cs="Times New Roman"/>
          <w:caps w:val="0"/>
          <w:smallCaps w:val="0"/>
          <w:color w:val="auto"/>
          <w:spacing w:val="0"/>
          <w:highlight w:val="none"/>
        </w:rPr>
        <w:t>油</w:t>
      </w:r>
      <w:r>
        <w:rPr>
          <w:rFonts w:hint="eastAsia" w:eastAsia="宋体" w:cs="Times New Roman"/>
          <w:caps w:val="0"/>
          <w:smallCaps w:val="0"/>
          <w:color w:val="auto"/>
          <w:spacing w:val="0"/>
          <w:highlight w:val="none"/>
        </w:rPr>
        <w:t>油</w:t>
      </w:r>
      <w:r>
        <w:rPr>
          <w:rFonts w:ascii="Times New Roman" w:hAnsi="Times New Roman" w:eastAsia="宋体" w:cs="Times New Roman"/>
          <w:caps w:val="0"/>
          <w:smallCaps w:val="0"/>
          <w:color w:val="auto"/>
          <w:spacing w:val="0"/>
          <w:highlight w:val="none"/>
        </w:rPr>
        <w:t>桶、</w:t>
      </w:r>
      <w:r>
        <w:rPr>
          <w:rFonts w:hint="eastAsia" w:eastAsia="宋体" w:cs="Times New Roman"/>
          <w:caps w:val="0"/>
          <w:smallCaps w:val="0"/>
          <w:color w:val="auto"/>
          <w:spacing w:val="0"/>
          <w:highlight w:val="none"/>
        </w:rPr>
        <w:t>废胶桶、</w:t>
      </w:r>
      <w:r>
        <w:rPr>
          <w:rFonts w:ascii="Times New Roman" w:hAnsi="Times New Roman" w:eastAsia="宋体" w:cs="Times New Roman"/>
          <w:caps w:val="0"/>
          <w:smallCaps w:val="0"/>
          <w:color w:val="auto"/>
          <w:spacing w:val="0"/>
          <w:szCs w:val="24"/>
          <w:highlight w:val="none"/>
        </w:rPr>
        <w:t>污水处理设施产生的废过滤膜、废反渗透膜、实验废液、污泥、蒸发结晶盐及废铅蓄电池均属于危险废物，废铅酸蓄电池换下后直接由厂家带走回收不在厂区内暂存，其余危险废物于危险废物贮存库暂存后交</w:t>
      </w:r>
      <w:r>
        <w:rPr>
          <w:rFonts w:hint="eastAsia" w:ascii="Times New Roman" w:hAnsi="Times New Roman" w:eastAsia="宋体" w:cs="Times New Roman"/>
          <w:caps w:val="0"/>
          <w:smallCaps w:val="0"/>
          <w:color w:val="auto"/>
          <w:spacing w:val="0"/>
          <w:szCs w:val="24"/>
          <w:highlight w:val="none"/>
        </w:rPr>
        <w:t>由</w:t>
      </w:r>
      <w:r>
        <w:rPr>
          <w:rFonts w:ascii="Times New Roman" w:hAnsi="Times New Roman" w:eastAsia="宋体" w:cs="Times New Roman"/>
          <w:caps w:val="0"/>
          <w:smallCaps w:val="0"/>
          <w:color w:val="auto"/>
          <w:spacing w:val="0"/>
          <w:szCs w:val="24"/>
          <w:highlight w:val="none"/>
        </w:rPr>
        <w:t>有危废资质单位处理。</w:t>
      </w:r>
    </w:p>
    <w:p w14:paraId="20FE4673">
      <w:pPr>
        <w:widowControl w:val="0"/>
        <w:spacing w:before="28" w:line="224" w:lineRule="auto"/>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表5.2-1</w:t>
      </w:r>
      <w:r>
        <w:rPr>
          <w:rFonts w:hint="eastAsia" w:ascii="Times New Roman" w:hAnsi="Times New Roman" w:eastAsia="宋体" w:cs="Times New Roman"/>
          <w:b/>
          <w:bCs/>
          <w:caps w:val="0"/>
          <w:smallCaps w:val="0"/>
          <w:color w:val="auto"/>
          <w:spacing w:val="0"/>
          <w:szCs w:val="24"/>
          <w:highlight w:val="none"/>
          <w:lang w:val="en-US" w:eastAsia="zh-CN"/>
        </w:rPr>
        <w:t>4</w:t>
      </w:r>
      <w:r>
        <w:rPr>
          <w:rFonts w:ascii="Times New Roman" w:hAnsi="Times New Roman" w:eastAsia="宋体" w:cs="Times New Roman"/>
          <w:b/>
          <w:bCs/>
          <w:caps w:val="0"/>
          <w:smallCaps w:val="0"/>
          <w:color w:val="auto"/>
          <w:spacing w:val="0"/>
          <w:szCs w:val="24"/>
          <w:highlight w:val="none"/>
        </w:rPr>
        <w:t>固体废物产生和处置情况表</w:t>
      </w:r>
    </w:p>
    <w:tbl>
      <w:tblPr>
        <w:tblStyle w:val="176"/>
        <w:tblW w:w="5000"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15"/>
        <w:gridCol w:w="1321"/>
        <w:gridCol w:w="1078"/>
        <w:gridCol w:w="1500"/>
        <w:gridCol w:w="1106"/>
        <w:gridCol w:w="752"/>
        <w:gridCol w:w="1033"/>
        <w:gridCol w:w="1764"/>
      </w:tblGrid>
      <w:tr w14:paraId="25B198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5" w:type="dxa"/>
            <w:tcBorders>
              <w:top w:val="single" w:color="auto" w:sz="8" w:space="0"/>
              <w:tl2br w:val="nil"/>
              <w:tr2bl w:val="nil"/>
            </w:tcBorders>
            <w:vAlign w:val="center"/>
          </w:tcPr>
          <w:p w14:paraId="323D947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工序</w:t>
            </w:r>
          </w:p>
        </w:tc>
        <w:tc>
          <w:tcPr>
            <w:tcW w:w="1321" w:type="dxa"/>
            <w:tcBorders>
              <w:top w:val="single" w:color="auto" w:sz="8" w:space="0"/>
              <w:tl2br w:val="nil"/>
              <w:tr2bl w:val="nil"/>
            </w:tcBorders>
            <w:vAlign w:val="center"/>
          </w:tcPr>
          <w:p w14:paraId="0989163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装置</w:t>
            </w:r>
          </w:p>
        </w:tc>
        <w:tc>
          <w:tcPr>
            <w:tcW w:w="1078" w:type="dxa"/>
            <w:tcBorders>
              <w:top w:val="single" w:color="auto" w:sz="8" w:space="0"/>
              <w:tl2br w:val="nil"/>
              <w:tr2bl w:val="nil"/>
            </w:tcBorders>
            <w:vAlign w:val="center"/>
          </w:tcPr>
          <w:p w14:paraId="192ADF6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固体废物名称</w:t>
            </w:r>
          </w:p>
        </w:tc>
        <w:tc>
          <w:tcPr>
            <w:tcW w:w="1500" w:type="dxa"/>
            <w:tcBorders>
              <w:top w:val="single" w:color="auto" w:sz="8" w:space="0"/>
              <w:tl2br w:val="nil"/>
              <w:tr2bl w:val="nil"/>
            </w:tcBorders>
            <w:vAlign w:val="center"/>
          </w:tcPr>
          <w:p w14:paraId="59F96D2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主要成分</w:t>
            </w:r>
          </w:p>
        </w:tc>
        <w:tc>
          <w:tcPr>
            <w:tcW w:w="1106" w:type="dxa"/>
            <w:tcBorders>
              <w:top w:val="single" w:color="auto" w:sz="8" w:space="0"/>
              <w:tl2br w:val="nil"/>
              <w:tr2bl w:val="nil"/>
            </w:tcBorders>
            <w:vAlign w:val="center"/>
          </w:tcPr>
          <w:p w14:paraId="2C4B14B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固废属性</w:t>
            </w:r>
          </w:p>
        </w:tc>
        <w:tc>
          <w:tcPr>
            <w:tcW w:w="752" w:type="dxa"/>
            <w:tcBorders>
              <w:top w:val="single" w:color="auto" w:sz="8" w:space="0"/>
              <w:tl2br w:val="nil"/>
              <w:tr2bl w:val="nil"/>
            </w:tcBorders>
            <w:vAlign w:val="center"/>
          </w:tcPr>
          <w:p w14:paraId="635EF77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固废代码</w:t>
            </w:r>
          </w:p>
        </w:tc>
        <w:tc>
          <w:tcPr>
            <w:tcW w:w="1033" w:type="dxa"/>
            <w:tcBorders>
              <w:top w:val="single" w:color="auto" w:sz="8" w:space="0"/>
              <w:tl2br w:val="nil"/>
              <w:tr2bl w:val="nil"/>
            </w:tcBorders>
            <w:vAlign w:val="center"/>
          </w:tcPr>
          <w:p w14:paraId="2FF45D4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产生量(t/a)</w:t>
            </w:r>
          </w:p>
        </w:tc>
        <w:tc>
          <w:tcPr>
            <w:tcW w:w="1765" w:type="dxa"/>
            <w:tcBorders>
              <w:top w:val="single" w:color="auto" w:sz="8" w:space="0"/>
              <w:tl2br w:val="nil"/>
              <w:tr2bl w:val="nil"/>
            </w:tcBorders>
            <w:vAlign w:val="center"/>
          </w:tcPr>
          <w:p w14:paraId="56E14A9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处置措施</w:t>
            </w:r>
          </w:p>
        </w:tc>
      </w:tr>
      <w:tr w14:paraId="592894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restart"/>
            <w:tcBorders>
              <w:tl2br w:val="nil"/>
              <w:tr2bl w:val="nil"/>
            </w:tcBorders>
            <w:vAlign w:val="center"/>
          </w:tcPr>
          <w:p w14:paraId="6DF6854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生产工序</w:t>
            </w:r>
          </w:p>
        </w:tc>
        <w:tc>
          <w:tcPr>
            <w:tcW w:w="1321" w:type="dxa"/>
            <w:tcBorders>
              <w:tl2br w:val="nil"/>
              <w:tr2bl w:val="nil"/>
            </w:tcBorders>
            <w:vAlign w:val="center"/>
          </w:tcPr>
          <w:p w14:paraId="26C41CC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玻璃基板检测</w:t>
            </w:r>
          </w:p>
        </w:tc>
        <w:tc>
          <w:tcPr>
            <w:tcW w:w="1078" w:type="dxa"/>
            <w:tcBorders>
              <w:tl2br w:val="nil"/>
              <w:tr2bl w:val="nil"/>
            </w:tcBorders>
            <w:vAlign w:val="center"/>
          </w:tcPr>
          <w:p w14:paraId="0B99148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废玻璃基</w:t>
            </w:r>
          </w:p>
          <w:p w14:paraId="759A654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板</w:t>
            </w:r>
          </w:p>
        </w:tc>
        <w:tc>
          <w:tcPr>
            <w:tcW w:w="1500" w:type="dxa"/>
            <w:tcBorders>
              <w:tl2br w:val="nil"/>
              <w:tr2bl w:val="nil"/>
            </w:tcBorders>
            <w:vAlign w:val="center"/>
          </w:tcPr>
          <w:p w14:paraId="66D1A95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玻璃</w:t>
            </w:r>
          </w:p>
        </w:tc>
        <w:tc>
          <w:tcPr>
            <w:tcW w:w="1106" w:type="dxa"/>
            <w:tcBorders>
              <w:tl2br w:val="nil"/>
              <w:tr2bl w:val="nil"/>
            </w:tcBorders>
            <w:vAlign w:val="center"/>
          </w:tcPr>
          <w:p w14:paraId="2CD1B2E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471D0E12">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hint="eastAsia" w:ascii="Times New Roman" w:hAnsi="Times New Roman" w:eastAsia="宋体" w:cs="Times New Roman"/>
                <w:caps w:val="0"/>
                <w:smallCaps w:val="0"/>
                <w:color w:val="auto"/>
                <w:spacing w:val="0"/>
                <w:sz w:val="20"/>
                <w:szCs w:val="20"/>
                <w:highlight w:val="none"/>
                <w:lang w:eastAsia="en-US"/>
              </w:rPr>
              <w:t>9</w:t>
            </w:r>
            <w:r>
              <w:rPr>
                <w:rFonts w:ascii="Times New Roman" w:hAnsi="Times New Roman" w:eastAsia="宋体" w:cs="Times New Roman"/>
                <w:caps w:val="0"/>
                <w:smallCaps w:val="0"/>
                <w:color w:val="auto"/>
                <w:spacing w:val="0"/>
                <w:sz w:val="20"/>
                <w:szCs w:val="20"/>
                <w:highlight w:val="none"/>
                <w:lang w:eastAsia="en-US"/>
              </w:rPr>
              <w:t>00-004-S17</w:t>
            </w:r>
          </w:p>
        </w:tc>
        <w:tc>
          <w:tcPr>
            <w:tcW w:w="1033" w:type="dxa"/>
            <w:tcBorders>
              <w:tl2br w:val="nil"/>
              <w:tr2bl w:val="nil"/>
            </w:tcBorders>
            <w:vAlign w:val="center"/>
          </w:tcPr>
          <w:p w14:paraId="5F8D690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213.19</w:t>
            </w:r>
          </w:p>
        </w:tc>
        <w:tc>
          <w:tcPr>
            <w:tcW w:w="1765" w:type="dxa"/>
            <w:tcBorders>
              <w:tl2br w:val="nil"/>
              <w:tr2bl w:val="nil"/>
            </w:tcBorders>
            <w:vAlign w:val="center"/>
          </w:tcPr>
          <w:p w14:paraId="7C17B7E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外售回收单位</w:t>
            </w:r>
          </w:p>
        </w:tc>
      </w:tr>
      <w:tr w14:paraId="2F61D9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77560218">
            <w:pPr>
              <w:pStyle w:val="195"/>
              <w:widowControl w:val="0"/>
              <w:jc w:val="center"/>
              <w:rPr>
                <w:rFonts w:ascii="Times New Roman" w:hAnsi="Times New Roman" w:cs="Times New Roman"/>
                <w:caps w:val="0"/>
                <w:smallCaps w:val="0"/>
                <w:color w:val="auto"/>
                <w:spacing w:val="0"/>
                <w:highlight w:val="none"/>
              </w:rPr>
            </w:pPr>
          </w:p>
        </w:tc>
        <w:tc>
          <w:tcPr>
            <w:tcW w:w="1321" w:type="dxa"/>
            <w:tcBorders>
              <w:tl2br w:val="nil"/>
              <w:tr2bl w:val="nil"/>
            </w:tcBorders>
            <w:vAlign w:val="center"/>
          </w:tcPr>
          <w:p w14:paraId="6F35C5B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ZnTe膜层溅射和背电极镀膜</w:t>
            </w:r>
          </w:p>
        </w:tc>
        <w:tc>
          <w:tcPr>
            <w:tcW w:w="1078" w:type="dxa"/>
            <w:tcBorders>
              <w:tl2br w:val="nil"/>
              <w:tr2bl w:val="nil"/>
            </w:tcBorders>
            <w:vAlign w:val="center"/>
          </w:tcPr>
          <w:p w14:paraId="29402AB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废靶材</w:t>
            </w:r>
          </w:p>
        </w:tc>
        <w:tc>
          <w:tcPr>
            <w:tcW w:w="1500" w:type="dxa"/>
            <w:tcBorders>
              <w:tl2br w:val="nil"/>
              <w:tr2bl w:val="nil"/>
            </w:tcBorders>
            <w:vAlign w:val="center"/>
          </w:tcPr>
          <w:p w14:paraId="4223FC5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废ZnTe</w:t>
            </w:r>
            <w:r>
              <w:rPr>
                <w:rFonts w:ascii="Times New Roman" w:hAnsi="Times New Roman" w:cs="Times New Roman"/>
                <w:caps w:val="0"/>
                <w:smallCaps w:val="0"/>
                <w:color w:val="auto"/>
                <w:spacing w:val="0"/>
                <w:highlight w:val="none"/>
                <w:lang w:eastAsia="zh-CN"/>
              </w:rPr>
              <w:t>、</w:t>
            </w:r>
            <w:r>
              <w:rPr>
                <w:rFonts w:ascii="Times New Roman" w:hAnsi="Times New Roman" w:cs="Times New Roman"/>
                <w:caps w:val="0"/>
                <w:smallCaps w:val="0"/>
                <w:color w:val="auto"/>
                <w:spacing w:val="0"/>
                <w:highlight w:val="none"/>
              </w:rPr>
              <w:t>Mo</w:t>
            </w:r>
            <w:r>
              <w:rPr>
                <w:rFonts w:ascii="Times New Roman" w:hAnsi="Times New Roman" w:cs="Times New Roman"/>
                <w:caps w:val="0"/>
                <w:smallCaps w:val="0"/>
                <w:color w:val="auto"/>
                <w:spacing w:val="0"/>
                <w:highlight w:val="none"/>
                <w:lang w:eastAsia="zh-CN"/>
              </w:rPr>
              <w:t>、Al、Cr</w:t>
            </w:r>
            <w:r>
              <w:rPr>
                <w:rFonts w:ascii="Times New Roman" w:hAnsi="Times New Roman" w:cs="Times New Roman"/>
                <w:caps w:val="0"/>
                <w:smallCaps w:val="0"/>
                <w:color w:val="auto"/>
                <w:spacing w:val="0"/>
                <w:highlight w:val="none"/>
              </w:rPr>
              <w:t>靶材</w:t>
            </w:r>
          </w:p>
        </w:tc>
        <w:tc>
          <w:tcPr>
            <w:tcW w:w="1106" w:type="dxa"/>
            <w:tcBorders>
              <w:tl2br w:val="nil"/>
              <w:tr2bl w:val="nil"/>
            </w:tcBorders>
            <w:vAlign w:val="center"/>
          </w:tcPr>
          <w:p w14:paraId="3F57A38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56CA22FC">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900-002-S17</w:t>
            </w:r>
          </w:p>
        </w:tc>
        <w:tc>
          <w:tcPr>
            <w:tcW w:w="1033" w:type="dxa"/>
            <w:tcBorders>
              <w:tl2br w:val="nil"/>
              <w:tr2bl w:val="nil"/>
            </w:tcBorders>
            <w:vAlign w:val="center"/>
          </w:tcPr>
          <w:p w14:paraId="3BAA3ED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0.50</w:t>
            </w:r>
          </w:p>
        </w:tc>
        <w:tc>
          <w:tcPr>
            <w:tcW w:w="1765" w:type="dxa"/>
            <w:tcBorders>
              <w:tl2br w:val="nil"/>
              <w:tr2bl w:val="nil"/>
            </w:tcBorders>
            <w:vAlign w:val="center"/>
          </w:tcPr>
          <w:p w14:paraId="2970237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74B029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0A5FBAB2">
            <w:pPr>
              <w:pStyle w:val="195"/>
              <w:widowControl w:val="0"/>
              <w:jc w:val="center"/>
              <w:rPr>
                <w:rFonts w:ascii="Times New Roman" w:hAnsi="Times New Roman" w:cs="Times New Roman"/>
                <w:caps w:val="0"/>
                <w:smallCaps w:val="0"/>
                <w:color w:val="auto"/>
                <w:spacing w:val="0"/>
                <w:highlight w:val="none"/>
              </w:rPr>
            </w:pPr>
          </w:p>
        </w:tc>
        <w:tc>
          <w:tcPr>
            <w:tcW w:w="1321" w:type="dxa"/>
            <w:tcBorders>
              <w:tl2br w:val="nil"/>
              <w:tr2bl w:val="nil"/>
            </w:tcBorders>
            <w:vAlign w:val="center"/>
          </w:tcPr>
          <w:p w14:paraId="73FB093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ZnTe膜层溅射和背电极镀膜</w:t>
            </w:r>
          </w:p>
        </w:tc>
        <w:tc>
          <w:tcPr>
            <w:tcW w:w="1078" w:type="dxa"/>
            <w:tcBorders>
              <w:tl2br w:val="nil"/>
              <w:tr2bl w:val="nil"/>
            </w:tcBorders>
            <w:vAlign w:val="center"/>
          </w:tcPr>
          <w:p w14:paraId="7D82006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废防溅射板</w:t>
            </w:r>
          </w:p>
        </w:tc>
        <w:tc>
          <w:tcPr>
            <w:tcW w:w="1500" w:type="dxa"/>
            <w:tcBorders>
              <w:tl2br w:val="nil"/>
              <w:tr2bl w:val="nil"/>
            </w:tcBorders>
            <w:vAlign w:val="center"/>
          </w:tcPr>
          <w:p w14:paraId="70575B2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含</w:t>
            </w:r>
            <w:r>
              <w:rPr>
                <w:rFonts w:ascii="Times New Roman" w:hAnsi="Times New Roman" w:cs="Times New Roman"/>
                <w:caps w:val="0"/>
                <w:smallCaps w:val="0"/>
                <w:color w:val="auto"/>
                <w:spacing w:val="0"/>
                <w:highlight w:val="none"/>
              </w:rPr>
              <w:t>ZnTe</w:t>
            </w:r>
            <w:r>
              <w:rPr>
                <w:rFonts w:ascii="Times New Roman" w:hAnsi="Times New Roman" w:cs="Times New Roman"/>
                <w:caps w:val="0"/>
                <w:smallCaps w:val="0"/>
                <w:color w:val="auto"/>
                <w:spacing w:val="0"/>
                <w:highlight w:val="none"/>
                <w:lang w:eastAsia="zh-CN"/>
              </w:rPr>
              <w:t>、</w:t>
            </w:r>
            <w:r>
              <w:rPr>
                <w:rFonts w:ascii="Times New Roman" w:hAnsi="Times New Roman" w:cs="Times New Roman"/>
                <w:caps w:val="0"/>
                <w:smallCaps w:val="0"/>
                <w:color w:val="auto"/>
                <w:spacing w:val="0"/>
                <w:highlight w:val="none"/>
              </w:rPr>
              <w:t>Mo</w:t>
            </w:r>
            <w:r>
              <w:rPr>
                <w:rFonts w:ascii="Times New Roman" w:hAnsi="Times New Roman" w:cs="Times New Roman"/>
                <w:caps w:val="0"/>
                <w:smallCaps w:val="0"/>
                <w:color w:val="auto"/>
                <w:spacing w:val="0"/>
                <w:highlight w:val="none"/>
                <w:lang w:eastAsia="zh-CN"/>
              </w:rPr>
              <w:t>、Al、Cr</w:t>
            </w:r>
            <w:r>
              <w:rPr>
                <w:rFonts w:ascii="Times New Roman" w:hAnsi="Times New Roman" w:cs="Times New Roman"/>
                <w:caps w:val="0"/>
                <w:smallCaps w:val="0"/>
                <w:color w:val="auto"/>
                <w:spacing w:val="0"/>
                <w:highlight w:val="none"/>
              </w:rPr>
              <w:t>靶材</w:t>
            </w:r>
          </w:p>
        </w:tc>
        <w:tc>
          <w:tcPr>
            <w:tcW w:w="1106" w:type="dxa"/>
            <w:tcBorders>
              <w:tl2br w:val="nil"/>
              <w:tr2bl w:val="nil"/>
            </w:tcBorders>
            <w:vAlign w:val="center"/>
          </w:tcPr>
          <w:p w14:paraId="42D9CF5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3114D91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900-002-S17</w:t>
            </w:r>
          </w:p>
        </w:tc>
        <w:tc>
          <w:tcPr>
            <w:tcW w:w="1033" w:type="dxa"/>
            <w:tcBorders>
              <w:tl2br w:val="nil"/>
              <w:tr2bl w:val="nil"/>
            </w:tcBorders>
            <w:vAlign w:val="center"/>
          </w:tcPr>
          <w:p w14:paraId="7F34E5D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tcBorders>
              <w:tl2br w:val="nil"/>
              <w:tr2bl w:val="nil"/>
            </w:tcBorders>
            <w:vAlign w:val="center"/>
          </w:tcPr>
          <w:p w14:paraId="3CE8A4A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70C55A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3BF5B162">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restart"/>
            <w:tcBorders>
              <w:tl2br w:val="nil"/>
              <w:tr2bl w:val="nil"/>
            </w:tcBorders>
            <w:vAlign w:val="center"/>
          </w:tcPr>
          <w:p w14:paraId="0C05F52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CdS/CdTe镀膜</w:t>
            </w:r>
          </w:p>
        </w:tc>
        <w:tc>
          <w:tcPr>
            <w:tcW w:w="1078" w:type="dxa"/>
            <w:tcBorders>
              <w:tl2br w:val="nil"/>
              <w:tr2bl w:val="nil"/>
            </w:tcBorders>
            <w:vAlign w:val="center"/>
          </w:tcPr>
          <w:p w14:paraId="1D2D10F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废真空罩</w:t>
            </w:r>
          </w:p>
        </w:tc>
        <w:tc>
          <w:tcPr>
            <w:tcW w:w="1500" w:type="dxa"/>
            <w:tcBorders>
              <w:tl2br w:val="nil"/>
              <w:tr2bl w:val="nil"/>
            </w:tcBorders>
            <w:vAlign w:val="center"/>
          </w:tcPr>
          <w:p w14:paraId="39B74E5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含镉真空罩</w:t>
            </w:r>
          </w:p>
        </w:tc>
        <w:tc>
          <w:tcPr>
            <w:tcW w:w="1106" w:type="dxa"/>
            <w:tcBorders>
              <w:tl2br w:val="nil"/>
              <w:tr2bl w:val="nil"/>
            </w:tcBorders>
            <w:vAlign w:val="center"/>
          </w:tcPr>
          <w:p w14:paraId="12830A5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6E18756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6CE775D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8F183A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tcBorders>
              <w:tl2br w:val="nil"/>
              <w:tr2bl w:val="nil"/>
            </w:tcBorders>
            <w:vAlign w:val="center"/>
          </w:tcPr>
          <w:p w14:paraId="5CD6B98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726415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5695F9DA">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31B33103">
            <w:pPr>
              <w:widowControl w:val="0"/>
              <w:jc w:val="center"/>
              <w:rPr>
                <w:rFonts w:ascii="Times New Roman" w:hAnsi="Times New Roman" w:eastAsia="宋体" w:cs="Times New Roman"/>
                <w:caps w:val="0"/>
                <w:smallCaps w:val="0"/>
                <w:color w:val="auto"/>
                <w:spacing w:val="0"/>
                <w:sz w:val="21"/>
                <w:highlight w:val="none"/>
                <w:lang w:eastAsia="en-US"/>
              </w:rPr>
            </w:pPr>
          </w:p>
        </w:tc>
        <w:tc>
          <w:tcPr>
            <w:tcW w:w="1078" w:type="dxa"/>
            <w:tcBorders>
              <w:tl2br w:val="nil"/>
              <w:tr2bl w:val="nil"/>
            </w:tcBorders>
            <w:vAlign w:val="center"/>
          </w:tcPr>
          <w:p w14:paraId="746DAAD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废石墨舟</w:t>
            </w:r>
          </w:p>
        </w:tc>
        <w:tc>
          <w:tcPr>
            <w:tcW w:w="1500" w:type="dxa"/>
            <w:tcBorders>
              <w:tl2br w:val="nil"/>
              <w:tr2bl w:val="nil"/>
            </w:tcBorders>
            <w:vAlign w:val="center"/>
          </w:tcPr>
          <w:p w14:paraId="3F19820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含镉石墨舟</w:t>
            </w:r>
          </w:p>
        </w:tc>
        <w:tc>
          <w:tcPr>
            <w:tcW w:w="1106" w:type="dxa"/>
            <w:tcBorders>
              <w:tl2br w:val="nil"/>
              <w:tr2bl w:val="nil"/>
            </w:tcBorders>
            <w:vAlign w:val="center"/>
          </w:tcPr>
          <w:p w14:paraId="0540C12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5E377C1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268766E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1FEB8334">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0.05</w:t>
            </w:r>
          </w:p>
        </w:tc>
        <w:tc>
          <w:tcPr>
            <w:tcW w:w="1765" w:type="dxa"/>
            <w:tcBorders>
              <w:tl2br w:val="nil"/>
              <w:tr2bl w:val="nil"/>
            </w:tcBorders>
            <w:vAlign w:val="center"/>
          </w:tcPr>
          <w:p w14:paraId="1C4F706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7DF871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0F17A01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5D85EC3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电池组件检测</w:t>
            </w:r>
          </w:p>
        </w:tc>
        <w:tc>
          <w:tcPr>
            <w:tcW w:w="1078" w:type="dxa"/>
            <w:tcBorders>
              <w:tl2br w:val="nil"/>
              <w:tr2bl w:val="nil"/>
            </w:tcBorders>
            <w:vAlign w:val="center"/>
          </w:tcPr>
          <w:p w14:paraId="125AA21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废电池组</w:t>
            </w:r>
          </w:p>
          <w:p w14:paraId="27AEF10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件、破裂</w:t>
            </w:r>
          </w:p>
          <w:p w14:paraId="71BF9B9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玻璃</w:t>
            </w:r>
          </w:p>
        </w:tc>
        <w:tc>
          <w:tcPr>
            <w:tcW w:w="1500" w:type="dxa"/>
            <w:tcBorders>
              <w:tl2br w:val="nil"/>
              <w:tr2bl w:val="nil"/>
            </w:tcBorders>
            <w:vAlign w:val="center"/>
          </w:tcPr>
          <w:p w14:paraId="3D0AB00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含镉电池组件、破裂玻璃</w:t>
            </w:r>
          </w:p>
        </w:tc>
        <w:tc>
          <w:tcPr>
            <w:tcW w:w="1106" w:type="dxa"/>
            <w:tcBorders>
              <w:tl2br w:val="nil"/>
              <w:tr2bl w:val="nil"/>
            </w:tcBorders>
            <w:vAlign w:val="center"/>
          </w:tcPr>
          <w:p w14:paraId="16A6D8F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0A9F59E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166FC21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2E6DDCA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61.26</w:t>
            </w:r>
          </w:p>
        </w:tc>
        <w:tc>
          <w:tcPr>
            <w:tcW w:w="1765" w:type="dxa"/>
            <w:tcBorders>
              <w:tl2br w:val="nil"/>
              <w:tr2bl w:val="nil"/>
            </w:tcBorders>
            <w:vAlign w:val="center"/>
          </w:tcPr>
          <w:p w14:paraId="3D67D4D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6882A1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3D7ABA5B">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3112254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光刻胶涂覆曝光固化</w:t>
            </w:r>
          </w:p>
        </w:tc>
        <w:tc>
          <w:tcPr>
            <w:tcW w:w="1078" w:type="dxa"/>
            <w:tcBorders>
              <w:tl2br w:val="nil"/>
              <w:tr2bl w:val="nil"/>
            </w:tcBorders>
            <w:vAlign w:val="center"/>
          </w:tcPr>
          <w:p w14:paraId="664837A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废UV</w:t>
            </w:r>
          </w:p>
          <w:p w14:paraId="6ED799F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灯管</w:t>
            </w:r>
          </w:p>
        </w:tc>
        <w:tc>
          <w:tcPr>
            <w:tcW w:w="1500" w:type="dxa"/>
            <w:tcBorders>
              <w:tl2br w:val="nil"/>
              <w:tr2bl w:val="nil"/>
            </w:tcBorders>
            <w:vAlign w:val="center"/>
          </w:tcPr>
          <w:p w14:paraId="56B7A57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UV灯管（含汞）</w:t>
            </w:r>
          </w:p>
        </w:tc>
        <w:tc>
          <w:tcPr>
            <w:tcW w:w="1106" w:type="dxa"/>
            <w:tcBorders>
              <w:tl2br w:val="nil"/>
              <w:tr2bl w:val="nil"/>
            </w:tcBorders>
            <w:vAlign w:val="center"/>
          </w:tcPr>
          <w:p w14:paraId="4D844FB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危险废物HW2</w:t>
            </w:r>
            <w:r>
              <w:rPr>
                <w:rFonts w:ascii="Times New Roman" w:hAnsi="Times New Roman" w:cs="Times New Roman"/>
                <w:caps w:val="0"/>
                <w:smallCaps w:val="0"/>
                <w:color w:val="auto"/>
                <w:spacing w:val="0"/>
                <w:highlight w:val="none"/>
                <w:lang w:eastAsia="zh-CN"/>
              </w:rPr>
              <w:t>9</w:t>
            </w:r>
          </w:p>
        </w:tc>
        <w:tc>
          <w:tcPr>
            <w:tcW w:w="752" w:type="dxa"/>
            <w:tcBorders>
              <w:tl2br w:val="nil"/>
              <w:tr2bl w:val="nil"/>
            </w:tcBorders>
            <w:vAlign w:val="center"/>
          </w:tcPr>
          <w:p w14:paraId="02196EA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69B04D4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23-29</w:t>
            </w:r>
          </w:p>
        </w:tc>
        <w:tc>
          <w:tcPr>
            <w:tcW w:w="1033" w:type="dxa"/>
            <w:tcBorders>
              <w:tl2br w:val="nil"/>
              <w:tr2bl w:val="nil"/>
            </w:tcBorders>
            <w:vAlign w:val="center"/>
          </w:tcPr>
          <w:p w14:paraId="44768F0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0.01（3a）</w:t>
            </w:r>
          </w:p>
        </w:tc>
        <w:tc>
          <w:tcPr>
            <w:tcW w:w="1765" w:type="dxa"/>
            <w:tcBorders>
              <w:tl2br w:val="nil"/>
              <w:tr2bl w:val="nil"/>
            </w:tcBorders>
            <w:vAlign w:val="center"/>
          </w:tcPr>
          <w:p w14:paraId="4AB845A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7894CF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109DEF5D">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1BF1A0E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产品包装</w:t>
            </w:r>
          </w:p>
        </w:tc>
        <w:tc>
          <w:tcPr>
            <w:tcW w:w="1078" w:type="dxa"/>
            <w:tcBorders>
              <w:tl2br w:val="nil"/>
              <w:tr2bl w:val="nil"/>
            </w:tcBorders>
            <w:vAlign w:val="center"/>
          </w:tcPr>
          <w:p w14:paraId="63B3D21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废弃包装物</w:t>
            </w:r>
          </w:p>
        </w:tc>
        <w:tc>
          <w:tcPr>
            <w:tcW w:w="1500" w:type="dxa"/>
            <w:tcBorders>
              <w:tl2br w:val="nil"/>
              <w:tr2bl w:val="nil"/>
            </w:tcBorders>
            <w:vAlign w:val="center"/>
          </w:tcPr>
          <w:p w14:paraId="6A2963C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包装物</w:t>
            </w:r>
          </w:p>
        </w:tc>
        <w:tc>
          <w:tcPr>
            <w:tcW w:w="1106" w:type="dxa"/>
            <w:tcBorders>
              <w:tl2br w:val="nil"/>
              <w:tr2bl w:val="nil"/>
            </w:tcBorders>
            <w:vAlign w:val="center"/>
          </w:tcPr>
          <w:p w14:paraId="23828E3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5F325FF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900-005-S17</w:t>
            </w:r>
          </w:p>
        </w:tc>
        <w:tc>
          <w:tcPr>
            <w:tcW w:w="1033" w:type="dxa"/>
            <w:tcBorders>
              <w:tl2br w:val="nil"/>
              <w:tr2bl w:val="nil"/>
            </w:tcBorders>
            <w:vAlign w:val="center"/>
          </w:tcPr>
          <w:p w14:paraId="3E20F85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w:t>
            </w:r>
          </w:p>
        </w:tc>
        <w:tc>
          <w:tcPr>
            <w:tcW w:w="1765" w:type="dxa"/>
            <w:tcBorders>
              <w:tl2br w:val="nil"/>
              <w:tr2bl w:val="nil"/>
            </w:tcBorders>
            <w:vAlign w:val="center"/>
          </w:tcPr>
          <w:p w14:paraId="49CCD2C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集中收集外售</w:t>
            </w:r>
          </w:p>
        </w:tc>
      </w:tr>
      <w:tr w14:paraId="2E3FD5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55F61CB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restart"/>
            <w:tcBorders>
              <w:tl2br w:val="nil"/>
              <w:tr2bl w:val="nil"/>
            </w:tcBorders>
            <w:vAlign w:val="center"/>
          </w:tcPr>
          <w:p w14:paraId="3C9FFC6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纯水制备</w:t>
            </w:r>
          </w:p>
        </w:tc>
        <w:tc>
          <w:tcPr>
            <w:tcW w:w="1078" w:type="dxa"/>
            <w:tcBorders>
              <w:tl2br w:val="nil"/>
              <w:tr2bl w:val="nil"/>
            </w:tcBorders>
            <w:vAlign w:val="center"/>
          </w:tcPr>
          <w:p w14:paraId="237430E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废渗透膜</w:t>
            </w:r>
          </w:p>
        </w:tc>
        <w:tc>
          <w:tcPr>
            <w:tcW w:w="1500" w:type="dxa"/>
            <w:tcBorders>
              <w:tl2br w:val="nil"/>
              <w:tr2bl w:val="nil"/>
            </w:tcBorders>
            <w:vAlign w:val="center"/>
          </w:tcPr>
          <w:p w14:paraId="0FA6C7C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渗透膜</w:t>
            </w:r>
          </w:p>
        </w:tc>
        <w:tc>
          <w:tcPr>
            <w:tcW w:w="1106" w:type="dxa"/>
            <w:tcBorders>
              <w:tl2br w:val="nil"/>
              <w:tr2bl w:val="nil"/>
            </w:tcBorders>
            <w:vAlign w:val="center"/>
          </w:tcPr>
          <w:p w14:paraId="215EAD8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0861394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w:t>
            </w:r>
            <w:r>
              <w:rPr>
                <w:rFonts w:hint="eastAsia" w:ascii="Times New Roman" w:hAnsi="Times New Roman" w:eastAsia="宋体" w:cs="Times New Roman"/>
                <w:caps w:val="0"/>
                <w:smallCaps w:val="0"/>
                <w:color w:val="auto"/>
                <w:spacing w:val="0"/>
                <w:sz w:val="20"/>
                <w:szCs w:val="20"/>
                <w:highlight w:val="none"/>
                <w:lang w:eastAsia="en-US"/>
              </w:rPr>
              <w:t>099</w:t>
            </w:r>
            <w:r>
              <w:rPr>
                <w:rFonts w:ascii="Times New Roman" w:hAnsi="Times New Roman" w:eastAsia="宋体" w:cs="Times New Roman"/>
                <w:caps w:val="0"/>
                <w:smallCaps w:val="0"/>
                <w:color w:val="auto"/>
                <w:spacing w:val="0"/>
                <w:sz w:val="20"/>
                <w:szCs w:val="20"/>
                <w:highlight w:val="none"/>
                <w:lang w:eastAsia="en-US"/>
              </w:rPr>
              <w:t>-S59</w:t>
            </w:r>
          </w:p>
        </w:tc>
        <w:tc>
          <w:tcPr>
            <w:tcW w:w="1033" w:type="dxa"/>
            <w:tcBorders>
              <w:tl2br w:val="nil"/>
              <w:tr2bl w:val="nil"/>
            </w:tcBorders>
            <w:vAlign w:val="center"/>
          </w:tcPr>
          <w:p w14:paraId="36D0D1D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w:t>
            </w:r>
          </w:p>
        </w:tc>
        <w:tc>
          <w:tcPr>
            <w:tcW w:w="1765" w:type="dxa"/>
            <w:tcBorders>
              <w:tl2br w:val="nil"/>
              <w:tr2bl w:val="nil"/>
            </w:tcBorders>
            <w:vAlign w:val="center"/>
          </w:tcPr>
          <w:p w14:paraId="7BD773A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35AD18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0623E79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0ECAB65A">
            <w:pPr>
              <w:pStyle w:val="195"/>
              <w:widowControl w:val="0"/>
              <w:jc w:val="center"/>
              <w:rPr>
                <w:rFonts w:ascii="Times New Roman" w:hAnsi="Times New Roman" w:cs="Times New Roman"/>
                <w:caps w:val="0"/>
                <w:smallCaps w:val="0"/>
                <w:color w:val="auto"/>
                <w:spacing w:val="0"/>
                <w:highlight w:val="none"/>
              </w:rPr>
            </w:pPr>
          </w:p>
        </w:tc>
        <w:tc>
          <w:tcPr>
            <w:tcW w:w="1078" w:type="dxa"/>
            <w:tcBorders>
              <w:tl2br w:val="nil"/>
              <w:tr2bl w:val="nil"/>
            </w:tcBorders>
            <w:vAlign w:val="center"/>
          </w:tcPr>
          <w:p w14:paraId="47D73CA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废离子交换树脂</w:t>
            </w:r>
          </w:p>
        </w:tc>
        <w:tc>
          <w:tcPr>
            <w:tcW w:w="1500" w:type="dxa"/>
            <w:tcBorders>
              <w:tl2br w:val="nil"/>
              <w:tr2bl w:val="nil"/>
            </w:tcBorders>
            <w:vAlign w:val="center"/>
          </w:tcPr>
          <w:p w14:paraId="22EA6C6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离子交换树脂</w:t>
            </w:r>
          </w:p>
        </w:tc>
        <w:tc>
          <w:tcPr>
            <w:tcW w:w="1106" w:type="dxa"/>
            <w:tcBorders>
              <w:tl2br w:val="nil"/>
              <w:tr2bl w:val="nil"/>
            </w:tcBorders>
            <w:vAlign w:val="center"/>
          </w:tcPr>
          <w:p w14:paraId="20B682D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一般固废</w:t>
            </w:r>
          </w:p>
        </w:tc>
        <w:tc>
          <w:tcPr>
            <w:tcW w:w="752" w:type="dxa"/>
            <w:tcBorders>
              <w:tl2br w:val="nil"/>
              <w:tr2bl w:val="nil"/>
            </w:tcBorders>
            <w:vAlign w:val="center"/>
          </w:tcPr>
          <w:p w14:paraId="1CABBB10">
            <w:pPr>
              <w:widowControl w:val="0"/>
              <w:jc w:val="center"/>
              <w:rPr>
                <w:rFonts w:ascii="Times New Roman" w:hAnsi="Times New Roman" w:eastAsia="宋体" w:cs="Times New Roman"/>
                <w:caps w:val="0"/>
                <w:smallCaps w:val="0"/>
                <w:color w:val="auto"/>
                <w:spacing w:val="0"/>
                <w:position w:val="1"/>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900-008-S59</w:t>
            </w:r>
          </w:p>
        </w:tc>
        <w:tc>
          <w:tcPr>
            <w:tcW w:w="1033" w:type="dxa"/>
            <w:tcBorders>
              <w:tl2br w:val="nil"/>
              <w:tr2bl w:val="nil"/>
            </w:tcBorders>
            <w:vAlign w:val="center"/>
          </w:tcPr>
          <w:p w14:paraId="0F20E3D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tcBorders>
              <w:tl2br w:val="nil"/>
              <w:tr2bl w:val="nil"/>
            </w:tcBorders>
            <w:vAlign w:val="center"/>
          </w:tcPr>
          <w:p w14:paraId="0C6D4A3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由厂家回收处置</w:t>
            </w:r>
          </w:p>
        </w:tc>
      </w:tr>
      <w:tr w14:paraId="51CE0B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restart"/>
            <w:tcBorders>
              <w:tl2br w:val="nil"/>
              <w:tr2bl w:val="nil"/>
            </w:tcBorders>
            <w:vAlign w:val="center"/>
          </w:tcPr>
          <w:p w14:paraId="56A098F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辅助设施</w:t>
            </w:r>
          </w:p>
        </w:tc>
        <w:tc>
          <w:tcPr>
            <w:tcW w:w="1321" w:type="dxa"/>
            <w:tcBorders>
              <w:tl2br w:val="nil"/>
              <w:tr2bl w:val="nil"/>
            </w:tcBorders>
            <w:vAlign w:val="center"/>
          </w:tcPr>
          <w:p w14:paraId="3A9F7F5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设备维修</w:t>
            </w:r>
          </w:p>
        </w:tc>
        <w:tc>
          <w:tcPr>
            <w:tcW w:w="1078" w:type="dxa"/>
            <w:tcBorders>
              <w:tl2br w:val="nil"/>
              <w:tr2bl w:val="nil"/>
            </w:tcBorders>
            <w:vAlign w:val="center"/>
          </w:tcPr>
          <w:p w14:paraId="6267DF4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1500" w:type="dxa"/>
            <w:tcBorders>
              <w:tl2br w:val="nil"/>
              <w:tr2bl w:val="nil"/>
            </w:tcBorders>
            <w:vAlign w:val="center"/>
          </w:tcPr>
          <w:p w14:paraId="3D66B75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矿物油</w:t>
            </w:r>
          </w:p>
        </w:tc>
        <w:tc>
          <w:tcPr>
            <w:tcW w:w="1106" w:type="dxa"/>
            <w:tcBorders>
              <w:tl2br w:val="nil"/>
              <w:tr2bl w:val="nil"/>
            </w:tcBorders>
            <w:vAlign w:val="center"/>
          </w:tcPr>
          <w:p w14:paraId="2699F42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危险废物HW08</w:t>
            </w:r>
          </w:p>
        </w:tc>
        <w:tc>
          <w:tcPr>
            <w:tcW w:w="752" w:type="dxa"/>
            <w:tcBorders>
              <w:tl2br w:val="nil"/>
              <w:tr2bl w:val="nil"/>
            </w:tcBorders>
            <w:vAlign w:val="center"/>
          </w:tcPr>
          <w:p w14:paraId="7866D6A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900-2</w:t>
            </w:r>
          </w:p>
          <w:p w14:paraId="12C68B8A">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49-08</w:t>
            </w:r>
          </w:p>
        </w:tc>
        <w:tc>
          <w:tcPr>
            <w:tcW w:w="1033" w:type="dxa"/>
            <w:tcBorders>
              <w:tl2br w:val="nil"/>
              <w:tr2bl w:val="nil"/>
            </w:tcBorders>
            <w:vAlign w:val="center"/>
          </w:tcPr>
          <w:p w14:paraId="7ACF99C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vMerge w:val="restart"/>
            <w:tcBorders>
              <w:tl2br w:val="nil"/>
              <w:tr2bl w:val="nil"/>
            </w:tcBorders>
            <w:vAlign w:val="center"/>
          </w:tcPr>
          <w:p w14:paraId="13CA3C8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385A1D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76F622C4">
            <w:pPr>
              <w:pStyle w:val="195"/>
              <w:widowControl w:val="0"/>
              <w:jc w:val="center"/>
              <w:rPr>
                <w:rFonts w:ascii="Times New Roman" w:hAnsi="Times New Roman" w:cs="Times New Roman"/>
                <w:caps w:val="0"/>
                <w:smallCaps w:val="0"/>
                <w:color w:val="auto"/>
                <w:spacing w:val="0"/>
                <w:highlight w:val="none"/>
                <w:lang w:eastAsia="zh-CN"/>
              </w:rPr>
            </w:pPr>
          </w:p>
        </w:tc>
        <w:tc>
          <w:tcPr>
            <w:tcW w:w="1321" w:type="dxa"/>
            <w:tcBorders>
              <w:tl2br w:val="nil"/>
              <w:tr2bl w:val="nil"/>
            </w:tcBorders>
            <w:vAlign w:val="center"/>
          </w:tcPr>
          <w:p w14:paraId="22A57AC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日常使用</w:t>
            </w:r>
          </w:p>
        </w:tc>
        <w:tc>
          <w:tcPr>
            <w:tcW w:w="1078" w:type="dxa"/>
            <w:tcBorders>
              <w:tl2br w:val="nil"/>
              <w:tr2bl w:val="nil"/>
            </w:tcBorders>
            <w:vAlign w:val="center"/>
          </w:tcPr>
          <w:p w14:paraId="1EEB950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废劳保用品</w:t>
            </w:r>
          </w:p>
        </w:tc>
        <w:tc>
          <w:tcPr>
            <w:tcW w:w="1500" w:type="dxa"/>
            <w:tcBorders>
              <w:tl2br w:val="nil"/>
              <w:tr2bl w:val="nil"/>
            </w:tcBorders>
            <w:vAlign w:val="center"/>
          </w:tcPr>
          <w:p w14:paraId="432E795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沾染危险废物的废手套</w:t>
            </w:r>
          </w:p>
        </w:tc>
        <w:tc>
          <w:tcPr>
            <w:tcW w:w="1106" w:type="dxa"/>
            <w:tcBorders>
              <w:tl2br w:val="nil"/>
              <w:tr2bl w:val="nil"/>
            </w:tcBorders>
            <w:vAlign w:val="center"/>
          </w:tcPr>
          <w:p w14:paraId="5D0D7FF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41E5095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11BFEEB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47-49</w:t>
            </w:r>
          </w:p>
        </w:tc>
        <w:tc>
          <w:tcPr>
            <w:tcW w:w="1033" w:type="dxa"/>
            <w:tcBorders>
              <w:tl2br w:val="nil"/>
              <w:tr2bl w:val="nil"/>
            </w:tcBorders>
            <w:vAlign w:val="center"/>
          </w:tcPr>
          <w:p w14:paraId="3E42DBD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5" w:type="dxa"/>
            <w:vMerge w:val="continue"/>
            <w:tcBorders>
              <w:tl2br w:val="nil"/>
              <w:tr2bl w:val="nil"/>
            </w:tcBorders>
            <w:vAlign w:val="center"/>
          </w:tcPr>
          <w:p w14:paraId="55A2E7DA">
            <w:pPr>
              <w:pStyle w:val="195"/>
              <w:widowControl w:val="0"/>
              <w:jc w:val="center"/>
              <w:rPr>
                <w:rFonts w:ascii="Times New Roman" w:hAnsi="Times New Roman" w:cs="Times New Roman"/>
                <w:caps w:val="0"/>
                <w:smallCaps w:val="0"/>
                <w:color w:val="auto"/>
                <w:spacing w:val="0"/>
                <w:highlight w:val="none"/>
                <w:lang w:eastAsia="zh-CN"/>
              </w:rPr>
            </w:pPr>
          </w:p>
        </w:tc>
      </w:tr>
      <w:tr w14:paraId="08E529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24ADF154">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3821413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原料包装</w:t>
            </w:r>
          </w:p>
        </w:tc>
        <w:tc>
          <w:tcPr>
            <w:tcW w:w="1078" w:type="dxa"/>
            <w:tcBorders>
              <w:tl2br w:val="nil"/>
              <w:tr2bl w:val="nil"/>
            </w:tcBorders>
            <w:vAlign w:val="center"/>
          </w:tcPr>
          <w:p w14:paraId="0533BF2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1500" w:type="dxa"/>
            <w:tcBorders>
              <w:tl2br w:val="nil"/>
              <w:tr2bl w:val="nil"/>
            </w:tcBorders>
            <w:vAlign w:val="center"/>
          </w:tcPr>
          <w:p w14:paraId="568CAA0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沾染危险废物的废包装</w:t>
            </w:r>
          </w:p>
        </w:tc>
        <w:tc>
          <w:tcPr>
            <w:tcW w:w="1106" w:type="dxa"/>
            <w:tcBorders>
              <w:tl2br w:val="nil"/>
              <w:tr2bl w:val="nil"/>
            </w:tcBorders>
            <w:vAlign w:val="center"/>
          </w:tcPr>
          <w:p w14:paraId="6D0EA75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2FF57DEF">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217E638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47-49</w:t>
            </w:r>
          </w:p>
        </w:tc>
        <w:tc>
          <w:tcPr>
            <w:tcW w:w="1033" w:type="dxa"/>
            <w:tcBorders>
              <w:tl2br w:val="nil"/>
              <w:tr2bl w:val="nil"/>
            </w:tcBorders>
            <w:vAlign w:val="center"/>
          </w:tcPr>
          <w:p w14:paraId="77CA629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0.4</w:t>
            </w:r>
          </w:p>
        </w:tc>
        <w:tc>
          <w:tcPr>
            <w:tcW w:w="1765" w:type="dxa"/>
            <w:vMerge w:val="continue"/>
            <w:tcBorders>
              <w:tl2br w:val="nil"/>
              <w:tr2bl w:val="nil"/>
            </w:tcBorders>
            <w:vAlign w:val="center"/>
          </w:tcPr>
          <w:p w14:paraId="028142B9">
            <w:pPr>
              <w:pStyle w:val="195"/>
              <w:widowControl w:val="0"/>
              <w:jc w:val="center"/>
              <w:rPr>
                <w:rFonts w:ascii="Times New Roman" w:hAnsi="Times New Roman" w:cs="Times New Roman"/>
                <w:caps w:val="0"/>
                <w:smallCaps w:val="0"/>
                <w:color w:val="auto"/>
                <w:spacing w:val="0"/>
                <w:highlight w:val="none"/>
              </w:rPr>
            </w:pPr>
          </w:p>
        </w:tc>
      </w:tr>
      <w:tr w14:paraId="3B6666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47A43D6A">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4E7F22C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设备维护</w:t>
            </w:r>
          </w:p>
        </w:tc>
        <w:tc>
          <w:tcPr>
            <w:tcW w:w="1078" w:type="dxa"/>
            <w:tcBorders>
              <w:tl2br w:val="nil"/>
              <w:tr2bl w:val="nil"/>
            </w:tcBorders>
            <w:vAlign w:val="center"/>
          </w:tcPr>
          <w:p w14:paraId="7CD2804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500" w:type="dxa"/>
            <w:tcBorders>
              <w:tl2br w:val="nil"/>
              <w:tr2bl w:val="nil"/>
            </w:tcBorders>
            <w:vAlign w:val="center"/>
          </w:tcPr>
          <w:p w14:paraId="37C3A79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106" w:type="dxa"/>
            <w:tcBorders>
              <w:tl2br w:val="nil"/>
              <w:tr2bl w:val="nil"/>
            </w:tcBorders>
            <w:vAlign w:val="center"/>
          </w:tcPr>
          <w:p w14:paraId="7AB247B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w:t>
            </w:r>
            <w:r>
              <w:rPr>
                <w:rFonts w:ascii="Times New Roman" w:hAnsi="Times New Roman" w:cs="Times New Roman"/>
                <w:caps w:val="0"/>
                <w:smallCaps w:val="0"/>
                <w:color w:val="auto"/>
                <w:spacing w:val="0"/>
                <w:highlight w:val="none"/>
                <w:lang w:eastAsia="zh-CN"/>
              </w:rPr>
              <w:t>31</w:t>
            </w:r>
          </w:p>
        </w:tc>
        <w:tc>
          <w:tcPr>
            <w:tcW w:w="752" w:type="dxa"/>
            <w:tcBorders>
              <w:tl2br w:val="nil"/>
              <w:tr2bl w:val="nil"/>
            </w:tcBorders>
            <w:vAlign w:val="center"/>
          </w:tcPr>
          <w:p w14:paraId="2F4A61E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155836D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52-31</w:t>
            </w:r>
          </w:p>
        </w:tc>
        <w:tc>
          <w:tcPr>
            <w:tcW w:w="1033" w:type="dxa"/>
            <w:tcBorders>
              <w:tl2br w:val="nil"/>
              <w:tr2bl w:val="nil"/>
            </w:tcBorders>
            <w:vAlign w:val="center"/>
          </w:tcPr>
          <w:p w14:paraId="619219E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0.1（3a）</w:t>
            </w:r>
          </w:p>
        </w:tc>
        <w:tc>
          <w:tcPr>
            <w:tcW w:w="1765" w:type="dxa"/>
            <w:tcBorders>
              <w:tl2br w:val="nil"/>
              <w:tr2bl w:val="nil"/>
            </w:tcBorders>
            <w:vAlign w:val="center"/>
          </w:tcPr>
          <w:p w14:paraId="0ED60FC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不在厂区暂存，直接由厂家回收</w:t>
            </w:r>
          </w:p>
        </w:tc>
      </w:tr>
      <w:tr w14:paraId="028D10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515" w:type="dxa"/>
            <w:vMerge w:val="continue"/>
            <w:tcBorders>
              <w:tl2br w:val="nil"/>
              <w:tr2bl w:val="nil"/>
            </w:tcBorders>
            <w:vAlign w:val="center"/>
          </w:tcPr>
          <w:p w14:paraId="3864FBE4">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tcBorders>
              <w:tl2br w:val="nil"/>
              <w:tr2bl w:val="nil"/>
            </w:tcBorders>
            <w:vAlign w:val="center"/>
          </w:tcPr>
          <w:p w14:paraId="5EA3E08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检测</w:t>
            </w:r>
          </w:p>
        </w:tc>
        <w:tc>
          <w:tcPr>
            <w:tcW w:w="1078" w:type="dxa"/>
            <w:tcBorders>
              <w:tl2br w:val="nil"/>
              <w:tr2bl w:val="nil"/>
            </w:tcBorders>
            <w:vAlign w:val="center"/>
          </w:tcPr>
          <w:p w14:paraId="4B93E55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1500" w:type="dxa"/>
            <w:tcBorders>
              <w:tl2br w:val="nil"/>
              <w:tr2bl w:val="nil"/>
            </w:tcBorders>
            <w:vAlign w:val="center"/>
          </w:tcPr>
          <w:p w14:paraId="4F99329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产生的含无机废液</w:t>
            </w:r>
          </w:p>
        </w:tc>
        <w:tc>
          <w:tcPr>
            <w:tcW w:w="1106" w:type="dxa"/>
            <w:tcBorders>
              <w:tl2br w:val="nil"/>
              <w:tr2bl w:val="nil"/>
            </w:tcBorders>
            <w:vAlign w:val="center"/>
          </w:tcPr>
          <w:p w14:paraId="750B3E3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1C1349A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900-047-49</w:t>
            </w:r>
          </w:p>
        </w:tc>
        <w:tc>
          <w:tcPr>
            <w:tcW w:w="1033" w:type="dxa"/>
            <w:tcBorders>
              <w:tl2br w:val="nil"/>
              <w:tr2bl w:val="nil"/>
            </w:tcBorders>
            <w:vAlign w:val="center"/>
          </w:tcPr>
          <w:p w14:paraId="0CF8662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0.01</w:t>
            </w:r>
          </w:p>
        </w:tc>
        <w:tc>
          <w:tcPr>
            <w:tcW w:w="1765" w:type="dxa"/>
            <w:tcBorders>
              <w:tl2br w:val="nil"/>
              <w:tr2bl w:val="nil"/>
            </w:tcBorders>
            <w:vAlign w:val="center"/>
          </w:tcPr>
          <w:p w14:paraId="2FBD146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1921D9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515" w:type="dxa"/>
            <w:vMerge w:val="restart"/>
            <w:tcBorders>
              <w:tl2br w:val="nil"/>
              <w:tr2bl w:val="nil"/>
            </w:tcBorders>
            <w:vAlign w:val="center"/>
          </w:tcPr>
          <w:p w14:paraId="25091FD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环保工程</w:t>
            </w:r>
          </w:p>
        </w:tc>
        <w:tc>
          <w:tcPr>
            <w:tcW w:w="1321" w:type="dxa"/>
            <w:vMerge w:val="restart"/>
            <w:tcBorders>
              <w:tl2br w:val="nil"/>
              <w:tr2bl w:val="nil"/>
            </w:tcBorders>
            <w:vAlign w:val="center"/>
          </w:tcPr>
          <w:p w14:paraId="3C3E08D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废水处理</w:t>
            </w:r>
          </w:p>
        </w:tc>
        <w:tc>
          <w:tcPr>
            <w:tcW w:w="1078" w:type="dxa"/>
            <w:tcBorders>
              <w:tl2br w:val="nil"/>
              <w:tr2bl w:val="nil"/>
            </w:tcBorders>
            <w:vAlign w:val="center"/>
          </w:tcPr>
          <w:p w14:paraId="6A174FC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w:t>
            </w:r>
          </w:p>
          <w:p w14:paraId="2019159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膜、废反</w:t>
            </w:r>
          </w:p>
          <w:p w14:paraId="568D787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1500" w:type="dxa"/>
            <w:tcBorders>
              <w:tl2br w:val="nil"/>
              <w:tr2bl w:val="nil"/>
            </w:tcBorders>
            <w:vAlign w:val="center"/>
          </w:tcPr>
          <w:p w14:paraId="748CFC6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废过滤膜、废反渗透膜</w:t>
            </w:r>
          </w:p>
        </w:tc>
        <w:tc>
          <w:tcPr>
            <w:tcW w:w="1106" w:type="dxa"/>
            <w:tcBorders>
              <w:tl2br w:val="nil"/>
              <w:tr2bl w:val="nil"/>
            </w:tcBorders>
            <w:vAlign w:val="center"/>
          </w:tcPr>
          <w:p w14:paraId="0D4D77E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76420DE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78B588E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362C2BB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w:t>
            </w:r>
          </w:p>
        </w:tc>
        <w:tc>
          <w:tcPr>
            <w:tcW w:w="1765" w:type="dxa"/>
            <w:vMerge w:val="restart"/>
            <w:tcBorders>
              <w:tl2br w:val="nil"/>
              <w:tr2bl w:val="nil"/>
            </w:tcBorders>
            <w:vAlign w:val="center"/>
          </w:tcPr>
          <w:p w14:paraId="26BB148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01C448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5" w:type="dxa"/>
            <w:vMerge w:val="continue"/>
            <w:tcBorders>
              <w:tl2br w:val="nil"/>
              <w:tr2bl w:val="nil"/>
            </w:tcBorders>
            <w:vAlign w:val="center"/>
          </w:tcPr>
          <w:p w14:paraId="438AEC83">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594E21AA">
            <w:pPr>
              <w:widowControl w:val="0"/>
              <w:jc w:val="center"/>
              <w:rPr>
                <w:rFonts w:ascii="Times New Roman" w:hAnsi="Times New Roman" w:eastAsia="宋体" w:cs="Times New Roman"/>
                <w:caps w:val="0"/>
                <w:smallCaps w:val="0"/>
                <w:color w:val="auto"/>
                <w:spacing w:val="0"/>
                <w:sz w:val="21"/>
                <w:highlight w:val="none"/>
                <w:lang w:eastAsia="en-US"/>
              </w:rPr>
            </w:pPr>
          </w:p>
        </w:tc>
        <w:tc>
          <w:tcPr>
            <w:tcW w:w="1078" w:type="dxa"/>
            <w:tcBorders>
              <w:tl2br w:val="nil"/>
              <w:tr2bl w:val="nil"/>
            </w:tcBorders>
            <w:vAlign w:val="center"/>
          </w:tcPr>
          <w:p w14:paraId="4FBAD8F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污泥、蒸发结晶盐</w:t>
            </w:r>
          </w:p>
        </w:tc>
        <w:tc>
          <w:tcPr>
            <w:tcW w:w="1500" w:type="dxa"/>
            <w:tcBorders>
              <w:tl2br w:val="nil"/>
              <w:tr2bl w:val="nil"/>
            </w:tcBorders>
            <w:vAlign w:val="center"/>
          </w:tcPr>
          <w:p w14:paraId="71A472D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含镉污泥、蒸发结晶盐</w:t>
            </w:r>
          </w:p>
        </w:tc>
        <w:tc>
          <w:tcPr>
            <w:tcW w:w="1106" w:type="dxa"/>
            <w:tcBorders>
              <w:tl2br w:val="nil"/>
              <w:tr2bl w:val="nil"/>
            </w:tcBorders>
            <w:vAlign w:val="center"/>
          </w:tcPr>
          <w:p w14:paraId="3558309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1673E04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73F8474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4CBF112">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15</w:t>
            </w:r>
          </w:p>
        </w:tc>
        <w:tc>
          <w:tcPr>
            <w:tcW w:w="1765" w:type="dxa"/>
            <w:vMerge w:val="continue"/>
            <w:tcBorders>
              <w:tl2br w:val="nil"/>
              <w:tr2bl w:val="nil"/>
            </w:tcBorders>
            <w:vAlign w:val="center"/>
          </w:tcPr>
          <w:p w14:paraId="382EB81D">
            <w:pPr>
              <w:pStyle w:val="195"/>
              <w:widowControl w:val="0"/>
              <w:jc w:val="center"/>
              <w:rPr>
                <w:rFonts w:ascii="Times New Roman" w:hAnsi="Times New Roman" w:cs="Times New Roman"/>
                <w:caps w:val="0"/>
                <w:smallCaps w:val="0"/>
                <w:color w:val="auto"/>
                <w:spacing w:val="0"/>
                <w:highlight w:val="none"/>
                <w:lang w:eastAsia="en-US"/>
              </w:rPr>
            </w:pPr>
          </w:p>
        </w:tc>
      </w:tr>
      <w:tr w14:paraId="45AEC6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549" w:hRule="atLeast"/>
        </w:trPr>
        <w:tc>
          <w:tcPr>
            <w:tcW w:w="515" w:type="dxa"/>
            <w:vMerge w:val="continue"/>
            <w:tcBorders>
              <w:tl2br w:val="nil"/>
              <w:tr2bl w:val="nil"/>
            </w:tcBorders>
            <w:vAlign w:val="center"/>
          </w:tcPr>
          <w:p w14:paraId="6F5CEB8D">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restart"/>
            <w:tcBorders>
              <w:tl2br w:val="nil"/>
              <w:tr2bl w:val="nil"/>
            </w:tcBorders>
            <w:vAlign w:val="center"/>
          </w:tcPr>
          <w:p w14:paraId="1E7A030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废气处理</w:t>
            </w:r>
          </w:p>
        </w:tc>
        <w:tc>
          <w:tcPr>
            <w:tcW w:w="1078" w:type="dxa"/>
            <w:tcBorders>
              <w:tl2br w:val="nil"/>
              <w:tr2bl w:val="nil"/>
            </w:tcBorders>
            <w:vAlign w:val="center"/>
          </w:tcPr>
          <w:p w14:paraId="7044D37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收尘灰</w:t>
            </w:r>
          </w:p>
        </w:tc>
        <w:tc>
          <w:tcPr>
            <w:tcW w:w="1500" w:type="dxa"/>
            <w:tcBorders>
              <w:tl2br w:val="nil"/>
              <w:tr2bl w:val="nil"/>
            </w:tcBorders>
            <w:vAlign w:val="center"/>
          </w:tcPr>
          <w:p w14:paraId="40BE911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颗粒物、镉及其化合物</w:t>
            </w:r>
          </w:p>
        </w:tc>
        <w:tc>
          <w:tcPr>
            <w:tcW w:w="1106" w:type="dxa"/>
            <w:tcBorders>
              <w:tl2br w:val="nil"/>
              <w:tr2bl w:val="nil"/>
            </w:tcBorders>
            <w:vAlign w:val="center"/>
          </w:tcPr>
          <w:p w14:paraId="180EAAE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16E38BD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3ADC31D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DCD023D">
            <w:pPr>
              <w:widowControl w:val="0"/>
              <w:jc w:val="center"/>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3.80</w:t>
            </w:r>
          </w:p>
        </w:tc>
        <w:tc>
          <w:tcPr>
            <w:tcW w:w="1765" w:type="dxa"/>
            <w:vMerge w:val="restart"/>
            <w:tcBorders>
              <w:bottom w:val="single" w:color="auto" w:sz="8" w:space="0"/>
              <w:tl2br w:val="nil"/>
              <w:tr2bl w:val="nil"/>
            </w:tcBorders>
            <w:vAlign w:val="center"/>
          </w:tcPr>
          <w:p w14:paraId="176D43A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0AB659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51520E34">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tl2br w:val="nil"/>
              <w:tr2bl w:val="nil"/>
            </w:tcBorders>
            <w:vAlign w:val="center"/>
          </w:tcPr>
          <w:p w14:paraId="1A372042">
            <w:pPr>
              <w:pStyle w:val="195"/>
              <w:widowControl w:val="0"/>
              <w:jc w:val="center"/>
              <w:rPr>
                <w:rFonts w:ascii="Times New Roman" w:hAnsi="Times New Roman" w:cs="Times New Roman"/>
                <w:caps w:val="0"/>
                <w:smallCaps w:val="0"/>
                <w:color w:val="auto"/>
                <w:spacing w:val="0"/>
                <w:highlight w:val="none"/>
                <w:lang w:eastAsia="zh-CN"/>
              </w:rPr>
            </w:pPr>
          </w:p>
        </w:tc>
        <w:tc>
          <w:tcPr>
            <w:tcW w:w="1078" w:type="dxa"/>
            <w:tcBorders>
              <w:tl2br w:val="nil"/>
              <w:tr2bl w:val="nil"/>
            </w:tcBorders>
            <w:vAlign w:val="center"/>
          </w:tcPr>
          <w:p w14:paraId="17F92C9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废过滤器</w:t>
            </w:r>
          </w:p>
        </w:tc>
        <w:tc>
          <w:tcPr>
            <w:tcW w:w="1500" w:type="dxa"/>
            <w:tcBorders>
              <w:tl2br w:val="nil"/>
              <w:tr2bl w:val="nil"/>
            </w:tcBorders>
            <w:vAlign w:val="center"/>
          </w:tcPr>
          <w:p w14:paraId="4EDCF1E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含镉过滤器</w:t>
            </w:r>
          </w:p>
        </w:tc>
        <w:tc>
          <w:tcPr>
            <w:tcW w:w="1106" w:type="dxa"/>
            <w:tcBorders>
              <w:tl2br w:val="nil"/>
              <w:tr2bl w:val="nil"/>
            </w:tcBorders>
            <w:vAlign w:val="center"/>
          </w:tcPr>
          <w:p w14:paraId="4F22BDC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0311A9F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6459908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38F821B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0.5（3a）</w:t>
            </w:r>
          </w:p>
        </w:tc>
        <w:tc>
          <w:tcPr>
            <w:tcW w:w="1765" w:type="dxa"/>
            <w:vMerge w:val="continue"/>
            <w:tcBorders>
              <w:top w:val="single" w:color="auto" w:sz="8" w:space="0"/>
              <w:bottom w:val="single" w:color="auto" w:sz="8" w:space="0"/>
              <w:tl2br w:val="nil"/>
              <w:tr2bl w:val="nil"/>
            </w:tcBorders>
            <w:vAlign w:val="center"/>
          </w:tcPr>
          <w:p w14:paraId="317E860B">
            <w:pPr>
              <w:pStyle w:val="195"/>
              <w:widowControl w:val="0"/>
              <w:jc w:val="center"/>
              <w:rPr>
                <w:rFonts w:ascii="Times New Roman" w:hAnsi="Times New Roman" w:cs="Times New Roman"/>
                <w:caps w:val="0"/>
                <w:smallCaps w:val="0"/>
                <w:color w:val="auto"/>
                <w:spacing w:val="0"/>
                <w:highlight w:val="none"/>
                <w:lang w:eastAsia="zh-CN"/>
              </w:rPr>
            </w:pPr>
          </w:p>
        </w:tc>
      </w:tr>
      <w:tr w14:paraId="19A77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bottom w:val="single" w:color="auto" w:sz="8" w:space="0"/>
              <w:tl2br w:val="nil"/>
              <w:tr2bl w:val="nil"/>
            </w:tcBorders>
            <w:vAlign w:val="center"/>
          </w:tcPr>
          <w:p w14:paraId="6EEABEA0">
            <w:pPr>
              <w:widowControl w:val="0"/>
              <w:jc w:val="center"/>
              <w:rPr>
                <w:rFonts w:ascii="Times New Roman" w:hAnsi="Times New Roman" w:eastAsia="宋体" w:cs="Times New Roman"/>
                <w:caps w:val="0"/>
                <w:smallCaps w:val="0"/>
                <w:color w:val="auto"/>
                <w:spacing w:val="0"/>
                <w:sz w:val="21"/>
                <w:highlight w:val="none"/>
                <w:lang w:eastAsia="en-US"/>
              </w:rPr>
            </w:pPr>
          </w:p>
        </w:tc>
        <w:tc>
          <w:tcPr>
            <w:tcW w:w="1321" w:type="dxa"/>
            <w:vMerge w:val="continue"/>
            <w:tcBorders>
              <w:bottom w:val="single" w:color="auto" w:sz="8" w:space="0"/>
              <w:tl2br w:val="nil"/>
              <w:tr2bl w:val="nil"/>
            </w:tcBorders>
            <w:vAlign w:val="center"/>
          </w:tcPr>
          <w:p w14:paraId="699EA62A">
            <w:pPr>
              <w:pStyle w:val="195"/>
              <w:widowControl w:val="0"/>
              <w:jc w:val="center"/>
              <w:rPr>
                <w:rFonts w:ascii="Times New Roman" w:hAnsi="Times New Roman" w:cs="Times New Roman"/>
                <w:caps w:val="0"/>
                <w:smallCaps w:val="0"/>
                <w:color w:val="auto"/>
                <w:spacing w:val="0"/>
                <w:highlight w:val="none"/>
                <w:lang w:eastAsia="zh-CN"/>
              </w:rPr>
            </w:pPr>
          </w:p>
        </w:tc>
        <w:tc>
          <w:tcPr>
            <w:tcW w:w="1078" w:type="dxa"/>
            <w:tcBorders>
              <w:bottom w:val="single" w:color="auto" w:sz="8" w:space="0"/>
              <w:tl2br w:val="nil"/>
              <w:tr2bl w:val="nil"/>
            </w:tcBorders>
            <w:vAlign w:val="center"/>
          </w:tcPr>
          <w:p w14:paraId="6E9BCE4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1500" w:type="dxa"/>
            <w:tcBorders>
              <w:bottom w:val="single" w:color="auto" w:sz="8" w:space="0"/>
              <w:tl2br w:val="nil"/>
              <w:tr2bl w:val="nil"/>
            </w:tcBorders>
            <w:vAlign w:val="center"/>
          </w:tcPr>
          <w:p w14:paraId="5B297AB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饱和活性炭</w:t>
            </w:r>
          </w:p>
        </w:tc>
        <w:tc>
          <w:tcPr>
            <w:tcW w:w="1106" w:type="dxa"/>
            <w:tcBorders>
              <w:bottom w:val="single" w:color="auto" w:sz="8" w:space="0"/>
              <w:tl2br w:val="nil"/>
              <w:tr2bl w:val="nil"/>
            </w:tcBorders>
            <w:vAlign w:val="center"/>
          </w:tcPr>
          <w:p w14:paraId="2B7E84B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w:t>
            </w:r>
            <w:r>
              <w:rPr>
                <w:rFonts w:ascii="Times New Roman" w:hAnsi="Times New Roman" w:cs="Times New Roman"/>
                <w:caps w:val="0"/>
                <w:smallCaps w:val="0"/>
                <w:color w:val="auto"/>
                <w:spacing w:val="0"/>
                <w:highlight w:val="none"/>
                <w:lang w:eastAsia="zh-CN"/>
              </w:rPr>
              <w:t>49</w:t>
            </w:r>
          </w:p>
        </w:tc>
        <w:tc>
          <w:tcPr>
            <w:tcW w:w="752" w:type="dxa"/>
            <w:tcBorders>
              <w:bottom w:val="single" w:color="auto" w:sz="8" w:space="0"/>
              <w:tl2br w:val="nil"/>
              <w:tr2bl w:val="nil"/>
            </w:tcBorders>
            <w:vAlign w:val="center"/>
          </w:tcPr>
          <w:p w14:paraId="5C2BBAE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3770734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39-49</w:t>
            </w:r>
          </w:p>
        </w:tc>
        <w:tc>
          <w:tcPr>
            <w:tcW w:w="1033" w:type="dxa"/>
            <w:tcBorders>
              <w:bottom w:val="single" w:color="auto" w:sz="8" w:space="0"/>
              <w:tl2br w:val="nil"/>
              <w:tr2bl w:val="nil"/>
            </w:tcBorders>
            <w:vAlign w:val="center"/>
          </w:tcPr>
          <w:p w14:paraId="7548765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1.5</w:t>
            </w:r>
          </w:p>
        </w:tc>
        <w:tc>
          <w:tcPr>
            <w:tcW w:w="1765" w:type="dxa"/>
            <w:vMerge w:val="continue"/>
            <w:tcBorders>
              <w:top w:val="single" w:color="auto" w:sz="8" w:space="0"/>
              <w:bottom w:val="single" w:color="auto" w:sz="8" w:space="0"/>
              <w:tl2br w:val="nil"/>
              <w:tr2bl w:val="nil"/>
            </w:tcBorders>
            <w:vAlign w:val="center"/>
          </w:tcPr>
          <w:p w14:paraId="61EA5B0E">
            <w:pPr>
              <w:pStyle w:val="195"/>
              <w:widowControl w:val="0"/>
              <w:jc w:val="center"/>
              <w:rPr>
                <w:rFonts w:ascii="Times New Roman" w:hAnsi="Times New Roman" w:cs="Times New Roman"/>
                <w:caps w:val="0"/>
                <w:smallCaps w:val="0"/>
                <w:color w:val="auto"/>
                <w:spacing w:val="0"/>
                <w:highlight w:val="none"/>
                <w:lang w:eastAsia="zh-CN"/>
              </w:rPr>
            </w:pPr>
          </w:p>
        </w:tc>
      </w:tr>
    </w:tbl>
    <w:p w14:paraId="110BC1FD">
      <w:pPr>
        <w:pStyle w:val="194"/>
        <w:widowControl w:val="0"/>
        <w:spacing w:line="240" w:lineRule="auto"/>
        <w:ind w:firstLine="446"/>
        <w:jc w:val="center"/>
        <w:rPr>
          <w:rFonts w:ascii="Times New Roman" w:hAnsi="Times New Roman" w:eastAsia="宋体" w:cs="Times New Roman"/>
          <w:b/>
          <w:bCs/>
          <w:caps w:val="0"/>
          <w:smallCaps w:val="0"/>
          <w:color w:val="auto"/>
          <w:spacing w:val="0"/>
          <w:sz w:val="21"/>
          <w:szCs w:val="21"/>
          <w:highlight w:val="none"/>
        </w:rPr>
      </w:pPr>
      <w:r>
        <w:rPr>
          <w:rFonts w:hint="eastAsia" w:ascii="Times New Roman" w:hAnsi="Times New Roman" w:eastAsia="宋体" w:cs="Times New Roman"/>
          <w:b/>
          <w:bCs/>
          <w:caps w:val="0"/>
          <w:smallCaps w:val="0"/>
          <w:color w:val="auto"/>
          <w:spacing w:val="0"/>
          <w:sz w:val="21"/>
          <w:szCs w:val="21"/>
          <w:highlight w:val="none"/>
        </w:rPr>
        <w:t>表5.2-1</w:t>
      </w:r>
      <w:r>
        <w:rPr>
          <w:rFonts w:hint="eastAsia" w:ascii="Times New Roman" w:hAnsi="Times New Roman" w:eastAsia="宋体" w:cs="Times New Roman"/>
          <w:b/>
          <w:bCs/>
          <w:caps w:val="0"/>
          <w:smallCaps w:val="0"/>
          <w:color w:val="auto"/>
          <w:spacing w:val="0"/>
          <w:sz w:val="21"/>
          <w:szCs w:val="21"/>
          <w:highlight w:val="none"/>
          <w:lang w:val="en-US" w:eastAsia="zh-CN"/>
        </w:rPr>
        <w:t>5</w:t>
      </w:r>
      <w:r>
        <w:rPr>
          <w:rFonts w:ascii="Times New Roman" w:hAnsi="Times New Roman" w:eastAsia="宋体" w:cs="Times New Roman"/>
          <w:b/>
          <w:bCs/>
          <w:caps w:val="0"/>
          <w:smallCaps w:val="0"/>
          <w:color w:val="auto"/>
          <w:spacing w:val="0"/>
          <w:sz w:val="21"/>
          <w:szCs w:val="21"/>
          <w:highlight w:val="none"/>
        </w:rPr>
        <w:t>工程分析中危险废物汇总样表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4"/>
        <w:gridCol w:w="733"/>
        <w:gridCol w:w="671"/>
        <w:gridCol w:w="792"/>
        <w:gridCol w:w="733"/>
        <w:gridCol w:w="781"/>
        <w:gridCol w:w="572"/>
        <w:gridCol w:w="756"/>
        <w:gridCol w:w="719"/>
        <w:gridCol w:w="732"/>
        <w:gridCol w:w="657"/>
        <w:gridCol w:w="1685"/>
      </w:tblGrid>
      <w:tr w14:paraId="25918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44" w:type="pct"/>
            <w:vAlign w:val="center"/>
          </w:tcPr>
          <w:p w14:paraId="16CFA3C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序号</w:t>
            </w:r>
          </w:p>
        </w:tc>
        <w:tc>
          <w:tcPr>
            <w:tcW w:w="394" w:type="pct"/>
            <w:vAlign w:val="center"/>
          </w:tcPr>
          <w:p w14:paraId="0F4B4DF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危险废物名称</w:t>
            </w:r>
          </w:p>
        </w:tc>
        <w:tc>
          <w:tcPr>
            <w:tcW w:w="361" w:type="pct"/>
            <w:vAlign w:val="center"/>
          </w:tcPr>
          <w:p w14:paraId="1181683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危险废物类别</w:t>
            </w:r>
          </w:p>
        </w:tc>
        <w:tc>
          <w:tcPr>
            <w:tcW w:w="426" w:type="pct"/>
            <w:vAlign w:val="center"/>
          </w:tcPr>
          <w:p w14:paraId="2D0D00C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危险废物代码</w:t>
            </w:r>
          </w:p>
        </w:tc>
        <w:tc>
          <w:tcPr>
            <w:tcW w:w="394" w:type="pct"/>
            <w:vAlign w:val="center"/>
          </w:tcPr>
          <w:p w14:paraId="0F71F5F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产生量（吨/年）</w:t>
            </w:r>
          </w:p>
        </w:tc>
        <w:tc>
          <w:tcPr>
            <w:tcW w:w="420" w:type="pct"/>
            <w:vAlign w:val="center"/>
          </w:tcPr>
          <w:p w14:paraId="4DDD235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产生工序及装置</w:t>
            </w:r>
          </w:p>
        </w:tc>
        <w:tc>
          <w:tcPr>
            <w:tcW w:w="308" w:type="pct"/>
            <w:tcBorders>
              <w:bottom w:val="single" w:color="auto" w:sz="4" w:space="0"/>
            </w:tcBorders>
            <w:vAlign w:val="center"/>
          </w:tcPr>
          <w:p w14:paraId="325AE04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形态</w:t>
            </w:r>
          </w:p>
        </w:tc>
        <w:tc>
          <w:tcPr>
            <w:tcW w:w="407" w:type="pct"/>
            <w:tcBorders>
              <w:bottom w:val="single" w:color="auto" w:sz="4" w:space="0"/>
            </w:tcBorders>
            <w:vAlign w:val="center"/>
          </w:tcPr>
          <w:p w14:paraId="3DB4FF9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主要成分</w:t>
            </w:r>
          </w:p>
        </w:tc>
        <w:tc>
          <w:tcPr>
            <w:tcW w:w="387" w:type="pct"/>
            <w:tcBorders>
              <w:bottom w:val="single" w:color="auto" w:sz="4" w:space="0"/>
            </w:tcBorders>
            <w:vAlign w:val="center"/>
          </w:tcPr>
          <w:p w14:paraId="48EC641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有害成分</w:t>
            </w:r>
          </w:p>
        </w:tc>
        <w:tc>
          <w:tcPr>
            <w:tcW w:w="394" w:type="pct"/>
            <w:tcBorders>
              <w:bottom w:val="single" w:color="auto" w:sz="4" w:space="0"/>
            </w:tcBorders>
            <w:vAlign w:val="center"/>
          </w:tcPr>
          <w:p w14:paraId="2366130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产废周期</w:t>
            </w:r>
          </w:p>
        </w:tc>
        <w:tc>
          <w:tcPr>
            <w:tcW w:w="354" w:type="pct"/>
            <w:tcBorders>
              <w:bottom w:val="single" w:color="auto" w:sz="4" w:space="0"/>
            </w:tcBorders>
            <w:vAlign w:val="center"/>
          </w:tcPr>
          <w:p w14:paraId="658B3E1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危险特性</w:t>
            </w:r>
          </w:p>
        </w:tc>
        <w:tc>
          <w:tcPr>
            <w:tcW w:w="907" w:type="pct"/>
            <w:tcBorders>
              <w:bottom w:val="single" w:color="auto" w:sz="4" w:space="0"/>
            </w:tcBorders>
            <w:vAlign w:val="center"/>
          </w:tcPr>
          <w:p w14:paraId="618DA10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污染防治措施</w:t>
            </w:r>
          </w:p>
        </w:tc>
      </w:tr>
      <w:tr w14:paraId="37624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3E175AB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1</w:t>
            </w:r>
          </w:p>
        </w:tc>
        <w:tc>
          <w:tcPr>
            <w:tcW w:w="394" w:type="pct"/>
            <w:vAlign w:val="center"/>
          </w:tcPr>
          <w:p w14:paraId="1F773C7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废真空罩</w:t>
            </w:r>
          </w:p>
        </w:tc>
        <w:tc>
          <w:tcPr>
            <w:tcW w:w="361" w:type="pct"/>
            <w:vAlign w:val="center"/>
          </w:tcPr>
          <w:p w14:paraId="768A810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HW26</w:t>
            </w:r>
          </w:p>
        </w:tc>
        <w:tc>
          <w:tcPr>
            <w:tcW w:w="426" w:type="pct"/>
            <w:vAlign w:val="center"/>
          </w:tcPr>
          <w:p w14:paraId="40A3E6E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384-0</w:t>
            </w:r>
          </w:p>
          <w:p w14:paraId="6F51DD0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02-26</w:t>
            </w:r>
          </w:p>
        </w:tc>
        <w:tc>
          <w:tcPr>
            <w:tcW w:w="394" w:type="pct"/>
            <w:vAlign w:val="center"/>
          </w:tcPr>
          <w:p w14:paraId="15769E1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0.1</w:t>
            </w:r>
          </w:p>
        </w:tc>
        <w:tc>
          <w:tcPr>
            <w:tcW w:w="420" w:type="pct"/>
            <w:vAlign w:val="center"/>
          </w:tcPr>
          <w:p w14:paraId="52E2B00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CdS/CdTe镀膜</w:t>
            </w:r>
          </w:p>
        </w:tc>
        <w:tc>
          <w:tcPr>
            <w:tcW w:w="308" w:type="pct"/>
            <w:vAlign w:val="center"/>
          </w:tcPr>
          <w:p w14:paraId="6AC310A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407" w:type="pct"/>
            <w:vAlign w:val="center"/>
          </w:tcPr>
          <w:p w14:paraId="0DBFC97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含镉真空罩</w:t>
            </w:r>
          </w:p>
        </w:tc>
        <w:tc>
          <w:tcPr>
            <w:tcW w:w="387" w:type="pct"/>
            <w:vAlign w:val="center"/>
          </w:tcPr>
          <w:p w14:paraId="19E2530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镉</w:t>
            </w:r>
          </w:p>
        </w:tc>
        <w:tc>
          <w:tcPr>
            <w:tcW w:w="732" w:type="dxa"/>
            <w:vAlign w:val="center"/>
          </w:tcPr>
          <w:p w14:paraId="38A2991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24</w:t>
            </w:r>
            <w:r>
              <w:rPr>
                <w:rFonts w:ascii="Times New Roman" w:hAnsi="Times New Roman" w:cs="Times New Roman"/>
                <w:caps w:val="0"/>
                <w:smallCaps w:val="0"/>
                <w:color w:val="auto"/>
                <w:spacing w:val="0"/>
                <w:highlight w:val="none"/>
                <w:lang w:eastAsia="zh-CN"/>
              </w:rPr>
              <w:t>个月</w:t>
            </w:r>
          </w:p>
        </w:tc>
        <w:tc>
          <w:tcPr>
            <w:tcW w:w="354" w:type="pct"/>
            <w:vAlign w:val="center"/>
          </w:tcPr>
          <w:p w14:paraId="0617685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7" w:type="pct"/>
            <w:vAlign w:val="center"/>
          </w:tcPr>
          <w:p w14:paraId="5ABEE2F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7DD809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164CF0A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2</w:t>
            </w:r>
          </w:p>
        </w:tc>
        <w:tc>
          <w:tcPr>
            <w:tcW w:w="394" w:type="pct"/>
            <w:vAlign w:val="center"/>
          </w:tcPr>
          <w:p w14:paraId="2275033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废石墨舟</w:t>
            </w:r>
          </w:p>
        </w:tc>
        <w:tc>
          <w:tcPr>
            <w:tcW w:w="361" w:type="pct"/>
            <w:vAlign w:val="center"/>
          </w:tcPr>
          <w:p w14:paraId="2A2C70F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HW26</w:t>
            </w:r>
          </w:p>
        </w:tc>
        <w:tc>
          <w:tcPr>
            <w:tcW w:w="426" w:type="pct"/>
            <w:vAlign w:val="center"/>
          </w:tcPr>
          <w:p w14:paraId="6ADDA6C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384-0</w:t>
            </w:r>
          </w:p>
          <w:p w14:paraId="4287BD6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02-26</w:t>
            </w:r>
          </w:p>
        </w:tc>
        <w:tc>
          <w:tcPr>
            <w:tcW w:w="394" w:type="pct"/>
            <w:vAlign w:val="center"/>
          </w:tcPr>
          <w:p w14:paraId="20973D8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0.05</w:t>
            </w:r>
          </w:p>
        </w:tc>
        <w:tc>
          <w:tcPr>
            <w:tcW w:w="420" w:type="pct"/>
            <w:vAlign w:val="center"/>
          </w:tcPr>
          <w:p w14:paraId="0FCF274A">
            <w:pPr>
              <w:pStyle w:val="195"/>
              <w:widowControl w:val="0"/>
              <w:jc w:val="center"/>
              <w:rPr>
                <w:rFonts w:ascii="Times New Roman" w:hAnsi="Times New Roman" w:cs="Times New Roman"/>
                <w:caps w:val="0"/>
                <w:smallCaps w:val="0"/>
                <w:color w:val="auto"/>
                <w:spacing w:val="0"/>
                <w:highlight w:val="none"/>
                <w:lang w:eastAsia="zh-CN"/>
              </w:rPr>
            </w:pPr>
          </w:p>
        </w:tc>
        <w:tc>
          <w:tcPr>
            <w:tcW w:w="308" w:type="pct"/>
            <w:vAlign w:val="center"/>
          </w:tcPr>
          <w:p w14:paraId="7833BDD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固态</w:t>
            </w:r>
          </w:p>
        </w:tc>
        <w:tc>
          <w:tcPr>
            <w:tcW w:w="407" w:type="pct"/>
            <w:vAlign w:val="center"/>
          </w:tcPr>
          <w:p w14:paraId="6F528A8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含镉石墨舟</w:t>
            </w:r>
          </w:p>
        </w:tc>
        <w:tc>
          <w:tcPr>
            <w:tcW w:w="387" w:type="pct"/>
            <w:vAlign w:val="center"/>
          </w:tcPr>
          <w:p w14:paraId="57FAFC0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镉</w:t>
            </w:r>
          </w:p>
        </w:tc>
        <w:tc>
          <w:tcPr>
            <w:tcW w:w="732" w:type="dxa"/>
            <w:vAlign w:val="center"/>
          </w:tcPr>
          <w:p w14:paraId="6A16FDC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24</w:t>
            </w:r>
            <w:r>
              <w:rPr>
                <w:rFonts w:ascii="Times New Roman" w:hAnsi="Times New Roman" w:cs="Times New Roman"/>
                <w:caps w:val="0"/>
                <w:smallCaps w:val="0"/>
                <w:color w:val="auto"/>
                <w:spacing w:val="0"/>
                <w:highlight w:val="none"/>
                <w:lang w:eastAsia="zh-CN"/>
              </w:rPr>
              <w:t>个月</w:t>
            </w:r>
          </w:p>
        </w:tc>
        <w:tc>
          <w:tcPr>
            <w:tcW w:w="354" w:type="pct"/>
            <w:vAlign w:val="center"/>
          </w:tcPr>
          <w:p w14:paraId="3B0A190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7" w:type="pct"/>
            <w:vAlign w:val="center"/>
          </w:tcPr>
          <w:p w14:paraId="4843AC0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26277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76B7CBE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3</w:t>
            </w:r>
          </w:p>
        </w:tc>
        <w:tc>
          <w:tcPr>
            <w:tcW w:w="394" w:type="pct"/>
            <w:vAlign w:val="center"/>
          </w:tcPr>
          <w:p w14:paraId="0B72784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废电池组</w:t>
            </w:r>
          </w:p>
          <w:p w14:paraId="56A2C34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件、破裂</w:t>
            </w:r>
          </w:p>
          <w:p w14:paraId="4C455BA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玻璃</w:t>
            </w:r>
          </w:p>
        </w:tc>
        <w:tc>
          <w:tcPr>
            <w:tcW w:w="361" w:type="pct"/>
            <w:vAlign w:val="center"/>
          </w:tcPr>
          <w:p w14:paraId="3BE5DED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HW26</w:t>
            </w:r>
          </w:p>
        </w:tc>
        <w:tc>
          <w:tcPr>
            <w:tcW w:w="426" w:type="pct"/>
            <w:vAlign w:val="center"/>
          </w:tcPr>
          <w:p w14:paraId="03F8FE1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384-0</w:t>
            </w:r>
          </w:p>
          <w:p w14:paraId="6C93414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02-26</w:t>
            </w:r>
          </w:p>
        </w:tc>
        <w:tc>
          <w:tcPr>
            <w:tcW w:w="394" w:type="pct"/>
            <w:vAlign w:val="center"/>
          </w:tcPr>
          <w:p w14:paraId="117454D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61.26</w:t>
            </w:r>
          </w:p>
        </w:tc>
        <w:tc>
          <w:tcPr>
            <w:tcW w:w="420" w:type="pct"/>
            <w:vAlign w:val="center"/>
          </w:tcPr>
          <w:p w14:paraId="7ACE09C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电池组件检测</w:t>
            </w:r>
          </w:p>
        </w:tc>
        <w:tc>
          <w:tcPr>
            <w:tcW w:w="308" w:type="pct"/>
            <w:vAlign w:val="center"/>
          </w:tcPr>
          <w:p w14:paraId="709B34E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固态</w:t>
            </w:r>
          </w:p>
        </w:tc>
        <w:tc>
          <w:tcPr>
            <w:tcW w:w="407" w:type="pct"/>
            <w:vAlign w:val="center"/>
          </w:tcPr>
          <w:p w14:paraId="722535D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含镉电池组件、破裂玻璃</w:t>
            </w:r>
          </w:p>
        </w:tc>
        <w:tc>
          <w:tcPr>
            <w:tcW w:w="387" w:type="pct"/>
            <w:vAlign w:val="center"/>
          </w:tcPr>
          <w:p w14:paraId="5CE241B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镉</w:t>
            </w:r>
          </w:p>
        </w:tc>
        <w:tc>
          <w:tcPr>
            <w:tcW w:w="732" w:type="dxa"/>
            <w:vAlign w:val="center"/>
          </w:tcPr>
          <w:p w14:paraId="40B6049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6个月</w:t>
            </w:r>
          </w:p>
        </w:tc>
        <w:tc>
          <w:tcPr>
            <w:tcW w:w="354" w:type="pct"/>
            <w:vAlign w:val="center"/>
          </w:tcPr>
          <w:p w14:paraId="51A6B87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7" w:type="pct"/>
            <w:vAlign w:val="center"/>
          </w:tcPr>
          <w:p w14:paraId="380EE5F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6709C3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0258063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4</w:t>
            </w:r>
          </w:p>
        </w:tc>
        <w:tc>
          <w:tcPr>
            <w:tcW w:w="394" w:type="pct"/>
            <w:vAlign w:val="center"/>
          </w:tcPr>
          <w:p w14:paraId="2737B51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废UV</w:t>
            </w:r>
          </w:p>
          <w:p w14:paraId="1758589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灯管</w:t>
            </w:r>
          </w:p>
        </w:tc>
        <w:tc>
          <w:tcPr>
            <w:tcW w:w="361" w:type="pct"/>
            <w:vAlign w:val="center"/>
          </w:tcPr>
          <w:p w14:paraId="41140A4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HW29</w:t>
            </w:r>
          </w:p>
        </w:tc>
        <w:tc>
          <w:tcPr>
            <w:tcW w:w="426" w:type="pct"/>
            <w:vAlign w:val="center"/>
          </w:tcPr>
          <w:p w14:paraId="24A432DE">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7F51A64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23-29</w:t>
            </w:r>
          </w:p>
        </w:tc>
        <w:tc>
          <w:tcPr>
            <w:tcW w:w="394" w:type="pct"/>
            <w:vAlign w:val="center"/>
          </w:tcPr>
          <w:p w14:paraId="23D90AB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0.011t/3a</w:t>
            </w:r>
          </w:p>
          <w:p w14:paraId="50C63614">
            <w:pPr>
              <w:pStyle w:val="195"/>
              <w:widowControl w:val="0"/>
              <w:jc w:val="center"/>
              <w:rPr>
                <w:rFonts w:ascii="Times New Roman" w:hAnsi="Times New Roman" w:cs="Times New Roman"/>
                <w:caps w:val="0"/>
                <w:smallCaps w:val="0"/>
                <w:color w:val="auto"/>
                <w:spacing w:val="0"/>
                <w:highlight w:val="none"/>
                <w:lang w:eastAsia="zh-CN"/>
              </w:rPr>
            </w:pPr>
          </w:p>
        </w:tc>
        <w:tc>
          <w:tcPr>
            <w:tcW w:w="420" w:type="pct"/>
            <w:vAlign w:val="center"/>
          </w:tcPr>
          <w:p w14:paraId="5B02543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光刻胶涂覆曝光固化</w:t>
            </w:r>
          </w:p>
        </w:tc>
        <w:tc>
          <w:tcPr>
            <w:tcW w:w="308" w:type="pct"/>
            <w:vAlign w:val="center"/>
          </w:tcPr>
          <w:p w14:paraId="098669F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固态</w:t>
            </w:r>
          </w:p>
        </w:tc>
        <w:tc>
          <w:tcPr>
            <w:tcW w:w="407" w:type="pct"/>
            <w:vAlign w:val="center"/>
          </w:tcPr>
          <w:p w14:paraId="461D70E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含汞</w:t>
            </w:r>
            <w:r>
              <w:rPr>
                <w:rFonts w:ascii="Times New Roman" w:hAnsi="Times New Roman" w:cs="Times New Roman"/>
                <w:caps w:val="0"/>
                <w:smallCaps w:val="0"/>
                <w:color w:val="auto"/>
                <w:spacing w:val="0"/>
                <w:highlight w:val="none"/>
                <w:lang w:eastAsia="zh-CN"/>
              </w:rPr>
              <w:t>废UV</w:t>
            </w:r>
          </w:p>
          <w:p w14:paraId="7F20803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灯管</w:t>
            </w:r>
          </w:p>
        </w:tc>
        <w:tc>
          <w:tcPr>
            <w:tcW w:w="387" w:type="pct"/>
            <w:vAlign w:val="center"/>
          </w:tcPr>
          <w:p w14:paraId="4F83463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汞</w:t>
            </w:r>
          </w:p>
        </w:tc>
        <w:tc>
          <w:tcPr>
            <w:tcW w:w="732" w:type="dxa"/>
            <w:vAlign w:val="center"/>
          </w:tcPr>
          <w:p w14:paraId="347B259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36个月</w:t>
            </w:r>
          </w:p>
        </w:tc>
        <w:tc>
          <w:tcPr>
            <w:tcW w:w="354" w:type="pct"/>
            <w:vAlign w:val="center"/>
          </w:tcPr>
          <w:p w14:paraId="3B4A3E5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907" w:type="pct"/>
            <w:vAlign w:val="center"/>
          </w:tcPr>
          <w:p w14:paraId="706740AD">
            <w:pPr>
              <w:pStyle w:val="195"/>
              <w:widowControl w:val="0"/>
              <w:jc w:val="center"/>
              <w:rPr>
                <w:rFonts w:ascii="Times New Roman" w:hAnsi="Times New Roman" w:cs="Times New Roman"/>
                <w:b/>
                <w:bCs/>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155E8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74FBCFD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5</w:t>
            </w:r>
          </w:p>
        </w:tc>
        <w:tc>
          <w:tcPr>
            <w:tcW w:w="732" w:type="dxa"/>
            <w:vAlign w:val="center"/>
          </w:tcPr>
          <w:p w14:paraId="2980F96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671" w:type="dxa"/>
            <w:vAlign w:val="center"/>
          </w:tcPr>
          <w:p w14:paraId="09F6B07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HW08</w:t>
            </w:r>
          </w:p>
        </w:tc>
        <w:tc>
          <w:tcPr>
            <w:tcW w:w="792" w:type="dxa"/>
            <w:vAlign w:val="center"/>
          </w:tcPr>
          <w:p w14:paraId="5C9EF630">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900-2</w:t>
            </w:r>
          </w:p>
          <w:p w14:paraId="0E13B215">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49-08</w:t>
            </w:r>
          </w:p>
        </w:tc>
        <w:tc>
          <w:tcPr>
            <w:tcW w:w="732" w:type="dxa"/>
            <w:vAlign w:val="center"/>
          </w:tcPr>
          <w:p w14:paraId="212BE661">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0.1</w:t>
            </w:r>
          </w:p>
        </w:tc>
        <w:tc>
          <w:tcPr>
            <w:tcW w:w="781" w:type="dxa"/>
            <w:vAlign w:val="center"/>
          </w:tcPr>
          <w:p w14:paraId="6B057E3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设备维修</w:t>
            </w:r>
          </w:p>
        </w:tc>
        <w:tc>
          <w:tcPr>
            <w:tcW w:w="308" w:type="pct"/>
            <w:vAlign w:val="center"/>
          </w:tcPr>
          <w:p w14:paraId="2261557E">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液态</w:t>
            </w:r>
          </w:p>
        </w:tc>
        <w:tc>
          <w:tcPr>
            <w:tcW w:w="756" w:type="dxa"/>
            <w:vAlign w:val="center"/>
          </w:tcPr>
          <w:p w14:paraId="53697C4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719" w:type="dxa"/>
            <w:vAlign w:val="center"/>
          </w:tcPr>
          <w:p w14:paraId="0B6B25C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矿物油</w:t>
            </w:r>
          </w:p>
        </w:tc>
        <w:tc>
          <w:tcPr>
            <w:tcW w:w="732" w:type="dxa"/>
            <w:vAlign w:val="center"/>
          </w:tcPr>
          <w:p w14:paraId="53C4701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6个月</w:t>
            </w:r>
          </w:p>
        </w:tc>
        <w:tc>
          <w:tcPr>
            <w:tcW w:w="659" w:type="dxa"/>
            <w:vAlign w:val="center"/>
          </w:tcPr>
          <w:p w14:paraId="0E7D93F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w:t>
            </w:r>
          </w:p>
        </w:tc>
        <w:tc>
          <w:tcPr>
            <w:tcW w:w="1685" w:type="dxa"/>
            <w:vAlign w:val="center"/>
          </w:tcPr>
          <w:p w14:paraId="47E3B0E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6ACC0C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4B49720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6</w:t>
            </w:r>
          </w:p>
        </w:tc>
        <w:tc>
          <w:tcPr>
            <w:tcW w:w="732" w:type="dxa"/>
            <w:vAlign w:val="center"/>
          </w:tcPr>
          <w:p w14:paraId="3836E32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废劳保用品</w:t>
            </w:r>
          </w:p>
        </w:tc>
        <w:tc>
          <w:tcPr>
            <w:tcW w:w="671" w:type="dxa"/>
            <w:vAlign w:val="center"/>
          </w:tcPr>
          <w:p w14:paraId="4B09BD6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HW49</w:t>
            </w:r>
          </w:p>
        </w:tc>
        <w:tc>
          <w:tcPr>
            <w:tcW w:w="792" w:type="dxa"/>
            <w:vAlign w:val="center"/>
          </w:tcPr>
          <w:p w14:paraId="13C39521">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2511C968">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47-49</w:t>
            </w:r>
          </w:p>
        </w:tc>
        <w:tc>
          <w:tcPr>
            <w:tcW w:w="732" w:type="dxa"/>
            <w:vAlign w:val="center"/>
          </w:tcPr>
          <w:p w14:paraId="7B1D4CA9">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0.1</w:t>
            </w:r>
          </w:p>
        </w:tc>
        <w:tc>
          <w:tcPr>
            <w:tcW w:w="781" w:type="dxa"/>
            <w:vAlign w:val="center"/>
          </w:tcPr>
          <w:p w14:paraId="399AC4C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日常使用</w:t>
            </w:r>
          </w:p>
        </w:tc>
        <w:tc>
          <w:tcPr>
            <w:tcW w:w="308" w:type="pct"/>
            <w:vAlign w:val="center"/>
          </w:tcPr>
          <w:p w14:paraId="4180126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681C848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废劳保用品</w:t>
            </w:r>
          </w:p>
        </w:tc>
        <w:tc>
          <w:tcPr>
            <w:tcW w:w="719" w:type="dxa"/>
            <w:vAlign w:val="center"/>
          </w:tcPr>
          <w:p w14:paraId="2A9EB18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沾染危险废物的废手套</w:t>
            </w:r>
          </w:p>
        </w:tc>
        <w:tc>
          <w:tcPr>
            <w:tcW w:w="732" w:type="dxa"/>
            <w:vAlign w:val="center"/>
          </w:tcPr>
          <w:p w14:paraId="7520A39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1个月</w:t>
            </w:r>
          </w:p>
        </w:tc>
        <w:tc>
          <w:tcPr>
            <w:tcW w:w="659" w:type="dxa"/>
            <w:vAlign w:val="center"/>
          </w:tcPr>
          <w:p w14:paraId="6B9AC83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48FD893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768AA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386C4DD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7</w:t>
            </w:r>
          </w:p>
        </w:tc>
        <w:tc>
          <w:tcPr>
            <w:tcW w:w="732" w:type="dxa"/>
            <w:vAlign w:val="center"/>
          </w:tcPr>
          <w:p w14:paraId="26D2AB3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671" w:type="dxa"/>
            <w:vAlign w:val="center"/>
          </w:tcPr>
          <w:p w14:paraId="2B9C63C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HW49</w:t>
            </w:r>
          </w:p>
        </w:tc>
        <w:tc>
          <w:tcPr>
            <w:tcW w:w="792" w:type="dxa"/>
            <w:vAlign w:val="center"/>
          </w:tcPr>
          <w:p w14:paraId="65E213C1">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3883D4A7">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47-49</w:t>
            </w:r>
          </w:p>
        </w:tc>
        <w:tc>
          <w:tcPr>
            <w:tcW w:w="732" w:type="dxa"/>
            <w:vAlign w:val="center"/>
          </w:tcPr>
          <w:p w14:paraId="1805DDB2">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0.4</w:t>
            </w:r>
          </w:p>
        </w:tc>
        <w:tc>
          <w:tcPr>
            <w:tcW w:w="781" w:type="dxa"/>
            <w:vAlign w:val="center"/>
          </w:tcPr>
          <w:p w14:paraId="75772FC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原料包装</w:t>
            </w:r>
          </w:p>
        </w:tc>
        <w:tc>
          <w:tcPr>
            <w:tcW w:w="308" w:type="pct"/>
            <w:vAlign w:val="center"/>
          </w:tcPr>
          <w:p w14:paraId="221B30B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24E8A84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719" w:type="dxa"/>
            <w:vAlign w:val="center"/>
          </w:tcPr>
          <w:p w14:paraId="3010967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沾染危险废物的废包装</w:t>
            </w:r>
          </w:p>
        </w:tc>
        <w:tc>
          <w:tcPr>
            <w:tcW w:w="732" w:type="dxa"/>
            <w:vAlign w:val="center"/>
          </w:tcPr>
          <w:p w14:paraId="6190595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1个月</w:t>
            </w:r>
          </w:p>
        </w:tc>
        <w:tc>
          <w:tcPr>
            <w:tcW w:w="354" w:type="pct"/>
            <w:vAlign w:val="center"/>
          </w:tcPr>
          <w:p w14:paraId="1724839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2D572B9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01973E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20A57BE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8</w:t>
            </w:r>
          </w:p>
        </w:tc>
        <w:tc>
          <w:tcPr>
            <w:tcW w:w="732" w:type="dxa"/>
            <w:vAlign w:val="center"/>
          </w:tcPr>
          <w:p w14:paraId="5B719BE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671" w:type="dxa"/>
            <w:vAlign w:val="center"/>
          </w:tcPr>
          <w:p w14:paraId="41E6A98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w:t>
            </w:r>
            <w:r>
              <w:rPr>
                <w:rFonts w:ascii="Times New Roman" w:hAnsi="Times New Roman" w:cs="Times New Roman"/>
                <w:caps w:val="0"/>
                <w:smallCaps w:val="0"/>
                <w:color w:val="auto"/>
                <w:spacing w:val="0"/>
                <w:highlight w:val="none"/>
                <w:lang w:eastAsia="zh-CN"/>
              </w:rPr>
              <w:t>31</w:t>
            </w:r>
          </w:p>
        </w:tc>
        <w:tc>
          <w:tcPr>
            <w:tcW w:w="792" w:type="dxa"/>
            <w:vAlign w:val="center"/>
          </w:tcPr>
          <w:p w14:paraId="33E3FCFC">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0A6066C7">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52-31</w:t>
            </w:r>
          </w:p>
        </w:tc>
        <w:tc>
          <w:tcPr>
            <w:tcW w:w="732" w:type="dxa"/>
            <w:vAlign w:val="center"/>
          </w:tcPr>
          <w:p w14:paraId="3F5FD0C0">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0.1（3a）</w:t>
            </w:r>
          </w:p>
        </w:tc>
        <w:tc>
          <w:tcPr>
            <w:tcW w:w="781" w:type="dxa"/>
            <w:vAlign w:val="center"/>
          </w:tcPr>
          <w:p w14:paraId="1C56AB1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设备维护</w:t>
            </w:r>
          </w:p>
        </w:tc>
        <w:tc>
          <w:tcPr>
            <w:tcW w:w="308" w:type="pct"/>
            <w:vAlign w:val="center"/>
          </w:tcPr>
          <w:p w14:paraId="3C2E477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5D06ABD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719" w:type="dxa"/>
            <w:vAlign w:val="center"/>
          </w:tcPr>
          <w:p w14:paraId="650998D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732" w:type="dxa"/>
            <w:vAlign w:val="center"/>
          </w:tcPr>
          <w:p w14:paraId="1BD283B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12个月</w:t>
            </w:r>
          </w:p>
        </w:tc>
        <w:tc>
          <w:tcPr>
            <w:tcW w:w="354" w:type="pct"/>
            <w:vAlign w:val="center"/>
          </w:tcPr>
          <w:p w14:paraId="3F25BB0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T、C、I</w:t>
            </w:r>
          </w:p>
        </w:tc>
        <w:tc>
          <w:tcPr>
            <w:tcW w:w="1685" w:type="dxa"/>
            <w:vAlign w:val="center"/>
          </w:tcPr>
          <w:p w14:paraId="353DDB2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23DE79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0F7862AE">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9</w:t>
            </w:r>
          </w:p>
        </w:tc>
        <w:tc>
          <w:tcPr>
            <w:tcW w:w="732" w:type="dxa"/>
            <w:vAlign w:val="center"/>
          </w:tcPr>
          <w:p w14:paraId="22A6F72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671" w:type="dxa"/>
            <w:vAlign w:val="center"/>
          </w:tcPr>
          <w:p w14:paraId="3850443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HW49</w:t>
            </w:r>
          </w:p>
        </w:tc>
        <w:tc>
          <w:tcPr>
            <w:tcW w:w="792" w:type="dxa"/>
            <w:vAlign w:val="center"/>
          </w:tcPr>
          <w:p w14:paraId="4F2B06E5">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900-047-49</w:t>
            </w:r>
          </w:p>
        </w:tc>
        <w:tc>
          <w:tcPr>
            <w:tcW w:w="732" w:type="dxa"/>
            <w:vAlign w:val="center"/>
          </w:tcPr>
          <w:p w14:paraId="27189F73">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0.01</w:t>
            </w:r>
          </w:p>
        </w:tc>
        <w:tc>
          <w:tcPr>
            <w:tcW w:w="781" w:type="dxa"/>
            <w:vAlign w:val="center"/>
          </w:tcPr>
          <w:p w14:paraId="699F413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检测</w:t>
            </w:r>
          </w:p>
        </w:tc>
        <w:tc>
          <w:tcPr>
            <w:tcW w:w="308" w:type="pct"/>
            <w:vAlign w:val="center"/>
          </w:tcPr>
          <w:p w14:paraId="58C6B2F8">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液态、固态</w:t>
            </w:r>
          </w:p>
        </w:tc>
        <w:tc>
          <w:tcPr>
            <w:tcW w:w="756" w:type="dxa"/>
            <w:vAlign w:val="center"/>
          </w:tcPr>
          <w:p w14:paraId="5792951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719" w:type="dxa"/>
            <w:vAlign w:val="center"/>
          </w:tcPr>
          <w:p w14:paraId="4A50929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产生的含无机废液</w:t>
            </w:r>
          </w:p>
        </w:tc>
        <w:tc>
          <w:tcPr>
            <w:tcW w:w="732" w:type="dxa"/>
            <w:vAlign w:val="center"/>
          </w:tcPr>
          <w:p w14:paraId="648077E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12个月</w:t>
            </w:r>
          </w:p>
        </w:tc>
        <w:tc>
          <w:tcPr>
            <w:tcW w:w="354" w:type="pct"/>
            <w:vAlign w:val="center"/>
          </w:tcPr>
          <w:p w14:paraId="7F5EC5A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T、C、I、R</w:t>
            </w:r>
          </w:p>
        </w:tc>
        <w:tc>
          <w:tcPr>
            <w:tcW w:w="1685" w:type="dxa"/>
            <w:vAlign w:val="center"/>
          </w:tcPr>
          <w:p w14:paraId="2660939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39650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3878BC45">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10</w:t>
            </w:r>
          </w:p>
        </w:tc>
        <w:tc>
          <w:tcPr>
            <w:tcW w:w="732" w:type="dxa"/>
            <w:vAlign w:val="center"/>
          </w:tcPr>
          <w:p w14:paraId="75C7661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w:t>
            </w:r>
          </w:p>
          <w:p w14:paraId="6A266DB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671" w:type="dxa"/>
            <w:vAlign w:val="center"/>
          </w:tcPr>
          <w:p w14:paraId="6C2943A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792" w:type="dxa"/>
            <w:vAlign w:val="center"/>
          </w:tcPr>
          <w:p w14:paraId="7062CFA8">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6A9EACAD">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732" w:type="dxa"/>
            <w:vAlign w:val="center"/>
          </w:tcPr>
          <w:p w14:paraId="53BCCB94">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0.5</w:t>
            </w:r>
          </w:p>
        </w:tc>
        <w:tc>
          <w:tcPr>
            <w:tcW w:w="420" w:type="pct"/>
            <w:vAlign w:val="center"/>
          </w:tcPr>
          <w:p w14:paraId="7C759AF5">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废水处理</w:t>
            </w:r>
          </w:p>
        </w:tc>
        <w:tc>
          <w:tcPr>
            <w:tcW w:w="308" w:type="pct"/>
            <w:vAlign w:val="center"/>
          </w:tcPr>
          <w:p w14:paraId="601F5045">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5DE18A9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w:t>
            </w:r>
          </w:p>
          <w:p w14:paraId="34E2FC3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膜、废反</w:t>
            </w:r>
          </w:p>
          <w:p w14:paraId="071061D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719" w:type="dxa"/>
            <w:vAlign w:val="center"/>
          </w:tcPr>
          <w:p w14:paraId="0F8B574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废过滤膜、废反渗透膜</w:t>
            </w:r>
          </w:p>
        </w:tc>
        <w:tc>
          <w:tcPr>
            <w:tcW w:w="732" w:type="dxa"/>
            <w:vAlign w:val="center"/>
          </w:tcPr>
          <w:p w14:paraId="3D0CCF1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36个月</w:t>
            </w:r>
          </w:p>
        </w:tc>
        <w:tc>
          <w:tcPr>
            <w:tcW w:w="659" w:type="dxa"/>
            <w:vAlign w:val="center"/>
          </w:tcPr>
          <w:p w14:paraId="23D64732">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62958480">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395132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303083A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11</w:t>
            </w:r>
          </w:p>
        </w:tc>
        <w:tc>
          <w:tcPr>
            <w:tcW w:w="732" w:type="dxa"/>
            <w:vAlign w:val="center"/>
          </w:tcPr>
          <w:p w14:paraId="0BF1688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污泥、蒸发结晶盐</w:t>
            </w:r>
          </w:p>
        </w:tc>
        <w:tc>
          <w:tcPr>
            <w:tcW w:w="671" w:type="dxa"/>
            <w:vAlign w:val="center"/>
          </w:tcPr>
          <w:p w14:paraId="4AF9CA2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792" w:type="dxa"/>
            <w:vAlign w:val="center"/>
          </w:tcPr>
          <w:p w14:paraId="098D48BF">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52E36469">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732" w:type="dxa"/>
            <w:vAlign w:val="center"/>
          </w:tcPr>
          <w:p w14:paraId="0BC48A93">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15</w:t>
            </w:r>
          </w:p>
        </w:tc>
        <w:tc>
          <w:tcPr>
            <w:tcW w:w="420" w:type="pct"/>
            <w:vAlign w:val="center"/>
          </w:tcPr>
          <w:p w14:paraId="35270F1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废水处理</w:t>
            </w:r>
          </w:p>
        </w:tc>
        <w:tc>
          <w:tcPr>
            <w:tcW w:w="308" w:type="pct"/>
            <w:vAlign w:val="center"/>
          </w:tcPr>
          <w:p w14:paraId="3050B7B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2E17686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污泥、蒸发结晶盐</w:t>
            </w:r>
          </w:p>
        </w:tc>
        <w:tc>
          <w:tcPr>
            <w:tcW w:w="719" w:type="dxa"/>
            <w:vAlign w:val="center"/>
          </w:tcPr>
          <w:p w14:paraId="4820A69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含镉污泥、蒸发结晶盐</w:t>
            </w:r>
          </w:p>
        </w:tc>
        <w:tc>
          <w:tcPr>
            <w:tcW w:w="732" w:type="dxa"/>
            <w:vAlign w:val="center"/>
          </w:tcPr>
          <w:p w14:paraId="2BD97B6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2个月</w:t>
            </w:r>
          </w:p>
        </w:tc>
        <w:tc>
          <w:tcPr>
            <w:tcW w:w="659" w:type="dxa"/>
            <w:vAlign w:val="center"/>
          </w:tcPr>
          <w:p w14:paraId="0BE6227C">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3AD443E4">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66CB1E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76CD613A">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12</w:t>
            </w:r>
          </w:p>
        </w:tc>
        <w:tc>
          <w:tcPr>
            <w:tcW w:w="732" w:type="dxa"/>
            <w:vAlign w:val="center"/>
          </w:tcPr>
          <w:p w14:paraId="57F709A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收尘灰</w:t>
            </w:r>
          </w:p>
        </w:tc>
        <w:tc>
          <w:tcPr>
            <w:tcW w:w="671" w:type="dxa"/>
            <w:vAlign w:val="center"/>
          </w:tcPr>
          <w:p w14:paraId="6E34D12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792" w:type="dxa"/>
            <w:vAlign w:val="center"/>
          </w:tcPr>
          <w:p w14:paraId="6B85859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6F15810E">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732" w:type="dxa"/>
            <w:vAlign w:val="center"/>
          </w:tcPr>
          <w:p w14:paraId="617072D4">
            <w:pPr>
              <w:widowControl w:val="0"/>
              <w:jc w:val="center"/>
              <w:rPr>
                <w:rFonts w:hint="default" w:ascii="Times New Roman" w:hAnsi="Times New Roman" w:eastAsia="宋体" w:cs="Times New Roman"/>
                <w:caps w:val="0"/>
                <w:smallCaps w:val="0"/>
                <w:color w:val="auto"/>
                <w:spacing w:val="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3.80</w:t>
            </w:r>
          </w:p>
        </w:tc>
        <w:tc>
          <w:tcPr>
            <w:tcW w:w="420" w:type="pct"/>
            <w:vAlign w:val="center"/>
          </w:tcPr>
          <w:p w14:paraId="5AA1CD11">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废气处理</w:t>
            </w:r>
          </w:p>
        </w:tc>
        <w:tc>
          <w:tcPr>
            <w:tcW w:w="308" w:type="pct"/>
            <w:vAlign w:val="center"/>
          </w:tcPr>
          <w:p w14:paraId="5C7D1EB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7ADC15E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收尘灰</w:t>
            </w:r>
          </w:p>
        </w:tc>
        <w:tc>
          <w:tcPr>
            <w:tcW w:w="719" w:type="dxa"/>
            <w:vAlign w:val="center"/>
          </w:tcPr>
          <w:p w14:paraId="061A95B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颗粒物、镉及其化合物</w:t>
            </w:r>
          </w:p>
        </w:tc>
        <w:tc>
          <w:tcPr>
            <w:tcW w:w="732" w:type="dxa"/>
            <w:vAlign w:val="center"/>
          </w:tcPr>
          <w:p w14:paraId="0CD99B5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3个月</w:t>
            </w:r>
          </w:p>
        </w:tc>
        <w:tc>
          <w:tcPr>
            <w:tcW w:w="659" w:type="dxa"/>
            <w:vAlign w:val="center"/>
          </w:tcPr>
          <w:p w14:paraId="661A1E3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11E8CC71">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3210FD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0E3DBAF3">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13</w:t>
            </w:r>
          </w:p>
        </w:tc>
        <w:tc>
          <w:tcPr>
            <w:tcW w:w="732" w:type="dxa"/>
            <w:vAlign w:val="center"/>
          </w:tcPr>
          <w:p w14:paraId="207A510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废过滤器</w:t>
            </w:r>
          </w:p>
        </w:tc>
        <w:tc>
          <w:tcPr>
            <w:tcW w:w="671" w:type="dxa"/>
            <w:vAlign w:val="center"/>
          </w:tcPr>
          <w:p w14:paraId="0232075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HW26</w:t>
            </w:r>
          </w:p>
        </w:tc>
        <w:tc>
          <w:tcPr>
            <w:tcW w:w="792" w:type="dxa"/>
            <w:vAlign w:val="center"/>
          </w:tcPr>
          <w:p w14:paraId="2F612145">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384-0</w:t>
            </w:r>
          </w:p>
          <w:p w14:paraId="7F19CA5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02-26</w:t>
            </w:r>
          </w:p>
        </w:tc>
        <w:tc>
          <w:tcPr>
            <w:tcW w:w="732" w:type="dxa"/>
            <w:vAlign w:val="center"/>
          </w:tcPr>
          <w:p w14:paraId="16FC92A3">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0.5（3a）</w:t>
            </w:r>
          </w:p>
        </w:tc>
        <w:tc>
          <w:tcPr>
            <w:tcW w:w="420" w:type="pct"/>
            <w:vAlign w:val="center"/>
          </w:tcPr>
          <w:p w14:paraId="0D89D201">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废气处理</w:t>
            </w:r>
          </w:p>
        </w:tc>
        <w:tc>
          <w:tcPr>
            <w:tcW w:w="308" w:type="pct"/>
            <w:vAlign w:val="center"/>
          </w:tcPr>
          <w:p w14:paraId="2812FC9F">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7277ADF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废过滤器</w:t>
            </w:r>
          </w:p>
        </w:tc>
        <w:tc>
          <w:tcPr>
            <w:tcW w:w="719" w:type="dxa"/>
            <w:vAlign w:val="center"/>
          </w:tcPr>
          <w:p w14:paraId="5E6A84D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含镉过滤器</w:t>
            </w:r>
          </w:p>
        </w:tc>
        <w:tc>
          <w:tcPr>
            <w:tcW w:w="732" w:type="dxa"/>
            <w:vAlign w:val="center"/>
          </w:tcPr>
          <w:p w14:paraId="1464076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36个月</w:t>
            </w:r>
          </w:p>
        </w:tc>
        <w:tc>
          <w:tcPr>
            <w:tcW w:w="659" w:type="dxa"/>
            <w:vAlign w:val="center"/>
          </w:tcPr>
          <w:p w14:paraId="1E58472B">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68B9F5C9">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r w14:paraId="2F4871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244" w:type="pct"/>
            <w:vAlign w:val="center"/>
          </w:tcPr>
          <w:p w14:paraId="7698259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14</w:t>
            </w:r>
          </w:p>
        </w:tc>
        <w:tc>
          <w:tcPr>
            <w:tcW w:w="732" w:type="dxa"/>
            <w:vAlign w:val="center"/>
          </w:tcPr>
          <w:p w14:paraId="32185B5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671" w:type="dxa"/>
            <w:vAlign w:val="center"/>
          </w:tcPr>
          <w:p w14:paraId="72B96F1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HW</w:t>
            </w:r>
            <w:r>
              <w:rPr>
                <w:rFonts w:ascii="Times New Roman" w:hAnsi="Times New Roman" w:cs="Times New Roman"/>
                <w:caps w:val="0"/>
                <w:smallCaps w:val="0"/>
                <w:color w:val="auto"/>
                <w:spacing w:val="0"/>
                <w:highlight w:val="none"/>
                <w:lang w:eastAsia="zh-CN"/>
              </w:rPr>
              <w:t>49</w:t>
            </w:r>
          </w:p>
        </w:tc>
        <w:tc>
          <w:tcPr>
            <w:tcW w:w="792" w:type="dxa"/>
            <w:vAlign w:val="center"/>
          </w:tcPr>
          <w:p w14:paraId="0A103DE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900-0</w:t>
            </w:r>
          </w:p>
          <w:p w14:paraId="0B3AA25D">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39-49</w:t>
            </w:r>
          </w:p>
        </w:tc>
        <w:tc>
          <w:tcPr>
            <w:tcW w:w="732" w:type="dxa"/>
            <w:vAlign w:val="center"/>
          </w:tcPr>
          <w:p w14:paraId="4159BF05">
            <w:pPr>
              <w:widowControl w:val="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 w:val="20"/>
                <w:szCs w:val="20"/>
                <w:highlight w:val="none"/>
              </w:rPr>
              <w:t>1.5</w:t>
            </w:r>
          </w:p>
        </w:tc>
        <w:tc>
          <w:tcPr>
            <w:tcW w:w="420" w:type="pct"/>
            <w:vAlign w:val="center"/>
          </w:tcPr>
          <w:p w14:paraId="026B5D83">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废气处理</w:t>
            </w:r>
          </w:p>
        </w:tc>
        <w:tc>
          <w:tcPr>
            <w:tcW w:w="308" w:type="pct"/>
            <w:vAlign w:val="center"/>
          </w:tcPr>
          <w:p w14:paraId="0974DFC6">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固态</w:t>
            </w:r>
          </w:p>
        </w:tc>
        <w:tc>
          <w:tcPr>
            <w:tcW w:w="756" w:type="dxa"/>
            <w:vAlign w:val="center"/>
          </w:tcPr>
          <w:p w14:paraId="4EEFA19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719" w:type="dxa"/>
            <w:vAlign w:val="center"/>
          </w:tcPr>
          <w:p w14:paraId="3020027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饱和活性炭</w:t>
            </w:r>
          </w:p>
        </w:tc>
        <w:tc>
          <w:tcPr>
            <w:tcW w:w="732" w:type="dxa"/>
            <w:vAlign w:val="center"/>
          </w:tcPr>
          <w:p w14:paraId="258ACCB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36个月</w:t>
            </w:r>
          </w:p>
        </w:tc>
        <w:tc>
          <w:tcPr>
            <w:tcW w:w="659" w:type="dxa"/>
            <w:vAlign w:val="center"/>
          </w:tcPr>
          <w:p w14:paraId="66BD3EBD">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T、In</w:t>
            </w:r>
          </w:p>
        </w:tc>
        <w:tc>
          <w:tcPr>
            <w:tcW w:w="1685" w:type="dxa"/>
            <w:vAlign w:val="center"/>
          </w:tcPr>
          <w:p w14:paraId="39DE30E7">
            <w:pPr>
              <w:pStyle w:val="195"/>
              <w:widowControl w:val="0"/>
              <w:jc w:val="center"/>
              <w:rPr>
                <w:rFonts w:ascii="Times New Roman" w:hAnsi="Times New Roman" w:cs="Times New Roman"/>
                <w:caps w:val="0"/>
                <w:smallCaps w:val="0"/>
                <w:color w:val="auto"/>
                <w:spacing w:val="0"/>
                <w:highlight w:val="none"/>
                <w:lang w:eastAsia="zh-CN"/>
              </w:rPr>
            </w:pPr>
            <w:r>
              <w:rPr>
                <w:rFonts w:hint="eastAsia" w:ascii="Times New Roman" w:hAnsi="Times New Roman" w:cs="Times New Roman"/>
                <w:caps w:val="0"/>
                <w:smallCaps w:val="0"/>
                <w:color w:val="auto"/>
                <w:spacing w:val="0"/>
                <w:highlight w:val="none"/>
                <w:lang w:eastAsia="zh-CN"/>
              </w:rPr>
              <w:t>暂存</w:t>
            </w: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eastAsia="zh-CN"/>
              </w:rPr>
              <w:t>委托</w:t>
            </w:r>
            <w:r>
              <w:rPr>
                <w:rFonts w:ascii="Times New Roman" w:hAnsi="Times New Roman" w:cs="Times New Roman"/>
                <w:caps w:val="0"/>
                <w:smallCaps w:val="0"/>
                <w:color w:val="auto"/>
                <w:spacing w:val="0"/>
                <w:highlight w:val="none"/>
                <w:lang w:eastAsia="zh-CN"/>
              </w:rPr>
              <w:t>有资质单位处置</w:t>
            </w:r>
          </w:p>
        </w:tc>
      </w:tr>
    </w:tbl>
    <w:p w14:paraId="76FF73C0">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综上所述，项目产生的固体废弃物均得到有效处置，处置率达100%，符合《一般工业固体废物贮存和填埋污染控制标准》(GB18599-2020)和《危险废物贮存污染控制标准》(GB18597-2023)相关规定。</w:t>
      </w:r>
    </w:p>
    <w:p w14:paraId="09A0C13C">
      <w:pPr>
        <w:widowControl w:val="0"/>
        <w:spacing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本项目运营期产生的固体废物处置符合《</w:t>
      </w:r>
      <w:r>
        <w:rPr>
          <w:rFonts w:hint="eastAsia" w:ascii="Times New Roman" w:hAnsi="Times New Roman" w:eastAsia="宋体" w:cs="Times New Roman"/>
          <w:caps w:val="0"/>
          <w:smallCaps w:val="0"/>
          <w:color w:val="auto"/>
          <w:spacing w:val="0"/>
          <w:kern w:val="0"/>
          <w:szCs w:val="24"/>
          <w:highlight w:val="none"/>
          <w:lang w:bidi="ar"/>
        </w:rPr>
        <w:t>中华人民共和国固体废物污染环境防治法</w:t>
      </w:r>
      <w:r>
        <w:rPr>
          <w:rFonts w:ascii="Times New Roman" w:hAnsi="Times New Roman" w:eastAsia="宋体" w:cs="Times New Roman"/>
          <w:caps w:val="0"/>
          <w:smallCaps w:val="0"/>
          <w:color w:val="auto"/>
          <w:spacing w:val="0"/>
          <w:kern w:val="0"/>
          <w:szCs w:val="24"/>
          <w:highlight w:val="none"/>
          <w:lang w:bidi="ar"/>
        </w:rPr>
        <w:t>》规定的“减量化、资源化、无害化”原则，在采取环评及设计提出的治理措施，并加强管理的前提下，可减少二次污染，对环境空气质量、水环境及人群健康影响较小。</w:t>
      </w:r>
    </w:p>
    <w:p w14:paraId="3A100601">
      <w:pPr>
        <w:pStyle w:val="65"/>
        <w:widowControl w:val="0"/>
        <w:ind w:firstLine="0" w:firstLineChars="0"/>
        <w:outlineLvl w:val="2"/>
        <w:rPr>
          <w:rFonts w:eastAsia="宋体"/>
          <w:b/>
          <w:bCs/>
          <w:caps w:val="0"/>
          <w:smallCaps w:val="0"/>
          <w:color w:val="auto"/>
          <w:spacing w:val="0"/>
          <w:kern w:val="0"/>
          <w:sz w:val="30"/>
          <w:szCs w:val="30"/>
          <w:highlight w:val="none"/>
          <w:lang w:bidi="ar"/>
        </w:rPr>
      </w:pPr>
      <w:bookmarkStart w:id="175" w:name="_Toc20291"/>
      <w:r>
        <w:rPr>
          <w:rFonts w:eastAsia="宋体"/>
          <w:b/>
          <w:bCs/>
          <w:caps w:val="0"/>
          <w:smallCaps w:val="0"/>
          <w:color w:val="auto"/>
          <w:spacing w:val="0"/>
          <w:kern w:val="0"/>
          <w:sz w:val="30"/>
          <w:szCs w:val="30"/>
          <w:highlight w:val="none"/>
          <w:lang w:bidi="ar"/>
        </w:rPr>
        <w:t>5.2.5运营期土壤环境影响分析</w:t>
      </w:r>
      <w:bookmarkEnd w:id="175"/>
    </w:p>
    <w:p w14:paraId="7F06AB8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1、废水、废液渗漏对土壤影响</w:t>
      </w:r>
    </w:p>
    <w:p w14:paraId="41B93DF6">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从本项目危险废物中主要</w:t>
      </w:r>
      <w:r>
        <w:rPr>
          <w:rFonts w:hint="eastAsia" w:ascii="Times New Roman" w:hAnsi="Times New Roman" w:eastAsia="宋体" w:cs="Times New Roman"/>
          <w:caps w:val="0"/>
          <w:smallCaps w:val="0"/>
          <w:color w:val="auto"/>
          <w:spacing w:val="0"/>
          <w:szCs w:val="28"/>
          <w:highlight w:val="none"/>
          <w:lang w:val="zh-CN"/>
        </w:rPr>
        <w:t>有害成分</w:t>
      </w:r>
      <w:r>
        <w:rPr>
          <w:rFonts w:ascii="Times New Roman" w:hAnsi="Times New Roman" w:eastAsia="宋体" w:cs="Times New Roman"/>
          <w:caps w:val="0"/>
          <w:smallCaps w:val="0"/>
          <w:color w:val="auto"/>
          <w:spacing w:val="0"/>
          <w:szCs w:val="28"/>
          <w:highlight w:val="none"/>
          <w:lang w:val="zh-CN"/>
        </w:rPr>
        <w:t>来看，固废中重金属类物质含量较高。</w:t>
      </w:r>
    </w:p>
    <w:p w14:paraId="7422BEE4">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项目危险废物储存区、废水收集/处理池、事故应急池以及污水管线若没有适当的防漏措施，其中的有害组分渗出后，很容易经过雨水淋溶、地表径流侵蚀而渗入土壤，破坏微生物、植被等与周围环境构成系统的平衡。同时这些水分经土壤渗入地下水，对地下水水质也造成污染。</w:t>
      </w:r>
    </w:p>
    <w:p w14:paraId="7C609174">
      <w:pPr>
        <w:widowControl w:val="0"/>
        <w:spacing w:line="360" w:lineRule="auto"/>
        <w:ind w:firstLine="480" w:firstLineChars="200"/>
        <w:jc w:val="both"/>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项目危险废物储存区、处理车间均将严格按照《危险废物贮存污染控制标准》(GB18597-2023)有关规范设计，废水处理站各建构筑物按要求做好防渗措施，项目建成后对周边土壤的影响较小。同时本项目产生的危险废物也均得到安全处理和处置。因此只要各个环节得到良好控制，可以将本项目对土壤的影响降至最低。事故情况下，污泥贮池和废水处理站对地下水的影响，污染物将穿过包气带，影响到地下水。污染物穿越包气带的过程中，由于土壤的阻隔、吸附作用，导致土壤受到污染。因此，项目应严格落实好防渗工程并定期检查重点风险点，杜绝事故</w:t>
      </w:r>
      <w:r>
        <w:rPr>
          <w:rFonts w:hint="eastAsia" w:ascii="Times New Roman" w:hAnsi="Times New Roman" w:eastAsia="宋体" w:cs="Times New Roman"/>
          <w:caps w:val="0"/>
          <w:smallCaps w:val="0"/>
          <w:color w:val="auto"/>
          <w:spacing w:val="0"/>
          <w:szCs w:val="28"/>
          <w:highlight w:val="none"/>
          <w:lang w:val="zh-CN"/>
        </w:rPr>
        <w:t>泄漏</w:t>
      </w:r>
      <w:r>
        <w:rPr>
          <w:rFonts w:ascii="Times New Roman" w:hAnsi="Times New Roman" w:eastAsia="宋体" w:cs="Times New Roman"/>
          <w:caps w:val="0"/>
          <w:smallCaps w:val="0"/>
          <w:color w:val="auto"/>
          <w:spacing w:val="0"/>
          <w:szCs w:val="28"/>
          <w:highlight w:val="none"/>
          <w:lang w:val="zh-CN"/>
        </w:rPr>
        <w:t>情况发生。</w:t>
      </w:r>
    </w:p>
    <w:p w14:paraId="143923B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2、废气对土壤影响</w:t>
      </w:r>
    </w:p>
    <w:p w14:paraId="742B2957">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本项目废气全年300天，每天连续24h排放，受大气沉降影响，其会持续对影响区域内的土壤造成影响。</w:t>
      </w:r>
    </w:p>
    <w:p w14:paraId="3CCFD32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本项目排放的工艺废气中含有Cd金属</w:t>
      </w:r>
      <w:r>
        <w:rPr>
          <w:rFonts w:hint="eastAsia" w:ascii="Times New Roman" w:hAnsi="Times New Roman" w:eastAsia="宋体" w:cs="Times New Roman"/>
          <w:caps w:val="0"/>
          <w:smallCaps w:val="0"/>
          <w:color w:val="auto"/>
          <w:spacing w:val="0"/>
          <w:szCs w:val="28"/>
          <w:highlight w:val="none"/>
          <w:lang w:val="en-US" w:eastAsia="zh-CN"/>
        </w:rPr>
        <w:t>及二甲苯</w:t>
      </w:r>
      <w:r>
        <w:rPr>
          <w:rFonts w:ascii="Times New Roman" w:hAnsi="Times New Roman" w:eastAsia="宋体" w:cs="Times New Roman"/>
          <w:caps w:val="0"/>
          <w:smallCaps w:val="0"/>
          <w:color w:val="auto"/>
          <w:spacing w:val="0"/>
          <w:szCs w:val="28"/>
          <w:highlight w:val="none"/>
          <w:lang w:val="zh-CN"/>
        </w:rPr>
        <w:t>，重金属随排放废气进入环境空气中，最后沉降在周围的土壤从而进入土壤环境，有可能对土壤环境中的重金属含量产生影响。</w:t>
      </w:r>
    </w:p>
    <w:p w14:paraId="0ACB9760">
      <w:pPr>
        <w:pStyle w:val="10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（1）预测方法</w:t>
      </w:r>
    </w:p>
    <w:p w14:paraId="50F5E993">
      <w:pPr>
        <w:pStyle w:val="10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根据《环境影响评价技术导则—土壤环境（试行）》（HJ964-2018）附录推荐方法：</w:t>
      </w:r>
    </w:p>
    <w:p w14:paraId="716B9EC0">
      <w:pPr>
        <w:pStyle w:val="10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采用单位质量土壤中某种物质的增量可用下式计算：</w:t>
      </w:r>
    </w:p>
    <w:p w14:paraId="121EBE30">
      <w:pPr>
        <w:pStyle w:val="109"/>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ΔS=n（I</w:t>
      </w:r>
      <w:r>
        <w:rPr>
          <w:rFonts w:ascii="Times New Roman" w:hAnsi="Times New Roman" w:eastAsia="宋体" w:cs="Times New Roman"/>
          <w:caps w:val="0"/>
          <w:smallCaps w:val="0"/>
          <w:color w:val="auto"/>
          <w:spacing w:val="0"/>
          <w:sz w:val="16"/>
          <w:szCs w:val="16"/>
          <w:highlight w:val="none"/>
        </w:rPr>
        <w:t>s</w:t>
      </w:r>
      <w:r>
        <w:rPr>
          <w:rFonts w:ascii="Times New Roman" w:hAnsi="Times New Roman" w:eastAsia="宋体" w:cs="Times New Roman"/>
          <w:caps w:val="0"/>
          <w:smallCaps w:val="0"/>
          <w:color w:val="auto"/>
          <w:spacing w:val="0"/>
          <w:highlight w:val="none"/>
        </w:rPr>
        <w:t>-L</w:t>
      </w:r>
      <w:r>
        <w:rPr>
          <w:rFonts w:ascii="Times New Roman" w:hAnsi="Times New Roman" w:eastAsia="宋体" w:cs="Times New Roman"/>
          <w:caps w:val="0"/>
          <w:smallCaps w:val="0"/>
          <w:color w:val="auto"/>
          <w:spacing w:val="0"/>
          <w:sz w:val="16"/>
          <w:szCs w:val="16"/>
          <w:highlight w:val="none"/>
        </w:rPr>
        <w:t>s</w:t>
      </w:r>
      <w:r>
        <w:rPr>
          <w:rFonts w:ascii="Times New Roman" w:hAnsi="Times New Roman" w:eastAsia="宋体" w:cs="Times New Roman"/>
          <w:caps w:val="0"/>
          <w:smallCaps w:val="0"/>
          <w:color w:val="auto"/>
          <w:spacing w:val="0"/>
          <w:highlight w:val="none"/>
        </w:rPr>
        <w:t>-R</w:t>
      </w:r>
      <w:r>
        <w:rPr>
          <w:rFonts w:ascii="Times New Roman" w:hAnsi="Times New Roman" w:eastAsia="宋体" w:cs="Times New Roman"/>
          <w:caps w:val="0"/>
          <w:smallCaps w:val="0"/>
          <w:color w:val="auto"/>
          <w:spacing w:val="0"/>
          <w:sz w:val="16"/>
          <w:szCs w:val="16"/>
          <w:highlight w:val="none"/>
        </w:rPr>
        <w:t>s</w:t>
      </w:r>
      <w:r>
        <w:rPr>
          <w:rFonts w:ascii="Times New Roman" w:hAnsi="Times New Roman" w:eastAsia="宋体" w:cs="Times New Roman"/>
          <w:caps w:val="0"/>
          <w:smallCaps w:val="0"/>
          <w:color w:val="auto"/>
          <w:spacing w:val="0"/>
          <w:highlight w:val="none"/>
        </w:rPr>
        <w:t>）/（ρ</w:t>
      </w:r>
      <w:r>
        <w:rPr>
          <w:rFonts w:ascii="Times New Roman" w:hAnsi="Times New Roman" w:eastAsia="宋体" w:cs="Times New Roman"/>
          <w:caps w:val="0"/>
          <w:smallCaps w:val="0"/>
          <w:color w:val="auto"/>
          <w:spacing w:val="0"/>
          <w:sz w:val="16"/>
          <w:szCs w:val="16"/>
          <w:highlight w:val="none"/>
        </w:rPr>
        <w:t>b</w:t>
      </w:r>
      <w:r>
        <w:rPr>
          <w:rFonts w:ascii="Times New Roman" w:hAnsi="Times New Roman" w:eastAsia="宋体" w:cs="Times New Roman"/>
          <w:caps w:val="0"/>
          <w:smallCaps w:val="0"/>
          <w:color w:val="auto"/>
          <w:spacing w:val="0"/>
          <w:highlight w:val="none"/>
        </w:rPr>
        <w:t>×A×D）</w:t>
      </w:r>
    </w:p>
    <w:p w14:paraId="39B0A7F4">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式中： ΔS—单位质量表层土壤中某种物质的增量， g/kg；</w:t>
      </w:r>
    </w:p>
    <w:p w14:paraId="631DE459">
      <w:pPr>
        <w:pStyle w:val="109"/>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I</w:t>
      </w:r>
      <w:r>
        <w:rPr>
          <w:rFonts w:ascii="Times New Roman" w:hAnsi="Times New Roman" w:eastAsia="宋体" w:cs="Times New Roman"/>
          <w:caps w:val="0"/>
          <w:smallCaps w:val="0"/>
          <w:color w:val="auto"/>
          <w:spacing w:val="0"/>
          <w:sz w:val="16"/>
          <w:szCs w:val="16"/>
          <w:highlight w:val="none"/>
        </w:rPr>
        <w:t>s</w:t>
      </w:r>
      <w:r>
        <w:rPr>
          <w:rFonts w:ascii="Times New Roman" w:hAnsi="Times New Roman" w:eastAsia="宋体" w:cs="Times New Roman"/>
          <w:caps w:val="0"/>
          <w:smallCaps w:val="0"/>
          <w:color w:val="auto"/>
          <w:spacing w:val="0"/>
          <w:highlight w:val="none"/>
        </w:rPr>
        <w:t>—预测评价范围内单位年份表层土壤中某种物质的输入量，g；</w:t>
      </w:r>
    </w:p>
    <w:p w14:paraId="31A9EC6B">
      <w:pPr>
        <w:pStyle w:val="109"/>
        <w:ind w:firstLine="1440" w:firstLineChars="6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L</w:t>
      </w:r>
      <w:r>
        <w:rPr>
          <w:rFonts w:ascii="Times New Roman" w:hAnsi="Times New Roman" w:eastAsia="宋体" w:cs="Times New Roman"/>
          <w:caps w:val="0"/>
          <w:smallCaps w:val="0"/>
          <w:color w:val="auto"/>
          <w:spacing w:val="0"/>
          <w:sz w:val="16"/>
          <w:szCs w:val="16"/>
          <w:highlight w:val="none"/>
        </w:rPr>
        <w:t>s</w:t>
      </w:r>
      <w:r>
        <w:rPr>
          <w:rFonts w:ascii="Times New Roman" w:hAnsi="Times New Roman" w:eastAsia="宋体" w:cs="Times New Roman"/>
          <w:caps w:val="0"/>
          <w:smallCaps w:val="0"/>
          <w:color w:val="auto"/>
          <w:spacing w:val="0"/>
          <w:highlight w:val="none"/>
        </w:rPr>
        <w:t>—预测评价范围内单位年份表层土壤中某种物质经淋溶排出的量， g；</w:t>
      </w:r>
    </w:p>
    <w:p w14:paraId="310F080C">
      <w:pPr>
        <w:pStyle w:val="109"/>
        <w:ind w:firstLine="1440" w:firstLineChars="6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R</w:t>
      </w:r>
      <w:r>
        <w:rPr>
          <w:rFonts w:ascii="Times New Roman" w:hAnsi="Times New Roman" w:eastAsia="宋体" w:cs="Times New Roman"/>
          <w:caps w:val="0"/>
          <w:smallCaps w:val="0"/>
          <w:color w:val="auto"/>
          <w:spacing w:val="0"/>
          <w:sz w:val="16"/>
          <w:szCs w:val="16"/>
          <w:highlight w:val="none"/>
        </w:rPr>
        <w:t>s</w:t>
      </w:r>
      <w:r>
        <w:rPr>
          <w:rFonts w:ascii="Times New Roman" w:hAnsi="Times New Roman" w:eastAsia="宋体" w:cs="Times New Roman"/>
          <w:caps w:val="0"/>
          <w:smallCaps w:val="0"/>
          <w:color w:val="auto"/>
          <w:spacing w:val="0"/>
          <w:highlight w:val="none"/>
        </w:rPr>
        <w:t>—预测评价范围内单位年份表层土壤中某种物质径流排出的量,g；</w:t>
      </w:r>
    </w:p>
    <w:p w14:paraId="6CC4F129">
      <w:pPr>
        <w:pStyle w:val="109"/>
        <w:ind w:firstLine="1440" w:firstLineChars="6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ρ</w:t>
      </w:r>
      <w:r>
        <w:rPr>
          <w:rFonts w:ascii="Times New Roman" w:hAnsi="Times New Roman" w:eastAsia="宋体" w:cs="Times New Roman"/>
          <w:caps w:val="0"/>
          <w:smallCaps w:val="0"/>
          <w:color w:val="auto"/>
          <w:spacing w:val="0"/>
          <w:sz w:val="16"/>
          <w:szCs w:val="16"/>
          <w:highlight w:val="none"/>
        </w:rPr>
        <w:t>b</w:t>
      </w:r>
      <w:r>
        <w:rPr>
          <w:rFonts w:ascii="Times New Roman" w:hAnsi="Times New Roman" w:eastAsia="宋体" w:cs="Times New Roman"/>
          <w:caps w:val="0"/>
          <w:smallCaps w:val="0"/>
          <w:color w:val="auto"/>
          <w:spacing w:val="0"/>
          <w:highlight w:val="none"/>
        </w:rPr>
        <w:t>—表层土壤容重，1.391kg/m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w:t>
      </w:r>
    </w:p>
    <w:p w14:paraId="21E1DA2E">
      <w:pPr>
        <w:spacing w:line="360" w:lineRule="auto"/>
        <w:ind w:firstLine="1440" w:firstLineChars="6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A—预测评价范围，m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w:t>
      </w:r>
    </w:p>
    <w:p w14:paraId="5B06E3FA">
      <w:pPr>
        <w:pStyle w:val="109"/>
        <w:ind w:firstLine="1440" w:firstLineChars="6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D—表层土壤深度，一般取0.2m，可根据实际情况适当调整；</w:t>
      </w:r>
    </w:p>
    <w:p w14:paraId="7C8F8D3C">
      <w:pPr>
        <w:pStyle w:val="109"/>
        <w:ind w:firstLine="1440" w:firstLineChars="6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N—持续年份，a。</w:t>
      </w:r>
    </w:p>
    <w:p w14:paraId="53471687">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根据土壤导则，本项目涉及大气沉降影响，可不考虑输出量，因此上述公式可简化为如下：</w:t>
      </w:r>
    </w:p>
    <w:p w14:paraId="25CCFE33">
      <w:pPr>
        <w:spacing w:line="360" w:lineRule="auto"/>
        <w:ind w:firstLine="480" w:firstLineChars="20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∆S=nIs/(ρb×A×D)</w:t>
      </w:r>
    </w:p>
    <w:p w14:paraId="632BF7E4">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单位质量土壤中某种物质的预测值可根据其增量叠加现状值进行计算。</w:t>
      </w:r>
    </w:p>
    <w:p w14:paraId="05FBD462">
      <w:pPr>
        <w:spacing w:line="360" w:lineRule="auto"/>
        <w:ind w:firstLine="480" w:firstLineChars="200"/>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S=Sb＋ΔS</w:t>
      </w:r>
    </w:p>
    <w:p w14:paraId="4385FCFA">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式中： Sb—单位质量土壤中某种物质的现状值，g/kg；</w:t>
      </w:r>
    </w:p>
    <w:p w14:paraId="2C94BCCD">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S—单位质量土壤中某种物质的预测值，g/kg。</w:t>
      </w:r>
    </w:p>
    <w:p w14:paraId="4F5A7412">
      <w:pPr>
        <w:numPr>
          <w:ilvl w:val="0"/>
          <w:numId w:val="14"/>
        </w:num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预测取值</w:t>
      </w:r>
    </w:p>
    <w:p w14:paraId="208E6246">
      <w:pPr>
        <w:numPr>
          <w:ilvl w:val="0"/>
          <w:numId w:val="15"/>
        </w:numPr>
        <w:spacing w:line="360" w:lineRule="auto"/>
        <w:ind w:left="480" w:left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Is的取值</w:t>
      </w:r>
    </w:p>
    <w:p w14:paraId="21A93D3A">
      <w:pPr>
        <w:spacing w:line="360" w:lineRule="auto"/>
        <w:ind w:left="480" w:leftChars="200"/>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Is</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C</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V</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T</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A</w:t>
      </w:r>
    </w:p>
    <w:p w14:paraId="04652A07">
      <w:pPr>
        <w:spacing w:line="360" w:lineRule="auto"/>
        <w:ind w:firstLine="480" w:firstLineChars="20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highlight w:val="none"/>
        </w:rPr>
        <w:t>式中</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C—污染物的最大小时落地浓</w:t>
      </w:r>
      <w:r>
        <w:rPr>
          <w:rFonts w:ascii="Times New Roman" w:hAnsi="Times New Roman" w:eastAsia="宋体" w:cs="Times New Roman"/>
          <w:caps w:val="0"/>
          <w:smallCaps w:val="0"/>
          <w:color w:val="auto"/>
          <w:spacing w:val="0"/>
          <w:sz w:val="24"/>
          <w:szCs w:val="24"/>
          <w:highlight w:val="none"/>
        </w:rPr>
        <w:t>度，根据大气影响预测结果，</w:t>
      </w:r>
      <w:r>
        <w:rPr>
          <w:rFonts w:hint="eastAsia" w:ascii="Times New Roman" w:hAnsi="Times New Roman" w:eastAsia="宋体" w:cs="Times New Roman"/>
          <w:caps w:val="0"/>
          <w:smallCaps w:val="0"/>
          <w:color w:val="auto"/>
          <w:spacing w:val="0"/>
          <w:sz w:val="24"/>
          <w:szCs w:val="24"/>
          <w:highlight w:val="none"/>
          <w:lang w:val="en-US" w:eastAsia="zh-CN"/>
        </w:rPr>
        <w:t>镉、</w:t>
      </w:r>
      <w:r>
        <w:rPr>
          <w:rFonts w:ascii="Times New Roman" w:hAnsi="Times New Roman" w:eastAsia="宋体" w:cs="Times New Roman"/>
          <w:caps w:val="0"/>
          <w:smallCaps w:val="0"/>
          <w:color w:val="auto"/>
          <w:spacing w:val="0"/>
          <w:sz w:val="24"/>
          <w:szCs w:val="24"/>
          <w:highlight w:val="none"/>
        </w:rPr>
        <w:t>二甲苯小时平均最大落地浓度分别为0.00</w:t>
      </w:r>
      <w:r>
        <w:rPr>
          <w:rFonts w:hint="eastAsia" w:ascii="Times New Roman" w:hAnsi="Times New Roman" w:eastAsia="宋体" w:cs="Times New Roman"/>
          <w:caps w:val="0"/>
          <w:smallCaps w:val="0"/>
          <w:color w:val="auto"/>
          <w:spacing w:val="0"/>
          <w:sz w:val="24"/>
          <w:szCs w:val="24"/>
          <w:highlight w:val="none"/>
          <w:lang w:val="en-US" w:eastAsia="zh-CN"/>
        </w:rPr>
        <w:t>0</w:t>
      </w:r>
      <w:r>
        <w:rPr>
          <w:rFonts w:ascii="Times New Roman" w:hAnsi="Times New Roman" w:eastAsia="宋体" w:cs="Times New Roman"/>
          <w:caps w:val="0"/>
          <w:smallCaps w:val="0"/>
          <w:color w:val="auto"/>
          <w:spacing w:val="0"/>
          <w:sz w:val="24"/>
          <w:szCs w:val="24"/>
          <w:highlight w:val="none"/>
        </w:rPr>
        <w:t>2</w:t>
      </w:r>
      <w:r>
        <w:rPr>
          <w:rFonts w:hint="eastAsia" w:ascii="Times New Roman" w:hAnsi="Times New Roman" w:eastAsia="宋体" w:cs="Times New Roman"/>
          <w:caps w:val="0"/>
          <w:smallCaps w:val="0"/>
          <w:color w:val="auto"/>
          <w:spacing w:val="0"/>
          <w:sz w:val="24"/>
          <w:szCs w:val="24"/>
          <w:highlight w:val="none"/>
          <w:lang w:val="en-US" w:eastAsia="zh-CN"/>
        </w:rPr>
        <w:t>10</w:t>
      </w:r>
      <w:r>
        <w:rPr>
          <w:rFonts w:ascii="Times New Roman" w:hAnsi="Times New Roman" w:eastAsia="宋体" w:cs="Times New Roman"/>
          <w:caps w:val="0"/>
          <w:smallCaps w:val="0"/>
          <w:color w:val="auto"/>
          <w:spacing w:val="0"/>
          <w:sz w:val="24"/>
          <w:szCs w:val="24"/>
          <w:highlight w:val="none"/>
        </w:rPr>
        <w:t>μg/</w:t>
      </w:r>
      <w:r>
        <w:rPr>
          <w:rFonts w:ascii="Times New Roman" w:hAnsi="Times New Roman" w:eastAsia="宋体" w:cs="Times New Roman"/>
          <w:caps w:val="0"/>
          <w:smallCaps w:val="0"/>
          <w:color w:val="auto"/>
          <w:spacing w:val="0"/>
          <w:sz w:val="24"/>
          <w:szCs w:val="24"/>
          <w:highlight w:val="none"/>
        </w:rPr>
        <w:t>m</w:t>
      </w:r>
      <w:r>
        <w:rPr>
          <w:rFonts w:ascii="Times New Roman" w:hAnsi="Times New Roman" w:eastAsia="宋体" w:cs="Times New Roman"/>
          <w:caps w:val="0"/>
          <w:smallCaps w:val="0"/>
          <w:color w:val="auto"/>
          <w:spacing w:val="0"/>
          <w:sz w:val="24"/>
          <w:szCs w:val="24"/>
          <w:highlight w:val="none"/>
          <w:vertAlign w:val="superscript"/>
        </w:rPr>
        <w:t>3</w:t>
      </w:r>
      <w:r>
        <w:rPr>
          <w:rFonts w:hint="eastAsia" w:ascii="Times New Roman" w:hAnsi="Times New Roman" w:eastAsia="宋体" w:cs="Times New Roman"/>
          <w:caps w:val="0"/>
          <w:smallCaps w:val="0"/>
          <w:color w:val="auto"/>
          <w:spacing w:val="0"/>
          <w:sz w:val="24"/>
          <w:szCs w:val="24"/>
          <w:highlight w:val="none"/>
          <w:vertAlign w:val="baseline"/>
          <w:lang w:eastAsia="zh-CN"/>
        </w:rPr>
        <w:t>、</w:t>
      </w:r>
      <w:r>
        <w:rPr>
          <w:rFonts w:ascii="Times New Roman" w:hAnsi="Times New Roman" w:eastAsia="宋体" w:cs="Times New Roman"/>
          <w:caps w:val="0"/>
          <w:smallCaps w:val="0"/>
          <w:color w:val="auto"/>
          <w:spacing w:val="0"/>
          <w:sz w:val="24"/>
          <w:szCs w:val="24"/>
          <w:highlight w:val="none"/>
        </w:rPr>
        <w:t>1.28×10</w:t>
      </w:r>
      <w:r>
        <w:rPr>
          <w:rFonts w:ascii="Times New Roman" w:hAnsi="Times New Roman" w:eastAsia="宋体" w:cs="Times New Roman"/>
          <w:caps w:val="0"/>
          <w:smallCaps w:val="0"/>
          <w:color w:val="auto"/>
          <w:spacing w:val="0"/>
          <w:sz w:val="24"/>
          <w:szCs w:val="24"/>
          <w:highlight w:val="none"/>
          <w:vertAlign w:val="superscript"/>
        </w:rPr>
        <w:t>-4</w:t>
      </w:r>
      <w:r>
        <w:rPr>
          <w:rFonts w:ascii="Times New Roman" w:hAnsi="Times New Roman" w:eastAsia="宋体" w:cs="Times New Roman"/>
          <w:caps w:val="0"/>
          <w:smallCaps w:val="0"/>
          <w:color w:val="auto"/>
          <w:spacing w:val="0"/>
          <w:sz w:val="24"/>
          <w:szCs w:val="24"/>
          <w:highlight w:val="none"/>
        </w:rPr>
        <w:t>μg/m</w:t>
      </w:r>
      <w:r>
        <w:rPr>
          <w:rFonts w:ascii="Times New Roman" w:hAnsi="Times New Roman" w:eastAsia="宋体" w:cs="Times New Roman"/>
          <w:caps w:val="0"/>
          <w:smallCaps w:val="0"/>
          <w:color w:val="auto"/>
          <w:spacing w:val="0"/>
          <w:sz w:val="24"/>
          <w:szCs w:val="24"/>
          <w:highlight w:val="none"/>
          <w:vertAlign w:val="superscript"/>
        </w:rPr>
        <w:t>3</w:t>
      </w:r>
      <w:r>
        <w:rPr>
          <w:rFonts w:hint="eastAsia" w:ascii="Times New Roman" w:hAnsi="Times New Roman" w:eastAsia="宋体" w:cs="Times New Roman"/>
          <w:caps w:val="0"/>
          <w:smallCaps w:val="0"/>
          <w:color w:val="auto"/>
          <w:spacing w:val="0"/>
          <w:sz w:val="24"/>
          <w:szCs w:val="24"/>
          <w:highlight w:val="none"/>
        </w:rPr>
        <w:t>；</w:t>
      </w:r>
    </w:p>
    <w:p w14:paraId="63252819">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V—污染物沉降速度，m/s，沉降</w:t>
      </w:r>
      <w:r>
        <w:rPr>
          <w:rFonts w:hint="eastAsia" w:ascii="Times New Roman" w:hAnsi="Times New Roman" w:eastAsia="宋体" w:cs="Times New Roman"/>
          <w:caps w:val="0"/>
          <w:smallCaps w:val="0"/>
          <w:color w:val="auto"/>
          <w:spacing w:val="0"/>
          <w:highlight w:val="none"/>
        </w:rPr>
        <w:t>速</w:t>
      </w:r>
      <w:r>
        <w:rPr>
          <w:rFonts w:ascii="Times New Roman" w:hAnsi="Times New Roman" w:eastAsia="宋体" w:cs="Times New Roman"/>
          <w:caps w:val="0"/>
          <w:smallCaps w:val="0"/>
          <w:color w:val="auto"/>
          <w:spacing w:val="0"/>
          <w:highlight w:val="none"/>
        </w:rPr>
        <w:t>率为0.5cm/s;</w:t>
      </w:r>
    </w:p>
    <w:p w14:paraId="5D777484">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T—年内污染物沉降时间，取</w:t>
      </w:r>
      <w:r>
        <w:rPr>
          <w:rFonts w:hint="eastAsia" w:ascii="Times New Roman" w:hAnsi="Times New Roman" w:eastAsia="宋体" w:cs="Times New Roman"/>
          <w:caps w:val="0"/>
          <w:smallCaps w:val="0"/>
          <w:color w:val="auto"/>
          <w:spacing w:val="0"/>
          <w:highlight w:val="none"/>
        </w:rPr>
        <w:t>2.59</w:t>
      </w:r>
      <w:r>
        <w:rPr>
          <w:rFonts w:ascii="Times New Roman" w:hAnsi="Times New Roman" w:eastAsia="宋体" w:cs="Times New Roman"/>
          <w:caps w:val="0"/>
          <w:smallCaps w:val="0"/>
          <w:color w:val="auto"/>
          <w:spacing w:val="0"/>
          <w:highlight w:val="none"/>
        </w:rPr>
        <w:t>×10</w:t>
      </w:r>
      <w:r>
        <w:rPr>
          <w:rFonts w:hint="eastAsia"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s(</w:t>
      </w:r>
      <w:r>
        <w:rPr>
          <w:rFonts w:hint="eastAsia" w:ascii="Times New Roman" w:hAnsi="Times New Roman" w:eastAsia="宋体" w:cs="Times New Roman"/>
          <w:caps w:val="0"/>
          <w:smallCaps w:val="0"/>
          <w:color w:val="auto"/>
          <w:spacing w:val="0"/>
          <w:highlight w:val="none"/>
        </w:rPr>
        <w:t>30</w:t>
      </w:r>
      <w:r>
        <w:rPr>
          <w:rFonts w:ascii="Times New Roman" w:hAnsi="Times New Roman" w:eastAsia="宋体" w:cs="Times New Roman"/>
          <w:caps w:val="0"/>
          <w:smallCaps w:val="0"/>
          <w:color w:val="auto"/>
          <w:spacing w:val="0"/>
          <w:highlight w:val="none"/>
        </w:rPr>
        <w:t>0d，每天</w:t>
      </w:r>
      <w:r>
        <w:rPr>
          <w:rFonts w:hint="eastAsia" w:ascii="Times New Roman" w:hAnsi="Times New Roman" w:eastAsia="宋体" w:cs="Times New Roman"/>
          <w:caps w:val="0"/>
          <w:smallCaps w:val="0"/>
          <w:color w:val="auto"/>
          <w:spacing w:val="0"/>
          <w:highlight w:val="none"/>
        </w:rPr>
        <w:t>24</w:t>
      </w:r>
      <w:r>
        <w:rPr>
          <w:rFonts w:ascii="Times New Roman" w:hAnsi="Times New Roman" w:eastAsia="宋体" w:cs="Times New Roman"/>
          <w:caps w:val="0"/>
          <w:smallCaps w:val="0"/>
          <w:color w:val="auto"/>
          <w:spacing w:val="0"/>
          <w:highlight w:val="none"/>
        </w:rPr>
        <w:t>h)。</w:t>
      </w:r>
    </w:p>
    <w:p w14:paraId="1834D0E5">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A—预测评价范围，调查范围为项目周边</w:t>
      </w:r>
      <w:r>
        <w:rPr>
          <w:rFonts w:hint="eastAsia" w:ascii="Times New Roman" w:hAnsi="Times New Roman" w:eastAsia="宋体" w:cs="Times New Roman"/>
          <w:caps w:val="0"/>
          <w:smallCaps w:val="0"/>
          <w:color w:val="auto"/>
          <w:spacing w:val="0"/>
          <w:highlight w:val="none"/>
        </w:rPr>
        <w:t>500</w:t>
      </w:r>
      <w:r>
        <w:rPr>
          <w:rFonts w:ascii="Times New Roman" w:hAnsi="Times New Roman" w:eastAsia="宋体" w:cs="Times New Roman"/>
          <w:caps w:val="0"/>
          <w:smallCaps w:val="0"/>
          <w:color w:val="auto"/>
          <w:spacing w:val="0"/>
          <w:highlight w:val="none"/>
        </w:rPr>
        <w:t>m的圆形区域</w:t>
      </w:r>
      <w:r>
        <w:rPr>
          <w:rFonts w:hint="eastAsia" w:ascii="Times New Roman" w:hAnsi="Times New Roman" w:eastAsia="宋体" w:cs="Times New Roman"/>
          <w:caps w:val="0"/>
          <w:smallCaps w:val="0"/>
          <w:color w:val="auto"/>
          <w:spacing w:val="0"/>
          <w:highlight w:val="none"/>
          <w:lang w:eastAsia="zh-CN"/>
        </w:rPr>
        <w:t>，</w:t>
      </w:r>
      <w:r>
        <w:rPr>
          <w:rFonts w:ascii="Times New Roman" w:hAnsi="Times New Roman" w:eastAsia="宋体" w:cs="Times New Roman"/>
          <w:caps w:val="0"/>
          <w:smallCaps w:val="0"/>
          <w:color w:val="auto"/>
          <w:spacing w:val="0"/>
          <w:highlight w:val="none"/>
        </w:rPr>
        <w:t>约</w:t>
      </w:r>
      <w:r>
        <w:rPr>
          <w:rFonts w:hint="eastAsia" w:ascii="Times New Roman" w:hAnsi="Times New Roman" w:eastAsia="宋体" w:cs="Times New Roman"/>
          <w:caps w:val="0"/>
          <w:smallCaps w:val="0"/>
          <w:color w:val="auto"/>
          <w:spacing w:val="0"/>
          <w:highlight w:val="none"/>
        </w:rPr>
        <w:t>812</w:t>
      </w:r>
      <w:r>
        <w:rPr>
          <w:rFonts w:ascii="Times New Roman" w:hAnsi="Times New Roman" w:eastAsia="宋体" w:cs="Times New Roman"/>
          <w:caps w:val="0"/>
          <w:smallCaps w:val="0"/>
          <w:color w:val="auto"/>
          <w:spacing w:val="0"/>
          <w:highlight w:val="none"/>
        </w:rPr>
        <w:t>000m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w:t>
      </w:r>
    </w:p>
    <w:p w14:paraId="3D08524F">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Ls的取值</w:t>
      </w:r>
    </w:p>
    <w:p w14:paraId="4CCFAD4C">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当污染物可能通过淋溶进入土壤时，需要给出淋溶时每年排入土壤</w:t>
      </w:r>
      <w:r>
        <w:rPr>
          <w:rFonts w:hint="eastAsia" w:ascii="Times New Roman" w:hAnsi="Times New Roman" w:eastAsia="宋体" w:cs="Times New Roman"/>
          <w:caps w:val="0"/>
          <w:smallCaps w:val="0"/>
          <w:color w:val="auto"/>
          <w:spacing w:val="0"/>
          <w:highlight w:val="none"/>
        </w:rPr>
        <w:t>的</w:t>
      </w:r>
      <w:r>
        <w:rPr>
          <w:rFonts w:ascii="Times New Roman" w:hAnsi="Times New Roman" w:eastAsia="宋体" w:cs="Times New Roman"/>
          <w:caps w:val="0"/>
          <w:smallCaps w:val="0"/>
          <w:color w:val="auto"/>
          <w:spacing w:val="0"/>
          <w:highlight w:val="none"/>
        </w:rPr>
        <w:t>量</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本项目通过大气沉降进入土壤，不考虑淋溶的量，Ls=0。</w:t>
      </w:r>
    </w:p>
    <w:p w14:paraId="0428DC88">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Rs的取值</w:t>
      </w:r>
    </w:p>
    <w:p w14:paraId="2BB0015B">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当污染物经径流进入土壤时，需要给出通过径流每年排入土壤</w:t>
      </w:r>
      <w:r>
        <w:rPr>
          <w:rFonts w:hint="eastAsia" w:ascii="Times New Roman" w:hAnsi="Times New Roman" w:eastAsia="宋体" w:cs="Times New Roman"/>
          <w:caps w:val="0"/>
          <w:smallCaps w:val="0"/>
          <w:color w:val="auto"/>
          <w:spacing w:val="0"/>
          <w:highlight w:val="none"/>
        </w:rPr>
        <w:t>的</w:t>
      </w:r>
      <w:r>
        <w:rPr>
          <w:rFonts w:ascii="Times New Roman" w:hAnsi="Times New Roman" w:eastAsia="宋体" w:cs="Times New Roman"/>
          <w:caps w:val="0"/>
          <w:smallCaps w:val="0"/>
          <w:color w:val="auto"/>
          <w:spacing w:val="0"/>
          <w:highlight w:val="none"/>
        </w:rPr>
        <w:t>量</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本项目通过大气沉降进入土壤，不考虑径流的量，Rs=0。</w:t>
      </w:r>
    </w:p>
    <w:p w14:paraId="65E42033">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szCs w:val="24"/>
          <w:highlight w:val="none"/>
        </w:rPr>
        <w:t>ρb</w:t>
      </w:r>
      <w:r>
        <w:rPr>
          <w:rFonts w:ascii="Times New Roman" w:hAnsi="Times New Roman" w:eastAsia="宋体" w:cs="Times New Roman"/>
          <w:caps w:val="0"/>
          <w:smallCaps w:val="0"/>
          <w:color w:val="auto"/>
          <w:spacing w:val="0"/>
          <w:highlight w:val="none"/>
        </w:rPr>
        <w:t>的取值</w:t>
      </w:r>
    </w:p>
    <w:p w14:paraId="3BB20DD3">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土壤容重为1.3×10</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kg/m</w:t>
      </w:r>
      <w:r>
        <w:rPr>
          <w:rFonts w:ascii="Times New Roman" w:hAnsi="Times New Roman" w:eastAsia="宋体" w:cs="Times New Roman"/>
          <w:caps w:val="0"/>
          <w:smallCaps w:val="0"/>
          <w:color w:val="auto"/>
          <w:spacing w:val="0"/>
          <w:highlight w:val="none"/>
          <w:vertAlign w:val="superscript"/>
        </w:rPr>
        <w:t>3</w:t>
      </w:r>
    </w:p>
    <w:p w14:paraId="625A09D5">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A的取值</w:t>
      </w:r>
    </w:p>
    <w:p w14:paraId="61A48705">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预测评价范围，调查范围为项目周边</w:t>
      </w:r>
      <w:r>
        <w:rPr>
          <w:rFonts w:hint="eastAsia" w:ascii="Times New Roman" w:hAnsi="Times New Roman" w:eastAsia="宋体" w:cs="Times New Roman"/>
          <w:caps w:val="0"/>
          <w:smallCaps w:val="0"/>
          <w:color w:val="auto"/>
          <w:spacing w:val="0"/>
          <w:highlight w:val="none"/>
        </w:rPr>
        <w:t>5</w:t>
      </w:r>
      <w:r>
        <w:rPr>
          <w:rFonts w:ascii="Times New Roman" w:hAnsi="Times New Roman" w:eastAsia="宋体" w:cs="Times New Roman"/>
          <w:caps w:val="0"/>
          <w:smallCaps w:val="0"/>
          <w:color w:val="auto"/>
          <w:spacing w:val="0"/>
          <w:highlight w:val="none"/>
        </w:rPr>
        <w:t>00m的圆形区域，约</w:t>
      </w:r>
      <w:r>
        <w:rPr>
          <w:rFonts w:hint="eastAsia" w:ascii="Times New Roman" w:hAnsi="Times New Roman" w:eastAsia="宋体" w:cs="Times New Roman"/>
          <w:caps w:val="0"/>
          <w:smallCaps w:val="0"/>
          <w:color w:val="auto"/>
          <w:spacing w:val="0"/>
          <w:highlight w:val="none"/>
        </w:rPr>
        <w:t>812</w:t>
      </w:r>
      <w:r>
        <w:rPr>
          <w:rFonts w:ascii="Times New Roman" w:hAnsi="Times New Roman" w:eastAsia="宋体" w:cs="Times New Roman"/>
          <w:caps w:val="0"/>
          <w:smallCaps w:val="0"/>
          <w:color w:val="auto"/>
          <w:spacing w:val="0"/>
          <w:highlight w:val="none"/>
        </w:rPr>
        <w:t>000m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w:t>
      </w:r>
    </w:p>
    <w:p w14:paraId="3675918A">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D的取值</w:t>
      </w:r>
    </w:p>
    <w:p w14:paraId="13362875">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表层土壤深度，一般取0.2m;</w:t>
      </w:r>
    </w:p>
    <w:p w14:paraId="1D995661">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n的取值</w:t>
      </w:r>
    </w:p>
    <w:p w14:paraId="0B890455">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持续年份，a，本项目分别预测1年、</w:t>
      </w:r>
      <w:r>
        <w:rPr>
          <w:rFonts w:hint="eastAsia" w:ascii="Times New Roman" w:hAnsi="Times New Roman" w:eastAsia="宋体" w:cs="Times New Roman"/>
          <w:caps w:val="0"/>
          <w:smallCaps w:val="0"/>
          <w:color w:val="auto"/>
          <w:spacing w:val="0"/>
          <w:highlight w:val="none"/>
        </w:rPr>
        <w:t>5年、</w:t>
      </w:r>
      <w:r>
        <w:rPr>
          <w:rFonts w:ascii="Times New Roman" w:hAnsi="Times New Roman" w:eastAsia="宋体" w:cs="Times New Roman"/>
          <w:caps w:val="0"/>
          <w:smallCaps w:val="0"/>
          <w:color w:val="auto"/>
          <w:spacing w:val="0"/>
          <w:highlight w:val="none"/>
        </w:rPr>
        <w:t>10年、</w:t>
      </w:r>
      <w:r>
        <w:rPr>
          <w:rFonts w:hint="eastAsia" w:ascii="Times New Roman" w:hAnsi="Times New Roman" w:eastAsia="宋体" w:cs="Times New Roman"/>
          <w:caps w:val="0"/>
          <w:smallCaps w:val="0"/>
          <w:color w:val="auto"/>
          <w:spacing w:val="0"/>
          <w:highlight w:val="none"/>
        </w:rPr>
        <w:t>15年、2</w:t>
      </w:r>
      <w:r>
        <w:rPr>
          <w:rFonts w:ascii="Times New Roman" w:hAnsi="Times New Roman" w:eastAsia="宋体" w:cs="Times New Roman"/>
          <w:caps w:val="0"/>
          <w:smallCaps w:val="0"/>
          <w:color w:val="auto"/>
          <w:spacing w:val="0"/>
          <w:highlight w:val="none"/>
        </w:rPr>
        <w:t>0年的累积影响。</w:t>
      </w:r>
    </w:p>
    <w:p w14:paraId="389A482C">
      <w:pPr>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（3）</w:t>
      </w:r>
      <w:r>
        <w:rPr>
          <w:rFonts w:ascii="Times New Roman" w:hAnsi="Times New Roman" w:eastAsia="宋体" w:cs="Times New Roman"/>
          <w:caps w:val="0"/>
          <w:smallCaps w:val="0"/>
          <w:color w:val="auto"/>
          <w:spacing w:val="0"/>
          <w:highlight w:val="none"/>
        </w:rPr>
        <w:t>预测结果</w:t>
      </w:r>
    </w:p>
    <w:p w14:paraId="294E84E2">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土壤评价预测结果见表5</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2-</w:t>
      </w:r>
      <w:r>
        <w:rPr>
          <w:rFonts w:hint="eastAsia" w:ascii="Times New Roman" w:hAnsi="Times New Roman" w:eastAsia="宋体" w:cs="Times New Roman"/>
          <w:caps w:val="0"/>
          <w:smallCaps w:val="0"/>
          <w:color w:val="auto"/>
          <w:spacing w:val="0"/>
          <w:highlight w:val="none"/>
        </w:rPr>
        <w:t>1</w:t>
      </w:r>
      <w:r>
        <w:rPr>
          <w:rFonts w:hint="eastAsia" w:ascii="Times New Roman" w:hAnsi="Times New Roman" w:eastAsia="宋体" w:cs="Times New Roman"/>
          <w:caps w:val="0"/>
          <w:smallCaps w:val="0"/>
          <w:color w:val="auto"/>
          <w:spacing w:val="0"/>
          <w:highlight w:val="none"/>
          <w:lang w:val="en-US" w:eastAsia="zh-CN"/>
        </w:rPr>
        <w:t>6</w:t>
      </w:r>
      <w:r>
        <w:rPr>
          <w:rFonts w:ascii="Times New Roman" w:hAnsi="Times New Roman" w:eastAsia="宋体" w:cs="Times New Roman"/>
          <w:caps w:val="0"/>
          <w:smallCaps w:val="0"/>
          <w:color w:val="auto"/>
          <w:spacing w:val="0"/>
          <w:highlight w:val="none"/>
        </w:rPr>
        <w:t>及表5</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2-</w:t>
      </w:r>
      <w:r>
        <w:rPr>
          <w:rFonts w:hint="eastAsia" w:ascii="Times New Roman" w:hAnsi="Times New Roman" w:eastAsia="宋体" w:cs="Times New Roman"/>
          <w:caps w:val="0"/>
          <w:smallCaps w:val="0"/>
          <w:color w:val="auto"/>
          <w:spacing w:val="0"/>
          <w:highlight w:val="none"/>
          <w:lang w:val="en-US" w:eastAsia="zh-CN"/>
        </w:rPr>
        <w:t>17</w:t>
      </w:r>
      <w:r>
        <w:rPr>
          <w:rFonts w:ascii="Times New Roman" w:hAnsi="Times New Roman" w:eastAsia="宋体" w:cs="Times New Roman"/>
          <w:caps w:val="0"/>
          <w:smallCaps w:val="0"/>
          <w:color w:val="auto"/>
          <w:spacing w:val="0"/>
          <w:highlight w:val="none"/>
        </w:rPr>
        <w:t>。</w:t>
      </w:r>
    </w:p>
    <w:p w14:paraId="53E5BA52">
      <w:pPr>
        <w:pStyle w:val="235"/>
        <w:numPr>
          <w:ilvl w:val="0"/>
          <w:numId w:val="0"/>
        </w:numPr>
        <w:rPr>
          <w:rFonts w:ascii="Times New Roman" w:hAnsi="Times New Roman" w:eastAsiaTheme="minorEastAsia"/>
          <w:caps w:val="0"/>
          <w:smallCaps w:val="0"/>
          <w:color w:val="auto"/>
          <w:spacing w:val="0"/>
          <w:highlight w:val="none"/>
        </w:rPr>
      </w:pPr>
      <w:r>
        <w:rPr>
          <w:rFonts w:ascii="Times New Roman" w:hAnsi="Times New Roman" w:eastAsiaTheme="minorEastAsia"/>
          <w:caps w:val="0"/>
          <w:smallCaps w:val="0"/>
          <w:color w:val="auto"/>
          <w:spacing w:val="0"/>
          <w:highlight w:val="none"/>
        </w:rPr>
        <w:t>表5.2-1</w:t>
      </w:r>
      <w:r>
        <w:rPr>
          <w:rFonts w:hint="eastAsia" w:ascii="Times New Roman" w:hAnsi="Times New Roman" w:eastAsiaTheme="minorEastAsia"/>
          <w:caps w:val="0"/>
          <w:smallCaps w:val="0"/>
          <w:color w:val="auto"/>
          <w:spacing w:val="0"/>
          <w:highlight w:val="none"/>
          <w:lang w:val="en-US" w:eastAsia="zh-CN"/>
        </w:rPr>
        <w:t>6</w:t>
      </w:r>
      <w:r>
        <w:rPr>
          <w:rFonts w:ascii="Times New Roman" w:hAnsi="Times New Roman" w:eastAsiaTheme="minorEastAsia"/>
          <w:caps w:val="0"/>
          <w:smallCaps w:val="0"/>
          <w:color w:val="auto"/>
          <w:spacing w:val="0"/>
          <w:highlight w:val="none"/>
        </w:rPr>
        <w:t>一年内污染物二甲苯土壤累积增量计算表</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992"/>
        <w:gridCol w:w="932"/>
        <w:gridCol w:w="934"/>
        <w:gridCol w:w="1136"/>
        <w:gridCol w:w="1078"/>
        <w:gridCol w:w="968"/>
        <w:gridCol w:w="915"/>
        <w:gridCol w:w="1400"/>
      </w:tblGrid>
      <w:tr w14:paraId="449BA3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1" w:type="dxa"/>
            <w:tcBorders>
              <w:tl2br w:val="nil"/>
              <w:tr2bl w:val="nil"/>
            </w:tcBorders>
            <w:vAlign w:val="center"/>
          </w:tcPr>
          <w:p w14:paraId="321CC476">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项目</w:t>
            </w:r>
          </w:p>
        </w:tc>
        <w:tc>
          <w:tcPr>
            <w:tcW w:w="1031" w:type="dxa"/>
            <w:tcBorders>
              <w:tl2br w:val="nil"/>
              <w:tr2bl w:val="nil"/>
            </w:tcBorders>
            <w:vAlign w:val="center"/>
          </w:tcPr>
          <w:p w14:paraId="09B60ED6">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Is</w:t>
            </w:r>
          </w:p>
        </w:tc>
        <w:tc>
          <w:tcPr>
            <w:tcW w:w="1032" w:type="dxa"/>
            <w:tcBorders>
              <w:tl2br w:val="nil"/>
              <w:tr2bl w:val="nil"/>
            </w:tcBorders>
            <w:vAlign w:val="center"/>
          </w:tcPr>
          <w:p w14:paraId="6F90F7DC">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Ls</w:t>
            </w:r>
          </w:p>
        </w:tc>
        <w:tc>
          <w:tcPr>
            <w:tcW w:w="1032" w:type="dxa"/>
            <w:tcBorders>
              <w:tl2br w:val="nil"/>
              <w:tr2bl w:val="nil"/>
            </w:tcBorders>
            <w:vAlign w:val="center"/>
          </w:tcPr>
          <w:p w14:paraId="2397AC52">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Rs</w:t>
            </w:r>
          </w:p>
        </w:tc>
        <w:tc>
          <w:tcPr>
            <w:tcW w:w="1032" w:type="dxa"/>
            <w:tcBorders>
              <w:tl2br w:val="nil"/>
              <w:tr2bl w:val="nil"/>
            </w:tcBorders>
            <w:shd w:val="clear" w:color="auto" w:fill="auto"/>
            <w:vAlign w:val="center"/>
          </w:tcPr>
          <w:p w14:paraId="22A0626A">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ρb</w:t>
            </w:r>
          </w:p>
        </w:tc>
        <w:tc>
          <w:tcPr>
            <w:tcW w:w="1032" w:type="dxa"/>
            <w:tcBorders>
              <w:tl2br w:val="nil"/>
              <w:tr2bl w:val="nil"/>
            </w:tcBorders>
            <w:vAlign w:val="center"/>
          </w:tcPr>
          <w:p w14:paraId="5B8EAA39">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A</w:t>
            </w:r>
          </w:p>
        </w:tc>
        <w:tc>
          <w:tcPr>
            <w:tcW w:w="1032" w:type="dxa"/>
            <w:tcBorders>
              <w:tl2br w:val="nil"/>
              <w:tr2bl w:val="nil"/>
            </w:tcBorders>
            <w:vAlign w:val="center"/>
          </w:tcPr>
          <w:p w14:paraId="50A9AAA5">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D</w:t>
            </w:r>
          </w:p>
        </w:tc>
        <w:tc>
          <w:tcPr>
            <w:tcW w:w="1032" w:type="dxa"/>
            <w:tcBorders>
              <w:tl2br w:val="nil"/>
              <w:tr2bl w:val="nil"/>
            </w:tcBorders>
            <w:vAlign w:val="center"/>
          </w:tcPr>
          <w:p w14:paraId="4DDD7E52">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n</w:t>
            </w:r>
          </w:p>
        </w:tc>
        <w:tc>
          <w:tcPr>
            <w:tcW w:w="1032" w:type="dxa"/>
            <w:tcBorders>
              <w:tl2br w:val="nil"/>
              <w:tr2bl w:val="nil"/>
            </w:tcBorders>
            <w:vAlign w:val="center"/>
          </w:tcPr>
          <w:p w14:paraId="4DFBD86A">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ΔS</w:t>
            </w:r>
          </w:p>
        </w:tc>
      </w:tr>
      <w:tr w14:paraId="123768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1" w:type="dxa"/>
            <w:tcBorders>
              <w:tl2br w:val="nil"/>
              <w:tr2bl w:val="nil"/>
            </w:tcBorders>
            <w:vAlign w:val="center"/>
          </w:tcPr>
          <w:p w14:paraId="275BCEBA">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hint="eastAsia" w:ascii="Times New Roman" w:hAnsi="Times New Roman" w:eastAsia="宋体"/>
                <w:b w:val="0"/>
                <w:bCs/>
                <w:caps w:val="0"/>
                <w:smallCaps w:val="0"/>
                <w:color w:val="auto"/>
                <w:spacing w:val="0"/>
                <w:sz w:val="21"/>
                <w:szCs w:val="21"/>
                <w:highlight w:val="none"/>
              </w:rPr>
              <w:t>镉</w:t>
            </w:r>
          </w:p>
        </w:tc>
        <w:tc>
          <w:tcPr>
            <w:tcW w:w="1031" w:type="dxa"/>
            <w:tcBorders>
              <w:tl2br w:val="nil"/>
              <w:tr2bl w:val="nil"/>
            </w:tcBorders>
            <w:vAlign w:val="center"/>
          </w:tcPr>
          <w:p w14:paraId="12947EF2">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hint="eastAsia" w:ascii="Times New Roman" w:hAnsi="Times New Roman" w:eastAsia="宋体"/>
                <w:b w:val="0"/>
                <w:bCs/>
                <w:caps w:val="0"/>
                <w:smallCaps w:val="0"/>
                <w:color w:val="auto"/>
                <w:spacing w:val="0"/>
                <w:sz w:val="21"/>
                <w:szCs w:val="21"/>
                <w:highlight w:val="none"/>
                <w:lang w:val="en-US" w:eastAsia="zh-CN"/>
              </w:rPr>
              <w:t>22.08</w:t>
            </w:r>
            <w:r>
              <w:rPr>
                <w:rFonts w:hint="eastAsia" w:ascii="Times New Roman" w:hAnsi="Times New Roman" w:eastAsia="宋体"/>
                <w:b w:val="0"/>
                <w:bCs/>
                <w:caps w:val="0"/>
                <w:smallCaps w:val="0"/>
                <w:color w:val="auto"/>
                <w:spacing w:val="0"/>
                <w:sz w:val="21"/>
                <w:szCs w:val="21"/>
                <w:highlight w:val="none"/>
              </w:rPr>
              <w:t>g</w:t>
            </w:r>
          </w:p>
        </w:tc>
        <w:tc>
          <w:tcPr>
            <w:tcW w:w="1032" w:type="dxa"/>
            <w:tcBorders>
              <w:tl2br w:val="nil"/>
              <w:tr2bl w:val="nil"/>
            </w:tcBorders>
            <w:vAlign w:val="center"/>
          </w:tcPr>
          <w:p w14:paraId="5FB21417">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hint="eastAsia" w:ascii="Times New Roman" w:hAnsi="Times New Roman" w:eastAsia="宋体"/>
                <w:b w:val="0"/>
                <w:bCs/>
                <w:caps w:val="0"/>
                <w:smallCaps w:val="0"/>
                <w:color w:val="auto"/>
                <w:spacing w:val="0"/>
                <w:sz w:val="21"/>
                <w:szCs w:val="21"/>
                <w:highlight w:val="none"/>
              </w:rPr>
              <w:t>0</w:t>
            </w:r>
          </w:p>
        </w:tc>
        <w:tc>
          <w:tcPr>
            <w:tcW w:w="1032" w:type="dxa"/>
            <w:tcBorders>
              <w:tl2br w:val="nil"/>
              <w:tr2bl w:val="nil"/>
            </w:tcBorders>
            <w:vAlign w:val="center"/>
          </w:tcPr>
          <w:p w14:paraId="7D515F55">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hint="eastAsia" w:ascii="Times New Roman" w:hAnsi="Times New Roman" w:eastAsia="宋体"/>
                <w:b w:val="0"/>
                <w:bCs/>
                <w:caps w:val="0"/>
                <w:smallCaps w:val="0"/>
                <w:color w:val="auto"/>
                <w:spacing w:val="0"/>
                <w:sz w:val="21"/>
                <w:szCs w:val="21"/>
                <w:highlight w:val="none"/>
              </w:rPr>
              <w:t>0</w:t>
            </w:r>
          </w:p>
        </w:tc>
        <w:tc>
          <w:tcPr>
            <w:tcW w:w="1032" w:type="dxa"/>
            <w:tcBorders>
              <w:tl2br w:val="nil"/>
              <w:tr2bl w:val="nil"/>
            </w:tcBorders>
            <w:vAlign w:val="center"/>
          </w:tcPr>
          <w:p w14:paraId="7E9A7D61">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1300kg/m</w:t>
            </w:r>
            <w:r>
              <w:rPr>
                <w:rFonts w:ascii="Times New Roman" w:hAnsi="Times New Roman" w:eastAsia="宋体"/>
                <w:b w:val="0"/>
                <w:bCs/>
                <w:caps w:val="0"/>
                <w:smallCaps w:val="0"/>
                <w:color w:val="auto"/>
                <w:spacing w:val="0"/>
                <w:sz w:val="21"/>
                <w:szCs w:val="21"/>
                <w:highlight w:val="none"/>
                <w:vertAlign w:val="superscript"/>
              </w:rPr>
              <w:t>3</w:t>
            </w:r>
          </w:p>
        </w:tc>
        <w:tc>
          <w:tcPr>
            <w:tcW w:w="1032" w:type="dxa"/>
            <w:tcBorders>
              <w:tl2br w:val="nil"/>
              <w:tr2bl w:val="nil"/>
            </w:tcBorders>
            <w:vAlign w:val="center"/>
          </w:tcPr>
          <w:p w14:paraId="56EBFE05">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812000</w:t>
            </w:r>
            <w:r>
              <w:rPr>
                <w:rFonts w:hint="eastAsia" w:ascii="Times New Roman" w:hAnsi="Times New Roman" w:eastAsia="宋体"/>
                <w:b w:val="0"/>
                <w:bCs/>
                <w:caps w:val="0"/>
                <w:smallCaps w:val="0"/>
                <w:color w:val="auto"/>
                <w:spacing w:val="0"/>
                <w:sz w:val="21"/>
                <w:szCs w:val="21"/>
                <w:highlight w:val="none"/>
              </w:rPr>
              <w:t>m</w:t>
            </w:r>
            <w:r>
              <w:rPr>
                <w:rFonts w:hint="eastAsia" w:ascii="Times New Roman" w:hAnsi="Times New Roman" w:eastAsia="宋体"/>
                <w:b w:val="0"/>
                <w:bCs/>
                <w:caps w:val="0"/>
                <w:smallCaps w:val="0"/>
                <w:color w:val="auto"/>
                <w:spacing w:val="0"/>
                <w:sz w:val="21"/>
                <w:szCs w:val="21"/>
                <w:highlight w:val="none"/>
                <w:vertAlign w:val="superscript"/>
              </w:rPr>
              <w:t>2</w:t>
            </w:r>
          </w:p>
        </w:tc>
        <w:tc>
          <w:tcPr>
            <w:tcW w:w="1032" w:type="dxa"/>
            <w:tcBorders>
              <w:tl2br w:val="nil"/>
              <w:tr2bl w:val="nil"/>
            </w:tcBorders>
            <w:vAlign w:val="center"/>
          </w:tcPr>
          <w:p w14:paraId="67F6AC99">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0.2</w:t>
            </w:r>
            <w:r>
              <w:rPr>
                <w:rFonts w:hint="eastAsia" w:ascii="Times New Roman" w:hAnsi="Times New Roman" w:eastAsia="宋体"/>
                <w:b w:val="0"/>
                <w:bCs/>
                <w:caps w:val="0"/>
                <w:smallCaps w:val="0"/>
                <w:color w:val="auto"/>
                <w:spacing w:val="0"/>
                <w:sz w:val="21"/>
                <w:szCs w:val="21"/>
                <w:highlight w:val="none"/>
              </w:rPr>
              <w:t>m</w:t>
            </w:r>
          </w:p>
        </w:tc>
        <w:tc>
          <w:tcPr>
            <w:tcW w:w="1032" w:type="dxa"/>
            <w:tcBorders>
              <w:tl2br w:val="nil"/>
              <w:tr2bl w:val="nil"/>
            </w:tcBorders>
            <w:vAlign w:val="center"/>
          </w:tcPr>
          <w:p w14:paraId="5494D846">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1</w:t>
            </w:r>
          </w:p>
        </w:tc>
        <w:tc>
          <w:tcPr>
            <w:tcW w:w="1032" w:type="dxa"/>
            <w:tcBorders>
              <w:tl2br w:val="nil"/>
              <w:tr2bl w:val="nil"/>
            </w:tcBorders>
            <w:vAlign w:val="center"/>
          </w:tcPr>
          <w:p w14:paraId="38867AC7">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hint="eastAsia" w:ascii="Times New Roman" w:hAnsi="Times New Roman" w:eastAsia="宋体"/>
                <w:b w:val="0"/>
                <w:bCs/>
                <w:caps w:val="0"/>
                <w:smallCaps w:val="0"/>
                <w:color w:val="auto"/>
                <w:spacing w:val="0"/>
                <w:sz w:val="21"/>
                <w:szCs w:val="21"/>
                <w:highlight w:val="none"/>
                <w:lang w:val="en-US" w:eastAsia="zh-CN"/>
              </w:rPr>
              <w:t>1.05</w:t>
            </w:r>
            <w:r>
              <w:rPr>
                <w:rFonts w:ascii="Times New Roman" w:hAnsi="Times New Roman" w:eastAsia="宋体"/>
                <w:b w:val="0"/>
                <w:bCs/>
                <w:caps w:val="0"/>
                <w:smallCaps w:val="0"/>
                <w:color w:val="auto"/>
                <w:spacing w:val="0"/>
                <w:sz w:val="21"/>
                <w:szCs w:val="21"/>
                <w:highlight w:val="none"/>
              </w:rPr>
              <w:t>×10</w:t>
            </w:r>
            <w:r>
              <w:rPr>
                <w:rFonts w:ascii="Times New Roman" w:hAnsi="Times New Roman" w:eastAsia="宋体"/>
                <w:b w:val="0"/>
                <w:bCs/>
                <w:caps w:val="0"/>
                <w:smallCaps w:val="0"/>
                <w:color w:val="auto"/>
                <w:spacing w:val="0"/>
                <w:sz w:val="21"/>
                <w:szCs w:val="21"/>
                <w:highlight w:val="none"/>
                <w:vertAlign w:val="superscript"/>
              </w:rPr>
              <w:t>-</w:t>
            </w:r>
            <w:r>
              <w:rPr>
                <w:rFonts w:hint="eastAsia" w:ascii="Times New Roman" w:hAnsi="Times New Roman" w:eastAsia="宋体"/>
                <w:b w:val="0"/>
                <w:bCs/>
                <w:caps w:val="0"/>
                <w:smallCaps w:val="0"/>
                <w:color w:val="auto"/>
                <w:spacing w:val="0"/>
                <w:sz w:val="21"/>
                <w:szCs w:val="21"/>
                <w:highlight w:val="none"/>
                <w:vertAlign w:val="superscript"/>
                <w:lang w:val="en-US" w:eastAsia="zh-CN"/>
              </w:rPr>
              <w:t>7</w:t>
            </w:r>
            <w:r>
              <w:rPr>
                <w:rFonts w:hint="eastAsia" w:ascii="Times New Roman" w:hAnsi="Times New Roman" w:eastAsia="宋体"/>
                <w:b w:val="0"/>
                <w:bCs/>
                <w:caps w:val="0"/>
                <w:smallCaps w:val="0"/>
                <w:color w:val="auto"/>
                <w:spacing w:val="0"/>
                <w:sz w:val="21"/>
                <w:szCs w:val="21"/>
                <w:highlight w:val="none"/>
              </w:rPr>
              <w:t>g/kg</w:t>
            </w:r>
          </w:p>
        </w:tc>
      </w:tr>
      <w:tr w14:paraId="6833A7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1" w:type="dxa"/>
            <w:tcBorders>
              <w:tl2br w:val="nil"/>
              <w:tr2bl w:val="nil"/>
            </w:tcBorders>
            <w:vAlign w:val="center"/>
          </w:tcPr>
          <w:p w14:paraId="32E928F2">
            <w:pPr>
              <w:pStyle w:val="235"/>
              <w:widowControl w:val="0"/>
              <w:numPr>
                <w:ilvl w:val="0"/>
                <w:numId w:val="0"/>
              </w:numPr>
              <w:spacing w:line="360" w:lineRule="auto"/>
              <w:rPr>
                <w:rFonts w:hint="eastAsia" w:ascii="Times New Roman" w:hAnsi="Times New Roman" w:eastAsia="宋体"/>
                <w:b w:val="0"/>
                <w:bCs/>
                <w:caps w:val="0"/>
                <w:smallCaps w:val="0"/>
                <w:color w:val="auto"/>
                <w:spacing w:val="0"/>
                <w:sz w:val="21"/>
                <w:szCs w:val="21"/>
                <w:highlight w:val="none"/>
                <w:lang w:val="en-US" w:eastAsia="zh-CN"/>
              </w:rPr>
            </w:pPr>
            <w:r>
              <w:rPr>
                <w:rFonts w:hint="eastAsia" w:ascii="Times New Roman" w:hAnsi="Times New Roman" w:eastAsia="宋体"/>
                <w:b w:val="0"/>
                <w:bCs/>
                <w:caps w:val="0"/>
                <w:smallCaps w:val="0"/>
                <w:color w:val="auto"/>
                <w:spacing w:val="0"/>
                <w:sz w:val="21"/>
                <w:szCs w:val="21"/>
                <w:highlight w:val="none"/>
                <w:lang w:val="en-US" w:eastAsia="zh-CN"/>
              </w:rPr>
              <w:t>二甲苯</w:t>
            </w:r>
          </w:p>
        </w:tc>
        <w:tc>
          <w:tcPr>
            <w:tcW w:w="1031" w:type="dxa"/>
            <w:tcBorders>
              <w:tl2br w:val="nil"/>
              <w:tr2bl w:val="nil"/>
            </w:tcBorders>
            <w:vAlign w:val="center"/>
          </w:tcPr>
          <w:p w14:paraId="64BCE737">
            <w:pPr>
              <w:pStyle w:val="235"/>
              <w:widowControl w:val="0"/>
              <w:numPr>
                <w:ilvl w:val="0"/>
                <w:numId w:val="0"/>
              </w:numPr>
              <w:spacing w:line="360" w:lineRule="auto"/>
              <w:rPr>
                <w:rFonts w:hint="default" w:ascii="Times New Roman" w:hAnsi="Times New Roman" w:eastAsia="宋体"/>
                <w:b w:val="0"/>
                <w:bCs/>
                <w:caps w:val="0"/>
                <w:smallCaps w:val="0"/>
                <w:color w:val="auto"/>
                <w:spacing w:val="0"/>
                <w:sz w:val="21"/>
                <w:szCs w:val="21"/>
                <w:highlight w:val="none"/>
                <w:lang w:val="en-US" w:eastAsia="zh-CN"/>
              </w:rPr>
            </w:pPr>
            <w:r>
              <w:rPr>
                <w:rFonts w:hint="eastAsia" w:ascii="Times New Roman" w:hAnsi="Times New Roman" w:eastAsia="宋体"/>
                <w:b w:val="0"/>
                <w:bCs/>
                <w:caps w:val="0"/>
                <w:smallCaps w:val="0"/>
                <w:color w:val="auto"/>
                <w:spacing w:val="0"/>
                <w:sz w:val="21"/>
                <w:szCs w:val="21"/>
                <w:highlight w:val="none"/>
                <w:lang w:val="en-US" w:eastAsia="zh-CN"/>
              </w:rPr>
              <w:t>13.46g</w:t>
            </w:r>
          </w:p>
        </w:tc>
        <w:tc>
          <w:tcPr>
            <w:tcW w:w="1032" w:type="dxa"/>
            <w:tcBorders>
              <w:tl2br w:val="nil"/>
              <w:tr2bl w:val="nil"/>
            </w:tcBorders>
            <w:vAlign w:val="center"/>
          </w:tcPr>
          <w:p w14:paraId="3A3D8BC7">
            <w:pPr>
              <w:pStyle w:val="235"/>
              <w:widowControl w:val="0"/>
              <w:numPr>
                <w:ilvl w:val="0"/>
                <w:numId w:val="0"/>
              </w:numPr>
              <w:spacing w:line="360" w:lineRule="auto"/>
              <w:rPr>
                <w:rFonts w:hint="eastAsia" w:ascii="Times New Roman" w:hAnsi="Times New Roman" w:eastAsia="宋体"/>
                <w:b w:val="0"/>
                <w:bCs/>
                <w:caps w:val="0"/>
                <w:smallCaps w:val="0"/>
                <w:color w:val="auto"/>
                <w:spacing w:val="0"/>
                <w:sz w:val="21"/>
                <w:szCs w:val="21"/>
                <w:highlight w:val="none"/>
                <w:lang w:val="en-US" w:eastAsia="zh-CN"/>
              </w:rPr>
            </w:pPr>
            <w:r>
              <w:rPr>
                <w:rFonts w:hint="eastAsia" w:ascii="Times New Roman" w:hAnsi="Times New Roman" w:eastAsia="宋体"/>
                <w:b w:val="0"/>
                <w:bCs/>
                <w:caps w:val="0"/>
                <w:smallCaps w:val="0"/>
                <w:color w:val="auto"/>
                <w:spacing w:val="0"/>
                <w:sz w:val="21"/>
                <w:szCs w:val="21"/>
                <w:highlight w:val="none"/>
                <w:lang w:val="en-US" w:eastAsia="zh-CN"/>
              </w:rPr>
              <w:t>0</w:t>
            </w:r>
          </w:p>
        </w:tc>
        <w:tc>
          <w:tcPr>
            <w:tcW w:w="1032" w:type="dxa"/>
            <w:tcBorders>
              <w:tl2br w:val="nil"/>
              <w:tr2bl w:val="nil"/>
            </w:tcBorders>
            <w:vAlign w:val="center"/>
          </w:tcPr>
          <w:p w14:paraId="3F5D1716">
            <w:pPr>
              <w:pStyle w:val="235"/>
              <w:widowControl w:val="0"/>
              <w:numPr>
                <w:ilvl w:val="0"/>
                <w:numId w:val="0"/>
              </w:numPr>
              <w:spacing w:line="360" w:lineRule="auto"/>
              <w:rPr>
                <w:rFonts w:hint="eastAsia" w:ascii="Times New Roman" w:hAnsi="Times New Roman" w:eastAsia="宋体"/>
                <w:b w:val="0"/>
                <w:bCs/>
                <w:caps w:val="0"/>
                <w:smallCaps w:val="0"/>
                <w:color w:val="auto"/>
                <w:spacing w:val="0"/>
                <w:sz w:val="21"/>
                <w:szCs w:val="21"/>
                <w:highlight w:val="none"/>
                <w:lang w:val="en-US" w:eastAsia="zh-CN"/>
              </w:rPr>
            </w:pPr>
            <w:r>
              <w:rPr>
                <w:rFonts w:hint="eastAsia" w:ascii="Times New Roman" w:hAnsi="Times New Roman" w:eastAsia="宋体"/>
                <w:b w:val="0"/>
                <w:bCs/>
                <w:caps w:val="0"/>
                <w:smallCaps w:val="0"/>
                <w:color w:val="auto"/>
                <w:spacing w:val="0"/>
                <w:sz w:val="21"/>
                <w:szCs w:val="21"/>
                <w:highlight w:val="none"/>
                <w:lang w:val="en-US" w:eastAsia="zh-CN"/>
              </w:rPr>
              <w:t>0</w:t>
            </w:r>
          </w:p>
        </w:tc>
        <w:tc>
          <w:tcPr>
            <w:tcW w:w="1032" w:type="dxa"/>
            <w:tcBorders>
              <w:tl2br w:val="nil"/>
              <w:tr2bl w:val="nil"/>
            </w:tcBorders>
            <w:vAlign w:val="center"/>
          </w:tcPr>
          <w:p w14:paraId="348C250B">
            <w:pPr>
              <w:pStyle w:val="235"/>
              <w:widowControl w:val="0"/>
              <w:numPr>
                <w:ilvl w:val="0"/>
                <w:numId w:val="0"/>
              </w:numPr>
              <w:spacing w:line="360" w:lineRule="auto"/>
              <w:ind w:left="0" w:leftChars="0" w:firstLine="0" w:firstLineChars="0"/>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1300kg/m</w:t>
            </w:r>
            <w:r>
              <w:rPr>
                <w:rFonts w:ascii="Times New Roman" w:hAnsi="Times New Roman" w:eastAsia="宋体"/>
                <w:b w:val="0"/>
                <w:bCs/>
                <w:caps w:val="0"/>
                <w:smallCaps w:val="0"/>
                <w:color w:val="auto"/>
                <w:spacing w:val="0"/>
                <w:sz w:val="21"/>
                <w:szCs w:val="21"/>
                <w:highlight w:val="none"/>
                <w:vertAlign w:val="superscript"/>
              </w:rPr>
              <w:t>3</w:t>
            </w:r>
          </w:p>
        </w:tc>
        <w:tc>
          <w:tcPr>
            <w:tcW w:w="1032" w:type="dxa"/>
            <w:tcBorders>
              <w:tl2br w:val="nil"/>
              <w:tr2bl w:val="nil"/>
            </w:tcBorders>
            <w:vAlign w:val="center"/>
          </w:tcPr>
          <w:p w14:paraId="56D35656">
            <w:pPr>
              <w:pStyle w:val="235"/>
              <w:widowControl w:val="0"/>
              <w:numPr>
                <w:ilvl w:val="0"/>
                <w:numId w:val="0"/>
              </w:numPr>
              <w:spacing w:line="360" w:lineRule="auto"/>
              <w:ind w:left="0" w:leftChars="0" w:firstLine="0" w:firstLineChars="0"/>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812000</w:t>
            </w:r>
            <w:r>
              <w:rPr>
                <w:rFonts w:hint="eastAsia" w:ascii="Times New Roman" w:hAnsi="Times New Roman" w:eastAsia="宋体"/>
                <w:b w:val="0"/>
                <w:bCs/>
                <w:caps w:val="0"/>
                <w:smallCaps w:val="0"/>
                <w:color w:val="auto"/>
                <w:spacing w:val="0"/>
                <w:sz w:val="21"/>
                <w:szCs w:val="21"/>
                <w:highlight w:val="none"/>
              </w:rPr>
              <w:t>m</w:t>
            </w:r>
            <w:r>
              <w:rPr>
                <w:rFonts w:hint="eastAsia" w:ascii="Times New Roman" w:hAnsi="Times New Roman" w:eastAsia="宋体"/>
                <w:b w:val="0"/>
                <w:bCs/>
                <w:caps w:val="0"/>
                <w:smallCaps w:val="0"/>
                <w:color w:val="auto"/>
                <w:spacing w:val="0"/>
                <w:sz w:val="21"/>
                <w:szCs w:val="21"/>
                <w:highlight w:val="none"/>
                <w:vertAlign w:val="superscript"/>
              </w:rPr>
              <w:t>2</w:t>
            </w:r>
          </w:p>
        </w:tc>
        <w:tc>
          <w:tcPr>
            <w:tcW w:w="1032" w:type="dxa"/>
            <w:tcBorders>
              <w:tl2br w:val="nil"/>
              <w:tr2bl w:val="nil"/>
            </w:tcBorders>
            <w:vAlign w:val="center"/>
          </w:tcPr>
          <w:p w14:paraId="2E9C5A41">
            <w:pPr>
              <w:pStyle w:val="235"/>
              <w:widowControl w:val="0"/>
              <w:numPr>
                <w:ilvl w:val="0"/>
                <w:numId w:val="0"/>
              </w:numPr>
              <w:spacing w:line="360" w:lineRule="auto"/>
              <w:ind w:left="0" w:leftChars="0" w:firstLine="0" w:firstLineChars="0"/>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0.2</w:t>
            </w:r>
            <w:r>
              <w:rPr>
                <w:rFonts w:hint="eastAsia" w:ascii="Times New Roman" w:hAnsi="Times New Roman" w:eastAsia="宋体"/>
                <w:b w:val="0"/>
                <w:bCs/>
                <w:caps w:val="0"/>
                <w:smallCaps w:val="0"/>
                <w:color w:val="auto"/>
                <w:spacing w:val="0"/>
                <w:sz w:val="21"/>
                <w:szCs w:val="21"/>
                <w:highlight w:val="none"/>
              </w:rPr>
              <w:t>m</w:t>
            </w:r>
          </w:p>
        </w:tc>
        <w:tc>
          <w:tcPr>
            <w:tcW w:w="1032" w:type="dxa"/>
            <w:tcBorders>
              <w:tl2br w:val="nil"/>
              <w:tr2bl w:val="nil"/>
            </w:tcBorders>
            <w:vAlign w:val="center"/>
          </w:tcPr>
          <w:p w14:paraId="2C755664">
            <w:pPr>
              <w:pStyle w:val="235"/>
              <w:widowControl w:val="0"/>
              <w:numPr>
                <w:ilvl w:val="0"/>
                <w:numId w:val="0"/>
              </w:numPr>
              <w:spacing w:line="360" w:lineRule="auto"/>
              <w:ind w:left="0" w:leftChars="0" w:firstLine="0" w:firstLineChars="0"/>
              <w:rPr>
                <w:rFonts w:ascii="Times New Roman" w:hAnsi="Times New Roman" w:eastAsia="宋体"/>
                <w:b w:val="0"/>
                <w:bCs/>
                <w:caps w:val="0"/>
                <w:smallCaps w:val="0"/>
                <w:color w:val="auto"/>
                <w:spacing w:val="0"/>
                <w:sz w:val="21"/>
                <w:szCs w:val="21"/>
                <w:highlight w:val="none"/>
              </w:rPr>
            </w:pPr>
            <w:r>
              <w:rPr>
                <w:rFonts w:ascii="Times New Roman" w:hAnsi="Times New Roman" w:eastAsia="宋体"/>
                <w:b w:val="0"/>
                <w:bCs/>
                <w:caps w:val="0"/>
                <w:smallCaps w:val="0"/>
                <w:color w:val="auto"/>
                <w:spacing w:val="0"/>
                <w:sz w:val="21"/>
                <w:szCs w:val="21"/>
                <w:highlight w:val="none"/>
              </w:rPr>
              <w:t>1</w:t>
            </w:r>
          </w:p>
        </w:tc>
        <w:tc>
          <w:tcPr>
            <w:tcW w:w="1032" w:type="dxa"/>
            <w:tcBorders>
              <w:tl2br w:val="nil"/>
              <w:tr2bl w:val="nil"/>
            </w:tcBorders>
            <w:vAlign w:val="center"/>
          </w:tcPr>
          <w:p w14:paraId="6F8BEDC2">
            <w:pPr>
              <w:pStyle w:val="235"/>
              <w:widowControl w:val="0"/>
              <w:numPr>
                <w:ilvl w:val="0"/>
                <w:numId w:val="0"/>
              </w:numPr>
              <w:spacing w:line="360" w:lineRule="auto"/>
              <w:rPr>
                <w:rFonts w:ascii="Times New Roman" w:hAnsi="Times New Roman" w:eastAsia="宋体"/>
                <w:b w:val="0"/>
                <w:bCs/>
                <w:caps w:val="0"/>
                <w:smallCaps w:val="0"/>
                <w:color w:val="auto"/>
                <w:spacing w:val="0"/>
                <w:sz w:val="21"/>
                <w:szCs w:val="21"/>
                <w:highlight w:val="none"/>
              </w:rPr>
            </w:pPr>
            <w:r>
              <w:rPr>
                <w:rFonts w:hint="eastAsia" w:ascii="Times New Roman" w:hAnsi="Times New Roman" w:eastAsia="宋体"/>
                <w:b w:val="0"/>
                <w:bCs/>
                <w:caps w:val="0"/>
                <w:smallCaps w:val="0"/>
                <w:color w:val="auto"/>
                <w:spacing w:val="0"/>
                <w:sz w:val="21"/>
                <w:szCs w:val="21"/>
                <w:highlight w:val="none"/>
                <w:lang w:val="en-US" w:eastAsia="zh-CN"/>
              </w:rPr>
              <w:t>6.38</w:t>
            </w:r>
            <w:r>
              <w:rPr>
                <w:rFonts w:ascii="Times New Roman" w:hAnsi="Times New Roman" w:eastAsia="宋体"/>
                <w:b w:val="0"/>
                <w:bCs/>
                <w:caps w:val="0"/>
                <w:smallCaps w:val="0"/>
                <w:color w:val="auto"/>
                <w:spacing w:val="0"/>
                <w:sz w:val="21"/>
                <w:szCs w:val="21"/>
                <w:highlight w:val="none"/>
              </w:rPr>
              <w:t>×10</w:t>
            </w:r>
            <w:r>
              <w:rPr>
                <w:rFonts w:ascii="Times New Roman" w:hAnsi="Times New Roman" w:eastAsia="宋体"/>
                <w:b w:val="0"/>
                <w:bCs/>
                <w:caps w:val="0"/>
                <w:smallCaps w:val="0"/>
                <w:color w:val="auto"/>
                <w:spacing w:val="0"/>
                <w:sz w:val="21"/>
                <w:szCs w:val="21"/>
                <w:highlight w:val="none"/>
                <w:vertAlign w:val="superscript"/>
              </w:rPr>
              <w:t>-</w:t>
            </w:r>
            <w:r>
              <w:rPr>
                <w:rFonts w:hint="eastAsia" w:ascii="Times New Roman" w:hAnsi="Times New Roman" w:eastAsia="宋体"/>
                <w:b w:val="0"/>
                <w:bCs/>
                <w:caps w:val="0"/>
                <w:smallCaps w:val="0"/>
                <w:color w:val="auto"/>
                <w:spacing w:val="0"/>
                <w:sz w:val="21"/>
                <w:szCs w:val="21"/>
                <w:highlight w:val="none"/>
                <w:vertAlign w:val="superscript"/>
                <w:lang w:val="en-US" w:eastAsia="zh-CN"/>
              </w:rPr>
              <w:t>8</w:t>
            </w:r>
            <w:r>
              <w:rPr>
                <w:rFonts w:hint="eastAsia" w:ascii="Times New Roman" w:hAnsi="Times New Roman" w:eastAsia="宋体"/>
                <w:b w:val="0"/>
                <w:bCs/>
                <w:caps w:val="0"/>
                <w:smallCaps w:val="0"/>
                <w:color w:val="auto"/>
                <w:spacing w:val="0"/>
                <w:sz w:val="21"/>
                <w:szCs w:val="21"/>
                <w:highlight w:val="none"/>
              </w:rPr>
              <w:t>g/kg</w:t>
            </w:r>
          </w:p>
        </w:tc>
      </w:tr>
    </w:tbl>
    <w:p w14:paraId="33D8A71F">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4）预测结果</w:t>
      </w:r>
    </w:p>
    <w:p w14:paraId="5EF355AA">
      <w:pPr>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粉尘中重金属通过沉降进入土壤，对土壤的影响预测结果见下表。</w:t>
      </w:r>
    </w:p>
    <w:p w14:paraId="1E8FF231">
      <w:pPr>
        <w:pStyle w:val="235"/>
        <w:numPr>
          <w:ilvl w:val="0"/>
          <w:numId w:val="0"/>
        </w:numPr>
        <w:rPr>
          <w:rFonts w:ascii="Times New Roman" w:hAnsi="Times New Roman" w:eastAsiaTheme="minorEastAsia"/>
          <w:caps w:val="0"/>
          <w:smallCaps w:val="0"/>
          <w:color w:val="auto"/>
          <w:spacing w:val="0"/>
          <w:highlight w:val="none"/>
        </w:rPr>
      </w:pPr>
      <w:r>
        <w:rPr>
          <w:rFonts w:ascii="Times New Roman" w:hAnsi="Times New Roman" w:eastAsiaTheme="minorEastAsia"/>
          <w:caps w:val="0"/>
          <w:smallCaps w:val="0"/>
          <w:color w:val="auto"/>
          <w:spacing w:val="0"/>
          <w:highlight w:val="none"/>
        </w:rPr>
        <w:t>表</w:t>
      </w:r>
      <w:r>
        <w:rPr>
          <w:rFonts w:hint="eastAsia" w:ascii="Times New Roman" w:hAnsi="Times New Roman" w:eastAsiaTheme="minorEastAsia"/>
          <w:caps w:val="0"/>
          <w:smallCaps w:val="0"/>
          <w:color w:val="auto"/>
          <w:spacing w:val="0"/>
          <w:highlight w:val="none"/>
        </w:rPr>
        <w:t>5.2-</w:t>
      </w:r>
      <w:r>
        <w:rPr>
          <w:rFonts w:hint="eastAsia" w:ascii="Times New Roman" w:hAnsi="Times New Roman" w:eastAsiaTheme="minorEastAsia"/>
          <w:caps w:val="0"/>
          <w:smallCaps w:val="0"/>
          <w:color w:val="auto"/>
          <w:spacing w:val="0"/>
          <w:highlight w:val="none"/>
          <w:lang w:val="en-US" w:eastAsia="zh-CN"/>
        </w:rPr>
        <w:t>17</w:t>
      </w:r>
      <w:r>
        <w:rPr>
          <w:rFonts w:ascii="Times New Roman" w:hAnsi="Times New Roman" w:eastAsiaTheme="minorEastAsia"/>
          <w:caps w:val="0"/>
          <w:smallCaps w:val="0"/>
          <w:color w:val="auto"/>
          <w:spacing w:val="0"/>
          <w:highlight w:val="none"/>
        </w:rPr>
        <w:t>大气沉降对土壤累积影响预测表</w:t>
      </w:r>
    </w:p>
    <w:tbl>
      <w:tblPr>
        <w:tblStyle w:val="17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88"/>
        <w:gridCol w:w="1717"/>
        <w:gridCol w:w="1002"/>
        <w:gridCol w:w="1143"/>
        <w:gridCol w:w="1143"/>
        <w:gridCol w:w="1272"/>
        <w:gridCol w:w="1195"/>
        <w:gridCol w:w="1010"/>
      </w:tblGrid>
      <w:tr w14:paraId="71C6DE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tcBorders>
              <w:tl2br w:val="nil"/>
              <w:tr2bl w:val="nil"/>
            </w:tcBorders>
            <w:vAlign w:val="center"/>
          </w:tcPr>
          <w:p w14:paraId="2CC0FC6A">
            <w:pPr>
              <w:pStyle w:val="237"/>
              <w:widowControl w:val="0"/>
              <w:autoSpaceDE w:val="0"/>
              <w:autoSpaceDN w:val="0"/>
              <w:spacing w:line="240" w:lineRule="auto"/>
              <w:ind w:left="22" w:right="22"/>
              <w:jc w:val="center"/>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污染物</w:t>
            </w:r>
          </w:p>
        </w:tc>
        <w:tc>
          <w:tcPr>
            <w:tcW w:w="946" w:type="pct"/>
            <w:tcBorders>
              <w:tl2br w:val="nil"/>
              <w:tr2bl w:val="nil"/>
            </w:tcBorders>
            <w:vAlign w:val="center"/>
          </w:tcPr>
          <w:p w14:paraId="4AA6BAE3">
            <w:pPr>
              <w:pStyle w:val="237"/>
              <w:widowControl w:val="0"/>
              <w:autoSpaceDE w:val="0"/>
              <w:autoSpaceDN w:val="0"/>
              <w:spacing w:line="240" w:lineRule="auto"/>
              <w:ind w:left="22" w:right="22"/>
              <w:jc w:val="center"/>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持续年份a值</w:t>
            </w:r>
          </w:p>
          <w:p w14:paraId="7C9988B7">
            <w:pPr>
              <w:pStyle w:val="237"/>
              <w:widowControl w:val="0"/>
              <w:autoSpaceDE w:val="0"/>
              <w:autoSpaceDN w:val="0"/>
              <w:spacing w:line="240" w:lineRule="auto"/>
              <w:ind w:right="22"/>
              <w:jc w:val="center"/>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mg/kg</w:t>
            </w:r>
          </w:p>
        </w:tc>
        <w:tc>
          <w:tcPr>
            <w:tcW w:w="552" w:type="pct"/>
            <w:tcBorders>
              <w:tl2br w:val="nil"/>
              <w:tr2bl w:val="nil"/>
            </w:tcBorders>
            <w:vAlign w:val="center"/>
          </w:tcPr>
          <w:p w14:paraId="49B609ED">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1</w:t>
            </w:r>
          </w:p>
        </w:tc>
        <w:tc>
          <w:tcPr>
            <w:tcW w:w="630" w:type="pct"/>
            <w:tcBorders>
              <w:tl2br w:val="nil"/>
              <w:tr2bl w:val="nil"/>
            </w:tcBorders>
            <w:vAlign w:val="center"/>
          </w:tcPr>
          <w:p w14:paraId="3C566631">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5</w:t>
            </w:r>
          </w:p>
        </w:tc>
        <w:tc>
          <w:tcPr>
            <w:tcW w:w="630" w:type="pct"/>
            <w:tcBorders>
              <w:tl2br w:val="nil"/>
              <w:tr2bl w:val="nil"/>
            </w:tcBorders>
            <w:vAlign w:val="center"/>
          </w:tcPr>
          <w:p w14:paraId="0BF19BE4">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10</w:t>
            </w:r>
          </w:p>
        </w:tc>
        <w:tc>
          <w:tcPr>
            <w:tcW w:w="701" w:type="pct"/>
            <w:tcBorders>
              <w:tl2br w:val="nil"/>
              <w:tr2bl w:val="nil"/>
            </w:tcBorders>
            <w:vAlign w:val="center"/>
          </w:tcPr>
          <w:p w14:paraId="6F921A41">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15</w:t>
            </w:r>
          </w:p>
        </w:tc>
        <w:tc>
          <w:tcPr>
            <w:tcW w:w="658" w:type="pct"/>
            <w:tcBorders>
              <w:tl2br w:val="nil"/>
              <w:tr2bl w:val="nil"/>
            </w:tcBorders>
            <w:vAlign w:val="center"/>
          </w:tcPr>
          <w:p w14:paraId="0B4C3BEB">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20</w:t>
            </w:r>
          </w:p>
        </w:tc>
        <w:tc>
          <w:tcPr>
            <w:tcW w:w="556" w:type="pct"/>
            <w:tcBorders>
              <w:tl2br w:val="nil"/>
              <w:tr2bl w:val="nil"/>
            </w:tcBorders>
            <w:vAlign w:val="center"/>
          </w:tcPr>
          <w:p w14:paraId="2CE9FCB3">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标准值mg/kg</w:t>
            </w:r>
          </w:p>
        </w:tc>
      </w:tr>
      <w:tr w14:paraId="715D7B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vMerge w:val="restart"/>
            <w:tcBorders>
              <w:tl2br w:val="nil"/>
              <w:tr2bl w:val="nil"/>
            </w:tcBorders>
            <w:vAlign w:val="center"/>
          </w:tcPr>
          <w:p w14:paraId="1C77AFDD">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镉</w:t>
            </w:r>
          </w:p>
        </w:tc>
        <w:tc>
          <w:tcPr>
            <w:tcW w:w="946" w:type="pct"/>
            <w:tcBorders>
              <w:tl2br w:val="nil"/>
              <w:tr2bl w:val="nil"/>
            </w:tcBorders>
            <w:vAlign w:val="center"/>
          </w:tcPr>
          <w:p w14:paraId="3520325C">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增量ΔS</w:t>
            </w:r>
          </w:p>
        </w:tc>
        <w:tc>
          <w:tcPr>
            <w:tcW w:w="552" w:type="pct"/>
            <w:tcBorders>
              <w:tl2br w:val="nil"/>
              <w:tr2bl w:val="nil"/>
            </w:tcBorders>
            <w:vAlign w:val="bottom"/>
          </w:tcPr>
          <w:p w14:paraId="21657827">
            <w:pPr>
              <w:pStyle w:val="237"/>
              <w:widowControl w:val="0"/>
              <w:autoSpaceDE w:val="0"/>
              <w:autoSpaceDN w:val="0"/>
              <w:spacing w:line="240" w:lineRule="auto"/>
              <w:ind w:left="22" w:right="22"/>
              <w:rPr>
                <w:rFonts w:hint="eastAsia" w:eastAsia="宋体" w:asciiTheme="minorHAnsi"/>
                <w:caps w:val="0"/>
                <w:smallCaps w:val="0"/>
                <w:color w:val="auto"/>
                <w:spacing w:val="0"/>
                <w:highlight w:val="none"/>
                <w:lang w:eastAsia="zh-CN"/>
              </w:rPr>
            </w:pPr>
            <w:r>
              <w:rPr>
                <w:rFonts w:hint="eastAsia" w:ascii="Times New Roman" w:hAnsi="Times New Roman" w:eastAsia="宋体" w:cs="Times New Roman"/>
                <w:bCs/>
                <w:caps w:val="0"/>
                <w:smallCaps w:val="0"/>
                <w:color w:val="auto"/>
                <w:spacing w:val="0"/>
                <w:szCs w:val="21"/>
                <w:highlight w:val="none"/>
                <w:lang w:val="en-US" w:eastAsia="zh-CN"/>
              </w:rPr>
              <w:t>1.05</w:t>
            </w:r>
            <w:r>
              <w:rPr>
                <w:rFonts w:ascii="Times New Roman" w:hAnsi="Times New Roman" w:eastAsia="宋体" w:cs="Times New Roman"/>
                <w:bCs/>
                <w:caps w:val="0"/>
                <w:smallCaps w:val="0"/>
                <w:color w:val="auto"/>
                <w:spacing w:val="0"/>
                <w:szCs w:val="21"/>
                <w:highlight w:val="none"/>
                <w:lang w:eastAsia="en-US"/>
              </w:rPr>
              <w:t>×</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4</w:t>
            </w:r>
          </w:p>
        </w:tc>
        <w:tc>
          <w:tcPr>
            <w:tcW w:w="630" w:type="pct"/>
            <w:tcBorders>
              <w:tl2br w:val="nil"/>
              <w:tr2bl w:val="nil"/>
            </w:tcBorders>
            <w:vAlign w:val="bottom"/>
          </w:tcPr>
          <w:p w14:paraId="12AE4EE8">
            <w:pPr>
              <w:pStyle w:val="237"/>
              <w:widowControl w:val="0"/>
              <w:autoSpaceDE w:val="0"/>
              <w:autoSpaceDN w:val="0"/>
              <w:spacing w:line="240" w:lineRule="auto"/>
              <w:ind w:left="22" w:right="22"/>
              <w:rPr>
                <w:rFonts w:hint="eastAsia" w:eastAsia="宋体" w:asciiTheme="minorHAnsi"/>
                <w:caps w:val="0"/>
                <w:smallCaps w:val="0"/>
                <w:color w:val="auto"/>
                <w:spacing w:val="0"/>
                <w:highlight w:val="none"/>
                <w:lang w:eastAsia="zh-CN"/>
              </w:rPr>
            </w:pPr>
            <w:r>
              <w:rPr>
                <w:rFonts w:hint="eastAsia" w:ascii="Times New Roman" w:hAnsi="Times New Roman" w:eastAsia="宋体" w:cs="Times New Roman"/>
                <w:bCs/>
                <w:caps w:val="0"/>
                <w:smallCaps w:val="0"/>
                <w:color w:val="auto"/>
                <w:spacing w:val="0"/>
                <w:szCs w:val="21"/>
                <w:highlight w:val="none"/>
                <w:lang w:val="en-US" w:eastAsia="zh-CN"/>
              </w:rPr>
              <w:t>5.2</w:t>
            </w:r>
            <w:r>
              <w:rPr>
                <w:rFonts w:hint="eastAsia" w:ascii="Times New Roman" w:hAnsi="Times New Roman" w:eastAsia="宋体" w:cs="Times New Roman"/>
                <w:bCs/>
                <w:caps w:val="0"/>
                <w:smallCaps w:val="0"/>
                <w:color w:val="auto"/>
                <w:spacing w:val="0"/>
                <w:szCs w:val="21"/>
                <w:highlight w:val="none"/>
                <w:lang w:eastAsia="en-US"/>
              </w:rPr>
              <w:t>5</w:t>
            </w:r>
            <w:r>
              <w:rPr>
                <w:rFonts w:ascii="Times New Roman" w:hAnsi="Times New Roman" w:eastAsia="宋体" w:cs="Times New Roman"/>
                <w:bCs/>
                <w:caps w:val="0"/>
                <w:smallCaps w:val="0"/>
                <w:color w:val="auto"/>
                <w:spacing w:val="0"/>
                <w:szCs w:val="21"/>
                <w:highlight w:val="none"/>
                <w:lang w:eastAsia="en-US"/>
              </w:rPr>
              <w:t>×</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4</w:t>
            </w:r>
          </w:p>
        </w:tc>
        <w:tc>
          <w:tcPr>
            <w:tcW w:w="630" w:type="pct"/>
            <w:tcBorders>
              <w:tl2br w:val="nil"/>
              <w:tr2bl w:val="nil"/>
            </w:tcBorders>
            <w:vAlign w:val="bottom"/>
          </w:tcPr>
          <w:p w14:paraId="119B9389">
            <w:pPr>
              <w:pStyle w:val="237"/>
              <w:widowControl w:val="0"/>
              <w:autoSpaceDE w:val="0"/>
              <w:autoSpaceDN w:val="0"/>
              <w:spacing w:line="240" w:lineRule="auto"/>
              <w:ind w:left="22" w:right="22"/>
              <w:rPr>
                <w:rFonts w:hint="eastAsia" w:eastAsia="宋体" w:asciiTheme="minorHAnsi"/>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1.05</w:t>
            </w:r>
            <w:r>
              <w:rPr>
                <w:rFonts w:ascii="Times New Roman" w:hAnsi="Times New Roman" w:eastAsia="宋体" w:cs="Times New Roman"/>
                <w:bCs/>
                <w:caps w:val="0"/>
                <w:smallCaps w:val="0"/>
                <w:color w:val="auto"/>
                <w:spacing w:val="0"/>
                <w:szCs w:val="21"/>
                <w:highlight w:val="none"/>
                <w:lang w:eastAsia="en-US"/>
              </w:rPr>
              <w:t>×</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3</w:t>
            </w:r>
          </w:p>
        </w:tc>
        <w:tc>
          <w:tcPr>
            <w:tcW w:w="701" w:type="pct"/>
            <w:tcBorders>
              <w:tl2br w:val="nil"/>
              <w:tr2bl w:val="nil"/>
            </w:tcBorders>
            <w:vAlign w:val="bottom"/>
          </w:tcPr>
          <w:p w14:paraId="04ED1841">
            <w:pPr>
              <w:pStyle w:val="237"/>
              <w:widowControl w:val="0"/>
              <w:autoSpaceDE w:val="0"/>
              <w:autoSpaceDN w:val="0"/>
              <w:spacing w:line="240" w:lineRule="auto"/>
              <w:ind w:left="22" w:right="22"/>
              <w:rPr>
                <w:rFonts w:hint="eastAsia" w:asciiTheme="minorHAnsi" w:eastAsiaTheme="minorEastAsia"/>
                <w:caps w:val="0"/>
                <w:smallCaps w:val="0"/>
                <w:color w:val="auto"/>
                <w:spacing w:val="0"/>
                <w:highlight w:val="none"/>
                <w:lang w:eastAsia="zh-CN"/>
              </w:rPr>
            </w:pPr>
            <w:r>
              <w:rPr>
                <w:rFonts w:hint="eastAsia" w:ascii="Times New Roman" w:hAnsi="Times New Roman" w:eastAsia="宋体" w:cs="Times New Roman"/>
                <w:bCs/>
                <w:caps w:val="0"/>
                <w:smallCaps w:val="0"/>
                <w:color w:val="auto"/>
                <w:spacing w:val="0"/>
                <w:szCs w:val="21"/>
                <w:highlight w:val="none"/>
                <w:lang w:val="en-US" w:eastAsia="zh-CN"/>
              </w:rPr>
              <w:t>1.57</w:t>
            </w:r>
            <w:r>
              <w:rPr>
                <w:rFonts w:ascii="Times New Roman" w:hAnsi="Times New Roman" w:eastAsia="宋体" w:cs="Times New Roman"/>
                <w:bCs/>
                <w:caps w:val="0"/>
                <w:smallCaps w:val="0"/>
                <w:color w:val="auto"/>
                <w:spacing w:val="0"/>
                <w:szCs w:val="21"/>
                <w:highlight w:val="none"/>
                <w:lang w:eastAsia="en-US"/>
              </w:rPr>
              <w:t>×</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3</w:t>
            </w:r>
          </w:p>
        </w:tc>
        <w:tc>
          <w:tcPr>
            <w:tcW w:w="658" w:type="pct"/>
            <w:tcBorders>
              <w:tl2br w:val="nil"/>
              <w:tr2bl w:val="nil"/>
            </w:tcBorders>
            <w:vAlign w:val="bottom"/>
          </w:tcPr>
          <w:p w14:paraId="2661C83F">
            <w:pPr>
              <w:pStyle w:val="237"/>
              <w:widowControl w:val="0"/>
              <w:autoSpaceDE w:val="0"/>
              <w:autoSpaceDN w:val="0"/>
              <w:spacing w:line="240" w:lineRule="auto"/>
              <w:ind w:left="22" w:right="22"/>
              <w:rPr>
                <w:rFonts w:hint="default" w:asciiTheme="minorHAnsi" w:eastAsiaTheme="minorEastAsia"/>
                <w:caps w:val="0"/>
                <w:smallCaps w:val="0"/>
                <w:color w:val="auto"/>
                <w:spacing w:val="0"/>
                <w:highlight w:val="none"/>
                <w:lang w:val="en-US" w:eastAsia="zh-CN"/>
              </w:rPr>
            </w:pPr>
            <w:r>
              <w:rPr>
                <w:rFonts w:hint="eastAsia" w:asciiTheme="minorHAnsi" w:eastAsiaTheme="minorEastAsia"/>
                <w:caps w:val="0"/>
                <w:smallCaps w:val="0"/>
                <w:color w:val="auto"/>
                <w:spacing w:val="0"/>
                <w:highlight w:val="none"/>
                <w:lang w:eastAsia="en-US"/>
              </w:rPr>
              <w:t>0.0</w:t>
            </w:r>
            <w:r>
              <w:rPr>
                <w:rFonts w:hint="eastAsia" w:asciiTheme="minorHAnsi" w:eastAsiaTheme="minorEastAsia"/>
                <w:caps w:val="0"/>
                <w:smallCaps w:val="0"/>
                <w:color w:val="auto"/>
                <w:spacing w:val="0"/>
                <w:highlight w:val="none"/>
                <w:lang w:val="en-US" w:eastAsia="zh-CN"/>
              </w:rPr>
              <w:t>105</w:t>
            </w:r>
          </w:p>
        </w:tc>
        <w:tc>
          <w:tcPr>
            <w:tcW w:w="556" w:type="pct"/>
            <w:vMerge w:val="restart"/>
            <w:tcBorders>
              <w:tl2br w:val="nil"/>
              <w:tr2bl w:val="nil"/>
            </w:tcBorders>
            <w:vAlign w:val="center"/>
          </w:tcPr>
          <w:p w14:paraId="595F0572">
            <w:pPr>
              <w:pStyle w:val="237"/>
              <w:widowControl w:val="0"/>
              <w:autoSpaceDE w:val="0"/>
              <w:autoSpaceDN w:val="0"/>
              <w:spacing w:line="240" w:lineRule="auto"/>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65</w:t>
            </w:r>
          </w:p>
        </w:tc>
      </w:tr>
      <w:tr w14:paraId="1EF985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vMerge w:val="continue"/>
            <w:tcBorders>
              <w:tl2br w:val="nil"/>
              <w:tr2bl w:val="nil"/>
            </w:tcBorders>
            <w:vAlign w:val="center"/>
          </w:tcPr>
          <w:p w14:paraId="229CE6F5">
            <w:pPr>
              <w:pStyle w:val="237"/>
              <w:widowControl w:val="0"/>
              <w:autoSpaceDE w:val="0"/>
              <w:autoSpaceDN w:val="0"/>
              <w:ind w:left="22" w:right="22"/>
              <w:rPr>
                <w:rFonts w:asciiTheme="minorHAnsi" w:eastAsiaTheme="minorEastAsia"/>
                <w:caps w:val="0"/>
                <w:smallCaps w:val="0"/>
                <w:color w:val="auto"/>
                <w:spacing w:val="0"/>
                <w:sz w:val="2"/>
                <w:szCs w:val="2"/>
                <w:highlight w:val="none"/>
                <w:lang w:eastAsia="en-US"/>
              </w:rPr>
            </w:pPr>
          </w:p>
        </w:tc>
        <w:tc>
          <w:tcPr>
            <w:tcW w:w="946" w:type="pct"/>
            <w:tcBorders>
              <w:tl2br w:val="nil"/>
              <w:tr2bl w:val="nil"/>
            </w:tcBorders>
            <w:vAlign w:val="center"/>
          </w:tcPr>
          <w:p w14:paraId="632CC597">
            <w:pPr>
              <w:pStyle w:val="237"/>
              <w:widowControl w:val="0"/>
              <w:autoSpaceDE w:val="0"/>
              <w:autoSpaceDN w:val="0"/>
              <w:ind w:left="22" w:right="22"/>
              <w:rPr>
                <w:rFonts w:asciiTheme="minorHAnsi" w:eastAsiaTheme="minorEastAsia"/>
                <w:caps w:val="0"/>
                <w:smallCaps w:val="0"/>
                <w:color w:val="auto"/>
                <w:spacing w:val="0"/>
                <w:position w:val="2"/>
                <w:highlight w:val="none"/>
                <w:vertAlign w:val="subscript"/>
                <w:lang w:eastAsia="en-US"/>
              </w:rPr>
            </w:pPr>
            <w:r>
              <w:rPr>
                <w:rFonts w:asciiTheme="minorHAnsi" w:eastAsiaTheme="minorEastAsia"/>
                <w:caps w:val="0"/>
                <w:smallCaps w:val="0"/>
                <w:color w:val="auto"/>
                <w:spacing w:val="0"/>
                <w:position w:val="2"/>
                <w:highlight w:val="none"/>
                <w:lang w:eastAsia="en-US"/>
              </w:rPr>
              <w:t>现状值S</w:t>
            </w:r>
            <w:r>
              <w:rPr>
                <w:rFonts w:asciiTheme="minorHAnsi" w:eastAsiaTheme="minorEastAsia"/>
                <w:caps w:val="0"/>
                <w:smallCaps w:val="0"/>
                <w:color w:val="auto"/>
                <w:spacing w:val="0"/>
                <w:position w:val="2"/>
                <w:highlight w:val="none"/>
                <w:vertAlign w:val="subscript"/>
                <w:lang w:eastAsia="en-US"/>
              </w:rPr>
              <w:t>b</w:t>
            </w:r>
          </w:p>
          <w:p w14:paraId="12161B10">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position w:val="2"/>
                <w:highlight w:val="none"/>
                <w:lang w:eastAsia="en-US"/>
              </w:rPr>
              <w:t>（检出限一半）</w:t>
            </w:r>
          </w:p>
        </w:tc>
        <w:tc>
          <w:tcPr>
            <w:tcW w:w="552" w:type="pct"/>
            <w:tcBorders>
              <w:tl2br w:val="nil"/>
              <w:tr2bl w:val="nil"/>
            </w:tcBorders>
            <w:vAlign w:val="center"/>
          </w:tcPr>
          <w:p w14:paraId="3EB1D3A7">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highlight w:val="none"/>
                <w:lang w:eastAsia="en-US"/>
              </w:rPr>
              <w:t>0.025</w:t>
            </w:r>
          </w:p>
        </w:tc>
        <w:tc>
          <w:tcPr>
            <w:tcW w:w="630" w:type="pct"/>
            <w:tcBorders>
              <w:tl2br w:val="nil"/>
              <w:tr2bl w:val="nil"/>
            </w:tcBorders>
            <w:vAlign w:val="center"/>
          </w:tcPr>
          <w:p w14:paraId="6CAD5BFD">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highlight w:val="none"/>
                <w:lang w:eastAsia="en-US"/>
              </w:rPr>
              <w:t>0.025</w:t>
            </w:r>
          </w:p>
        </w:tc>
        <w:tc>
          <w:tcPr>
            <w:tcW w:w="630" w:type="pct"/>
            <w:tcBorders>
              <w:tl2br w:val="nil"/>
              <w:tr2bl w:val="nil"/>
            </w:tcBorders>
            <w:vAlign w:val="center"/>
          </w:tcPr>
          <w:p w14:paraId="0A1653C1">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highlight w:val="none"/>
                <w:lang w:eastAsia="en-US"/>
              </w:rPr>
              <w:t>0.025</w:t>
            </w:r>
          </w:p>
        </w:tc>
        <w:tc>
          <w:tcPr>
            <w:tcW w:w="701" w:type="pct"/>
            <w:tcBorders>
              <w:tl2br w:val="nil"/>
              <w:tr2bl w:val="nil"/>
            </w:tcBorders>
            <w:vAlign w:val="center"/>
          </w:tcPr>
          <w:p w14:paraId="3F092967">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highlight w:val="none"/>
                <w:lang w:eastAsia="en-US"/>
              </w:rPr>
              <w:t>0.025</w:t>
            </w:r>
          </w:p>
        </w:tc>
        <w:tc>
          <w:tcPr>
            <w:tcW w:w="658" w:type="pct"/>
            <w:tcBorders>
              <w:tl2br w:val="nil"/>
              <w:tr2bl w:val="nil"/>
            </w:tcBorders>
            <w:vAlign w:val="center"/>
          </w:tcPr>
          <w:p w14:paraId="5DB59CE7">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highlight w:val="none"/>
                <w:lang w:eastAsia="en-US"/>
              </w:rPr>
              <w:t>0.025</w:t>
            </w:r>
          </w:p>
        </w:tc>
        <w:tc>
          <w:tcPr>
            <w:tcW w:w="556" w:type="pct"/>
            <w:vMerge w:val="continue"/>
            <w:tcBorders>
              <w:tl2br w:val="nil"/>
              <w:tr2bl w:val="nil"/>
            </w:tcBorders>
            <w:vAlign w:val="center"/>
          </w:tcPr>
          <w:p w14:paraId="6CD24F91">
            <w:pPr>
              <w:pStyle w:val="237"/>
              <w:widowControl w:val="0"/>
              <w:autoSpaceDE w:val="0"/>
              <w:autoSpaceDN w:val="0"/>
              <w:ind w:left="22" w:right="22"/>
              <w:rPr>
                <w:rFonts w:asciiTheme="minorHAnsi" w:eastAsiaTheme="minorEastAsia"/>
                <w:caps w:val="0"/>
                <w:smallCaps w:val="0"/>
                <w:color w:val="auto"/>
                <w:spacing w:val="0"/>
                <w:sz w:val="2"/>
                <w:szCs w:val="2"/>
                <w:highlight w:val="none"/>
                <w:lang w:eastAsia="en-US"/>
              </w:rPr>
            </w:pPr>
          </w:p>
        </w:tc>
      </w:tr>
      <w:tr w14:paraId="03ABA3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vMerge w:val="continue"/>
            <w:tcBorders>
              <w:tl2br w:val="nil"/>
              <w:tr2bl w:val="nil"/>
            </w:tcBorders>
            <w:vAlign w:val="center"/>
          </w:tcPr>
          <w:p w14:paraId="111CAE37">
            <w:pPr>
              <w:pStyle w:val="237"/>
              <w:widowControl w:val="0"/>
              <w:autoSpaceDE w:val="0"/>
              <w:autoSpaceDN w:val="0"/>
              <w:ind w:left="22" w:right="22"/>
              <w:rPr>
                <w:rFonts w:asciiTheme="minorHAnsi" w:eastAsiaTheme="minorEastAsia"/>
                <w:caps w:val="0"/>
                <w:smallCaps w:val="0"/>
                <w:color w:val="auto"/>
                <w:spacing w:val="0"/>
                <w:sz w:val="2"/>
                <w:szCs w:val="2"/>
                <w:highlight w:val="none"/>
                <w:lang w:eastAsia="en-US"/>
              </w:rPr>
            </w:pPr>
          </w:p>
        </w:tc>
        <w:tc>
          <w:tcPr>
            <w:tcW w:w="946" w:type="pct"/>
            <w:tcBorders>
              <w:tl2br w:val="nil"/>
              <w:tr2bl w:val="nil"/>
            </w:tcBorders>
            <w:vAlign w:val="center"/>
          </w:tcPr>
          <w:p w14:paraId="798897C7">
            <w:pPr>
              <w:pStyle w:val="237"/>
              <w:widowControl w:val="0"/>
              <w:autoSpaceDE w:val="0"/>
              <w:autoSpaceDN w:val="0"/>
              <w:ind w:left="22" w:right="22"/>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预测值S</w:t>
            </w:r>
          </w:p>
        </w:tc>
        <w:tc>
          <w:tcPr>
            <w:tcW w:w="552" w:type="pct"/>
            <w:tcBorders>
              <w:tl2br w:val="nil"/>
              <w:tr2bl w:val="nil"/>
            </w:tcBorders>
            <w:vAlign w:val="center"/>
          </w:tcPr>
          <w:p w14:paraId="59E4411F">
            <w:pPr>
              <w:pStyle w:val="237"/>
              <w:widowControl w:val="0"/>
              <w:autoSpaceDE w:val="0"/>
              <w:autoSpaceDN w:val="0"/>
              <w:ind w:left="22" w:right="22"/>
              <w:rPr>
                <w:rFonts w:hint="default" w:asciiTheme="minorHAnsi" w:eastAsiaTheme="minorEastAsia"/>
                <w:caps w:val="0"/>
                <w:smallCaps w:val="0"/>
                <w:color w:val="auto"/>
                <w:spacing w:val="0"/>
                <w:highlight w:val="none"/>
                <w:lang w:val="en-US" w:eastAsia="zh-CN"/>
              </w:rPr>
            </w:pPr>
            <w:r>
              <w:rPr>
                <w:rFonts w:hint="eastAsia" w:asciiTheme="minorHAnsi" w:eastAsiaTheme="minorEastAsia"/>
                <w:caps w:val="0"/>
                <w:smallCaps w:val="0"/>
                <w:color w:val="auto"/>
                <w:spacing w:val="0"/>
                <w:highlight w:val="none"/>
                <w:lang w:eastAsia="en-US"/>
              </w:rPr>
              <w:t>0.02</w:t>
            </w:r>
            <w:r>
              <w:rPr>
                <w:rFonts w:hint="eastAsia" w:asciiTheme="minorHAnsi" w:eastAsiaTheme="minorEastAsia"/>
                <w:caps w:val="0"/>
                <w:smallCaps w:val="0"/>
                <w:color w:val="auto"/>
                <w:spacing w:val="0"/>
                <w:highlight w:val="none"/>
                <w:lang w:val="en-US" w:eastAsia="zh-CN"/>
              </w:rPr>
              <w:t>51</w:t>
            </w:r>
          </w:p>
        </w:tc>
        <w:tc>
          <w:tcPr>
            <w:tcW w:w="630" w:type="pct"/>
            <w:tcBorders>
              <w:tl2br w:val="nil"/>
              <w:tr2bl w:val="nil"/>
            </w:tcBorders>
            <w:vAlign w:val="center"/>
          </w:tcPr>
          <w:p w14:paraId="2334A43E">
            <w:pPr>
              <w:pStyle w:val="237"/>
              <w:widowControl w:val="0"/>
              <w:autoSpaceDE w:val="0"/>
              <w:autoSpaceDN w:val="0"/>
              <w:ind w:left="22" w:right="22"/>
              <w:rPr>
                <w:rFonts w:hint="default" w:asciiTheme="minorHAnsi" w:eastAsiaTheme="minorEastAsia"/>
                <w:caps w:val="0"/>
                <w:smallCaps w:val="0"/>
                <w:color w:val="auto"/>
                <w:spacing w:val="0"/>
                <w:highlight w:val="none"/>
                <w:lang w:val="en-US" w:eastAsia="zh-CN"/>
              </w:rPr>
            </w:pPr>
            <w:r>
              <w:rPr>
                <w:rFonts w:asciiTheme="minorHAnsi" w:eastAsiaTheme="minorEastAsia"/>
                <w:caps w:val="0"/>
                <w:smallCaps w:val="0"/>
                <w:color w:val="auto"/>
                <w:spacing w:val="0"/>
                <w:highlight w:val="none"/>
                <w:lang w:eastAsia="en-US"/>
              </w:rPr>
              <w:t>0.0</w:t>
            </w:r>
            <w:r>
              <w:rPr>
                <w:rFonts w:hint="eastAsia" w:asciiTheme="minorHAnsi" w:eastAsiaTheme="minorEastAsia"/>
                <w:caps w:val="0"/>
                <w:smallCaps w:val="0"/>
                <w:color w:val="auto"/>
                <w:spacing w:val="0"/>
                <w:highlight w:val="none"/>
                <w:lang w:val="en-US" w:eastAsia="zh-CN"/>
              </w:rPr>
              <w:t>255</w:t>
            </w:r>
          </w:p>
        </w:tc>
        <w:tc>
          <w:tcPr>
            <w:tcW w:w="630" w:type="pct"/>
            <w:tcBorders>
              <w:tl2br w:val="nil"/>
              <w:tr2bl w:val="nil"/>
            </w:tcBorders>
            <w:vAlign w:val="center"/>
          </w:tcPr>
          <w:p w14:paraId="5BCF9620">
            <w:pPr>
              <w:pStyle w:val="237"/>
              <w:widowControl w:val="0"/>
              <w:autoSpaceDE w:val="0"/>
              <w:autoSpaceDN w:val="0"/>
              <w:ind w:left="22" w:right="22"/>
              <w:rPr>
                <w:rFonts w:hint="default" w:asciiTheme="minorHAnsi" w:eastAsiaTheme="minorEastAsia"/>
                <w:caps w:val="0"/>
                <w:smallCaps w:val="0"/>
                <w:color w:val="auto"/>
                <w:spacing w:val="0"/>
                <w:highlight w:val="none"/>
                <w:lang w:val="en-US" w:eastAsia="zh-CN"/>
              </w:rPr>
            </w:pPr>
            <w:r>
              <w:rPr>
                <w:rFonts w:asciiTheme="minorHAnsi" w:eastAsiaTheme="minorEastAsia"/>
                <w:caps w:val="0"/>
                <w:smallCaps w:val="0"/>
                <w:color w:val="auto"/>
                <w:spacing w:val="0"/>
                <w:highlight w:val="none"/>
                <w:lang w:eastAsia="en-US"/>
              </w:rPr>
              <w:t>0.0</w:t>
            </w:r>
            <w:r>
              <w:rPr>
                <w:rFonts w:hint="eastAsia" w:asciiTheme="minorHAnsi" w:eastAsiaTheme="minorEastAsia"/>
                <w:caps w:val="0"/>
                <w:smallCaps w:val="0"/>
                <w:color w:val="auto"/>
                <w:spacing w:val="0"/>
                <w:highlight w:val="none"/>
                <w:lang w:val="en-US" w:eastAsia="zh-CN"/>
              </w:rPr>
              <w:t>261</w:t>
            </w:r>
          </w:p>
        </w:tc>
        <w:tc>
          <w:tcPr>
            <w:tcW w:w="701" w:type="pct"/>
            <w:tcBorders>
              <w:tl2br w:val="nil"/>
              <w:tr2bl w:val="nil"/>
            </w:tcBorders>
            <w:vAlign w:val="center"/>
          </w:tcPr>
          <w:p w14:paraId="47542A57">
            <w:pPr>
              <w:pStyle w:val="237"/>
              <w:widowControl w:val="0"/>
              <w:autoSpaceDE w:val="0"/>
              <w:autoSpaceDN w:val="0"/>
              <w:ind w:left="22" w:right="22"/>
              <w:rPr>
                <w:rFonts w:hint="default" w:asciiTheme="minorHAnsi" w:eastAsiaTheme="minorEastAsia"/>
                <w:caps w:val="0"/>
                <w:smallCaps w:val="0"/>
                <w:color w:val="auto"/>
                <w:spacing w:val="0"/>
                <w:highlight w:val="none"/>
                <w:lang w:val="en-US" w:eastAsia="zh-CN"/>
              </w:rPr>
            </w:pPr>
            <w:r>
              <w:rPr>
                <w:rFonts w:asciiTheme="minorHAnsi" w:eastAsiaTheme="minorEastAsia"/>
                <w:caps w:val="0"/>
                <w:smallCaps w:val="0"/>
                <w:color w:val="auto"/>
                <w:spacing w:val="0"/>
                <w:highlight w:val="none"/>
                <w:lang w:eastAsia="en-US"/>
              </w:rPr>
              <w:t>0.0</w:t>
            </w:r>
            <w:r>
              <w:rPr>
                <w:rFonts w:hint="eastAsia" w:asciiTheme="minorHAnsi" w:eastAsiaTheme="minorEastAsia"/>
                <w:caps w:val="0"/>
                <w:smallCaps w:val="0"/>
                <w:color w:val="auto"/>
                <w:spacing w:val="0"/>
                <w:highlight w:val="none"/>
                <w:lang w:val="en-US" w:eastAsia="zh-CN"/>
              </w:rPr>
              <w:t>266</w:t>
            </w:r>
          </w:p>
        </w:tc>
        <w:tc>
          <w:tcPr>
            <w:tcW w:w="658" w:type="pct"/>
            <w:tcBorders>
              <w:tl2br w:val="nil"/>
              <w:tr2bl w:val="nil"/>
            </w:tcBorders>
            <w:vAlign w:val="center"/>
          </w:tcPr>
          <w:p w14:paraId="04C60F3E">
            <w:pPr>
              <w:pStyle w:val="237"/>
              <w:widowControl w:val="0"/>
              <w:autoSpaceDE w:val="0"/>
              <w:autoSpaceDN w:val="0"/>
              <w:ind w:left="22" w:right="22"/>
              <w:rPr>
                <w:rFonts w:hint="default" w:asciiTheme="minorHAnsi" w:eastAsiaTheme="minorEastAsia"/>
                <w:caps w:val="0"/>
                <w:smallCaps w:val="0"/>
                <w:color w:val="auto"/>
                <w:spacing w:val="0"/>
                <w:highlight w:val="none"/>
                <w:lang w:val="en-US" w:eastAsia="zh-CN"/>
              </w:rPr>
            </w:pPr>
            <w:r>
              <w:rPr>
                <w:rFonts w:asciiTheme="minorHAnsi" w:eastAsiaTheme="minorEastAsia"/>
                <w:caps w:val="0"/>
                <w:smallCaps w:val="0"/>
                <w:color w:val="auto"/>
                <w:spacing w:val="0"/>
                <w:highlight w:val="none"/>
                <w:lang w:eastAsia="en-US"/>
              </w:rPr>
              <w:t>0.0</w:t>
            </w:r>
            <w:r>
              <w:rPr>
                <w:rFonts w:hint="eastAsia" w:asciiTheme="minorHAnsi" w:eastAsiaTheme="minorEastAsia"/>
                <w:caps w:val="0"/>
                <w:smallCaps w:val="0"/>
                <w:color w:val="auto"/>
                <w:spacing w:val="0"/>
                <w:highlight w:val="none"/>
                <w:lang w:val="en-US" w:eastAsia="zh-CN"/>
              </w:rPr>
              <w:t>355</w:t>
            </w:r>
          </w:p>
        </w:tc>
        <w:tc>
          <w:tcPr>
            <w:tcW w:w="556" w:type="pct"/>
            <w:vMerge w:val="continue"/>
            <w:tcBorders>
              <w:tl2br w:val="nil"/>
              <w:tr2bl w:val="nil"/>
            </w:tcBorders>
            <w:vAlign w:val="center"/>
          </w:tcPr>
          <w:p w14:paraId="482D9075">
            <w:pPr>
              <w:pStyle w:val="237"/>
              <w:widowControl w:val="0"/>
              <w:autoSpaceDE w:val="0"/>
              <w:autoSpaceDN w:val="0"/>
              <w:ind w:left="22" w:right="22"/>
              <w:rPr>
                <w:rFonts w:asciiTheme="minorHAnsi" w:eastAsiaTheme="minorEastAsia"/>
                <w:caps w:val="0"/>
                <w:smallCaps w:val="0"/>
                <w:color w:val="auto"/>
                <w:spacing w:val="0"/>
                <w:sz w:val="2"/>
                <w:szCs w:val="2"/>
                <w:highlight w:val="none"/>
                <w:lang w:eastAsia="en-US"/>
              </w:rPr>
            </w:pPr>
          </w:p>
        </w:tc>
      </w:tr>
      <w:tr w14:paraId="0239CF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vMerge w:val="restart"/>
            <w:tcBorders>
              <w:tl2br w:val="nil"/>
              <w:tr2bl w:val="nil"/>
            </w:tcBorders>
            <w:vAlign w:val="center"/>
          </w:tcPr>
          <w:p w14:paraId="21B86643">
            <w:pPr>
              <w:pStyle w:val="237"/>
              <w:widowControl w:val="0"/>
              <w:autoSpaceDE w:val="0"/>
              <w:autoSpaceDN w:val="0"/>
              <w:ind w:left="22" w:right="22"/>
              <w:rPr>
                <w:rFonts w:hint="eastAsia" w:asciiTheme="minorHAnsi" w:eastAsiaTheme="minorEastAsia"/>
                <w:caps w:val="0"/>
                <w:smallCaps w:val="0"/>
                <w:color w:val="auto"/>
                <w:spacing w:val="0"/>
                <w:sz w:val="2"/>
                <w:szCs w:val="2"/>
                <w:highlight w:val="none"/>
                <w:lang w:eastAsia="zh-CN"/>
              </w:rPr>
            </w:pPr>
            <w:r>
              <w:rPr>
                <w:rFonts w:hint="eastAsia" w:asciiTheme="minorHAnsi" w:eastAsiaTheme="minorEastAsia"/>
                <w:caps w:val="0"/>
                <w:smallCaps w:val="0"/>
                <w:color w:val="auto"/>
                <w:spacing w:val="0"/>
                <w:highlight w:val="none"/>
                <w:lang w:val="en-US" w:eastAsia="zh-CN"/>
              </w:rPr>
              <w:t>二甲苯</w:t>
            </w:r>
          </w:p>
        </w:tc>
        <w:tc>
          <w:tcPr>
            <w:tcW w:w="946" w:type="pct"/>
            <w:tcBorders>
              <w:tl2br w:val="nil"/>
              <w:tr2bl w:val="nil"/>
            </w:tcBorders>
            <w:vAlign w:val="center"/>
          </w:tcPr>
          <w:p w14:paraId="19B58EDF">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增量ΔS</w:t>
            </w:r>
          </w:p>
        </w:tc>
        <w:tc>
          <w:tcPr>
            <w:tcW w:w="552" w:type="pct"/>
            <w:tcBorders>
              <w:tl2br w:val="nil"/>
              <w:tr2bl w:val="nil"/>
            </w:tcBorders>
            <w:vAlign w:val="center"/>
          </w:tcPr>
          <w:p w14:paraId="3401375C">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hint="eastAsia" w:eastAsia="宋体" w:asciiTheme="minorHAnsi"/>
                <w:caps w:val="0"/>
                <w:smallCaps w:val="0"/>
                <w:color w:val="auto"/>
                <w:spacing w:val="0"/>
                <w:highlight w:val="none"/>
                <w:lang w:val="en-US" w:eastAsia="zh-CN"/>
              </w:rPr>
            </w:pPr>
            <w:r>
              <w:rPr>
                <w:rFonts w:hint="eastAsia" w:ascii="Times New Roman" w:hAnsi="Times New Roman" w:eastAsia="宋体"/>
                <w:b w:val="0"/>
                <w:bCs/>
                <w:caps w:val="0"/>
                <w:smallCaps w:val="0"/>
                <w:color w:val="auto"/>
                <w:spacing w:val="0"/>
                <w:sz w:val="21"/>
                <w:szCs w:val="21"/>
                <w:highlight w:val="none"/>
                <w:lang w:val="en-US" w:eastAsia="zh-CN"/>
              </w:rPr>
              <w:t>6.38</w:t>
            </w:r>
            <w:r>
              <w:rPr>
                <w:rFonts w:ascii="Times New Roman" w:hAnsi="Times New Roman" w:eastAsia="宋体"/>
                <w:b w:val="0"/>
                <w:bCs/>
                <w:caps w:val="0"/>
                <w:smallCaps w:val="0"/>
                <w:color w:val="auto"/>
                <w:spacing w:val="0"/>
                <w:sz w:val="21"/>
                <w:szCs w:val="21"/>
                <w:highlight w:val="none"/>
              </w:rPr>
              <w:t>×10</w:t>
            </w:r>
            <w:r>
              <w:rPr>
                <w:rFonts w:ascii="Times New Roman" w:hAnsi="Times New Roman" w:eastAsia="宋体"/>
                <w:b w:val="0"/>
                <w:bCs/>
                <w:caps w:val="0"/>
                <w:smallCaps w:val="0"/>
                <w:color w:val="auto"/>
                <w:spacing w:val="0"/>
                <w:sz w:val="21"/>
                <w:szCs w:val="21"/>
                <w:highlight w:val="none"/>
                <w:vertAlign w:val="superscript"/>
              </w:rPr>
              <w:t>-</w:t>
            </w:r>
            <w:r>
              <w:rPr>
                <w:rFonts w:hint="eastAsia" w:ascii="Times New Roman" w:hAnsi="Times New Roman" w:eastAsia="宋体"/>
                <w:b w:val="0"/>
                <w:bCs/>
                <w:caps w:val="0"/>
                <w:smallCaps w:val="0"/>
                <w:color w:val="auto"/>
                <w:spacing w:val="0"/>
                <w:sz w:val="21"/>
                <w:szCs w:val="21"/>
                <w:highlight w:val="none"/>
                <w:vertAlign w:val="superscript"/>
                <w:lang w:val="en-US" w:eastAsia="zh-CN"/>
              </w:rPr>
              <w:t>5</w:t>
            </w:r>
          </w:p>
        </w:tc>
        <w:tc>
          <w:tcPr>
            <w:tcW w:w="630" w:type="pct"/>
            <w:tcBorders>
              <w:tl2br w:val="nil"/>
              <w:tr2bl w:val="nil"/>
            </w:tcBorders>
            <w:vAlign w:val="center"/>
          </w:tcPr>
          <w:p w14:paraId="0E68D820">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hint="eastAsia" w:eastAsia="宋体" w:asciiTheme="minorHAnsi"/>
                <w:caps w:val="0"/>
                <w:smallCaps w:val="0"/>
                <w:color w:val="auto"/>
                <w:spacing w:val="0"/>
                <w:highlight w:val="none"/>
                <w:lang w:val="en-US" w:eastAsia="zh-CN"/>
              </w:rPr>
            </w:pPr>
            <w:r>
              <w:rPr>
                <w:rFonts w:hint="eastAsia" w:ascii="Times New Roman" w:hAnsi="Times New Roman" w:eastAsia="宋体" w:cs="Times New Roman"/>
                <w:bCs/>
                <w:caps w:val="0"/>
                <w:smallCaps w:val="0"/>
                <w:color w:val="auto"/>
                <w:spacing w:val="0"/>
                <w:szCs w:val="21"/>
                <w:highlight w:val="none"/>
                <w:lang w:val="en-US" w:eastAsia="zh-CN"/>
              </w:rPr>
              <w:t>3.19</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4</w:t>
            </w:r>
          </w:p>
        </w:tc>
        <w:tc>
          <w:tcPr>
            <w:tcW w:w="630" w:type="pct"/>
            <w:tcBorders>
              <w:tl2br w:val="nil"/>
              <w:tr2bl w:val="nil"/>
            </w:tcBorders>
            <w:vAlign w:val="center"/>
          </w:tcPr>
          <w:p w14:paraId="466CAB7F">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highlight w:val="none"/>
                <w:lang w:eastAsia="en-US"/>
              </w:rPr>
            </w:pPr>
            <w:r>
              <w:rPr>
                <w:rFonts w:hint="eastAsia" w:ascii="Times New Roman" w:hAnsi="Times New Roman" w:eastAsia="宋体" w:cs="Times New Roman"/>
                <w:bCs/>
                <w:caps w:val="0"/>
                <w:smallCaps w:val="0"/>
                <w:color w:val="auto"/>
                <w:spacing w:val="0"/>
                <w:szCs w:val="21"/>
                <w:highlight w:val="none"/>
                <w:lang w:val="en-US" w:eastAsia="zh-CN"/>
              </w:rPr>
              <w:t>6.38</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4</w:t>
            </w:r>
          </w:p>
        </w:tc>
        <w:tc>
          <w:tcPr>
            <w:tcW w:w="701" w:type="pct"/>
            <w:tcBorders>
              <w:tl2br w:val="nil"/>
              <w:tr2bl w:val="nil"/>
            </w:tcBorders>
            <w:vAlign w:val="center"/>
          </w:tcPr>
          <w:p w14:paraId="41618049">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highlight w:val="none"/>
                <w:lang w:eastAsia="en-US"/>
              </w:rPr>
            </w:pPr>
            <w:r>
              <w:rPr>
                <w:rFonts w:hint="eastAsia" w:ascii="Times New Roman" w:hAnsi="Times New Roman" w:eastAsia="宋体" w:cs="Times New Roman"/>
                <w:bCs/>
                <w:caps w:val="0"/>
                <w:smallCaps w:val="0"/>
                <w:color w:val="auto"/>
                <w:spacing w:val="0"/>
                <w:szCs w:val="21"/>
                <w:highlight w:val="none"/>
                <w:lang w:val="en-US" w:eastAsia="zh-CN"/>
              </w:rPr>
              <w:t>9.56</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4</w:t>
            </w:r>
          </w:p>
        </w:tc>
        <w:tc>
          <w:tcPr>
            <w:tcW w:w="658" w:type="pct"/>
            <w:tcBorders>
              <w:tl2br w:val="nil"/>
              <w:tr2bl w:val="nil"/>
            </w:tcBorders>
            <w:vAlign w:val="center"/>
          </w:tcPr>
          <w:p w14:paraId="128DEC28">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hint="eastAsia" w:eastAsia="宋体" w:asciiTheme="minorHAnsi"/>
                <w:caps w:val="0"/>
                <w:smallCaps w:val="0"/>
                <w:color w:val="auto"/>
                <w:spacing w:val="0"/>
                <w:sz w:val="21"/>
                <w:szCs w:val="21"/>
                <w:highlight w:val="none"/>
                <w:lang w:val="en-US" w:eastAsia="zh-CN"/>
              </w:rPr>
            </w:pPr>
            <w:r>
              <w:rPr>
                <w:rFonts w:hint="eastAsia" w:ascii="Times New Roman" w:hAnsi="Times New Roman" w:eastAsia="宋体" w:cs="Times New Roman"/>
                <w:bCs/>
                <w:caps w:val="0"/>
                <w:smallCaps w:val="0"/>
                <w:color w:val="auto"/>
                <w:spacing w:val="0"/>
                <w:sz w:val="21"/>
                <w:szCs w:val="21"/>
                <w:highlight w:val="none"/>
                <w:lang w:val="en-US" w:eastAsia="zh-CN"/>
              </w:rPr>
              <w:t>1.28</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556" w:type="pct"/>
            <w:vMerge w:val="restart"/>
            <w:tcBorders>
              <w:tl2br w:val="nil"/>
              <w:tr2bl w:val="nil"/>
            </w:tcBorders>
            <w:vAlign w:val="center"/>
          </w:tcPr>
          <w:p w14:paraId="5E8DA133">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hint="default" w:eastAsia="宋体" w:asciiTheme="minorHAnsi"/>
                <w:caps w:val="0"/>
                <w:smallCaps w:val="0"/>
                <w:color w:val="auto"/>
                <w:spacing w:val="0"/>
                <w:sz w:val="21"/>
                <w:szCs w:val="21"/>
                <w:highlight w:val="none"/>
                <w:lang w:val="en-US" w:eastAsia="zh-CN"/>
              </w:rPr>
            </w:pPr>
            <w:r>
              <w:rPr>
                <w:rFonts w:ascii="Times New Roman" w:hAnsi="Times New Roman" w:eastAsia="宋体" w:cs="Times New Roman"/>
                <w:caps w:val="0"/>
                <w:smallCaps w:val="0"/>
                <w:color w:val="auto"/>
                <w:spacing w:val="0"/>
                <w:kern w:val="0"/>
                <w:sz w:val="21"/>
                <w:szCs w:val="21"/>
                <w:highlight w:val="none"/>
              </w:rPr>
              <w:t>间二甲苯+对二甲苯</w:t>
            </w:r>
            <w:r>
              <w:rPr>
                <w:rFonts w:hint="eastAsia" w:ascii="Times New Roman" w:hAnsi="Times New Roman" w:eastAsia="宋体" w:cs="Times New Roman"/>
                <w:caps w:val="0"/>
                <w:smallCaps w:val="0"/>
                <w:color w:val="auto"/>
                <w:spacing w:val="0"/>
                <w:kern w:val="0"/>
                <w:sz w:val="21"/>
                <w:szCs w:val="21"/>
                <w:highlight w:val="none"/>
                <w:lang w:val="en-US" w:eastAsia="zh-CN"/>
              </w:rPr>
              <w:t>+邻二甲苯合计值1210</w:t>
            </w:r>
          </w:p>
        </w:tc>
      </w:tr>
      <w:tr w14:paraId="419D19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vMerge w:val="continue"/>
            <w:tcBorders>
              <w:tl2br w:val="nil"/>
              <w:tr2bl w:val="nil"/>
            </w:tcBorders>
            <w:vAlign w:val="center"/>
          </w:tcPr>
          <w:p w14:paraId="6988EDBC">
            <w:pPr>
              <w:pStyle w:val="237"/>
              <w:widowControl w:val="0"/>
              <w:autoSpaceDE w:val="0"/>
              <w:autoSpaceDN w:val="0"/>
              <w:ind w:left="22" w:right="22"/>
              <w:rPr>
                <w:rFonts w:asciiTheme="minorHAnsi" w:eastAsiaTheme="minorEastAsia"/>
                <w:caps w:val="0"/>
                <w:smallCaps w:val="0"/>
                <w:color w:val="auto"/>
                <w:spacing w:val="0"/>
                <w:sz w:val="2"/>
                <w:szCs w:val="2"/>
                <w:highlight w:val="none"/>
                <w:lang w:eastAsia="en-US"/>
              </w:rPr>
            </w:pPr>
          </w:p>
        </w:tc>
        <w:tc>
          <w:tcPr>
            <w:tcW w:w="946" w:type="pct"/>
            <w:tcBorders>
              <w:tl2br w:val="nil"/>
              <w:tr2bl w:val="nil"/>
            </w:tcBorders>
            <w:vAlign w:val="center"/>
          </w:tcPr>
          <w:p w14:paraId="52DD9E22">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position w:val="2"/>
                <w:highlight w:val="none"/>
                <w:vertAlign w:val="subscript"/>
                <w:lang w:eastAsia="en-US"/>
              </w:rPr>
            </w:pPr>
            <w:r>
              <w:rPr>
                <w:rFonts w:asciiTheme="minorHAnsi" w:eastAsiaTheme="minorEastAsia"/>
                <w:caps w:val="0"/>
                <w:smallCaps w:val="0"/>
                <w:color w:val="auto"/>
                <w:spacing w:val="0"/>
                <w:position w:val="2"/>
                <w:highlight w:val="none"/>
                <w:lang w:eastAsia="en-US"/>
              </w:rPr>
              <w:t>现状值S</w:t>
            </w:r>
            <w:r>
              <w:rPr>
                <w:rFonts w:asciiTheme="minorHAnsi" w:eastAsiaTheme="minorEastAsia"/>
                <w:caps w:val="0"/>
                <w:smallCaps w:val="0"/>
                <w:color w:val="auto"/>
                <w:spacing w:val="0"/>
                <w:position w:val="2"/>
                <w:highlight w:val="none"/>
                <w:vertAlign w:val="subscript"/>
                <w:lang w:eastAsia="en-US"/>
              </w:rPr>
              <w:t>b</w:t>
            </w:r>
          </w:p>
          <w:p w14:paraId="62139644">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highlight w:val="none"/>
                <w:lang w:eastAsia="en-US"/>
              </w:rPr>
            </w:pPr>
            <w:r>
              <w:rPr>
                <w:rFonts w:hint="eastAsia" w:asciiTheme="minorHAnsi" w:eastAsiaTheme="minorEastAsia"/>
                <w:caps w:val="0"/>
                <w:smallCaps w:val="0"/>
                <w:color w:val="auto"/>
                <w:spacing w:val="0"/>
                <w:position w:val="2"/>
                <w:highlight w:val="none"/>
                <w:lang w:eastAsia="en-US"/>
              </w:rPr>
              <w:t>（检出限一半）</w:t>
            </w:r>
          </w:p>
        </w:tc>
        <w:tc>
          <w:tcPr>
            <w:tcW w:w="552" w:type="pct"/>
            <w:tcBorders>
              <w:tl2br w:val="nil"/>
              <w:tr2bl w:val="nil"/>
            </w:tcBorders>
            <w:vAlign w:val="center"/>
          </w:tcPr>
          <w:p w14:paraId="3FA814C5">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hint="eastAsia" w:eastAsia="宋体" w:asciiTheme="minorHAnsi"/>
                <w:caps w:val="0"/>
                <w:smallCaps w:val="0"/>
                <w:color w:val="auto"/>
                <w:spacing w:val="0"/>
                <w:highlight w:val="none"/>
                <w:lang w:eastAsia="zh-CN"/>
              </w:rPr>
            </w:pPr>
            <w:r>
              <w:rPr>
                <w:rFonts w:hint="eastAsia" w:ascii="Times New Roman" w:hAnsi="Times New Roman" w:eastAsia="宋体" w:cs="Times New Roman"/>
                <w:bCs/>
                <w:caps w:val="0"/>
                <w:smallCaps w:val="0"/>
                <w:color w:val="auto"/>
                <w:spacing w:val="0"/>
                <w:szCs w:val="21"/>
                <w:highlight w:val="none"/>
                <w:lang w:val="en-US" w:eastAsia="zh-CN"/>
              </w:rPr>
              <w:t>2.46</w:t>
            </w:r>
            <w:r>
              <w:rPr>
                <w:rFonts w:ascii="Times New Roman" w:hAnsi="Times New Roman" w:eastAsia="宋体" w:cs="Times New Roman"/>
                <w:bCs/>
                <w:caps w:val="0"/>
                <w:smallCaps w:val="0"/>
                <w:color w:val="auto"/>
                <w:spacing w:val="0"/>
                <w:szCs w:val="21"/>
                <w:highlight w:val="none"/>
                <w:lang w:eastAsia="en-US"/>
              </w:rPr>
              <w:t>×10</w:t>
            </w:r>
            <w:r>
              <w:rPr>
                <w:rFonts w:ascii="Times New Roman" w:hAnsi="Times New Roman" w:eastAsia="宋体" w:cs="Times New Roman"/>
                <w:bCs/>
                <w:caps w:val="0"/>
                <w:smallCaps w:val="0"/>
                <w:color w:val="auto"/>
                <w:spacing w:val="0"/>
                <w:szCs w:val="21"/>
                <w:highlight w:val="none"/>
                <w:vertAlign w:val="superscript"/>
                <w:lang w:eastAsia="en-US"/>
              </w:rPr>
              <w:t>-</w:t>
            </w:r>
            <w:r>
              <w:rPr>
                <w:rFonts w:hint="eastAsia" w:ascii="Times New Roman" w:hAnsi="Times New Roman" w:eastAsia="宋体" w:cs="Times New Roman"/>
                <w:bCs/>
                <w:caps w:val="0"/>
                <w:smallCaps w:val="0"/>
                <w:color w:val="auto"/>
                <w:spacing w:val="0"/>
                <w:szCs w:val="21"/>
                <w:highlight w:val="none"/>
                <w:vertAlign w:val="superscript"/>
                <w:lang w:val="en-US" w:eastAsia="zh-CN"/>
              </w:rPr>
              <w:t>3</w:t>
            </w:r>
          </w:p>
        </w:tc>
        <w:tc>
          <w:tcPr>
            <w:tcW w:w="630" w:type="pct"/>
            <w:tcBorders>
              <w:tl2br w:val="nil"/>
              <w:tr2bl w:val="nil"/>
            </w:tcBorders>
            <w:vAlign w:val="center"/>
          </w:tcPr>
          <w:p w14:paraId="1A11CDFA">
            <w:pPr>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2.46</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630" w:type="pct"/>
            <w:tcBorders>
              <w:tl2br w:val="nil"/>
              <w:tr2bl w:val="nil"/>
            </w:tcBorders>
            <w:vAlign w:val="center"/>
          </w:tcPr>
          <w:p w14:paraId="62C0F23F">
            <w:pPr>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2.46</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701" w:type="pct"/>
            <w:tcBorders>
              <w:tl2br w:val="nil"/>
              <w:tr2bl w:val="nil"/>
            </w:tcBorders>
            <w:vAlign w:val="center"/>
          </w:tcPr>
          <w:p w14:paraId="153BCC14">
            <w:pPr>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2.46</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658" w:type="pct"/>
            <w:tcBorders>
              <w:tl2br w:val="nil"/>
              <w:tr2bl w:val="nil"/>
            </w:tcBorders>
            <w:vAlign w:val="center"/>
          </w:tcPr>
          <w:p w14:paraId="6D8A2245">
            <w:pPr>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2.46</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556" w:type="pct"/>
            <w:vMerge w:val="continue"/>
            <w:tcBorders>
              <w:tl2br w:val="nil"/>
              <w:tr2bl w:val="nil"/>
            </w:tcBorders>
            <w:vAlign w:val="center"/>
          </w:tcPr>
          <w:p w14:paraId="6A64C53F">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
                <w:szCs w:val="2"/>
                <w:highlight w:val="none"/>
                <w:lang w:eastAsia="en-US"/>
              </w:rPr>
            </w:pPr>
          </w:p>
        </w:tc>
      </w:tr>
      <w:tr w14:paraId="7766C6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24" w:type="pct"/>
            <w:vMerge w:val="continue"/>
            <w:tcBorders>
              <w:tl2br w:val="nil"/>
              <w:tr2bl w:val="nil"/>
            </w:tcBorders>
            <w:vAlign w:val="center"/>
          </w:tcPr>
          <w:p w14:paraId="7EF0C202">
            <w:pPr>
              <w:pStyle w:val="237"/>
              <w:widowControl w:val="0"/>
              <w:autoSpaceDE w:val="0"/>
              <w:autoSpaceDN w:val="0"/>
              <w:ind w:left="22" w:right="22"/>
              <w:rPr>
                <w:rFonts w:asciiTheme="minorHAnsi" w:eastAsiaTheme="minorEastAsia"/>
                <w:caps w:val="0"/>
                <w:smallCaps w:val="0"/>
                <w:color w:val="auto"/>
                <w:spacing w:val="0"/>
                <w:sz w:val="2"/>
                <w:szCs w:val="2"/>
                <w:highlight w:val="none"/>
                <w:lang w:eastAsia="en-US"/>
              </w:rPr>
            </w:pPr>
          </w:p>
        </w:tc>
        <w:tc>
          <w:tcPr>
            <w:tcW w:w="946" w:type="pct"/>
            <w:tcBorders>
              <w:tl2br w:val="nil"/>
              <w:tr2bl w:val="nil"/>
            </w:tcBorders>
            <w:vAlign w:val="center"/>
          </w:tcPr>
          <w:p w14:paraId="67AC752B">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highlight w:val="none"/>
                <w:lang w:eastAsia="en-US"/>
              </w:rPr>
            </w:pPr>
            <w:r>
              <w:rPr>
                <w:rFonts w:asciiTheme="minorHAnsi" w:eastAsiaTheme="minorEastAsia"/>
                <w:caps w:val="0"/>
                <w:smallCaps w:val="0"/>
                <w:color w:val="auto"/>
                <w:spacing w:val="0"/>
                <w:highlight w:val="none"/>
                <w:lang w:eastAsia="en-US"/>
              </w:rPr>
              <w:t>预测值S</w:t>
            </w:r>
          </w:p>
        </w:tc>
        <w:tc>
          <w:tcPr>
            <w:tcW w:w="552" w:type="pct"/>
            <w:tcBorders>
              <w:tl2br w:val="nil"/>
              <w:tr2bl w:val="nil"/>
            </w:tcBorders>
            <w:vAlign w:val="center"/>
          </w:tcPr>
          <w:p w14:paraId="0DD3FCD4">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hint="eastAsia"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2.52</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630" w:type="pct"/>
            <w:tcBorders>
              <w:tl2br w:val="nil"/>
              <w:tr2bl w:val="nil"/>
            </w:tcBorders>
            <w:vAlign w:val="center"/>
          </w:tcPr>
          <w:p w14:paraId="09207693">
            <w:pPr>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2.78</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630" w:type="pct"/>
            <w:tcBorders>
              <w:tl2br w:val="nil"/>
              <w:tr2bl w:val="nil"/>
            </w:tcBorders>
            <w:vAlign w:val="center"/>
          </w:tcPr>
          <w:p w14:paraId="58C14ED2">
            <w:pPr>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3.10</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701" w:type="pct"/>
            <w:tcBorders>
              <w:tl2br w:val="nil"/>
              <w:tr2bl w:val="nil"/>
            </w:tcBorders>
            <w:vAlign w:val="center"/>
          </w:tcPr>
          <w:p w14:paraId="578276EE">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3.48</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658" w:type="pct"/>
            <w:tcBorders>
              <w:tl2br w:val="nil"/>
              <w:tr2bl w:val="nil"/>
            </w:tcBorders>
            <w:vAlign w:val="center"/>
          </w:tcPr>
          <w:p w14:paraId="310B81B8">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asciiTheme="minorHAnsi" w:eastAsiaTheme="minorEastAsia"/>
                <w:caps w:val="0"/>
                <w:smallCaps w:val="0"/>
                <w:color w:val="auto"/>
                <w:spacing w:val="0"/>
                <w:sz w:val="21"/>
                <w:szCs w:val="21"/>
                <w:highlight w:val="none"/>
                <w:lang w:eastAsia="en-US"/>
              </w:rPr>
            </w:pPr>
            <w:r>
              <w:rPr>
                <w:rFonts w:hint="eastAsia" w:ascii="Times New Roman" w:hAnsi="Times New Roman" w:eastAsia="宋体" w:cs="Times New Roman"/>
                <w:bCs/>
                <w:caps w:val="0"/>
                <w:smallCaps w:val="0"/>
                <w:color w:val="auto"/>
                <w:spacing w:val="0"/>
                <w:sz w:val="21"/>
                <w:szCs w:val="21"/>
                <w:highlight w:val="none"/>
                <w:lang w:val="en-US" w:eastAsia="zh-CN"/>
              </w:rPr>
              <w:t>3.74</w:t>
            </w:r>
            <w:r>
              <w:rPr>
                <w:rFonts w:ascii="Times New Roman" w:hAnsi="Times New Roman" w:eastAsia="宋体" w:cs="Times New Roman"/>
                <w:bCs/>
                <w:caps w:val="0"/>
                <w:smallCaps w:val="0"/>
                <w:color w:val="auto"/>
                <w:spacing w:val="0"/>
                <w:sz w:val="21"/>
                <w:szCs w:val="21"/>
                <w:highlight w:val="none"/>
                <w:lang w:eastAsia="en-US"/>
              </w:rPr>
              <w:t>×10</w:t>
            </w:r>
            <w:r>
              <w:rPr>
                <w:rFonts w:ascii="Times New Roman" w:hAnsi="Times New Roman" w:eastAsia="宋体" w:cs="Times New Roman"/>
                <w:bCs/>
                <w:caps w:val="0"/>
                <w:smallCaps w:val="0"/>
                <w:color w:val="auto"/>
                <w:spacing w:val="0"/>
                <w:sz w:val="21"/>
                <w:szCs w:val="21"/>
                <w:highlight w:val="none"/>
                <w:vertAlign w:val="superscript"/>
                <w:lang w:eastAsia="en-US"/>
              </w:rPr>
              <w:t>-</w:t>
            </w:r>
            <w:r>
              <w:rPr>
                <w:rFonts w:hint="eastAsia" w:ascii="Times New Roman" w:hAnsi="Times New Roman" w:eastAsia="宋体" w:cs="Times New Roman"/>
                <w:bCs/>
                <w:caps w:val="0"/>
                <w:smallCaps w:val="0"/>
                <w:color w:val="auto"/>
                <w:spacing w:val="0"/>
                <w:sz w:val="21"/>
                <w:szCs w:val="21"/>
                <w:highlight w:val="none"/>
                <w:vertAlign w:val="superscript"/>
                <w:lang w:val="en-US" w:eastAsia="zh-CN"/>
              </w:rPr>
              <w:t>3</w:t>
            </w:r>
          </w:p>
        </w:tc>
        <w:tc>
          <w:tcPr>
            <w:tcW w:w="556" w:type="pct"/>
            <w:vMerge w:val="continue"/>
            <w:tcBorders>
              <w:tl2br w:val="nil"/>
              <w:tr2bl w:val="nil"/>
            </w:tcBorders>
            <w:vAlign w:val="center"/>
          </w:tcPr>
          <w:p w14:paraId="426AC933">
            <w:pPr>
              <w:pStyle w:val="237"/>
              <w:keepNext w:val="0"/>
              <w:keepLines w:val="0"/>
              <w:pageBreakBefore w:val="0"/>
              <w:widowControl w:val="0"/>
              <w:kinsoku/>
              <w:wordWrap/>
              <w:overflowPunct/>
              <w:topLinePunct w:val="0"/>
              <w:autoSpaceDE w:val="0"/>
              <w:autoSpaceDN w:val="0"/>
              <w:bidi w:val="0"/>
              <w:spacing w:line="240" w:lineRule="auto"/>
              <w:ind w:left="0" w:leftChars="0" w:right="0" w:rightChars="0"/>
              <w:jc w:val="center"/>
              <w:textAlignment w:val="auto"/>
              <w:rPr>
                <w:rFonts w:asciiTheme="minorHAnsi" w:eastAsiaTheme="minorEastAsia"/>
                <w:caps w:val="0"/>
                <w:smallCaps w:val="0"/>
                <w:color w:val="auto"/>
                <w:spacing w:val="0"/>
                <w:sz w:val="2"/>
                <w:szCs w:val="2"/>
                <w:highlight w:val="none"/>
                <w:lang w:eastAsia="en-US"/>
              </w:rPr>
            </w:pPr>
          </w:p>
        </w:tc>
      </w:tr>
    </w:tbl>
    <w:p w14:paraId="422315B2">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hint="eastAsia" w:ascii="Times New Roman" w:hAnsi="Times New Roman" w:eastAsia="宋体" w:cs="Times New Roman"/>
          <w:caps w:val="0"/>
          <w:smallCaps w:val="0"/>
          <w:color w:val="auto"/>
          <w:spacing w:val="0"/>
          <w:szCs w:val="28"/>
          <w:highlight w:val="none"/>
          <w:lang w:val="zh-CN"/>
        </w:rPr>
        <w:t>根据上表可知，</w:t>
      </w:r>
      <w:r>
        <w:rPr>
          <w:rFonts w:hint="eastAsia" w:ascii="Times New Roman" w:hAnsi="Times New Roman" w:eastAsia="宋体" w:cs="Times New Roman"/>
          <w:caps w:val="0"/>
          <w:smallCaps w:val="0"/>
          <w:color w:val="auto"/>
          <w:spacing w:val="0"/>
          <w:szCs w:val="28"/>
          <w:highlight w:val="none"/>
        </w:rPr>
        <w:t>镉及其化合物</w:t>
      </w:r>
      <w:r>
        <w:rPr>
          <w:rFonts w:hint="eastAsia" w:ascii="Times New Roman" w:hAnsi="Times New Roman" w:eastAsia="宋体" w:cs="Times New Roman"/>
          <w:caps w:val="0"/>
          <w:smallCaps w:val="0"/>
          <w:color w:val="auto"/>
          <w:spacing w:val="0"/>
          <w:szCs w:val="28"/>
          <w:highlight w:val="none"/>
          <w:lang w:eastAsia="zh-CN"/>
        </w:rPr>
        <w:t>、</w:t>
      </w:r>
      <w:r>
        <w:rPr>
          <w:rFonts w:hint="eastAsia" w:ascii="Times New Roman" w:hAnsi="Times New Roman" w:eastAsia="宋体" w:cs="Times New Roman"/>
          <w:caps w:val="0"/>
          <w:smallCaps w:val="0"/>
          <w:color w:val="auto"/>
          <w:spacing w:val="0"/>
          <w:szCs w:val="28"/>
          <w:highlight w:val="none"/>
          <w:lang w:val="en-US" w:eastAsia="zh-CN"/>
        </w:rPr>
        <w:t>二甲苯</w:t>
      </w:r>
      <w:r>
        <w:rPr>
          <w:rFonts w:hint="eastAsia" w:ascii="Times New Roman" w:hAnsi="Times New Roman" w:eastAsia="宋体" w:cs="Times New Roman"/>
          <w:caps w:val="0"/>
          <w:smallCaps w:val="0"/>
          <w:color w:val="auto"/>
          <w:spacing w:val="0"/>
          <w:szCs w:val="28"/>
          <w:highlight w:val="none"/>
          <w:lang w:val="zh-CN"/>
        </w:rPr>
        <w:t>通过大气沉降，20年后粉尘中所含污染物累积输入土壤的量，再叠加现状监测结果最大值，均未超过《土壤环境质量 建设用地土壤污染风险管控标准（试行）》（GB36600-2018）第二类用地筛选值标准限值可见，正常情况下粉尘沉降对土壤的环境影响较小，</w:t>
      </w:r>
      <w:r>
        <w:rPr>
          <w:rFonts w:ascii="Times New Roman" w:hAnsi="Times New Roman" w:eastAsia="宋体" w:cs="Times New Roman"/>
          <w:caps w:val="0"/>
          <w:smallCaps w:val="0"/>
          <w:color w:val="auto"/>
          <w:spacing w:val="0"/>
          <w:szCs w:val="28"/>
          <w:highlight w:val="none"/>
          <w:lang w:val="zh-CN"/>
        </w:rPr>
        <w:t>不会对周边土壤产生明显影响。</w:t>
      </w:r>
    </w:p>
    <w:p w14:paraId="385FE5E5">
      <w:pPr>
        <w:pStyle w:val="65"/>
        <w:widowControl w:val="0"/>
        <w:ind w:firstLine="0" w:firstLineChars="0"/>
        <w:outlineLvl w:val="2"/>
        <w:rPr>
          <w:rFonts w:eastAsia="宋体"/>
          <w:b/>
          <w:bCs/>
          <w:caps w:val="0"/>
          <w:smallCaps w:val="0"/>
          <w:color w:val="auto"/>
          <w:spacing w:val="0"/>
          <w:kern w:val="0"/>
          <w:sz w:val="30"/>
          <w:szCs w:val="30"/>
          <w:highlight w:val="none"/>
          <w:lang w:bidi="ar"/>
        </w:rPr>
      </w:pPr>
      <w:bookmarkStart w:id="176" w:name="_Toc30012"/>
      <w:r>
        <w:rPr>
          <w:rFonts w:eastAsia="宋体"/>
          <w:b/>
          <w:bCs/>
          <w:caps w:val="0"/>
          <w:smallCaps w:val="0"/>
          <w:color w:val="auto"/>
          <w:spacing w:val="0"/>
          <w:kern w:val="0"/>
          <w:sz w:val="30"/>
          <w:szCs w:val="30"/>
          <w:highlight w:val="none"/>
          <w:lang w:bidi="ar"/>
        </w:rPr>
        <w:t>5.2.6运营期地下水环境影响预测与评价</w:t>
      </w:r>
      <w:bookmarkEnd w:id="176"/>
    </w:p>
    <w:p w14:paraId="731DC164">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5.2.6.1地下水影响识别</w:t>
      </w:r>
    </w:p>
    <w:p w14:paraId="4969D9A2">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根据项目工程分析，本项目运行期可能造成的地下水污染途径包括：</w:t>
      </w:r>
    </w:p>
    <w:p w14:paraId="0B15AD4F">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正常状况下：生产废水的含镉污水在污水处理系统各处理设施内进行收集处理，所有设备和水箱均置于地上，项目废水收集水箱采用PE（聚乙烯）材质，事故水箱采用FRP（纤维增强复合材料）材质，各处理设施均采用PP、PE及FRP材质，正常工况下的漏失量极小，可忽略不计。项目污水管道采用UPVC管，最大管径50mm，总长度约500m，根据《给水排水管道工程施工及验收规范》（GB50268-2008），项目含镉污水管道可能产生渗水进入地下水环境。</w:t>
      </w:r>
    </w:p>
    <w:p w14:paraId="3E5AC6E8">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非正常状况下：污水处理系统各处理设施或系统发生破损，污水在污水处理间地面入渗，使得废水进入地下水系统。由于所有水箱和处理装置都为地上形式，一旦发生破损或泄漏，会及时发现并处理，不会对地下水环境产生严重影响，故非常工况下考虑污水管道入渗量加大进入地下水环境。</w:t>
      </w:r>
    </w:p>
    <w:p w14:paraId="0769F122">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5.2.6.2地下水影响预测</w:t>
      </w:r>
    </w:p>
    <w:p w14:paraId="310617BC">
      <w:pPr>
        <w:widowControl w:val="0"/>
        <w:numPr>
          <w:ilvl w:val="0"/>
          <w:numId w:val="16"/>
        </w:num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正常工况</w:t>
      </w:r>
    </w:p>
    <w:p w14:paraId="468E52C4">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正常情况下，项目含镉废水经污水处理设施处理，显影清洗废水与含镉废水处理系统反渗透浓水一并采用三效蒸发工艺进行处理，产生的纯水回用于显影清洗工序，实现废水零排放；碱性废水经污水处理站pH中和后和生活污水收集处理达标后排入市政污水管网，经佳木斯市高新区污水处理厂处理。建设单位按照设计规范要求进行相关工程防渗措施，采取严格的防渗、防溢流、防泄漏、防腐蚀等措施，且设施未发生破坏的正常运行情况下污水不会渗入和进入地下。</w:t>
      </w:r>
    </w:p>
    <w:p w14:paraId="1A9812F3">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2、非正常状况对地下水环境影响分析</w:t>
      </w:r>
    </w:p>
    <w:p w14:paraId="3F3C751E">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（1）地下水环境影响途径分析</w:t>
      </w:r>
    </w:p>
    <w:p w14:paraId="446B06F0">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一般来说，渗透污染是导致地下水污染的普遍方式，污水的跑、冒、滴、漏以及非正常状况下污染物的泄漏等都可能通过包气带渗透到潜水含水层中，造成地下水的污染。本项目正常状况下，污水处理站、危险废物贮存库内均设置重点防渗层及防腐，污染物不会下渗到潜水含水层中。非正常状况下，建设项目的工艺设备或地下水环境保护措施因系统老化、腐蚀等原因不能正常运行或保护效果达不到设计要求，或者事故状态下、不可抗拒自然灾害情况下，出现防渗层破损等情况，污水处理站内污染物泄漏穿透包气带进入含水层中，对地下水造成污染。</w:t>
      </w:r>
    </w:p>
    <w:p w14:paraId="70A34B3B">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（2）预测情景</w:t>
      </w:r>
    </w:p>
    <w:p w14:paraId="2DE443BF">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①情景设置和预测因子</w:t>
      </w:r>
    </w:p>
    <w:p w14:paraId="575B5EFD">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本次预测选取含镉生产废水作为预测对象，废水中主要含有Cd等污染物，选取Cd</w:t>
      </w:r>
      <w:r>
        <w:rPr>
          <w:rFonts w:hint="eastAsia" w:ascii="Times New Roman" w:hAnsi="Times New Roman" w:eastAsia="宋体" w:cs="Times New Roman"/>
          <w:caps w:val="0"/>
          <w:smallCaps w:val="0"/>
          <w:color w:val="auto"/>
          <w:spacing w:val="0"/>
          <w:szCs w:val="28"/>
          <w:highlight w:val="none"/>
        </w:rPr>
        <w:t>、COD</w:t>
      </w:r>
      <w:r>
        <w:rPr>
          <w:rFonts w:ascii="Times New Roman" w:hAnsi="Times New Roman" w:eastAsia="宋体" w:cs="Times New Roman"/>
          <w:caps w:val="0"/>
          <w:smallCaps w:val="0"/>
          <w:color w:val="auto"/>
          <w:spacing w:val="0"/>
          <w:szCs w:val="28"/>
          <w:highlight w:val="none"/>
        </w:rPr>
        <w:t>作为预测因子。</w:t>
      </w:r>
    </w:p>
    <w:p w14:paraId="106C3231">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含镉废水处理系统采用明管敷设，污水处理设备均位于地上，调节池、沉淀池采用钢筋混凝土结构，当管道、池体防渗层腐蚀、出现裂缝，会产生非正常的渗漏现象。考虑管道出现非正常情况下的渗漏现象，Cd</w:t>
      </w:r>
      <w:r>
        <w:rPr>
          <w:rFonts w:hint="eastAsia" w:ascii="Times New Roman" w:hAnsi="Times New Roman" w:eastAsia="宋体" w:cs="Times New Roman"/>
          <w:caps w:val="0"/>
          <w:smallCaps w:val="0"/>
          <w:color w:val="auto"/>
          <w:spacing w:val="0"/>
          <w:szCs w:val="28"/>
          <w:highlight w:val="none"/>
          <w:vertAlign w:val="superscript"/>
          <w:lang w:val="en-US" w:eastAsia="zh-CN"/>
        </w:rPr>
        <w:t>2+</w:t>
      </w:r>
      <w:r>
        <w:rPr>
          <w:rFonts w:ascii="Times New Roman" w:hAnsi="Times New Roman" w:eastAsia="宋体" w:cs="Times New Roman"/>
          <w:caps w:val="0"/>
          <w:smallCaps w:val="0"/>
          <w:color w:val="auto"/>
          <w:spacing w:val="0"/>
          <w:szCs w:val="28"/>
          <w:highlight w:val="none"/>
        </w:rPr>
        <w:t>泄漏浓度为</w:t>
      </w:r>
      <w:r>
        <w:rPr>
          <w:rFonts w:hint="eastAsia" w:ascii="Times New Roman" w:hAnsi="Times New Roman" w:eastAsia="宋体" w:cs="Times New Roman"/>
          <w:caps w:val="0"/>
          <w:smallCaps w:val="0"/>
          <w:color w:val="auto"/>
          <w:spacing w:val="0"/>
          <w:szCs w:val="28"/>
          <w:highlight w:val="none"/>
        </w:rPr>
        <w:t>5</w:t>
      </w:r>
      <w:r>
        <w:rPr>
          <w:rFonts w:ascii="Times New Roman" w:hAnsi="Times New Roman" w:eastAsia="宋体" w:cs="Times New Roman"/>
          <w:caps w:val="0"/>
          <w:smallCaps w:val="0"/>
          <w:color w:val="auto"/>
          <w:spacing w:val="0"/>
          <w:szCs w:val="28"/>
          <w:highlight w:val="none"/>
        </w:rPr>
        <w:t>mg/L</w:t>
      </w:r>
      <w:r>
        <w:rPr>
          <w:rFonts w:hint="eastAsia" w:ascii="Times New Roman" w:hAnsi="Times New Roman" w:eastAsia="宋体" w:cs="Times New Roman"/>
          <w:caps w:val="0"/>
          <w:smallCaps w:val="0"/>
          <w:color w:val="auto"/>
          <w:spacing w:val="0"/>
          <w:szCs w:val="28"/>
          <w:highlight w:val="none"/>
        </w:rPr>
        <w:t>，COD为7500mg/L</w:t>
      </w:r>
      <w:r>
        <w:rPr>
          <w:rFonts w:ascii="Times New Roman" w:hAnsi="Times New Roman" w:eastAsia="宋体" w:cs="Times New Roman"/>
          <w:caps w:val="0"/>
          <w:smallCaps w:val="0"/>
          <w:color w:val="auto"/>
          <w:spacing w:val="0"/>
          <w:szCs w:val="28"/>
          <w:highlight w:val="none"/>
        </w:rPr>
        <w:t>。</w:t>
      </w:r>
    </w:p>
    <w:p w14:paraId="7CBAA513">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②预测时段</w:t>
      </w:r>
    </w:p>
    <w:p w14:paraId="19C1F531">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预测时段按导则要求及污染物进入含水层的时间分别取30d、100d、300d、1000d。</w:t>
      </w:r>
    </w:p>
    <w:p w14:paraId="58D6DB28">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（3）预测源强</w:t>
      </w:r>
    </w:p>
    <w:p w14:paraId="07C0A157">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根据项目含镉污水处理站的进水水质特征，本项目特征污染因子主要是镉</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szCs w:val="24"/>
          <w:highlight w:val="none"/>
        </w:rPr>
        <w:t>COD</w:t>
      </w:r>
      <w:r>
        <w:rPr>
          <w:rFonts w:ascii="Times New Roman" w:hAnsi="Times New Roman" w:eastAsia="宋体" w:cs="Times New Roman"/>
          <w:caps w:val="0"/>
          <w:smallCaps w:val="0"/>
          <w:color w:val="auto"/>
          <w:spacing w:val="0"/>
          <w:highlight w:val="none"/>
        </w:rPr>
        <w:t>。根据前文工程分析，污水中镉污染物浓度约为</w:t>
      </w:r>
      <w:r>
        <w:rPr>
          <w:rFonts w:hint="eastAsia" w:ascii="Times New Roman" w:hAnsi="Times New Roman" w:eastAsia="宋体" w:cs="Times New Roman"/>
          <w:caps w:val="0"/>
          <w:smallCaps w:val="0"/>
          <w:color w:val="auto"/>
          <w:spacing w:val="0"/>
          <w:highlight w:val="none"/>
        </w:rPr>
        <w:t>5</w:t>
      </w:r>
      <w:r>
        <w:rPr>
          <w:rFonts w:ascii="Times New Roman" w:hAnsi="Times New Roman" w:eastAsia="宋体" w:cs="Times New Roman"/>
          <w:caps w:val="0"/>
          <w:smallCaps w:val="0"/>
          <w:color w:val="auto"/>
          <w:spacing w:val="0"/>
          <w:highlight w:val="none"/>
        </w:rPr>
        <w:t>mg/L，根据《给水排水管道工程施工及验收规范》（GB50268-2008），UPVC管道允许渗水量按下式计算：</w:t>
      </w:r>
    </w:p>
    <w:p w14:paraId="4FF833A6">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q＝3×Di/25×P/0.3a×1/1440</w:t>
      </w:r>
    </w:p>
    <w:p w14:paraId="1BA8F203">
      <w:pPr>
        <w:widowControl w:val="0"/>
        <w:spacing w:line="360" w:lineRule="auto"/>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式中q-允许渗水量（L/min·km）。</w:t>
      </w:r>
    </w:p>
    <w:p w14:paraId="7CF3C76E">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Di-管道内径（mm），本项目取50mm。</w:t>
      </w:r>
    </w:p>
    <w:p w14:paraId="451712E1">
      <w:pPr>
        <w:widowControl w:val="0"/>
        <w:spacing w:line="360" w:lineRule="auto"/>
        <w:ind w:firstLine="600" w:firstLineChars="25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P-工作压力（MPa），本项目取0.1MPa。</w:t>
      </w:r>
    </w:p>
    <w:p w14:paraId="0362C60D">
      <w:pPr>
        <w:widowControl w:val="0"/>
        <w:spacing w:line="360" w:lineRule="auto"/>
        <w:ind w:firstLine="600" w:firstLineChars="25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a-温度压力折减系数。当水温为0度~25度时，取1；25度~35度时取0.8；0度~45度时取0.63。本项目取1。</w:t>
      </w:r>
    </w:p>
    <w:p w14:paraId="2DB51771">
      <w:pPr>
        <w:widowControl w:val="0"/>
        <w:spacing w:line="360" w:lineRule="auto"/>
        <w:ind w:firstLine="600" w:firstLineChars="25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经计算，本项目管道允许渗水量为1.39×10</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L/min·km。本项目管道长度为0.5km，总入渗量为1.0008L/d。</w:t>
      </w:r>
    </w:p>
    <w:p w14:paraId="2C8F47E2">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（4）预测模式及参数确定</w:t>
      </w:r>
    </w:p>
    <w:p w14:paraId="21C4472D">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根据《环境影响评价技术导则 地下水环境》（HJ610-2016）要求，地下水环境影响评价三级评价预测方法可以选用解析法。根据本项目地下水的污染特性选用</w:t>
      </w:r>
      <w:r>
        <w:rPr>
          <w:rFonts w:ascii="Times New Roman" w:hAnsi="Times New Roman" w:cs="Times New Roman"/>
          <w:caps w:val="0"/>
          <w:smallCaps w:val="0"/>
          <w:color w:val="auto"/>
          <w:spacing w:val="0"/>
          <w:kern w:val="0"/>
          <w:szCs w:val="24"/>
          <w:highlight w:val="none"/>
        </w:rPr>
        <w:t>“一维半无限长多孔介质柱体，一端为定浓度边界”预测模型</w:t>
      </w:r>
      <w:r>
        <w:rPr>
          <w:rFonts w:ascii="Times New Roman" w:hAnsi="Times New Roman" w:cs="Times New Roman"/>
          <w:caps w:val="0"/>
          <w:smallCaps w:val="0"/>
          <w:color w:val="auto"/>
          <w:spacing w:val="0"/>
          <w:szCs w:val="24"/>
          <w:highlight w:val="none"/>
        </w:rPr>
        <w:t>，公式如下。</w:t>
      </w:r>
    </w:p>
    <w:p w14:paraId="251753EF">
      <w:pPr>
        <w:pStyle w:val="117"/>
        <w:widowControl/>
        <w:wordWrap w:val="0"/>
        <w:topLinePunct/>
        <w:spacing w:line="360" w:lineRule="auto"/>
        <w:ind w:firstLine="480"/>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drawing>
          <wp:inline distT="0" distB="0" distL="0" distR="0">
            <wp:extent cx="2314575" cy="542925"/>
            <wp:effectExtent l="0" t="0" r="9525" b="952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314575" cy="542925"/>
                    </a:xfrm>
                    <a:prstGeom prst="rect">
                      <a:avLst/>
                    </a:prstGeom>
                    <a:noFill/>
                    <a:ln>
                      <a:noFill/>
                    </a:ln>
                  </pic:spPr>
                </pic:pic>
              </a:graphicData>
            </a:graphic>
          </wp:inline>
        </w:drawing>
      </w:r>
    </w:p>
    <w:p w14:paraId="48E8FFA2">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式中：</w:t>
      </w:r>
      <w:r>
        <w:rPr>
          <w:rFonts w:ascii="Times New Roman" w:hAnsi="Times New Roman" w:cs="Times New Roman"/>
          <w:i/>
          <w:caps w:val="0"/>
          <w:smallCaps w:val="0"/>
          <w:color w:val="auto"/>
          <w:spacing w:val="0"/>
          <w:szCs w:val="24"/>
          <w:highlight w:val="none"/>
        </w:rPr>
        <w:t>x</w:t>
      </w:r>
      <w:r>
        <w:rPr>
          <w:rFonts w:ascii="Times New Roman" w:hAnsi="Times New Roman" w:cs="Times New Roman"/>
          <w:caps w:val="0"/>
          <w:smallCaps w:val="0"/>
          <w:color w:val="auto"/>
          <w:spacing w:val="0"/>
          <w:szCs w:val="24"/>
          <w:highlight w:val="none"/>
        </w:rPr>
        <w:t>—距注入点的距离，m；</w:t>
      </w:r>
    </w:p>
    <w:p w14:paraId="69A18664">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i/>
          <w:caps w:val="0"/>
          <w:smallCaps w:val="0"/>
          <w:color w:val="auto"/>
          <w:spacing w:val="0"/>
          <w:szCs w:val="24"/>
          <w:highlight w:val="none"/>
        </w:rPr>
        <w:t>t</w:t>
      </w:r>
      <w:r>
        <w:rPr>
          <w:rFonts w:ascii="Times New Roman" w:hAnsi="Times New Roman" w:cs="Times New Roman"/>
          <w:caps w:val="0"/>
          <w:smallCaps w:val="0"/>
          <w:color w:val="auto"/>
          <w:spacing w:val="0"/>
          <w:szCs w:val="24"/>
          <w:highlight w:val="none"/>
        </w:rPr>
        <w:t>—时间，d；</w:t>
      </w:r>
    </w:p>
    <w:p w14:paraId="4CC0A226">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i/>
          <w:caps w:val="0"/>
          <w:smallCaps w:val="0"/>
          <w:color w:val="auto"/>
          <w:spacing w:val="0"/>
          <w:szCs w:val="24"/>
          <w:highlight w:val="none"/>
        </w:rPr>
        <w:t>C</w:t>
      </w:r>
      <w:r>
        <w:rPr>
          <w:rFonts w:ascii="Times New Roman" w:hAnsi="Times New Roman" w:cs="Times New Roman"/>
          <w:caps w:val="0"/>
          <w:smallCaps w:val="0"/>
          <w:color w:val="auto"/>
          <w:spacing w:val="0"/>
          <w:szCs w:val="24"/>
          <w:highlight w:val="none"/>
        </w:rPr>
        <w:t>(</w:t>
      </w:r>
      <w:r>
        <w:rPr>
          <w:rFonts w:ascii="Times New Roman" w:hAnsi="Times New Roman" w:cs="Times New Roman"/>
          <w:i/>
          <w:caps w:val="0"/>
          <w:smallCaps w:val="0"/>
          <w:color w:val="auto"/>
          <w:spacing w:val="0"/>
          <w:szCs w:val="24"/>
          <w:highlight w:val="none"/>
        </w:rPr>
        <w:t>x</w:t>
      </w:r>
      <w:r>
        <w:rPr>
          <w:rFonts w:ascii="Times New Roman" w:hAnsi="Times New Roman" w:cs="Times New Roman"/>
          <w:caps w:val="0"/>
          <w:smallCaps w:val="0"/>
          <w:color w:val="auto"/>
          <w:spacing w:val="0"/>
          <w:szCs w:val="24"/>
          <w:highlight w:val="none"/>
        </w:rPr>
        <w:t>,</w:t>
      </w:r>
      <w:r>
        <w:rPr>
          <w:rFonts w:ascii="Times New Roman" w:hAnsi="Times New Roman" w:cs="Times New Roman"/>
          <w:i/>
          <w:caps w:val="0"/>
          <w:smallCaps w:val="0"/>
          <w:color w:val="auto"/>
          <w:spacing w:val="0"/>
          <w:szCs w:val="24"/>
          <w:highlight w:val="none"/>
        </w:rPr>
        <w:t>t</w:t>
      </w:r>
      <w:r>
        <w:rPr>
          <w:rFonts w:ascii="Times New Roman" w:hAnsi="Times New Roman" w:cs="Times New Roman"/>
          <w:caps w:val="0"/>
          <w:smallCaps w:val="0"/>
          <w:color w:val="auto"/>
          <w:spacing w:val="0"/>
          <w:szCs w:val="24"/>
          <w:highlight w:val="none"/>
        </w:rPr>
        <w:t>)—t时刻点x处的示踪剂浓度，g/L；</w:t>
      </w:r>
    </w:p>
    <w:p w14:paraId="76055500">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i/>
          <w:caps w:val="0"/>
          <w:smallCaps w:val="0"/>
          <w:color w:val="auto"/>
          <w:spacing w:val="0"/>
          <w:szCs w:val="24"/>
          <w:highlight w:val="none"/>
        </w:rPr>
        <w:t>C</w:t>
      </w:r>
      <w:r>
        <w:rPr>
          <w:rFonts w:ascii="Times New Roman" w:hAnsi="Times New Roman" w:cs="Times New Roman"/>
          <w:caps w:val="0"/>
          <w:smallCaps w:val="0"/>
          <w:color w:val="auto"/>
          <w:spacing w:val="0"/>
          <w:szCs w:val="24"/>
          <w:highlight w:val="none"/>
          <w:vertAlign w:val="subscript"/>
        </w:rPr>
        <w:t>0</w:t>
      </w:r>
      <w:r>
        <w:rPr>
          <w:rFonts w:ascii="Times New Roman" w:hAnsi="Times New Roman" w:cs="Times New Roman"/>
          <w:caps w:val="0"/>
          <w:smallCaps w:val="0"/>
          <w:color w:val="auto"/>
          <w:spacing w:val="0"/>
          <w:szCs w:val="24"/>
          <w:highlight w:val="none"/>
        </w:rPr>
        <w:t>—注入示踪剂浓度，g/L；</w:t>
      </w:r>
    </w:p>
    <w:p w14:paraId="6F18CD54">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i/>
          <w:caps w:val="0"/>
          <w:smallCaps w:val="0"/>
          <w:color w:val="auto"/>
          <w:spacing w:val="0"/>
          <w:szCs w:val="24"/>
          <w:highlight w:val="none"/>
        </w:rPr>
        <w:t>u</w:t>
      </w:r>
      <w:r>
        <w:rPr>
          <w:rFonts w:ascii="Times New Roman" w:hAnsi="Times New Roman" w:cs="Times New Roman"/>
          <w:caps w:val="0"/>
          <w:smallCaps w:val="0"/>
          <w:color w:val="auto"/>
          <w:spacing w:val="0"/>
          <w:szCs w:val="24"/>
          <w:highlight w:val="none"/>
        </w:rPr>
        <w:t>—水流速度，m/d；</w:t>
      </w:r>
    </w:p>
    <w:p w14:paraId="1491D113">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i/>
          <w:caps w:val="0"/>
          <w:smallCaps w:val="0"/>
          <w:color w:val="auto"/>
          <w:spacing w:val="0"/>
          <w:szCs w:val="24"/>
          <w:highlight w:val="none"/>
        </w:rPr>
        <w:t>D</w:t>
      </w:r>
      <w:r>
        <w:rPr>
          <w:rFonts w:ascii="Times New Roman" w:hAnsi="Times New Roman" w:cs="Times New Roman"/>
          <w:caps w:val="0"/>
          <w:smallCaps w:val="0"/>
          <w:color w:val="auto"/>
          <w:spacing w:val="0"/>
          <w:szCs w:val="24"/>
          <w:highlight w:val="none"/>
          <w:vertAlign w:val="subscript"/>
        </w:rPr>
        <w:t>L</w:t>
      </w:r>
      <w:r>
        <w:rPr>
          <w:rFonts w:ascii="Times New Roman" w:hAnsi="Times New Roman" w:cs="Times New Roman"/>
          <w:caps w:val="0"/>
          <w:smallCaps w:val="0"/>
          <w:color w:val="auto"/>
          <w:spacing w:val="0"/>
          <w:szCs w:val="24"/>
          <w:highlight w:val="none"/>
        </w:rPr>
        <w:t>—纵向弥散系数，m</w:t>
      </w:r>
      <w:r>
        <w:rPr>
          <w:rFonts w:ascii="Times New Roman" w:hAnsi="Times New Roman" w:cs="Times New Roman"/>
          <w:caps w:val="0"/>
          <w:smallCaps w:val="0"/>
          <w:color w:val="auto"/>
          <w:spacing w:val="0"/>
          <w:szCs w:val="24"/>
          <w:highlight w:val="none"/>
          <w:vertAlign w:val="superscript"/>
        </w:rPr>
        <w:t>2</w:t>
      </w:r>
      <w:r>
        <w:rPr>
          <w:rFonts w:ascii="Times New Roman" w:hAnsi="Times New Roman" w:cs="Times New Roman"/>
          <w:caps w:val="0"/>
          <w:smallCaps w:val="0"/>
          <w:color w:val="auto"/>
          <w:spacing w:val="0"/>
          <w:szCs w:val="24"/>
          <w:highlight w:val="none"/>
        </w:rPr>
        <w:t>/d；</w:t>
      </w:r>
    </w:p>
    <w:p w14:paraId="78D46619">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erfc()—余差数函数；</w:t>
      </w:r>
    </w:p>
    <w:p w14:paraId="20D06166">
      <w:pPr>
        <w:pStyle w:val="117"/>
        <w:widowControl/>
        <w:wordWrap w:val="0"/>
        <w:topLinePunct/>
        <w:spacing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②模式中参数的确定</w:t>
      </w:r>
    </w:p>
    <w:p w14:paraId="6DC323B8">
      <w:pPr>
        <w:pStyle w:val="117"/>
        <w:widowControl/>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水流速度（u）：根据达西定律u=含水层渗透系数×地下水水力坡度/有效孔隙度，本项目含水层主要由透水性较强的砂砾石组成，水力坡度为0.1～0.3%，根据《环境影响评价技术导则地下水环境》（HJ610-2016）附录B，渗透系数取25m/d；水力坡度取平均值I=0.2%；水流速度为0.05m/d。</w:t>
      </w:r>
    </w:p>
    <w:p w14:paraId="1051D825">
      <w:pPr>
        <w:pStyle w:val="117"/>
        <w:widowControl/>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弥散系数：纵横弥散系数根据含水层岩性及渗透系数、水力坡度等因素，本项目参考《海岸工程》第17卷第3期-地下水弥散系数的测定中表3弥散系数参考表，具体见下表。</w:t>
      </w:r>
    </w:p>
    <w:p w14:paraId="626AA60A">
      <w:pPr>
        <w:pStyle w:val="204"/>
        <w:ind w:firstLine="560"/>
        <w:rPr>
          <w:rFonts w:ascii="Times New Roman" w:hAnsi="Times New Roman" w:eastAsia="宋体" w:cs="Times New Roman"/>
          <w:bCs/>
          <w:caps w:val="0"/>
          <w:smallCaps w:val="0"/>
          <w:color w:val="auto"/>
          <w:spacing w:val="0"/>
          <w:sz w:val="24"/>
          <w:szCs w:val="24"/>
          <w:highlight w:val="none"/>
        </w:rPr>
      </w:pPr>
      <w:r>
        <w:rPr>
          <w:rFonts w:ascii="Times New Roman" w:hAnsi="Times New Roman" w:eastAsia="宋体" w:cs="Times New Roman"/>
          <w:bCs/>
          <w:caps w:val="0"/>
          <w:smallCaps w:val="0"/>
          <w:color w:val="auto"/>
          <w:spacing w:val="0"/>
          <w:sz w:val="24"/>
          <w:szCs w:val="24"/>
          <w:highlight w:val="none"/>
        </w:rPr>
        <w:t>表5.2-</w:t>
      </w:r>
      <w:r>
        <w:rPr>
          <w:rFonts w:hint="eastAsia" w:ascii="Times New Roman" w:hAnsi="Times New Roman" w:eastAsia="宋体" w:cs="Times New Roman"/>
          <w:bCs/>
          <w:caps w:val="0"/>
          <w:smallCaps w:val="0"/>
          <w:color w:val="auto"/>
          <w:spacing w:val="0"/>
          <w:sz w:val="24"/>
          <w:szCs w:val="24"/>
          <w:highlight w:val="none"/>
          <w:lang w:val="en-US" w:eastAsia="zh-CN"/>
        </w:rPr>
        <w:t>18</w:t>
      </w:r>
      <w:r>
        <w:rPr>
          <w:rFonts w:ascii="Times New Roman" w:hAnsi="Times New Roman" w:eastAsia="宋体" w:cs="Times New Roman"/>
          <w:bCs/>
          <w:caps w:val="0"/>
          <w:smallCaps w:val="0"/>
          <w:color w:val="auto"/>
          <w:spacing w:val="0"/>
          <w:sz w:val="24"/>
          <w:szCs w:val="24"/>
          <w:highlight w:val="none"/>
        </w:rPr>
        <w:t>弥散系数参考表</w:t>
      </w:r>
    </w:p>
    <w:tbl>
      <w:tblPr>
        <w:tblStyle w:val="22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2165"/>
        <w:gridCol w:w="2825"/>
        <w:gridCol w:w="3057"/>
      </w:tblGrid>
      <w:tr w14:paraId="3DEE6B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 w:type="pct"/>
            <w:vMerge w:val="restart"/>
            <w:vAlign w:val="center"/>
          </w:tcPr>
          <w:p w14:paraId="319C57C3">
            <w:pPr>
              <w:pStyle w:val="77"/>
              <w:rPr>
                <w:caps w:val="0"/>
                <w:smallCaps w:val="0"/>
                <w:color w:val="auto"/>
                <w:spacing w:val="0"/>
                <w:szCs w:val="21"/>
                <w:highlight w:val="none"/>
              </w:rPr>
            </w:pPr>
            <w:r>
              <w:rPr>
                <w:caps w:val="0"/>
                <w:smallCaps w:val="0"/>
                <w:color w:val="auto"/>
                <w:spacing w:val="0"/>
                <w:szCs w:val="21"/>
                <w:highlight w:val="none"/>
              </w:rPr>
              <w:t>国内外经验系数</w:t>
            </w:r>
          </w:p>
        </w:tc>
        <w:tc>
          <w:tcPr>
            <w:tcW w:w="1166" w:type="pct"/>
            <w:vAlign w:val="center"/>
          </w:tcPr>
          <w:p w14:paraId="4FC1EC28">
            <w:pPr>
              <w:pStyle w:val="77"/>
              <w:rPr>
                <w:caps w:val="0"/>
                <w:smallCaps w:val="0"/>
                <w:color w:val="auto"/>
                <w:spacing w:val="0"/>
                <w:szCs w:val="21"/>
                <w:highlight w:val="none"/>
              </w:rPr>
            </w:pPr>
            <w:r>
              <w:rPr>
                <w:caps w:val="0"/>
                <w:smallCaps w:val="0"/>
                <w:color w:val="auto"/>
                <w:spacing w:val="0"/>
                <w:szCs w:val="21"/>
                <w:highlight w:val="none"/>
              </w:rPr>
              <w:t>含水层类型</w:t>
            </w:r>
          </w:p>
        </w:tc>
        <w:tc>
          <w:tcPr>
            <w:tcW w:w="1521" w:type="pct"/>
            <w:vAlign w:val="center"/>
          </w:tcPr>
          <w:p w14:paraId="0CCFAD81">
            <w:pPr>
              <w:pStyle w:val="77"/>
              <w:rPr>
                <w:caps w:val="0"/>
                <w:smallCaps w:val="0"/>
                <w:color w:val="auto"/>
                <w:spacing w:val="0"/>
                <w:szCs w:val="21"/>
                <w:highlight w:val="none"/>
              </w:rPr>
            </w:pPr>
            <w:r>
              <w:rPr>
                <w:caps w:val="0"/>
                <w:smallCaps w:val="0"/>
                <w:color w:val="auto"/>
                <w:spacing w:val="0"/>
                <w:szCs w:val="21"/>
                <w:highlight w:val="none"/>
              </w:rPr>
              <w:t>纵向弥散系数（m</w:t>
            </w:r>
            <w:r>
              <w:rPr>
                <w:caps w:val="0"/>
                <w:smallCaps w:val="0"/>
                <w:color w:val="auto"/>
                <w:spacing w:val="0"/>
                <w:szCs w:val="21"/>
                <w:highlight w:val="none"/>
                <w:vertAlign w:val="superscript"/>
              </w:rPr>
              <w:t>2</w:t>
            </w:r>
            <w:r>
              <w:rPr>
                <w:caps w:val="0"/>
                <w:smallCaps w:val="0"/>
                <w:color w:val="auto"/>
                <w:spacing w:val="0"/>
                <w:szCs w:val="21"/>
                <w:highlight w:val="none"/>
              </w:rPr>
              <w:t>/d）</w:t>
            </w:r>
          </w:p>
        </w:tc>
        <w:tc>
          <w:tcPr>
            <w:tcW w:w="1646" w:type="pct"/>
            <w:vAlign w:val="center"/>
          </w:tcPr>
          <w:p w14:paraId="0F5DD9EA">
            <w:pPr>
              <w:pStyle w:val="77"/>
              <w:rPr>
                <w:caps w:val="0"/>
                <w:smallCaps w:val="0"/>
                <w:color w:val="auto"/>
                <w:spacing w:val="0"/>
                <w:szCs w:val="21"/>
                <w:highlight w:val="none"/>
              </w:rPr>
            </w:pPr>
            <w:r>
              <w:rPr>
                <w:caps w:val="0"/>
                <w:smallCaps w:val="0"/>
                <w:color w:val="auto"/>
                <w:spacing w:val="0"/>
                <w:szCs w:val="21"/>
                <w:highlight w:val="none"/>
              </w:rPr>
              <w:t>横向弥散系数（m</w:t>
            </w:r>
            <w:r>
              <w:rPr>
                <w:caps w:val="0"/>
                <w:smallCaps w:val="0"/>
                <w:color w:val="auto"/>
                <w:spacing w:val="0"/>
                <w:szCs w:val="21"/>
                <w:highlight w:val="none"/>
                <w:vertAlign w:val="superscript"/>
              </w:rPr>
              <w:t>2</w:t>
            </w:r>
            <w:r>
              <w:rPr>
                <w:caps w:val="0"/>
                <w:smallCaps w:val="0"/>
                <w:color w:val="auto"/>
                <w:spacing w:val="0"/>
                <w:szCs w:val="21"/>
                <w:highlight w:val="none"/>
              </w:rPr>
              <w:t>/d）</w:t>
            </w:r>
          </w:p>
        </w:tc>
      </w:tr>
      <w:tr w14:paraId="45991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 w:type="pct"/>
            <w:vMerge w:val="continue"/>
            <w:vAlign w:val="center"/>
          </w:tcPr>
          <w:p w14:paraId="75BD280F">
            <w:pPr>
              <w:pStyle w:val="77"/>
              <w:rPr>
                <w:caps w:val="0"/>
                <w:smallCaps w:val="0"/>
                <w:color w:val="auto"/>
                <w:spacing w:val="0"/>
                <w:szCs w:val="21"/>
                <w:highlight w:val="none"/>
              </w:rPr>
            </w:pPr>
          </w:p>
        </w:tc>
        <w:tc>
          <w:tcPr>
            <w:tcW w:w="1166" w:type="pct"/>
            <w:vAlign w:val="center"/>
          </w:tcPr>
          <w:p w14:paraId="366C72CB">
            <w:pPr>
              <w:pStyle w:val="77"/>
              <w:rPr>
                <w:caps w:val="0"/>
                <w:smallCaps w:val="0"/>
                <w:color w:val="auto"/>
                <w:spacing w:val="0"/>
                <w:szCs w:val="21"/>
                <w:highlight w:val="none"/>
              </w:rPr>
            </w:pPr>
            <w:r>
              <w:rPr>
                <w:caps w:val="0"/>
                <w:smallCaps w:val="0"/>
                <w:color w:val="auto"/>
                <w:spacing w:val="0"/>
                <w:szCs w:val="21"/>
                <w:highlight w:val="none"/>
              </w:rPr>
              <w:t>细砂</w:t>
            </w:r>
          </w:p>
        </w:tc>
        <w:tc>
          <w:tcPr>
            <w:tcW w:w="1521" w:type="pct"/>
            <w:vAlign w:val="center"/>
          </w:tcPr>
          <w:p w14:paraId="7891B748">
            <w:pPr>
              <w:pStyle w:val="77"/>
              <w:rPr>
                <w:caps w:val="0"/>
                <w:smallCaps w:val="0"/>
                <w:color w:val="auto"/>
                <w:spacing w:val="0"/>
                <w:szCs w:val="21"/>
                <w:highlight w:val="none"/>
              </w:rPr>
            </w:pPr>
            <w:r>
              <w:rPr>
                <w:caps w:val="0"/>
                <w:smallCaps w:val="0"/>
                <w:color w:val="auto"/>
                <w:spacing w:val="0"/>
                <w:szCs w:val="21"/>
                <w:highlight w:val="none"/>
              </w:rPr>
              <w:t>0.05-0.5</w:t>
            </w:r>
          </w:p>
        </w:tc>
        <w:tc>
          <w:tcPr>
            <w:tcW w:w="1646" w:type="pct"/>
            <w:vAlign w:val="center"/>
          </w:tcPr>
          <w:p w14:paraId="76CC5F64">
            <w:pPr>
              <w:pStyle w:val="77"/>
              <w:rPr>
                <w:caps w:val="0"/>
                <w:smallCaps w:val="0"/>
                <w:color w:val="auto"/>
                <w:spacing w:val="0"/>
                <w:szCs w:val="21"/>
                <w:highlight w:val="none"/>
              </w:rPr>
            </w:pPr>
            <w:r>
              <w:rPr>
                <w:caps w:val="0"/>
                <w:smallCaps w:val="0"/>
                <w:color w:val="auto"/>
                <w:spacing w:val="0"/>
                <w:szCs w:val="21"/>
                <w:highlight w:val="none"/>
              </w:rPr>
              <w:t>0.005-0.01</w:t>
            </w:r>
          </w:p>
        </w:tc>
      </w:tr>
      <w:tr w14:paraId="444072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 w:type="pct"/>
            <w:vMerge w:val="continue"/>
            <w:vAlign w:val="center"/>
          </w:tcPr>
          <w:p w14:paraId="492BD949">
            <w:pPr>
              <w:pStyle w:val="77"/>
              <w:rPr>
                <w:caps w:val="0"/>
                <w:smallCaps w:val="0"/>
                <w:color w:val="auto"/>
                <w:spacing w:val="0"/>
                <w:szCs w:val="21"/>
                <w:highlight w:val="none"/>
              </w:rPr>
            </w:pPr>
          </w:p>
        </w:tc>
        <w:tc>
          <w:tcPr>
            <w:tcW w:w="1166" w:type="pct"/>
            <w:vAlign w:val="center"/>
          </w:tcPr>
          <w:p w14:paraId="1B0DE9DC">
            <w:pPr>
              <w:pStyle w:val="77"/>
              <w:rPr>
                <w:caps w:val="0"/>
                <w:smallCaps w:val="0"/>
                <w:color w:val="auto"/>
                <w:spacing w:val="0"/>
                <w:szCs w:val="21"/>
                <w:highlight w:val="none"/>
              </w:rPr>
            </w:pPr>
            <w:r>
              <w:rPr>
                <w:caps w:val="0"/>
                <w:smallCaps w:val="0"/>
                <w:color w:val="auto"/>
                <w:spacing w:val="0"/>
                <w:szCs w:val="21"/>
                <w:highlight w:val="none"/>
              </w:rPr>
              <w:t>中粗砂</w:t>
            </w:r>
          </w:p>
        </w:tc>
        <w:tc>
          <w:tcPr>
            <w:tcW w:w="1521" w:type="pct"/>
            <w:vAlign w:val="center"/>
          </w:tcPr>
          <w:p w14:paraId="3F4D601C">
            <w:pPr>
              <w:pStyle w:val="77"/>
              <w:rPr>
                <w:caps w:val="0"/>
                <w:smallCaps w:val="0"/>
                <w:color w:val="auto"/>
                <w:spacing w:val="0"/>
                <w:szCs w:val="21"/>
                <w:highlight w:val="none"/>
              </w:rPr>
            </w:pPr>
            <w:r>
              <w:rPr>
                <w:caps w:val="0"/>
                <w:smallCaps w:val="0"/>
                <w:color w:val="auto"/>
                <w:spacing w:val="0"/>
                <w:szCs w:val="21"/>
                <w:highlight w:val="none"/>
              </w:rPr>
              <w:t>0.2-1</w:t>
            </w:r>
          </w:p>
        </w:tc>
        <w:tc>
          <w:tcPr>
            <w:tcW w:w="1646" w:type="pct"/>
            <w:vAlign w:val="center"/>
          </w:tcPr>
          <w:p w14:paraId="1821AEEA">
            <w:pPr>
              <w:pStyle w:val="77"/>
              <w:rPr>
                <w:caps w:val="0"/>
                <w:smallCaps w:val="0"/>
                <w:color w:val="auto"/>
                <w:spacing w:val="0"/>
                <w:szCs w:val="21"/>
                <w:highlight w:val="none"/>
              </w:rPr>
            </w:pPr>
            <w:r>
              <w:rPr>
                <w:caps w:val="0"/>
                <w:smallCaps w:val="0"/>
                <w:color w:val="auto"/>
                <w:spacing w:val="0"/>
                <w:szCs w:val="21"/>
                <w:highlight w:val="none"/>
              </w:rPr>
              <w:t>0.05-0.1</w:t>
            </w:r>
          </w:p>
        </w:tc>
      </w:tr>
      <w:tr w14:paraId="3C809C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 w:type="pct"/>
            <w:vMerge w:val="continue"/>
            <w:vAlign w:val="center"/>
          </w:tcPr>
          <w:p w14:paraId="79BC8573">
            <w:pPr>
              <w:pStyle w:val="77"/>
              <w:rPr>
                <w:caps w:val="0"/>
                <w:smallCaps w:val="0"/>
                <w:color w:val="auto"/>
                <w:spacing w:val="0"/>
                <w:szCs w:val="21"/>
                <w:highlight w:val="none"/>
              </w:rPr>
            </w:pPr>
          </w:p>
        </w:tc>
        <w:tc>
          <w:tcPr>
            <w:tcW w:w="1166" w:type="pct"/>
            <w:vAlign w:val="center"/>
          </w:tcPr>
          <w:p w14:paraId="7E49C27B">
            <w:pPr>
              <w:pStyle w:val="77"/>
              <w:rPr>
                <w:caps w:val="0"/>
                <w:smallCaps w:val="0"/>
                <w:color w:val="auto"/>
                <w:spacing w:val="0"/>
                <w:szCs w:val="21"/>
                <w:highlight w:val="none"/>
              </w:rPr>
            </w:pPr>
            <w:r>
              <w:rPr>
                <w:caps w:val="0"/>
                <w:smallCaps w:val="0"/>
                <w:color w:val="auto"/>
                <w:spacing w:val="0"/>
                <w:szCs w:val="21"/>
                <w:highlight w:val="none"/>
              </w:rPr>
              <w:t>砂砾</w:t>
            </w:r>
          </w:p>
        </w:tc>
        <w:tc>
          <w:tcPr>
            <w:tcW w:w="1521" w:type="pct"/>
            <w:vAlign w:val="center"/>
          </w:tcPr>
          <w:p w14:paraId="428D7891">
            <w:pPr>
              <w:pStyle w:val="77"/>
              <w:rPr>
                <w:caps w:val="0"/>
                <w:smallCaps w:val="0"/>
                <w:color w:val="auto"/>
                <w:spacing w:val="0"/>
                <w:szCs w:val="21"/>
                <w:highlight w:val="none"/>
              </w:rPr>
            </w:pPr>
            <w:r>
              <w:rPr>
                <w:caps w:val="0"/>
                <w:smallCaps w:val="0"/>
                <w:color w:val="auto"/>
                <w:spacing w:val="0"/>
                <w:szCs w:val="21"/>
                <w:highlight w:val="none"/>
              </w:rPr>
              <w:t>1-5</w:t>
            </w:r>
          </w:p>
        </w:tc>
        <w:tc>
          <w:tcPr>
            <w:tcW w:w="1646" w:type="pct"/>
            <w:vAlign w:val="center"/>
          </w:tcPr>
          <w:p w14:paraId="1F370572">
            <w:pPr>
              <w:pStyle w:val="77"/>
              <w:rPr>
                <w:caps w:val="0"/>
                <w:smallCaps w:val="0"/>
                <w:color w:val="auto"/>
                <w:spacing w:val="0"/>
                <w:szCs w:val="21"/>
                <w:highlight w:val="none"/>
              </w:rPr>
            </w:pPr>
            <w:r>
              <w:rPr>
                <w:caps w:val="0"/>
                <w:smallCaps w:val="0"/>
                <w:color w:val="auto"/>
                <w:spacing w:val="0"/>
                <w:szCs w:val="21"/>
                <w:highlight w:val="none"/>
              </w:rPr>
              <w:t>0.2-1</w:t>
            </w:r>
          </w:p>
        </w:tc>
      </w:tr>
    </w:tbl>
    <w:p w14:paraId="530B4371">
      <w:pPr>
        <w:pStyle w:val="117"/>
        <w:widowControl/>
        <w:wordWrap w:val="0"/>
        <w:topLinePunct/>
        <w:spacing w:after="0" w:line="360" w:lineRule="auto"/>
        <w:textAlignment w:val="baseline"/>
        <w:rPr>
          <w:rFonts w:ascii="Times New Roman" w:hAnsi="Times New Roman" w:cs="Times New Roman"/>
          <w:caps w:val="0"/>
          <w:smallCaps w:val="0"/>
          <w:color w:val="auto"/>
          <w:spacing w:val="0"/>
          <w:szCs w:val="24"/>
          <w:highlight w:val="none"/>
        </w:rPr>
      </w:pPr>
      <w:r>
        <w:rPr>
          <w:rFonts w:ascii="Times New Roman" w:hAnsi="Times New Roman" w:cs="Times New Roman"/>
          <w:caps w:val="0"/>
          <w:smallCaps w:val="0"/>
          <w:color w:val="auto"/>
          <w:spacing w:val="0"/>
          <w:szCs w:val="24"/>
          <w:highlight w:val="none"/>
        </w:rPr>
        <w:t>本项目所处区域含水层类型主要由中粗砂、砂砾石组成，因此本项目纵向弥散系数选取为D</w:t>
      </w:r>
      <w:r>
        <w:rPr>
          <w:rFonts w:ascii="Times New Roman" w:hAnsi="Times New Roman" w:cs="Times New Roman"/>
          <w:caps w:val="0"/>
          <w:smallCaps w:val="0"/>
          <w:color w:val="auto"/>
          <w:spacing w:val="0"/>
          <w:szCs w:val="24"/>
          <w:highlight w:val="none"/>
          <w:vertAlign w:val="subscript"/>
        </w:rPr>
        <w:t>L</w:t>
      </w:r>
      <w:r>
        <w:rPr>
          <w:rFonts w:ascii="Times New Roman" w:hAnsi="Times New Roman" w:cs="Times New Roman"/>
          <w:caps w:val="0"/>
          <w:smallCaps w:val="0"/>
          <w:color w:val="auto"/>
          <w:spacing w:val="0"/>
          <w:szCs w:val="24"/>
          <w:highlight w:val="none"/>
        </w:rPr>
        <w:t>=0.2m</w:t>
      </w:r>
      <w:r>
        <w:rPr>
          <w:rFonts w:ascii="Times New Roman" w:hAnsi="Times New Roman" w:cs="Times New Roman"/>
          <w:caps w:val="0"/>
          <w:smallCaps w:val="0"/>
          <w:color w:val="auto"/>
          <w:spacing w:val="0"/>
          <w:szCs w:val="24"/>
          <w:highlight w:val="none"/>
          <w:vertAlign w:val="superscript"/>
        </w:rPr>
        <w:t>2</w:t>
      </w:r>
      <w:r>
        <w:rPr>
          <w:rFonts w:ascii="Times New Roman" w:hAnsi="Times New Roman" w:cs="Times New Roman"/>
          <w:caps w:val="0"/>
          <w:smallCaps w:val="0"/>
          <w:color w:val="auto"/>
          <w:spacing w:val="0"/>
          <w:szCs w:val="24"/>
          <w:highlight w:val="none"/>
        </w:rPr>
        <w:t>/d，横向弥散系数选取为D</w:t>
      </w:r>
      <w:r>
        <w:rPr>
          <w:rFonts w:ascii="Times New Roman" w:hAnsi="Times New Roman" w:cs="Times New Roman"/>
          <w:caps w:val="0"/>
          <w:smallCaps w:val="0"/>
          <w:color w:val="auto"/>
          <w:spacing w:val="0"/>
          <w:szCs w:val="24"/>
          <w:highlight w:val="none"/>
          <w:vertAlign w:val="subscript"/>
        </w:rPr>
        <w:t>L</w:t>
      </w:r>
      <w:r>
        <w:rPr>
          <w:rFonts w:ascii="Times New Roman" w:hAnsi="Times New Roman" w:cs="Times New Roman"/>
          <w:caps w:val="0"/>
          <w:smallCaps w:val="0"/>
          <w:color w:val="auto"/>
          <w:spacing w:val="0"/>
          <w:szCs w:val="24"/>
          <w:highlight w:val="none"/>
        </w:rPr>
        <w:t>=0.05m</w:t>
      </w:r>
      <w:r>
        <w:rPr>
          <w:rFonts w:ascii="Times New Roman" w:hAnsi="Times New Roman" w:cs="Times New Roman"/>
          <w:caps w:val="0"/>
          <w:smallCaps w:val="0"/>
          <w:color w:val="auto"/>
          <w:spacing w:val="0"/>
          <w:szCs w:val="24"/>
          <w:highlight w:val="none"/>
          <w:vertAlign w:val="superscript"/>
        </w:rPr>
        <w:t>2</w:t>
      </w:r>
      <w:r>
        <w:rPr>
          <w:rFonts w:ascii="Times New Roman" w:hAnsi="Times New Roman" w:cs="Times New Roman"/>
          <w:caps w:val="0"/>
          <w:smallCaps w:val="0"/>
          <w:color w:val="auto"/>
          <w:spacing w:val="0"/>
          <w:szCs w:val="24"/>
          <w:highlight w:val="none"/>
        </w:rPr>
        <w:t>/d</w:t>
      </w:r>
    </w:p>
    <w:p w14:paraId="55A91551">
      <w:pPr>
        <w:pStyle w:val="48"/>
        <w:spacing w:line="360" w:lineRule="auto"/>
        <w:ind w:firstLine="480" w:firstLineChars="200"/>
        <w:rPr>
          <w:rFonts w:ascii="Times New Roman" w:cs="Times New Roman"/>
          <w:caps w:val="0"/>
          <w:smallCaps w:val="0"/>
          <w:color w:val="auto"/>
          <w:spacing w:val="0"/>
          <w:highlight w:val="none"/>
        </w:rPr>
      </w:pPr>
      <w:r>
        <w:rPr>
          <w:rFonts w:ascii="Times New Roman" w:cs="Times New Roman"/>
          <w:caps w:val="0"/>
          <w:smallCaps w:val="0"/>
          <w:color w:val="auto"/>
          <w:spacing w:val="0"/>
          <w:highlight w:val="none"/>
        </w:rPr>
        <w:t>（5）预测结果</w:t>
      </w:r>
    </w:p>
    <w:p w14:paraId="565786B3">
      <w:pPr>
        <w:pStyle w:val="48"/>
        <w:spacing w:line="360" w:lineRule="auto"/>
        <w:ind w:firstLine="0" w:firstLineChars="0"/>
        <w:rPr>
          <w:rFonts w:ascii="Times New Roman" w:cs="Times New Roman"/>
          <w:caps w:val="0"/>
          <w:smallCaps w:val="0"/>
          <w:color w:val="auto"/>
          <w:spacing w:val="0"/>
          <w:highlight w:val="none"/>
        </w:rPr>
      </w:pPr>
      <w:r>
        <w:rPr>
          <w:rFonts w:ascii="Times New Roman" w:cs="Times New Roman"/>
          <w:caps w:val="0"/>
          <w:smallCaps w:val="0"/>
          <w:color w:val="auto"/>
          <w:spacing w:val="0"/>
          <w:highlight w:val="none"/>
        </w:rPr>
        <w:t>将上述参数代入预测公式，预测不同距离镉浓度随时间变化，预测结果见图:</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7"/>
        <w:gridCol w:w="4679"/>
      </w:tblGrid>
      <w:tr w14:paraId="514F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692" w:type="dxa"/>
            <w:vAlign w:val="center"/>
          </w:tcPr>
          <w:p w14:paraId="66089C74">
            <w:pPr>
              <w:widowControl w:val="0"/>
              <w:spacing w:line="240" w:lineRule="auto"/>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w:drawing>
                <wp:inline distT="0" distB="0" distL="114300" distR="114300">
                  <wp:extent cx="2716530" cy="1692275"/>
                  <wp:effectExtent l="0" t="0" r="11430" b="14605"/>
                  <wp:docPr id="15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3"/>
                          <pic:cNvPicPr>
                            <a:picLocks noChangeAspect="1"/>
                          </pic:cNvPicPr>
                        </pic:nvPicPr>
                        <pic:blipFill>
                          <a:blip r:embed="rId98"/>
                          <a:stretch>
                            <a:fillRect/>
                          </a:stretch>
                        </pic:blipFill>
                        <pic:spPr>
                          <a:xfrm>
                            <a:off x="0" y="0"/>
                            <a:ext cx="2716530" cy="1692275"/>
                          </a:xfrm>
                          <a:prstGeom prst="rect">
                            <a:avLst/>
                          </a:prstGeom>
                          <a:noFill/>
                          <a:ln>
                            <a:noFill/>
                          </a:ln>
                        </pic:spPr>
                      </pic:pic>
                    </a:graphicData>
                  </a:graphic>
                </wp:inline>
              </w:drawing>
            </w:r>
          </w:p>
        </w:tc>
        <w:tc>
          <w:tcPr>
            <w:tcW w:w="4594" w:type="dxa"/>
            <w:vAlign w:val="center"/>
          </w:tcPr>
          <w:p w14:paraId="12192CF1">
            <w:pPr>
              <w:widowControl w:val="0"/>
              <w:spacing w:line="240" w:lineRule="auto"/>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w:drawing>
                <wp:inline distT="0" distB="0" distL="114300" distR="114300">
                  <wp:extent cx="2840990" cy="1692275"/>
                  <wp:effectExtent l="0" t="0" r="8890" b="14605"/>
                  <wp:docPr id="15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4"/>
                          <pic:cNvPicPr>
                            <a:picLocks noChangeAspect="1"/>
                          </pic:cNvPicPr>
                        </pic:nvPicPr>
                        <pic:blipFill>
                          <a:blip r:embed="rId99"/>
                          <a:stretch>
                            <a:fillRect/>
                          </a:stretch>
                        </pic:blipFill>
                        <pic:spPr>
                          <a:xfrm>
                            <a:off x="0" y="0"/>
                            <a:ext cx="2840990" cy="1692275"/>
                          </a:xfrm>
                          <a:prstGeom prst="rect">
                            <a:avLst/>
                          </a:prstGeom>
                          <a:noFill/>
                          <a:ln>
                            <a:noFill/>
                          </a:ln>
                        </pic:spPr>
                      </pic:pic>
                    </a:graphicData>
                  </a:graphic>
                </wp:inline>
              </w:drawing>
            </w:r>
          </w:p>
        </w:tc>
      </w:tr>
      <w:tr w14:paraId="345F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2" w:type="dxa"/>
            <w:vAlign w:val="center"/>
          </w:tcPr>
          <w:p w14:paraId="543438CA">
            <w:pPr>
              <w:widowControl/>
              <w:spacing w:line="240" w:lineRule="auto"/>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0"/>
                <w:szCs w:val="20"/>
                <w:highlight w:val="none"/>
                <w:lang w:bidi="ar"/>
              </w:rPr>
              <w:t>镉</w:t>
            </w:r>
            <w:r>
              <w:rPr>
                <w:rFonts w:ascii="Times New Roman" w:hAnsi="Times New Roman" w:eastAsia="宋体" w:cs="Times New Roman"/>
                <w:caps w:val="0"/>
                <w:smallCaps w:val="0"/>
                <w:color w:val="auto"/>
                <w:spacing w:val="0"/>
                <w:kern w:val="0"/>
                <w:sz w:val="20"/>
                <w:szCs w:val="20"/>
                <w:highlight w:val="none"/>
                <w:lang w:bidi="ar"/>
              </w:rPr>
              <w:t>运移</w:t>
            </w:r>
            <w:r>
              <w:rPr>
                <w:rFonts w:hint="eastAsia" w:ascii="Times New Roman" w:hAnsi="Times New Roman" w:eastAsia="宋体" w:cs="Times New Roman"/>
                <w:caps w:val="0"/>
                <w:smallCaps w:val="0"/>
                <w:color w:val="auto"/>
                <w:spacing w:val="0"/>
                <w:kern w:val="0"/>
                <w:sz w:val="20"/>
                <w:szCs w:val="20"/>
                <w:highlight w:val="none"/>
                <w:lang w:bidi="ar"/>
              </w:rPr>
              <w:t>3</w:t>
            </w:r>
            <w:r>
              <w:rPr>
                <w:rFonts w:ascii="Times New Roman" w:hAnsi="Times New Roman" w:eastAsia="宋体" w:cs="Times New Roman"/>
                <w:caps w:val="0"/>
                <w:smallCaps w:val="0"/>
                <w:color w:val="auto"/>
                <w:spacing w:val="0"/>
                <w:kern w:val="0"/>
                <w:sz w:val="20"/>
                <w:szCs w:val="20"/>
                <w:highlight w:val="none"/>
                <w:lang w:bidi="ar"/>
              </w:rPr>
              <w:t>0d随距离变化图</w:t>
            </w:r>
          </w:p>
        </w:tc>
        <w:tc>
          <w:tcPr>
            <w:tcW w:w="4594" w:type="dxa"/>
            <w:vAlign w:val="center"/>
          </w:tcPr>
          <w:p w14:paraId="42BB4121">
            <w:pPr>
              <w:widowControl w:val="0"/>
              <w:spacing w:line="240" w:lineRule="auto"/>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0"/>
                <w:szCs w:val="20"/>
                <w:highlight w:val="none"/>
                <w:lang w:bidi="ar"/>
              </w:rPr>
              <w:t>镉</w:t>
            </w:r>
            <w:r>
              <w:rPr>
                <w:rFonts w:ascii="Times New Roman" w:hAnsi="Times New Roman" w:eastAsia="宋体" w:cs="Times New Roman"/>
                <w:caps w:val="0"/>
                <w:smallCaps w:val="0"/>
                <w:color w:val="auto"/>
                <w:spacing w:val="0"/>
                <w:kern w:val="0"/>
                <w:sz w:val="20"/>
                <w:szCs w:val="20"/>
                <w:highlight w:val="none"/>
                <w:lang w:bidi="ar"/>
              </w:rPr>
              <w:t>运移</w:t>
            </w:r>
            <w:r>
              <w:rPr>
                <w:rFonts w:hint="eastAsia" w:ascii="Times New Roman" w:hAnsi="Times New Roman" w:eastAsia="宋体" w:cs="Times New Roman"/>
                <w:caps w:val="0"/>
                <w:smallCaps w:val="0"/>
                <w:color w:val="auto"/>
                <w:spacing w:val="0"/>
                <w:kern w:val="0"/>
                <w:sz w:val="20"/>
                <w:szCs w:val="20"/>
                <w:highlight w:val="none"/>
                <w:lang w:bidi="ar"/>
              </w:rPr>
              <w:t>10</w:t>
            </w:r>
            <w:r>
              <w:rPr>
                <w:rFonts w:ascii="Times New Roman" w:hAnsi="Times New Roman" w:eastAsia="宋体" w:cs="Times New Roman"/>
                <w:caps w:val="0"/>
                <w:smallCaps w:val="0"/>
                <w:color w:val="auto"/>
                <w:spacing w:val="0"/>
                <w:kern w:val="0"/>
                <w:sz w:val="20"/>
                <w:szCs w:val="20"/>
                <w:highlight w:val="none"/>
                <w:lang w:bidi="ar"/>
              </w:rPr>
              <w:t>0d随距离变化图</w:t>
            </w:r>
          </w:p>
        </w:tc>
      </w:tr>
      <w:tr w14:paraId="593B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vAlign w:val="center"/>
          </w:tcPr>
          <w:p w14:paraId="2345AFBF">
            <w:pPr>
              <w:widowControl w:val="0"/>
              <w:spacing w:line="240" w:lineRule="auto"/>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w:drawing>
                <wp:inline distT="0" distB="0" distL="114300" distR="114300">
                  <wp:extent cx="2802255" cy="1692275"/>
                  <wp:effectExtent l="0" t="0" r="1905" b="14605"/>
                  <wp:docPr id="15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25"/>
                          <pic:cNvPicPr>
                            <a:picLocks noChangeAspect="1"/>
                          </pic:cNvPicPr>
                        </pic:nvPicPr>
                        <pic:blipFill>
                          <a:blip r:embed="rId100"/>
                          <a:stretch>
                            <a:fillRect/>
                          </a:stretch>
                        </pic:blipFill>
                        <pic:spPr>
                          <a:xfrm>
                            <a:off x="0" y="0"/>
                            <a:ext cx="2802255" cy="1692275"/>
                          </a:xfrm>
                          <a:prstGeom prst="rect">
                            <a:avLst/>
                          </a:prstGeom>
                          <a:noFill/>
                          <a:ln>
                            <a:noFill/>
                          </a:ln>
                        </pic:spPr>
                      </pic:pic>
                    </a:graphicData>
                  </a:graphic>
                </wp:inline>
              </w:drawing>
            </w:r>
          </w:p>
        </w:tc>
        <w:tc>
          <w:tcPr>
            <w:tcW w:w="4643" w:type="dxa"/>
            <w:vAlign w:val="center"/>
          </w:tcPr>
          <w:p w14:paraId="429610B8">
            <w:pPr>
              <w:widowControl w:val="0"/>
              <w:spacing w:line="240" w:lineRule="auto"/>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w:drawing>
                <wp:inline distT="0" distB="0" distL="114300" distR="114300">
                  <wp:extent cx="2790190" cy="1727835"/>
                  <wp:effectExtent l="0" t="0" r="13970" b="9525"/>
                  <wp:docPr id="15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6"/>
                          <pic:cNvPicPr>
                            <a:picLocks noChangeAspect="1"/>
                          </pic:cNvPicPr>
                        </pic:nvPicPr>
                        <pic:blipFill>
                          <a:blip r:embed="rId101"/>
                          <a:stretch>
                            <a:fillRect/>
                          </a:stretch>
                        </pic:blipFill>
                        <pic:spPr>
                          <a:xfrm>
                            <a:off x="0" y="0"/>
                            <a:ext cx="2790190" cy="1727835"/>
                          </a:xfrm>
                          <a:prstGeom prst="rect">
                            <a:avLst/>
                          </a:prstGeom>
                          <a:noFill/>
                          <a:ln>
                            <a:noFill/>
                          </a:ln>
                        </pic:spPr>
                      </pic:pic>
                    </a:graphicData>
                  </a:graphic>
                </wp:inline>
              </w:drawing>
            </w:r>
          </w:p>
        </w:tc>
      </w:tr>
      <w:tr w14:paraId="3D23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vAlign w:val="center"/>
          </w:tcPr>
          <w:p w14:paraId="3094DA75">
            <w:pPr>
              <w:widowControl w:val="0"/>
              <w:spacing w:line="240" w:lineRule="auto"/>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0"/>
                <w:szCs w:val="20"/>
                <w:highlight w:val="none"/>
                <w:lang w:bidi="ar"/>
              </w:rPr>
              <w:t>镉</w:t>
            </w:r>
            <w:r>
              <w:rPr>
                <w:rFonts w:ascii="Times New Roman" w:hAnsi="Times New Roman" w:eastAsia="宋体" w:cs="Times New Roman"/>
                <w:caps w:val="0"/>
                <w:smallCaps w:val="0"/>
                <w:color w:val="auto"/>
                <w:spacing w:val="0"/>
                <w:kern w:val="0"/>
                <w:sz w:val="20"/>
                <w:szCs w:val="20"/>
                <w:highlight w:val="none"/>
                <w:lang w:bidi="ar"/>
              </w:rPr>
              <w:t>运移</w:t>
            </w:r>
            <w:r>
              <w:rPr>
                <w:rFonts w:hint="eastAsia" w:ascii="Times New Roman" w:hAnsi="Times New Roman" w:eastAsia="宋体" w:cs="Times New Roman"/>
                <w:caps w:val="0"/>
                <w:smallCaps w:val="0"/>
                <w:color w:val="auto"/>
                <w:spacing w:val="0"/>
                <w:kern w:val="0"/>
                <w:sz w:val="20"/>
                <w:szCs w:val="20"/>
                <w:highlight w:val="none"/>
                <w:lang w:bidi="ar"/>
              </w:rPr>
              <w:t>365</w:t>
            </w:r>
            <w:r>
              <w:rPr>
                <w:rFonts w:ascii="Times New Roman" w:hAnsi="Times New Roman" w:eastAsia="宋体" w:cs="Times New Roman"/>
                <w:caps w:val="0"/>
                <w:smallCaps w:val="0"/>
                <w:color w:val="auto"/>
                <w:spacing w:val="0"/>
                <w:kern w:val="0"/>
                <w:sz w:val="20"/>
                <w:szCs w:val="20"/>
                <w:highlight w:val="none"/>
                <w:lang w:bidi="ar"/>
              </w:rPr>
              <w:t>d随距离变化图</w:t>
            </w:r>
          </w:p>
        </w:tc>
        <w:tc>
          <w:tcPr>
            <w:tcW w:w="4643" w:type="dxa"/>
            <w:vAlign w:val="center"/>
          </w:tcPr>
          <w:p w14:paraId="5C3B176A">
            <w:pPr>
              <w:widowControl w:val="0"/>
              <w:spacing w:line="240" w:lineRule="auto"/>
              <w:jc w:val="center"/>
              <w:rPr>
                <w:rFonts w:ascii="Times New Roman" w:hAnsi="Times New Roman" w:eastAsia="宋体" w:cs="Times New Roman"/>
                <w:caps w:val="0"/>
                <w:smallCaps w:val="0"/>
                <w:color w:val="auto"/>
                <w:spacing w:val="0"/>
                <w:kern w:val="0"/>
                <w:sz w:val="20"/>
                <w:szCs w:val="20"/>
                <w:highlight w:val="none"/>
                <w:lang w:bidi="ar"/>
              </w:rPr>
            </w:pPr>
            <w:r>
              <w:rPr>
                <w:rFonts w:hint="eastAsia" w:ascii="Times New Roman" w:hAnsi="Times New Roman" w:eastAsia="宋体" w:cs="Times New Roman"/>
                <w:caps w:val="0"/>
                <w:smallCaps w:val="0"/>
                <w:color w:val="auto"/>
                <w:spacing w:val="0"/>
                <w:kern w:val="0"/>
                <w:sz w:val="20"/>
                <w:szCs w:val="20"/>
                <w:highlight w:val="none"/>
                <w:lang w:bidi="ar"/>
              </w:rPr>
              <w:t>镉</w:t>
            </w:r>
            <w:r>
              <w:rPr>
                <w:rFonts w:ascii="Times New Roman" w:hAnsi="Times New Roman" w:eastAsia="宋体" w:cs="Times New Roman"/>
                <w:caps w:val="0"/>
                <w:smallCaps w:val="0"/>
                <w:color w:val="auto"/>
                <w:spacing w:val="0"/>
                <w:kern w:val="0"/>
                <w:sz w:val="20"/>
                <w:szCs w:val="20"/>
                <w:highlight w:val="none"/>
                <w:lang w:bidi="ar"/>
              </w:rPr>
              <w:t>运移</w:t>
            </w:r>
            <w:r>
              <w:rPr>
                <w:rFonts w:hint="eastAsia" w:ascii="Times New Roman" w:hAnsi="Times New Roman" w:eastAsia="宋体" w:cs="Times New Roman"/>
                <w:caps w:val="0"/>
                <w:smallCaps w:val="0"/>
                <w:color w:val="auto"/>
                <w:spacing w:val="0"/>
                <w:kern w:val="0"/>
                <w:sz w:val="20"/>
                <w:szCs w:val="20"/>
                <w:highlight w:val="none"/>
                <w:lang w:bidi="ar"/>
              </w:rPr>
              <w:t>100</w:t>
            </w:r>
            <w:r>
              <w:rPr>
                <w:rFonts w:ascii="Times New Roman" w:hAnsi="Times New Roman" w:eastAsia="宋体" w:cs="Times New Roman"/>
                <w:caps w:val="0"/>
                <w:smallCaps w:val="0"/>
                <w:color w:val="auto"/>
                <w:spacing w:val="0"/>
                <w:kern w:val="0"/>
                <w:sz w:val="20"/>
                <w:szCs w:val="20"/>
                <w:highlight w:val="none"/>
                <w:lang w:bidi="ar"/>
              </w:rPr>
              <w:t>0d随距离变化图</w:t>
            </w:r>
          </w:p>
        </w:tc>
      </w:tr>
    </w:tbl>
    <w:p w14:paraId="4161EFC2">
      <w:pPr>
        <w:pStyle w:val="204"/>
        <w:ind w:firstLine="560"/>
        <w:rPr>
          <w:caps w:val="0"/>
          <w:smallCaps w:val="0"/>
          <w:color w:val="auto"/>
          <w:spacing w:val="0"/>
          <w:highlight w:val="none"/>
        </w:rPr>
      </w:pPr>
      <w:r>
        <w:rPr>
          <w:rFonts w:ascii="Times New Roman" w:hAnsi="Times New Roman" w:eastAsia="宋体" w:cs="Times New Roman"/>
          <w:bCs/>
          <w:caps w:val="0"/>
          <w:smallCaps w:val="0"/>
          <w:color w:val="auto"/>
          <w:spacing w:val="0"/>
          <w:sz w:val="24"/>
          <w:szCs w:val="24"/>
          <w:highlight w:val="none"/>
        </w:rPr>
        <w:t>图5.2-2镉浓度(30d、100d、365</w:t>
      </w:r>
      <w:r>
        <w:rPr>
          <w:rFonts w:hint="eastAsia" w:ascii="Times New Roman" w:hAnsi="Times New Roman" w:eastAsia="宋体" w:cs="Times New Roman"/>
          <w:bCs/>
          <w:caps w:val="0"/>
          <w:smallCaps w:val="0"/>
          <w:color w:val="auto"/>
          <w:spacing w:val="0"/>
          <w:sz w:val="24"/>
          <w:szCs w:val="24"/>
          <w:highlight w:val="none"/>
        </w:rPr>
        <w:t>、1000</w:t>
      </w:r>
      <w:r>
        <w:rPr>
          <w:rFonts w:ascii="Times New Roman" w:hAnsi="Times New Roman" w:eastAsia="宋体" w:cs="Times New Roman"/>
          <w:bCs/>
          <w:caps w:val="0"/>
          <w:smallCaps w:val="0"/>
          <w:color w:val="auto"/>
          <w:spacing w:val="0"/>
          <w:sz w:val="24"/>
          <w:szCs w:val="24"/>
          <w:highlight w:val="none"/>
        </w:rPr>
        <w:t>d)变化曲线图</w:t>
      </w:r>
    </w:p>
    <w:p w14:paraId="472A06A0">
      <w:pPr>
        <w:rPr>
          <w:caps w:val="0"/>
          <w:smallCaps w:val="0"/>
          <w:color w:val="auto"/>
          <w:spacing w:val="0"/>
          <w:highlight w:val="none"/>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613"/>
      </w:tblGrid>
      <w:tr w14:paraId="0E23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843" w:type="dxa"/>
            <w:vAlign w:val="center"/>
          </w:tcPr>
          <w:p w14:paraId="0D214381">
            <w:pPr>
              <w:widowControl w:val="0"/>
              <w:spacing w:line="240" w:lineRule="auto"/>
              <w:jc w:val="both"/>
              <w:rPr>
                <w:rFonts w:ascii="Times New Roman" w:hAnsi="Times New Roman" w:eastAsia="宋体" w:cs="Times New Roman"/>
                <w:caps w:val="0"/>
                <w:smallCaps w:val="0"/>
                <w:color w:val="auto"/>
                <w:spacing w:val="0"/>
                <w:highlight w:val="none"/>
              </w:rPr>
            </w:pPr>
            <w:r>
              <w:rPr>
                <w:color w:val="auto"/>
                <w:highlight w:val="none"/>
              </w:rPr>
              <w:drawing>
                <wp:inline distT="0" distB="0" distL="114300" distR="114300">
                  <wp:extent cx="2844800" cy="1764030"/>
                  <wp:effectExtent l="0" t="0" r="12700" b="7620"/>
                  <wp:docPr id="1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3"/>
                          <pic:cNvPicPr>
                            <a:picLocks noChangeAspect="1"/>
                          </pic:cNvPicPr>
                        </pic:nvPicPr>
                        <pic:blipFill>
                          <a:blip r:embed="rId102"/>
                          <a:srcRect r="95" b="4190"/>
                          <a:stretch>
                            <a:fillRect/>
                          </a:stretch>
                        </pic:blipFill>
                        <pic:spPr>
                          <a:xfrm>
                            <a:off x="0" y="0"/>
                            <a:ext cx="2844800" cy="1764030"/>
                          </a:xfrm>
                          <a:prstGeom prst="rect">
                            <a:avLst/>
                          </a:prstGeom>
                          <a:noFill/>
                          <a:ln>
                            <a:noFill/>
                          </a:ln>
                        </pic:spPr>
                      </pic:pic>
                    </a:graphicData>
                  </a:graphic>
                </wp:inline>
              </w:drawing>
            </w:r>
          </w:p>
        </w:tc>
        <w:tc>
          <w:tcPr>
            <w:tcW w:w="4443" w:type="dxa"/>
            <w:vAlign w:val="center"/>
          </w:tcPr>
          <w:p w14:paraId="43843780">
            <w:pPr>
              <w:widowControl w:val="0"/>
              <w:spacing w:line="240" w:lineRule="auto"/>
              <w:jc w:val="center"/>
              <w:rPr>
                <w:rFonts w:ascii="Times New Roman" w:hAnsi="Times New Roman" w:eastAsia="宋体" w:cs="Times New Roman"/>
                <w:caps w:val="0"/>
                <w:smallCaps w:val="0"/>
                <w:color w:val="auto"/>
                <w:spacing w:val="0"/>
                <w:highlight w:val="none"/>
              </w:rPr>
            </w:pPr>
            <w:r>
              <w:rPr>
                <w:color w:val="auto"/>
                <w:highlight w:val="none"/>
              </w:rPr>
              <w:drawing>
                <wp:inline distT="0" distB="0" distL="114300" distR="114300">
                  <wp:extent cx="2815590" cy="1764030"/>
                  <wp:effectExtent l="0" t="0" r="3810" b="7620"/>
                  <wp:docPr id="1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2"/>
                          <pic:cNvPicPr>
                            <a:picLocks noChangeAspect="1"/>
                          </pic:cNvPicPr>
                        </pic:nvPicPr>
                        <pic:blipFill>
                          <a:blip r:embed="rId103"/>
                          <a:stretch>
                            <a:fillRect/>
                          </a:stretch>
                        </pic:blipFill>
                        <pic:spPr>
                          <a:xfrm>
                            <a:off x="0" y="0"/>
                            <a:ext cx="2815590" cy="1764030"/>
                          </a:xfrm>
                          <a:prstGeom prst="rect">
                            <a:avLst/>
                          </a:prstGeom>
                          <a:noFill/>
                          <a:ln>
                            <a:noFill/>
                          </a:ln>
                        </pic:spPr>
                      </pic:pic>
                    </a:graphicData>
                  </a:graphic>
                </wp:inline>
              </w:drawing>
            </w:r>
          </w:p>
        </w:tc>
      </w:tr>
      <w:tr w14:paraId="25CB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center"/>
          </w:tcPr>
          <w:p w14:paraId="4803E2DD">
            <w:pPr>
              <w:widowControl/>
              <w:spacing w:line="240" w:lineRule="auto"/>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0"/>
                <w:szCs w:val="20"/>
                <w:highlight w:val="none"/>
                <w:lang w:bidi="ar"/>
              </w:rPr>
              <w:t>COD</w:t>
            </w:r>
            <w:r>
              <w:rPr>
                <w:rFonts w:ascii="Times New Roman" w:hAnsi="Times New Roman" w:eastAsia="宋体" w:cs="Times New Roman"/>
                <w:caps w:val="0"/>
                <w:smallCaps w:val="0"/>
                <w:color w:val="auto"/>
                <w:spacing w:val="0"/>
                <w:kern w:val="0"/>
                <w:sz w:val="20"/>
                <w:szCs w:val="20"/>
                <w:highlight w:val="none"/>
                <w:lang w:bidi="ar"/>
              </w:rPr>
              <w:t>运移</w:t>
            </w:r>
            <w:r>
              <w:rPr>
                <w:rFonts w:hint="eastAsia" w:ascii="Times New Roman" w:hAnsi="Times New Roman" w:eastAsia="宋体" w:cs="Times New Roman"/>
                <w:caps w:val="0"/>
                <w:smallCaps w:val="0"/>
                <w:color w:val="auto"/>
                <w:spacing w:val="0"/>
                <w:kern w:val="0"/>
                <w:sz w:val="20"/>
                <w:szCs w:val="20"/>
                <w:highlight w:val="none"/>
                <w:lang w:bidi="ar"/>
              </w:rPr>
              <w:t>3</w:t>
            </w:r>
            <w:r>
              <w:rPr>
                <w:rFonts w:ascii="Times New Roman" w:hAnsi="Times New Roman" w:eastAsia="宋体" w:cs="Times New Roman"/>
                <w:caps w:val="0"/>
                <w:smallCaps w:val="0"/>
                <w:color w:val="auto"/>
                <w:spacing w:val="0"/>
                <w:kern w:val="0"/>
                <w:sz w:val="20"/>
                <w:szCs w:val="20"/>
                <w:highlight w:val="none"/>
                <w:lang w:bidi="ar"/>
              </w:rPr>
              <w:t>0d随距离变化图</w:t>
            </w:r>
          </w:p>
        </w:tc>
        <w:tc>
          <w:tcPr>
            <w:tcW w:w="4443" w:type="dxa"/>
            <w:vAlign w:val="center"/>
          </w:tcPr>
          <w:p w14:paraId="39F1A7FC">
            <w:pPr>
              <w:widowControl w:val="0"/>
              <w:spacing w:line="240" w:lineRule="auto"/>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0"/>
                <w:szCs w:val="20"/>
                <w:highlight w:val="none"/>
                <w:lang w:bidi="ar"/>
              </w:rPr>
              <w:t>COD</w:t>
            </w:r>
            <w:r>
              <w:rPr>
                <w:rFonts w:ascii="Times New Roman" w:hAnsi="Times New Roman" w:eastAsia="宋体" w:cs="Times New Roman"/>
                <w:caps w:val="0"/>
                <w:smallCaps w:val="0"/>
                <w:color w:val="auto"/>
                <w:spacing w:val="0"/>
                <w:kern w:val="0"/>
                <w:sz w:val="20"/>
                <w:szCs w:val="20"/>
                <w:highlight w:val="none"/>
                <w:lang w:bidi="ar"/>
              </w:rPr>
              <w:t>运移100d随距离变化图</w:t>
            </w:r>
          </w:p>
        </w:tc>
      </w:tr>
      <w:tr w14:paraId="75A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6" w:type="dxa"/>
            <w:vAlign w:val="center"/>
          </w:tcPr>
          <w:p w14:paraId="2F5C5961">
            <w:pPr>
              <w:widowControl w:val="0"/>
              <w:spacing w:line="240" w:lineRule="auto"/>
              <w:jc w:val="both"/>
              <w:rPr>
                <w:rFonts w:ascii="Times New Roman" w:hAnsi="Times New Roman" w:eastAsia="宋体" w:cs="Times New Roman"/>
                <w:caps w:val="0"/>
                <w:smallCaps w:val="0"/>
                <w:color w:val="auto"/>
                <w:spacing w:val="0"/>
                <w:highlight w:val="none"/>
              </w:rPr>
            </w:pPr>
            <w:r>
              <w:rPr>
                <w:color w:val="auto"/>
                <w:highlight w:val="none"/>
              </w:rPr>
              <w:drawing>
                <wp:inline distT="0" distB="0" distL="114300" distR="114300">
                  <wp:extent cx="2843530" cy="1727835"/>
                  <wp:effectExtent l="0" t="0" r="13970" b="5715"/>
                  <wp:docPr id="1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1"/>
                          <pic:cNvPicPr>
                            <a:picLocks noChangeAspect="1"/>
                          </pic:cNvPicPr>
                        </pic:nvPicPr>
                        <pic:blipFill>
                          <a:blip r:embed="rId104"/>
                          <a:stretch>
                            <a:fillRect/>
                          </a:stretch>
                        </pic:blipFill>
                        <pic:spPr>
                          <a:xfrm>
                            <a:off x="0" y="0"/>
                            <a:ext cx="2843530" cy="1727835"/>
                          </a:xfrm>
                          <a:prstGeom prst="rect">
                            <a:avLst/>
                          </a:prstGeom>
                          <a:noFill/>
                          <a:ln>
                            <a:noFill/>
                          </a:ln>
                        </pic:spPr>
                      </pic:pic>
                    </a:graphicData>
                  </a:graphic>
                </wp:inline>
              </w:drawing>
            </w:r>
          </w:p>
        </w:tc>
        <w:tc>
          <w:tcPr>
            <w:tcW w:w="4450" w:type="dxa"/>
            <w:vAlign w:val="center"/>
          </w:tcPr>
          <w:p w14:paraId="22761A9E">
            <w:pPr>
              <w:widowControl w:val="0"/>
              <w:spacing w:line="240" w:lineRule="auto"/>
              <w:jc w:val="center"/>
              <w:rPr>
                <w:rFonts w:ascii="Times New Roman" w:hAnsi="Times New Roman" w:eastAsia="宋体" w:cs="Times New Roman"/>
                <w:caps w:val="0"/>
                <w:smallCaps w:val="0"/>
                <w:color w:val="auto"/>
                <w:spacing w:val="0"/>
                <w:highlight w:val="none"/>
              </w:rPr>
            </w:pPr>
            <w:r>
              <w:rPr>
                <w:color w:val="auto"/>
                <w:highlight w:val="none"/>
              </w:rPr>
              <w:drawing>
                <wp:inline distT="0" distB="0" distL="114300" distR="114300">
                  <wp:extent cx="2800350" cy="1727835"/>
                  <wp:effectExtent l="0" t="0" r="0" b="5715"/>
                  <wp:docPr id="12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0"/>
                          <pic:cNvPicPr>
                            <a:picLocks noChangeAspect="1"/>
                          </pic:cNvPicPr>
                        </pic:nvPicPr>
                        <pic:blipFill>
                          <a:blip r:embed="rId105"/>
                          <a:stretch>
                            <a:fillRect/>
                          </a:stretch>
                        </pic:blipFill>
                        <pic:spPr>
                          <a:xfrm>
                            <a:off x="0" y="0"/>
                            <a:ext cx="2800350" cy="1727835"/>
                          </a:xfrm>
                          <a:prstGeom prst="rect">
                            <a:avLst/>
                          </a:prstGeom>
                          <a:noFill/>
                          <a:ln>
                            <a:noFill/>
                          </a:ln>
                        </pic:spPr>
                      </pic:pic>
                    </a:graphicData>
                  </a:graphic>
                </wp:inline>
              </w:drawing>
            </w:r>
          </w:p>
        </w:tc>
      </w:tr>
      <w:tr w14:paraId="7995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6" w:type="dxa"/>
            <w:vAlign w:val="center"/>
          </w:tcPr>
          <w:p w14:paraId="761685F9">
            <w:pPr>
              <w:widowControl w:val="0"/>
              <w:spacing w:line="240" w:lineRule="auto"/>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0"/>
                <w:szCs w:val="20"/>
                <w:highlight w:val="none"/>
                <w:lang w:bidi="ar"/>
              </w:rPr>
              <w:t>COD</w:t>
            </w:r>
            <w:r>
              <w:rPr>
                <w:rFonts w:ascii="Times New Roman" w:hAnsi="Times New Roman" w:eastAsia="宋体" w:cs="Times New Roman"/>
                <w:caps w:val="0"/>
                <w:smallCaps w:val="0"/>
                <w:color w:val="auto"/>
                <w:spacing w:val="0"/>
                <w:kern w:val="0"/>
                <w:sz w:val="20"/>
                <w:szCs w:val="20"/>
                <w:highlight w:val="none"/>
                <w:lang w:bidi="ar"/>
              </w:rPr>
              <w:t>运移</w:t>
            </w:r>
            <w:r>
              <w:rPr>
                <w:rFonts w:hint="eastAsia" w:ascii="Times New Roman" w:hAnsi="Times New Roman" w:eastAsia="宋体" w:cs="Times New Roman"/>
                <w:caps w:val="0"/>
                <w:smallCaps w:val="0"/>
                <w:color w:val="auto"/>
                <w:spacing w:val="0"/>
                <w:kern w:val="0"/>
                <w:sz w:val="20"/>
                <w:szCs w:val="20"/>
                <w:highlight w:val="none"/>
                <w:lang w:bidi="ar"/>
              </w:rPr>
              <w:t>365</w:t>
            </w:r>
            <w:r>
              <w:rPr>
                <w:rFonts w:ascii="Times New Roman" w:hAnsi="Times New Roman" w:eastAsia="宋体" w:cs="Times New Roman"/>
                <w:caps w:val="0"/>
                <w:smallCaps w:val="0"/>
                <w:color w:val="auto"/>
                <w:spacing w:val="0"/>
                <w:kern w:val="0"/>
                <w:sz w:val="20"/>
                <w:szCs w:val="20"/>
                <w:highlight w:val="none"/>
                <w:lang w:bidi="ar"/>
              </w:rPr>
              <w:t>d随距离变化图</w:t>
            </w:r>
          </w:p>
        </w:tc>
        <w:tc>
          <w:tcPr>
            <w:tcW w:w="4450" w:type="dxa"/>
            <w:vAlign w:val="center"/>
          </w:tcPr>
          <w:p w14:paraId="01992203">
            <w:pPr>
              <w:widowControl w:val="0"/>
              <w:spacing w:line="240" w:lineRule="auto"/>
              <w:jc w:val="center"/>
              <w:rPr>
                <w:rFonts w:ascii="Times New Roman" w:hAnsi="Times New Roman" w:eastAsia="宋体" w:cs="Times New Roman"/>
                <w:caps w:val="0"/>
                <w:smallCaps w:val="0"/>
                <w:color w:val="auto"/>
                <w:spacing w:val="0"/>
                <w:kern w:val="0"/>
                <w:sz w:val="20"/>
                <w:szCs w:val="20"/>
                <w:highlight w:val="none"/>
                <w:lang w:bidi="ar"/>
              </w:rPr>
            </w:pPr>
            <w:r>
              <w:rPr>
                <w:rFonts w:hint="eastAsia" w:ascii="Times New Roman" w:hAnsi="Times New Roman" w:eastAsia="宋体" w:cs="Times New Roman"/>
                <w:caps w:val="0"/>
                <w:smallCaps w:val="0"/>
                <w:color w:val="auto"/>
                <w:spacing w:val="0"/>
                <w:kern w:val="0"/>
                <w:sz w:val="20"/>
                <w:szCs w:val="20"/>
                <w:highlight w:val="none"/>
                <w:lang w:bidi="ar"/>
              </w:rPr>
              <w:t>COD</w:t>
            </w:r>
            <w:r>
              <w:rPr>
                <w:rFonts w:ascii="Times New Roman" w:hAnsi="Times New Roman" w:eastAsia="宋体" w:cs="Times New Roman"/>
                <w:caps w:val="0"/>
                <w:smallCaps w:val="0"/>
                <w:color w:val="auto"/>
                <w:spacing w:val="0"/>
                <w:kern w:val="0"/>
                <w:sz w:val="20"/>
                <w:szCs w:val="20"/>
                <w:highlight w:val="none"/>
                <w:lang w:bidi="ar"/>
              </w:rPr>
              <w:t>运移1000d随距离变化图</w:t>
            </w:r>
          </w:p>
        </w:tc>
      </w:tr>
    </w:tbl>
    <w:p w14:paraId="2F3425CA">
      <w:pPr>
        <w:pStyle w:val="204"/>
        <w:ind w:firstLine="560"/>
        <w:rPr>
          <w:caps w:val="0"/>
          <w:smallCaps w:val="0"/>
          <w:color w:val="auto"/>
          <w:spacing w:val="0"/>
          <w:highlight w:val="none"/>
        </w:rPr>
      </w:pPr>
      <w:r>
        <w:rPr>
          <w:rFonts w:ascii="Times New Roman" w:hAnsi="Times New Roman" w:eastAsia="宋体" w:cs="Times New Roman"/>
          <w:bCs/>
          <w:caps w:val="0"/>
          <w:smallCaps w:val="0"/>
          <w:color w:val="auto"/>
          <w:spacing w:val="0"/>
          <w:sz w:val="24"/>
          <w:szCs w:val="24"/>
          <w:highlight w:val="none"/>
        </w:rPr>
        <w:t>图5.2-</w:t>
      </w:r>
      <w:r>
        <w:rPr>
          <w:rFonts w:hint="eastAsia" w:ascii="Times New Roman" w:hAnsi="Times New Roman" w:eastAsia="宋体" w:cs="Times New Roman"/>
          <w:bCs/>
          <w:caps w:val="0"/>
          <w:smallCaps w:val="0"/>
          <w:color w:val="auto"/>
          <w:spacing w:val="0"/>
          <w:sz w:val="24"/>
          <w:szCs w:val="24"/>
          <w:highlight w:val="none"/>
        </w:rPr>
        <w:t>3COD</w:t>
      </w:r>
      <w:r>
        <w:rPr>
          <w:rFonts w:ascii="Times New Roman" w:hAnsi="Times New Roman" w:eastAsia="宋体" w:cs="Times New Roman"/>
          <w:bCs/>
          <w:caps w:val="0"/>
          <w:smallCaps w:val="0"/>
          <w:color w:val="auto"/>
          <w:spacing w:val="0"/>
          <w:sz w:val="24"/>
          <w:szCs w:val="24"/>
          <w:highlight w:val="none"/>
        </w:rPr>
        <w:t>浓度(30d、100d、365d</w:t>
      </w:r>
      <w:r>
        <w:rPr>
          <w:rFonts w:hint="eastAsia" w:ascii="Times New Roman" w:hAnsi="Times New Roman" w:eastAsia="宋体" w:cs="Times New Roman"/>
          <w:bCs/>
          <w:caps w:val="0"/>
          <w:smallCaps w:val="0"/>
          <w:color w:val="auto"/>
          <w:spacing w:val="0"/>
          <w:sz w:val="24"/>
          <w:szCs w:val="24"/>
          <w:highlight w:val="none"/>
        </w:rPr>
        <w:t>、1000d</w:t>
      </w:r>
      <w:r>
        <w:rPr>
          <w:rFonts w:ascii="Times New Roman" w:hAnsi="Times New Roman" w:eastAsia="宋体" w:cs="Times New Roman"/>
          <w:bCs/>
          <w:caps w:val="0"/>
          <w:smallCaps w:val="0"/>
          <w:color w:val="auto"/>
          <w:spacing w:val="0"/>
          <w:sz w:val="24"/>
          <w:szCs w:val="24"/>
          <w:highlight w:val="none"/>
        </w:rPr>
        <w:t>)变化曲线图</w:t>
      </w:r>
    </w:p>
    <w:p w14:paraId="7898B1DA">
      <w:pPr>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由预测结果可知，当污水处理设施管网出现泄漏且防渗层失效后，</w:t>
      </w:r>
      <w:r>
        <w:rPr>
          <w:rFonts w:hint="eastAsia" w:ascii="Times New Roman" w:hAnsi="Times New Roman" w:eastAsia="宋体" w:cs="Times New Roman"/>
          <w:caps w:val="0"/>
          <w:smallCaps w:val="0"/>
          <w:color w:val="auto"/>
          <w:spacing w:val="0"/>
          <w:highlight w:val="none"/>
        </w:rPr>
        <w:t>镉</w:t>
      </w:r>
      <w:r>
        <w:rPr>
          <w:rFonts w:ascii="Times New Roman" w:hAnsi="Times New Roman" w:eastAsia="宋体" w:cs="Times New Roman"/>
          <w:caps w:val="0"/>
          <w:smallCaps w:val="0"/>
          <w:color w:val="auto"/>
          <w:spacing w:val="0"/>
          <w:highlight w:val="none"/>
        </w:rPr>
        <w:t>第30天的污染物达标点出现在</w:t>
      </w:r>
      <w:r>
        <w:rPr>
          <w:rFonts w:hint="eastAsia" w:ascii="Times New Roman" w:hAnsi="Times New Roman" w:eastAsia="宋体" w:cs="Times New Roman"/>
          <w:caps w:val="0"/>
          <w:smallCaps w:val="0"/>
          <w:color w:val="auto"/>
          <w:spacing w:val="0"/>
          <w:highlight w:val="none"/>
        </w:rPr>
        <w:t>20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rPr>
        <w:t>4.34</w:t>
      </w:r>
      <w:r>
        <w:rPr>
          <w:rFonts w:ascii="Arial" w:hAnsi="Arial" w:eastAsia="宋体" w:cs="Arial"/>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10</w:t>
      </w:r>
      <w:r>
        <w:rPr>
          <w:rFonts w:hint="eastAsia"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mg/L；</w:t>
      </w:r>
      <w:r>
        <w:rPr>
          <w:rFonts w:hint="eastAsia" w:ascii="Times New Roman" w:hAnsi="Times New Roman" w:eastAsia="宋体" w:cs="Times New Roman"/>
          <w:caps w:val="0"/>
          <w:smallCaps w:val="0"/>
          <w:color w:val="auto"/>
          <w:spacing w:val="0"/>
          <w:highlight w:val="none"/>
        </w:rPr>
        <w:t>镉</w:t>
      </w:r>
      <w:r>
        <w:rPr>
          <w:rFonts w:ascii="Times New Roman" w:hAnsi="Times New Roman" w:eastAsia="宋体" w:cs="Times New Roman"/>
          <w:caps w:val="0"/>
          <w:smallCaps w:val="0"/>
          <w:color w:val="auto"/>
          <w:spacing w:val="0"/>
          <w:highlight w:val="none"/>
        </w:rPr>
        <w:t>第100天的污染物达标点出现在</w:t>
      </w:r>
      <w:r>
        <w:rPr>
          <w:rFonts w:hint="eastAsia" w:ascii="Times New Roman" w:hAnsi="Times New Roman" w:eastAsia="宋体" w:cs="Times New Roman"/>
          <w:caps w:val="0"/>
          <w:smallCaps w:val="0"/>
          <w:color w:val="auto"/>
          <w:spacing w:val="0"/>
          <w:highlight w:val="none"/>
        </w:rPr>
        <w:t>30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rPr>
        <w:t>0.0003</w:t>
      </w:r>
      <w:r>
        <w:rPr>
          <w:rFonts w:ascii="Times New Roman" w:hAnsi="Times New Roman" w:eastAsia="宋体" w:cs="Times New Roman"/>
          <w:caps w:val="0"/>
          <w:smallCaps w:val="0"/>
          <w:color w:val="auto"/>
          <w:spacing w:val="0"/>
          <w:highlight w:val="none"/>
        </w:rPr>
        <w:t>mg/L；</w:t>
      </w:r>
      <w:r>
        <w:rPr>
          <w:rFonts w:hint="eastAsia" w:ascii="Times New Roman" w:hAnsi="Times New Roman" w:eastAsia="宋体" w:cs="Times New Roman"/>
          <w:caps w:val="0"/>
          <w:smallCaps w:val="0"/>
          <w:color w:val="auto"/>
          <w:spacing w:val="0"/>
          <w:highlight w:val="none"/>
        </w:rPr>
        <w:t>镉</w:t>
      </w:r>
      <w:r>
        <w:rPr>
          <w:rFonts w:ascii="Times New Roman" w:hAnsi="Times New Roman" w:eastAsia="宋体" w:cs="Times New Roman"/>
          <w:caps w:val="0"/>
          <w:smallCaps w:val="0"/>
          <w:color w:val="auto"/>
          <w:spacing w:val="0"/>
          <w:highlight w:val="none"/>
        </w:rPr>
        <w:t>第365天的污染物达标点出现在</w:t>
      </w:r>
      <w:r>
        <w:rPr>
          <w:rFonts w:hint="eastAsia" w:ascii="Times New Roman" w:hAnsi="Times New Roman" w:eastAsia="宋体" w:cs="Times New Roman"/>
          <w:caps w:val="0"/>
          <w:smallCaps w:val="0"/>
          <w:color w:val="auto"/>
          <w:spacing w:val="0"/>
          <w:highlight w:val="none"/>
        </w:rPr>
        <w:t>60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rPr>
        <w:t>0.0021</w:t>
      </w:r>
      <w:r>
        <w:rPr>
          <w:rFonts w:ascii="Times New Roman" w:hAnsi="Times New Roman" w:eastAsia="宋体" w:cs="Times New Roman"/>
          <w:caps w:val="0"/>
          <w:smallCaps w:val="0"/>
          <w:color w:val="auto"/>
          <w:spacing w:val="0"/>
          <w:highlight w:val="none"/>
        </w:rPr>
        <w:t>mg/L</w:t>
      </w:r>
      <w:r>
        <w:rPr>
          <w:rFonts w:hint="eastAsia" w:ascii="Times New Roman" w:hAnsi="Times New Roman" w:eastAsia="宋体" w:cs="Times New Roman"/>
          <w:caps w:val="0"/>
          <w:smallCaps w:val="0"/>
          <w:color w:val="auto"/>
          <w:spacing w:val="0"/>
          <w:highlight w:val="none"/>
        </w:rPr>
        <w:t>；镉</w:t>
      </w:r>
      <w:r>
        <w:rPr>
          <w:rFonts w:ascii="Times New Roman" w:hAnsi="Times New Roman" w:eastAsia="宋体" w:cs="Times New Roman"/>
          <w:caps w:val="0"/>
          <w:smallCaps w:val="0"/>
          <w:color w:val="auto"/>
          <w:spacing w:val="0"/>
          <w:highlight w:val="none"/>
        </w:rPr>
        <w:t>第</w:t>
      </w:r>
      <w:r>
        <w:rPr>
          <w:rFonts w:hint="eastAsia" w:ascii="Times New Roman" w:hAnsi="Times New Roman" w:eastAsia="宋体" w:cs="Times New Roman"/>
          <w:caps w:val="0"/>
          <w:smallCaps w:val="0"/>
          <w:color w:val="auto"/>
          <w:spacing w:val="0"/>
          <w:highlight w:val="none"/>
        </w:rPr>
        <w:t>1000</w:t>
      </w:r>
      <w:r>
        <w:rPr>
          <w:rFonts w:ascii="Times New Roman" w:hAnsi="Times New Roman" w:eastAsia="宋体" w:cs="Times New Roman"/>
          <w:caps w:val="0"/>
          <w:smallCaps w:val="0"/>
          <w:color w:val="auto"/>
          <w:spacing w:val="0"/>
          <w:highlight w:val="none"/>
        </w:rPr>
        <w:t>天的污染物达标点出现在</w:t>
      </w:r>
      <w:r>
        <w:rPr>
          <w:rFonts w:hint="eastAsia" w:ascii="Times New Roman" w:hAnsi="Times New Roman" w:eastAsia="宋体" w:cs="Times New Roman"/>
          <w:caps w:val="0"/>
          <w:smallCaps w:val="0"/>
          <w:color w:val="auto"/>
          <w:spacing w:val="0"/>
          <w:highlight w:val="none"/>
        </w:rPr>
        <w:t>120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rPr>
        <w:t>0.0012</w:t>
      </w:r>
      <w:r>
        <w:rPr>
          <w:rFonts w:ascii="Times New Roman" w:hAnsi="Times New Roman" w:eastAsia="宋体" w:cs="Times New Roman"/>
          <w:caps w:val="0"/>
          <w:smallCaps w:val="0"/>
          <w:color w:val="auto"/>
          <w:spacing w:val="0"/>
          <w:highlight w:val="none"/>
        </w:rPr>
        <w:t>mg/L。</w:t>
      </w:r>
    </w:p>
    <w:p w14:paraId="47EC50F7">
      <w:pPr>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由预测结果可知，当污水处理设施管网出现泄漏且防渗层失效后，</w:t>
      </w:r>
      <w:r>
        <w:rPr>
          <w:rFonts w:hint="eastAsia" w:ascii="Times New Roman" w:hAnsi="Times New Roman" w:eastAsia="宋体" w:cs="Times New Roman"/>
          <w:caps w:val="0"/>
          <w:smallCaps w:val="0"/>
          <w:color w:val="auto"/>
          <w:spacing w:val="0"/>
          <w:highlight w:val="none"/>
        </w:rPr>
        <w:t>COD</w:t>
      </w:r>
      <w:r>
        <w:rPr>
          <w:rFonts w:ascii="Times New Roman" w:hAnsi="Times New Roman" w:eastAsia="宋体" w:cs="Times New Roman"/>
          <w:caps w:val="0"/>
          <w:smallCaps w:val="0"/>
          <w:color w:val="auto"/>
          <w:spacing w:val="0"/>
          <w:highlight w:val="none"/>
        </w:rPr>
        <w:t>第30天的污染物达标点出现在</w:t>
      </w:r>
      <w:r>
        <w:rPr>
          <w:rFonts w:hint="eastAsia" w:ascii="Times New Roman" w:hAnsi="Times New Roman" w:eastAsia="宋体" w:cs="Times New Roman"/>
          <w:caps w:val="0"/>
          <w:smallCaps w:val="0"/>
          <w:color w:val="auto"/>
          <w:spacing w:val="0"/>
          <w:highlight w:val="none"/>
        </w:rPr>
        <w:t>20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rPr>
        <w:t>16.30</w:t>
      </w:r>
      <w:r>
        <w:rPr>
          <w:rFonts w:ascii="Times New Roman" w:hAnsi="Times New Roman" w:eastAsia="宋体" w:cs="Times New Roman"/>
          <w:caps w:val="0"/>
          <w:smallCaps w:val="0"/>
          <w:color w:val="auto"/>
          <w:spacing w:val="0"/>
          <w:highlight w:val="none"/>
        </w:rPr>
        <w:t>mg/L；</w:t>
      </w:r>
      <w:r>
        <w:rPr>
          <w:rFonts w:hint="eastAsia" w:ascii="Times New Roman" w:hAnsi="Times New Roman" w:eastAsia="宋体" w:cs="Times New Roman"/>
          <w:caps w:val="0"/>
          <w:smallCaps w:val="0"/>
          <w:color w:val="auto"/>
          <w:spacing w:val="0"/>
          <w:highlight w:val="none"/>
        </w:rPr>
        <w:t>COD</w:t>
      </w:r>
      <w:r>
        <w:rPr>
          <w:rFonts w:ascii="Times New Roman" w:hAnsi="Times New Roman" w:eastAsia="宋体" w:cs="Times New Roman"/>
          <w:caps w:val="0"/>
          <w:smallCaps w:val="0"/>
          <w:color w:val="auto"/>
          <w:spacing w:val="0"/>
          <w:highlight w:val="none"/>
        </w:rPr>
        <w:t>第100天的污染物达标点出现在</w:t>
      </w:r>
      <w:r>
        <w:rPr>
          <w:rFonts w:hint="eastAsia" w:ascii="Times New Roman" w:hAnsi="Times New Roman" w:eastAsia="宋体" w:cs="Times New Roman"/>
          <w:caps w:val="0"/>
          <w:smallCaps w:val="0"/>
          <w:color w:val="auto"/>
          <w:spacing w:val="0"/>
          <w:highlight w:val="none"/>
        </w:rPr>
        <w:t>30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rPr>
        <w:t>16.</w:t>
      </w:r>
      <w:r>
        <w:rPr>
          <w:rFonts w:hint="eastAsia" w:ascii="Times New Roman" w:hAnsi="Times New Roman" w:eastAsia="宋体" w:cs="Times New Roman"/>
          <w:caps w:val="0"/>
          <w:smallCaps w:val="0"/>
          <w:color w:val="auto"/>
          <w:spacing w:val="0"/>
          <w:highlight w:val="none"/>
          <w:lang w:val="en-US" w:eastAsia="zh-CN"/>
        </w:rPr>
        <w:t>80</w:t>
      </w:r>
      <w:r>
        <w:rPr>
          <w:rFonts w:ascii="Times New Roman" w:hAnsi="Times New Roman" w:eastAsia="宋体" w:cs="Times New Roman"/>
          <w:caps w:val="0"/>
          <w:smallCaps w:val="0"/>
          <w:color w:val="auto"/>
          <w:spacing w:val="0"/>
          <w:highlight w:val="none"/>
        </w:rPr>
        <w:t>mg/L</w:t>
      </w:r>
      <w:r>
        <w:rPr>
          <w:rFonts w:ascii="Times New Roman" w:hAnsi="Times New Roman" w:eastAsia="宋体" w:cs="Times New Roman"/>
          <w:caps w:val="0"/>
          <w:smallCaps w:val="0"/>
          <w:color w:val="auto"/>
          <w:spacing w:val="0"/>
          <w:highlight w:val="none"/>
        </w:rPr>
        <w:t>；</w:t>
      </w:r>
      <w:r>
        <w:rPr>
          <w:rFonts w:hint="eastAsia" w:ascii="Times New Roman" w:hAnsi="Times New Roman" w:eastAsia="宋体" w:cs="Times New Roman"/>
          <w:caps w:val="0"/>
          <w:smallCaps w:val="0"/>
          <w:color w:val="auto"/>
          <w:spacing w:val="0"/>
          <w:highlight w:val="none"/>
        </w:rPr>
        <w:t>COD</w:t>
      </w:r>
      <w:r>
        <w:rPr>
          <w:rFonts w:ascii="Times New Roman" w:hAnsi="Times New Roman" w:eastAsia="宋体" w:cs="Times New Roman"/>
          <w:caps w:val="0"/>
          <w:smallCaps w:val="0"/>
          <w:color w:val="auto"/>
          <w:spacing w:val="0"/>
          <w:highlight w:val="none"/>
        </w:rPr>
        <w:t>第365天的污染物达标点出现在</w:t>
      </w:r>
      <w:r>
        <w:rPr>
          <w:rFonts w:hint="eastAsia" w:ascii="Times New Roman" w:hAnsi="Times New Roman" w:eastAsia="宋体" w:cs="Times New Roman"/>
          <w:caps w:val="0"/>
          <w:smallCaps w:val="0"/>
          <w:color w:val="auto"/>
          <w:spacing w:val="0"/>
          <w:highlight w:val="none"/>
        </w:rPr>
        <w:t>60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lang w:val="en-US" w:eastAsia="zh-CN"/>
        </w:rPr>
        <w:t>19.52</w:t>
      </w:r>
      <w:r>
        <w:rPr>
          <w:rFonts w:ascii="Times New Roman" w:hAnsi="Times New Roman" w:eastAsia="宋体" w:cs="Times New Roman"/>
          <w:caps w:val="0"/>
          <w:smallCaps w:val="0"/>
          <w:color w:val="auto"/>
          <w:spacing w:val="0"/>
          <w:highlight w:val="none"/>
        </w:rPr>
        <w:t>mg/L</w:t>
      </w:r>
      <w:r>
        <w:rPr>
          <w:rFonts w:hint="eastAsia" w:ascii="Times New Roman" w:hAnsi="Times New Roman" w:eastAsia="宋体" w:cs="Times New Roman"/>
          <w:caps w:val="0"/>
          <w:smallCaps w:val="0"/>
          <w:color w:val="auto"/>
          <w:spacing w:val="0"/>
          <w:highlight w:val="none"/>
        </w:rPr>
        <w:t>；COD</w:t>
      </w:r>
      <w:r>
        <w:rPr>
          <w:rFonts w:ascii="Times New Roman" w:hAnsi="Times New Roman" w:eastAsia="宋体" w:cs="Times New Roman"/>
          <w:caps w:val="0"/>
          <w:smallCaps w:val="0"/>
          <w:color w:val="auto"/>
          <w:spacing w:val="0"/>
          <w:highlight w:val="none"/>
        </w:rPr>
        <w:t>第</w:t>
      </w:r>
      <w:r>
        <w:rPr>
          <w:rFonts w:hint="eastAsia" w:ascii="Times New Roman" w:hAnsi="Times New Roman" w:eastAsia="宋体" w:cs="Times New Roman"/>
          <w:caps w:val="0"/>
          <w:smallCaps w:val="0"/>
          <w:color w:val="auto"/>
          <w:spacing w:val="0"/>
          <w:highlight w:val="none"/>
        </w:rPr>
        <w:t>1000</w:t>
      </w:r>
      <w:r>
        <w:rPr>
          <w:rFonts w:ascii="Times New Roman" w:hAnsi="Times New Roman" w:eastAsia="宋体" w:cs="Times New Roman"/>
          <w:caps w:val="0"/>
          <w:smallCaps w:val="0"/>
          <w:color w:val="auto"/>
          <w:spacing w:val="0"/>
          <w:highlight w:val="none"/>
        </w:rPr>
        <w:t>天的污染物达标点出现在</w:t>
      </w:r>
      <w:r>
        <w:rPr>
          <w:rFonts w:hint="eastAsia" w:ascii="Times New Roman" w:hAnsi="Times New Roman" w:eastAsia="宋体" w:cs="Times New Roman"/>
          <w:caps w:val="0"/>
          <w:smallCaps w:val="0"/>
          <w:color w:val="auto"/>
          <w:spacing w:val="0"/>
          <w:highlight w:val="none"/>
        </w:rPr>
        <w:t>1</w:t>
      </w:r>
      <w:r>
        <w:rPr>
          <w:rFonts w:hint="eastAsia" w:ascii="Times New Roman" w:hAnsi="Times New Roman" w:eastAsia="宋体" w:cs="Times New Roman"/>
          <w:caps w:val="0"/>
          <w:smallCaps w:val="0"/>
          <w:color w:val="auto"/>
          <w:spacing w:val="0"/>
          <w:highlight w:val="none"/>
          <w:lang w:val="en-US" w:eastAsia="zh-CN"/>
        </w:rPr>
        <w:t>2</w:t>
      </w:r>
      <w:r>
        <w:rPr>
          <w:rFonts w:hint="eastAsia" w:ascii="Times New Roman" w:hAnsi="Times New Roman" w:eastAsia="宋体" w:cs="Times New Roman"/>
          <w:caps w:val="0"/>
          <w:smallCaps w:val="0"/>
          <w:color w:val="auto"/>
          <w:spacing w:val="0"/>
          <w:highlight w:val="none"/>
        </w:rPr>
        <w:t>0</w:t>
      </w:r>
      <w:r>
        <w:rPr>
          <w:rFonts w:ascii="Times New Roman" w:hAnsi="Times New Roman" w:eastAsia="宋体" w:cs="Times New Roman"/>
          <w:caps w:val="0"/>
          <w:smallCaps w:val="0"/>
          <w:color w:val="auto"/>
          <w:spacing w:val="0"/>
          <w:highlight w:val="none"/>
        </w:rPr>
        <w:t>m处，浓度为</w:t>
      </w:r>
      <w:r>
        <w:rPr>
          <w:rFonts w:hint="eastAsia" w:ascii="Times New Roman" w:hAnsi="Times New Roman" w:eastAsia="宋体" w:cs="Times New Roman"/>
          <w:caps w:val="0"/>
          <w:smallCaps w:val="0"/>
          <w:color w:val="auto"/>
          <w:spacing w:val="0"/>
          <w:highlight w:val="none"/>
          <w:lang w:val="en-US" w:eastAsia="zh-CN"/>
        </w:rPr>
        <w:t>18.04</w:t>
      </w:r>
      <w:r>
        <w:rPr>
          <w:rFonts w:ascii="Times New Roman" w:hAnsi="Times New Roman" w:eastAsia="宋体" w:cs="Times New Roman"/>
          <w:caps w:val="0"/>
          <w:smallCaps w:val="0"/>
          <w:color w:val="auto"/>
          <w:spacing w:val="0"/>
          <w:highlight w:val="none"/>
        </w:rPr>
        <w:t>mg/L。</w:t>
      </w:r>
    </w:p>
    <w:p w14:paraId="13CC0EF8">
      <w:pPr>
        <w:pStyle w:val="48"/>
        <w:spacing w:line="360" w:lineRule="auto"/>
        <w:ind w:firstLine="480" w:firstLineChars="200"/>
        <w:jc w:val="both"/>
        <w:rPr>
          <w:rFonts w:ascii="Times New Roman" w:cs="Times New Roman"/>
          <w:caps w:val="0"/>
          <w:smallCaps w:val="0"/>
          <w:color w:val="auto"/>
          <w:spacing w:val="0"/>
          <w:highlight w:val="none"/>
        </w:rPr>
      </w:pPr>
      <w:r>
        <w:rPr>
          <w:rFonts w:ascii="Times New Roman" w:cs="Times New Roman"/>
          <w:caps w:val="0"/>
          <w:smallCaps w:val="0"/>
          <w:color w:val="auto"/>
          <w:spacing w:val="0"/>
          <w:highlight w:val="none"/>
        </w:rPr>
        <w:t>项目评价区域地下水流向下游有一处宏伟村分散式饮用水水井，在距离厂区北侧18</w:t>
      </w:r>
      <w:r>
        <w:rPr>
          <w:rFonts w:hint="eastAsia" w:ascii="Times New Roman" w:cs="Times New Roman"/>
          <w:caps w:val="0"/>
          <w:smallCaps w:val="0"/>
          <w:color w:val="auto"/>
          <w:spacing w:val="0"/>
          <w:highlight w:val="none"/>
        </w:rPr>
        <w:t>0</w:t>
      </w:r>
      <w:r>
        <w:rPr>
          <w:rFonts w:ascii="Times New Roman" w:cs="Times New Roman"/>
          <w:caps w:val="0"/>
          <w:smallCaps w:val="0"/>
          <w:color w:val="auto"/>
          <w:spacing w:val="0"/>
          <w:highlight w:val="none"/>
        </w:rPr>
        <w:t>0m处，所以非正常工况下，污水渗漏不会对地下水流向下游居民点地下饮用水造成影响。项目建设对区域地下水环境影响较小。</w:t>
      </w:r>
    </w:p>
    <w:p w14:paraId="0C60E518">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5.2.6.3跟踪监测</w:t>
      </w:r>
    </w:p>
    <w:p w14:paraId="51D5E0DC">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项目在厂区西北角布设的一个长期监测孔作为地下水污染监测点，地下水流向处于污水处理设施下游，该地下水监测点为污染扩散监测点，监测层位为潜水含水层，监测项目包括地下水水位与水质。监测频率为每年1次，发现异常时，加密到每月甚至每周一次，直至水质恢复正常。异常具体包括三种情况：一是检出组分或常规组分浓度明显升高或超标；二是未检出组分连续检出；三是污染组分出现超标情况。</w:t>
      </w:r>
    </w:p>
    <w:p w14:paraId="2F29B3CA">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5.2.6.4地下水影响评价与结论</w:t>
      </w:r>
    </w:p>
    <w:p w14:paraId="530A6030">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预测结果表明，正常工况下，污染物镉对地下水的影响可被环境接受。非正常工况下，镉</w:t>
      </w:r>
      <w:r>
        <w:rPr>
          <w:rFonts w:hint="eastAsia" w:ascii="Times New Roman" w:hAnsi="Times New Roman" w:eastAsia="宋体" w:cs="Times New Roman"/>
          <w:caps w:val="0"/>
          <w:smallCaps w:val="0"/>
          <w:color w:val="auto"/>
          <w:spacing w:val="0"/>
          <w:highlight w:val="none"/>
        </w:rPr>
        <w:t>及COD</w:t>
      </w:r>
      <w:r>
        <w:rPr>
          <w:rFonts w:ascii="Times New Roman" w:hAnsi="Times New Roman" w:eastAsia="宋体" w:cs="Times New Roman"/>
          <w:caps w:val="0"/>
          <w:smallCaps w:val="0"/>
          <w:color w:val="auto"/>
          <w:spacing w:val="0"/>
          <w:highlight w:val="none"/>
        </w:rPr>
        <w:t>对地下水的影响较小，</w:t>
      </w:r>
      <w:r>
        <w:rPr>
          <w:rFonts w:hint="eastAsia" w:ascii="Times New Roman" w:hAnsi="Times New Roman" w:eastAsia="宋体" w:cs="Times New Roman"/>
          <w:caps w:val="0"/>
          <w:smallCaps w:val="0"/>
          <w:color w:val="auto"/>
          <w:spacing w:val="0"/>
          <w:highlight w:val="none"/>
          <w:lang w:val="en-US" w:eastAsia="zh-CN"/>
        </w:rPr>
        <w:t>均</w:t>
      </w:r>
      <w:r>
        <w:rPr>
          <w:rFonts w:ascii="Times New Roman" w:hAnsi="Times New Roman" w:eastAsia="宋体" w:cs="Times New Roman"/>
          <w:caps w:val="0"/>
          <w:smallCaps w:val="0"/>
          <w:color w:val="auto"/>
          <w:spacing w:val="0"/>
          <w:highlight w:val="none"/>
        </w:rPr>
        <w:t>在</w:t>
      </w:r>
      <w:r>
        <w:rPr>
          <w:rFonts w:hint="eastAsia" w:ascii="Times New Roman" w:hAnsi="Times New Roman" w:eastAsia="宋体" w:cs="Times New Roman"/>
          <w:caps w:val="0"/>
          <w:smallCaps w:val="0"/>
          <w:color w:val="auto"/>
          <w:spacing w:val="0"/>
          <w:highlight w:val="none"/>
        </w:rPr>
        <w:t>120</w:t>
      </w:r>
      <w:r>
        <w:rPr>
          <w:rFonts w:ascii="Times New Roman" w:hAnsi="Times New Roman" w:eastAsia="宋体" w:cs="Times New Roman"/>
          <w:caps w:val="0"/>
          <w:smallCaps w:val="0"/>
          <w:color w:val="auto"/>
          <w:spacing w:val="0"/>
          <w:highlight w:val="none"/>
        </w:rPr>
        <w:t>m范围</w:t>
      </w:r>
      <w:r>
        <w:rPr>
          <w:rFonts w:hint="eastAsia" w:ascii="Times New Roman" w:hAnsi="Times New Roman" w:eastAsia="宋体" w:cs="Times New Roman"/>
          <w:caps w:val="0"/>
          <w:smallCaps w:val="0"/>
          <w:color w:val="auto"/>
          <w:spacing w:val="0"/>
          <w:highlight w:val="none"/>
          <w:lang w:val="en-US" w:eastAsia="zh-CN"/>
        </w:rPr>
        <w:t>外</w:t>
      </w:r>
      <w:r>
        <w:rPr>
          <w:rFonts w:ascii="Times New Roman" w:hAnsi="Times New Roman" w:eastAsia="宋体" w:cs="Times New Roman"/>
          <w:caps w:val="0"/>
          <w:smallCaps w:val="0"/>
          <w:color w:val="auto"/>
          <w:spacing w:val="0"/>
          <w:highlight w:val="none"/>
        </w:rPr>
        <w:t>即可达标，本</w:t>
      </w:r>
      <w:r>
        <w:rPr>
          <w:rFonts w:hint="eastAsia" w:ascii="Times New Roman" w:hAnsi="Times New Roman" w:eastAsia="宋体" w:cs="Times New Roman"/>
          <w:caps w:val="0"/>
          <w:smallCaps w:val="0"/>
          <w:color w:val="auto"/>
          <w:spacing w:val="0"/>
          <w:highlight w:val="none"/>
        </w:rPr>
        <w:t>范围</w:t>
      </w:r>
      <w:r>
        <w:rPr>
          <w:rFonts w:ascii="Times New Roman" w:hAnsi="Times New Roman" w:eastAsia="宋体" w:cs="Times New Roman"/>
          <w:caps w:val="0"/>
          <w:smallCaps w:val="0"/>
          <w:color w:val="auto"/>
          <w:spacing w:val="0"/>
          <w:highlight w:val="none"/>
        </w:rPr>
        <w:t>内无取水井，影响可控，建设单位应做好防渗措施同时定期对污水管线及设施进行检查维护，以避免发生破裂或者大量渗漏，影响地下水环境。</w:t>
      </w:r>
    </w:p>
    <w:p w14:paraId="6B6B4245">
      <w:pPr>
        <w:widowControl w:val="0"/>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本项目从地下水环境角度可行。</w:t>
      </w:r>
    </w:p>
    <w:p w14:paraId="17997674">
      <w:pPr>
        <w:pStyle w:val="65"/>
        <w:widowControl w:val="0"/>
        <w:ind w:firstLine="0" w:firstLineChars="0"/>
        <w:outlineLvl w:val="2"/>
        <w:rPr>
          <w:rFonts w:eastAsia="宋体"/>
          <w:b/>
          <w:bCs/>
          <w:caps w:val="0"/>
          <w:smallCaps w:val="0"/>
          <w:color w:val="auto"/>
          <w:spacing w:val="0"/>
          <w:kern w:val="0"/>
          <w:sz w:val="30"/>
          <w:szCs w:val="30"/>
          <w:highlight w:val="none"/>
          <w:lang w:bidi="ar"/>
        </w:rPr>
      </w:pPr>
      <w:bookmarkStart w:id="177" w:name="_Toc477951982"/>
      <w:bookmarkStart w:id="178" w:name="_Toc28466"/>
      <w:r>
        <w:rPr>
          <w:rFonts w:eastAsia="宋体"/>
          <w:b/>
          <w:bCs/>
          <w:caps w:val="0"/>
          <w:smallCaps w:val="0"/>
          <w:color w:val="auto"/>
          <w:spacing w:val="0"/>
          <w:kern w:val="0"/>
          <w:sz w:val="30"/>
          <w:szCs w:val="30"/>
          <w:highlight w:val="none"/>
          <w:lang w:bidi="ar"/>
        </w:rPr>
        <w:t>5.2.7环境风险评价</w:t>
      </w:r>
      <w:bookmarkEnd w:id="177"/>
      <w:bookmarkEnd w:id="178"/>
    </w:p>
    <w:p w14:paraId="12A6E5A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本项目涉及到的生产工艺、储存系统等是在一定压力、温度下操作的，且使用物料有易燃、易爆、有毒的物料，因此，拟建项目具有一定潜在的事故隐患和环境风险。</w:t>
      </w:r>
    </w:p>
    <w:p w14:paraId="53508560">
      <w:pPr>
        <w:pStyle w:val="114"/>
        <w:rPr>
          <w:rFonts w:ascii="Times New Roman" w:hAnsi="Times New Roman" w:cs="Times New Roman"/>
          <w:caps w:val="0"/>
          <w:smallCaps w:val="0"/>
          <w:color w:val="auto"/>
          <w:spacing w:val="0"/>
          <w:sz w:val="28"/>
          <w:szCs w:val="28"/>
          <w:highlight w:val="none"/>
        </w:rPr>
      </w:pPr>
      <w:bookmarkStart w:id="179" w:name="_Toc419099761"/>
      <w:bookmarkStart w:id="180" w:name="_Toc425411510"/>
      <w:r>
        <w:rPr>
          <w:rFonts w:ascii="Times New Roman" w:hAnsi="Times New Roman" w:cs="Times New Roman"/>
          <w:caps w:val="0"/>
          <w:smallCaps w:val="0"/>
          <w:color w:val="auto"/>
          <w:spacing w:val="0"/>
          <w:sz w:val="28"/>
          <w:szCs w:val="28"/>
          <w:highlight w:val="none"/>
        </w:rPr>
        <w:t>5.2.7.1风险类型分析</w:t>
      </w:r>
      <w:bookmarkEnd w:id="179"/>
      <w:bookmarkEnd w:id="180"/>
    </w:p>
    <w:p w14:paraId="01A83AB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181" w:name="_Toc425411511"/>
      <w:bookmarkStart w:id="182" w:name="_Toc424281692"/>
      <w:r>
        <w:rPr>
          <w:rFonts w:ascii="Times New Roman" w:hAnsi="Times New Roman" w:eastAsia="宋体" w:cs="Times New Roman"/>
          <w:caps w:val="0"/>
          <w:smallCaps w:val="0"/>
          <w:color w:val="auto"/>
          <w:spacing w:val="0"/>
          <w:szCs w:val="28"/>
          <w:highlight w:val="none"/>
        </w:rPr>
        <w:t>本项目生产过程涉及危险物质储存和使用，</w:t>
      </w:r>
      <w:r>
        <w:rPr>
          <w:rFonts w:ascii="Times New Roman" w:hAnsi="Times New Roman" w:eastAsia="宋体" w:cs="Times New Roman"/>
          <w:caps w:val="0"/>
          <w:smallCaps w:val="0"/>
          <w:color w:val="auto"/>
          <w:spacing w:val="0"/>
          <w:highlight w:val="none"/>
        </w:rPr>
        <w:t>由于本项目的贮存单元存在的物质都为固态不燃物，但为有毒物质，根据《企业突发环境事件风险分级方法》（HJ941-2008），本项目风险物质均为涉水风险物质，但在火灾情况下可能产生粉尘或在受热分解情况下产生次生物质可能引起大气环境风险。可能发生风险主要容器破裂</w:t>
      </w:r>
      <w:r>
        <w:rPr>
          <w:rFonts w:hint="eastAsia" w:ascii="Times New Roman" w:hAnsi="Times New Roman" w:eastAsia="宋体" w:cs="Times New Roman"/>
          <w:caps w:val="0"/>
          <w:smallCaps w:val="0"/>
          <w:color w:val="auto"/>
          <w:spacing w:val="0"/>
          <w:highlight w:val="none"/>
        </w:rPr>
        <w:t>导致</w:t>
      </w:r>
      <w:r>
        <w:rPr>
          <w:rFonts w:ascii="Times New Roman" w:hAnsi="Times New Roman" w:eastAsia="宋体" w:cs="Times New Roman"/>
          <w:caps w:val="0"/>
          <w:smallCaps w:val="0"/>
          <w:color w:val="auto"/>
          <w:spacing w:val="0"/>
          <w:highlight w:val="none"/>
        </w:rPr>
        <w:t>氯化镉溶液泄漏风险，或者是发生火灾的情况</w:t>
      </w:r>
      <w:r>
        <w:rPr>
          <w:rFonts w:hint="eastAsia" w:ascii="Times New Roman" w:hAnsi="Times New Roman" w:eastAsia="宋体" w:cs="Times New Roman"/>
          <w:caps w:val="0"/>
          <w:smallCaps w:val="0"/>
          <w:color w:val="auto"/>
          <w:spacing w:val="0"/>
          <w:highlight w:val="none"/>
        </w:rPr>
        <w:t>导致</w:t>
      </w:r>
      <w:r>
        <w:rPr>
          <w:rFonts w:ascii="Times New Roman" w:hAnsi="Times New Roman" w:eastAsia="宋体" w:cs="Times New Roman"/>
          <w:caps w:val="0"/>
          <w:smallCaps w:val="0"/>
          <w:color w:val="auto"/>
          <w:spacing w:val="0"/>
          <w:highlight w:val="none"/>
        </w:rPr>
        <w:t>有毒物质以粉尘形式或受热分解发生次生有毒的物质烟团排放的风险。</w:t>
      </w:r>
    </w:p>
    <w:p w14:paraId="5D9666C1">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因此，本次环境风险评价和管理的主要研究对象是：</w:t>
      </w:r>
      <w:r>
        <w:rPr>
          <w:rFonts w:ascii="Times New Roman" w:hAnsi="Times New Roman" w:eastAsia="宋体" w:cs="Times New Roman"/>
          <w:caps w:val="0"/>
          <w:smallCaps w:val="0"/>
          <w:color w:val="auto"/>
          <w:spacing w:val="0"/>
          <w:highlight w:val="none"/>
        </w:rPr>
        <w:t>火灾、有毒物质</w:t>
      </w:r>
      <w:r>
        <w:rPr>
          <w:rFonts w:hint="eastAsia" w:ascii="Times New Roman" w:hAnsi="Times New Roman" w:eastAsia="宋体" w:cs="Times New Roman"/>
          <w:caps w:val="0"/>
          <w:smallCaps w:val="0"/>
          <w:color w:val="auto"/>
          <w:spacing w:val="0"/>
          <w:highlight w:val="none"/>
        </w:rPr>
        <w:t>泄漏</w:t>
      </w:r>
      <w:r>
        <w:rPr>
          <w:rFonts w:ascii="Times New Roman" w:hAnsi="Times New Roman" w:eastAsia="宋体" w:cs="Times New Roman"/>
          <w:caps w:val="0"/>
          <w:smallCaps w:val="0"/>
          <w:color w:val="auto"/>
          <w:spacing w:val="0"/>
          <w:highlight w:val="none"/>
        </w:rPr>
        <w:t>，如有毒气体、液体的释放等，以及可以产生的环境影响</w:t>
      </w:r>
      <w:r>
        <w:rPr>
          <w:rFonts w:ascii="Times New Roman" w:hAnsi="Times New Roman" w:eastAsia="宋体" w:cs="Times New Roman"/>
          <w:caps w:val="0"/>
          <w:smallCaps w:val="0"/>
          <w:color w:val="auto"/>
          <w:spacing w:val="0"/>
          <w:szCs w:val="28"/>
          <w:highlight w:val="none"/>
        </w:rPr>
        <w:t>，如有毒气体的释放等，消防用水</w:t>
      </w:r>
      <w:r>
        <w:rPr>
          <w:rFonts w:hint="eastAsia" w:ascii="Times New Roman" w:hAnsi="Times New Roman" w:eastAsia="宋体" w:cs="Times New Roman"/>
          <w:caps w:val="0"/>
          <w:smallCaps w:val="0"/>
          <w:color w:val="auto"/>
          <w:spacing w:val="0"/>
          <w:szCs w:val="28"/>
          <w:highlight w:val="none"/>
        </w:rPr>
        <w:t>导致</w:t>
      </w:r>
      <w:r>
        <w:rPr>
          <w:rFonts w:ascii="Times New Roman" w:hAnsi="Times New Roman" w:eastAsia="宋体" w:cs="Times New Roman"/>
          <w:caps w:val="0"/>
          <w:smallCaps w:val="0"/>
          <w:color w:val="auto"/>
          <w:spacing w:val="0"/>
          <w:szCs w:val="28"/>
          <w:highlight w:val="none"/>
        </w:rPr>
        <w:t>物料</w:t>
      </w:r>
      <w:r>
        <w:rPr>
          <w:rFonts w:hint="eastAsia" w:ascii="Times New Roman" w:hAnsi="Times New Roman" w:eastAsia="宋体" w:cs="Times New Roman"/>
          <w:caps w:val="0"/>
          <w:smallCaps w:val="0"/>
          <w:color w:val="auto"/>
          <w:spacing w:val="0"/>
          <w:szCs w:val="28"/>
          <w:highlight w:val="none"/>
        </w:rPr>
        <w:t>进入</w:t>
      </w:r>
      <w:r>
        <w:rPr>
          <w:rFonts w:ascii="Times New Roman" w:hAnsi="Times New Roman" w:eastAsia="宋体" w:cs="Times New Roman"/>
          <w:caps w:val="0"/>
          <w:smallCaps w:val="0"/>
          <w:color w:val="auto"/>
          <w:spacing w:val="0"/>
          <w:szCs w:val="28"/>
          <w:highlight w:val="none"/>
        </w:rPr>
        <w:t>消防水，物料进入消防水，或溶液泄漏进入地表水体或土壤及地下水，从而引发的环境影响。本项目事故原因及事故类型见图。</w:t>
      </w:r>
    </w:p>
    <w:p w14:paraId="3FBFA357">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object>
          <v:shape id="_x0000_i1038" o:spt="75" type="#_x0000_t75" style="height:295.3pt;width:381.95pt;" o:ole="t" filled="f" o:preferrelative="t" stroked="f" coordsize="21600,21600">
            <v:path/>
            <v:fill on="f" focussize="0,0"/>
            <v:stroke on="f" joinstyle="miter"/>
            <v:imagedata r:id="rId57" o:title=""/>
            <o:lock v:ext="edit" aspectratio="t"/>
            <w10:wrap type="none"/>
            <w10:anchorlock/>
          </v:shape>
          <o:OLEObject Type="Embed" ProgID="Visio.Drawing.11" ShapeID="_x0000_i1038" DrawAspect="Content" ObjectID="_1468075738" r:id="rId106">
            <o:LockedField>false</o:LockedField>
          </o:OLEObject>
        </w:object>
      </w:r>
    </w:p>
    <w:p w14:paraId="2BBF624A">
      <w:pPr>
        <w:pStyle w:val="13"/>
        <w:widowControl w:val="0"/>
        <w:spacing w:before="53"/>
        <w:ind w:right="116"/>
        <w:jc w:val="center"/>
        <w:rPr>
          <w:rFonts w:ascii="Times New Roman" w:hAnsi="Times New Roman" w:eastAsia="宋体" w:cs="Times New Roman"/>
          <w:b/>
          <w:bCs/>
          <w:caps w:val="0"/>
          <w:smallCaps w:val="0"/>
          <w:color w:val="auto"/>
          <w:spacing w:val="0"/>
          <w:kern w:val="0"/>
          <w:highlight w:val="none"/>
        </w:rPr>
      </w:pPr>
      <w:r>
        <w:rPr>
          <w:rFonts w:ascii="Times New Roman" w:hAnsi="Times New Roman" w:eastAsia="宋体" w:cs="Times New Roman"/>
          <w:b/>
          <w:bCs/>
          <w:caps w:val="0"/>
          <w:smallCaps w:val="0"/>
          <w:color w:val="auto"/>
          <w:spacing w:val="0"/>
          <w:kern w:val="0"/>
          <w:highlight w:val="none"/>
        </w:rPr>
        <w:t>图5.2</w:t>
      </w:r>
      <w:r>
        <w:rPr>
          <w:rFonts w:hint="eastAsia" w:ascii="Times New Roman" w:hAnsi="Times New Roman" w:eastAsia="宋体" w:cs="Times New Roman"/>
          <w:b/>
          <w:bCs/>
          <w:caps w:val="0"/>
          <w:smallCaps w:val="0"/>
          <w:color w:val="auto"/>
          <w:spacing w:val="0"/>
          <w:kern w:val="0"/>
          <w:highlight w:val="none"/>
          <w:lang w:val="en-US" w:eastAsia="zh-CN"/>
        </w:rPr>
        <w:t>-4</w:t>
      </w:r>
      <w:r>
        <w:rPr>
          <w:rFonts w:ascii="Times New Roman" w:hAnsi="Times New Roman" w:eastAsia="宋体" w:cs="Times New Roman"/>
          <w:b/>
          <w:bCs/>
          <w:caps w:val="0"/>
          <w:smallCaps w:val="0"/>
          <w:color w:val="auto"/>
          <w:spacing w:val="0"/>
          <w:kern w:val="0"/>
          <w:highlight w:val="none"/>
        </w:rPr>
        <w:t>事故原因及事故类型图</w:t>
      </w:r>
    </w:p>
    <w:p w14:paraId="404B4639">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5.2.7.2风险事故情形设定</w:t>
      </w:r>
    </w:p>
    <w:p w14:paraId="51663BC6">
      <w:pPr>
        <w:widowControl w:val="0"/>
        <w:spacing w:line="360" w:lineRule="auto"/>
        <w:ind w:firstLine="480"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caps w:val="0"/>
          <w:smallCaps w:val="0"/>
          <w:color w:val="auto"/>
          <w:spacing w:val="0"/>
          <w:szCs w:val="28"/>
          <w:highlight w:val="none"/>
        </w:rPr>
        <w:t>本项目生产所使用的原料大部分均具有潜在的危害，在贮存、运输和生产过程中可能发生泄漏，部分化学品在库房发生火灾爆炸过程中遇水、热等会产生伴生和次生的危害。由于本项目原辅材料在储存阶段都为固态物质，有单独的包装且在库房内，但氯化镉在使用过程中会配制成溶液使用。</w:t>
      </w:r>
    </w:p>
    <w:p w14:paraId="42F99D1A">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（1）事故泄漏状态下产生的有毒有害物质产生的环境危害。</w:t>
      </w:r>
    </w:p>
    <w:p w14:paraId="26514ACD">
      <w:pPr>
        <w:pStyle w:val="13"/>
        <w:widowControl w:val="0"/>
        <w:spacing w:after="0"/>
        <w:ind w:right="113"/>
        <w:jc w:val="center"/>
        <w:rPr>
          <w:rFonts w:ascii="Times New Roman" w:hAnsi="Times New Roman" w:eastAsia="宋体" w:cs="Times New Roman"/>
          <w:b/>
          <w:bCs/>
          <w:caps w:val="0"/>
          <w:smallCaps w:val="0"/>
          <w:color w:val="auto"/>
          <w:spacing w:val="0"/>
          <w:kern w:val="0"/>
          <w:highlight w:val="none"/>
        </w:rPr>
      </w:pPr>
      <w:r>
        <w:rPr>
          <w:rFonts w:ascii="Times New Roman" w:hAnsi="Times New Roman" w:eastAsia="宋体" w:cs="Times New Roman"/>
          <w:b/>
          <w:bCs/>
          <w:caps w:val="0"/>
          <w:smallCaps w:val="0"/>
          <w:color w:val="auto"/>
          <w:spacing w:val="0"/>
          <w:kern w:val="0"/>
          <w:highlight w:val="none"/>
        </w:rPr>
        <w:t>表5.2-</w:t>
      </w:r>
      <w:r>
        <w:rPr>
          <w:rFonts w:hint="eastAsia" w:ascii="Times New Roman" w:hAnsi="Times New Roman" w:eastAsia="宋体" w:cs="Times New Roman"/>
          <w:b/>
          <w:bCs/>
          <w:caps w:val="0"/>
          <w:smallCaps w:val="0"/>
          <w:color w:val="auto"/>
          <w:spacing w:val="0"/>
          <w:kern w:val="0"/>
          <w:highlight w:val="none"/>
          <w:lang w:val="en-US" w:eastAsia="zh-CN"/>
        </w:rPr>
        <w:t>19</w:t>
      </w:r>
      <w:r>
        <w:rPr>
          <w:rFonts w:ascii="Times New Roman" w:hAnsi="Times New Roman" w:eastAsia="宋体" w:cs="Times New Roman"/>
          <w:b/>
          <w:caps w:val="0"/>
          <w:smallCaps w:val="0"/>
          <w:color w:val="auto"/>
          <w:spacing w:val="0"/>
          <w:szCs w:val="28"/>
          <w:highlight w:val="none"/>
        </w:rPr>
        <w:t>有毒有害物质产生的环境危害</w:t>
      </w:r>
    </w:p>
    <w:tbl>
      <w:tblPr>
        <w:tblStyle w:val="176"/>
        <w:tblW w:w="5000" w:type="pct"/>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33"/>
        <w:gridCol w:w="2019"/>
        <w:gridCol w:w="3985"/>
        <w:gridCol w:w="2333"/>
      </w:tblGrid>
      <w:tr w14:paraId="7CACBCA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733" w:type="dxa"/>
            <w:tcBorders>
              <w:top w:val="single" w:color="auto" w:sz="8" w:space="0"/>
            </w:tcBorders>
            <w:vAlign w:val="center"/>
          </w:tcPr>
          <w:p w14:paraId="74267670">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序号</w:t>
            </w:r>
          </w:p>
        </w:tc>
        <w:tc>
          <w:tcPr>
            <w:tcW w:w="2019" w:type="dxa"/>
            <w:tcBorders>
              <w:top w:val="single" w:color="auto" w:sz="8" w:space="0"/>
            </w:tcBorders>
            <w:vAlign w:val="center"/>
          </w:tcPr>
          <w:p w14:paraId="3D50B9CD">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物料名称</w:t>
            </w:r>
          </w:p>
        </w:tc>
        <w:tc>
          <w:tcPr>
            <w:tcW w:w="3985" w:type="dxa"/>
            <w:tcBorders>
              <w:top w:val="single" w:color="auto" w:sz="8" w:space="0"/>
            </w:tcBorders>
            <w:vAlign w:val="center"/>
          </w:tcPr>
          <w:p w14:paraId="17715E3B">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泄漏危害产物</w:t>
            </w:r>
          </w:p>
        </w:tc>
        <w:tc>
          <w:tcPr>
            <w:tcW w:w="2333" w:type="dxa"/>
            <w:tcBorders>
              <w:top w:val="single" w:color="auto" w:sz="8" w:space="0"/>
            </w:tcBorders>
            <w:vAlign w:val="center"/>
          </w:tcPr>
          <w:p w14:paraId="6394F390">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危害途径</w:t>
            </w:r>
          </w:p>
        </w:tc>
      </w:tr>
      <w:tr w14:paraId="541763B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733" w:type="dxa"/>
            <w:vAlign w:val="center"/>
          </w:tcPr>
          <w:p w14:paraId="52BD6C7D">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1</w:t>
            </w:r>
          </w:p>
        </w:tc>
        <w:tc>
          <w:tcPr>
            <w:tcW w:w="2019" w:type="dxa"/>
            <w:vAlign w:val="center"/>
          </w:tcPr>
          <w:p w14:paraId="7DBFF9E5">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氯化镉溶液</w:t>
            </w:r>
          </w:p>
        </w:tc>
        <w:tc>
          <w:tcPr>
            <w:tcW w:w="3985" w:type="dxa"/>
            <w:vAlign w:val="center"/>
          </w:tcPr>
          <w:p w14:paraId="5579CAD0">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氯化镉溶液</w:t>
            </w:r>
          </w:p>
        </w:tc>
        <w:tc>
          <w:tcPr>
            <w:tcW w:w="2333" w:type="dxa"/>
            <w:vMerge w:val="restart"/>
            <w:vAlign w:val="center"/>
          </w:tcPr>
          <w:p w14:paraId="64FB0C5E">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有毒物质遇水溶解或溶液经清净下水管等排水管网混入清净下水、消防水、</w:t>
            </w:r>
            <w:r>
              <w:rPr>
                <w:rFonts w:hint="eastAsia" w:ascii="Times New Roman" w:hAnsi="Times New Roman" w:cs="Times New Roman"/>
                <w:caps w:val="0"/>
                <w:smallCaps w:val="0"/>
                <w:color w:val="auto"/>
                <w:spacing w:val="0"/>
                <w:sz w:val="21"/>
                <w:szCs w:val="21"/>
                <w:highlight w:val="none"/>
                <w:lang w:eastAsia="zh-CN"/>
              </w:rPr>
              <w:t>雨水</w:t>
            </w:r>
            <w:r>
              <w:rPr>
                <w:rFonts w:ascii="Times New Roman" w:hAnsi="Times New Roman" w:cs="Times New Roman"/>
                <w:caps w:val="0"/>
                <w:smallCaps w:val="0"/>
                <w:color w:val="auto"/>
                <w:spacing w:val="0"/>
                <w:sz w:val="21"/>
                <w:szCs w:val="21"/>
                <w:highlight w:val="none"/>
                <w:lang w:eastAsia="en-US"/>
              </w:rPr>
              <w:t>经厂区排水管线流入地表水体，造成水体污染。或溶液直接渗入地下，对地下水环境造成危害。</w:t>
            </w:r>
          </w:p>
        </w:tc>
      </w:tr>
      <w:tr w14:paraId="60AAFC9B">
        <w:tblPrEx>
          <w:tblCellMar>
            <w:top w:w="0" w:type="dxa"/>
            <w:left w:w="0" w:type="dxa"/>
            <w:bottom w:w="0" w:type="dxa"/>
            <w:right w:w="0" w:type="dxa"/>
          </w:tblCellMar>
        </w:tblPrEx>
        <w:trPr>
          <w:jc w:val="center"/>
        </w:trPr>
        <w:tc>
          <w:tcPr>
            <w:tcW w:w="733" w:type="dxa"/>
            <w:vAlign w:val="center"/>
          </w:tcPr>
          <w:p w14:paraId="67B92862">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2</w:t>
            </w:r>
          </w:p>
        </w:tc>
        <w:tc>
          <w:tcPr>
            <w:tcW w:w="2019" w:type="dxa"/>
            <w:vAlign w:val="center"/>
          </w:tcPr>
          <w:p w14:paraId="5D4C530E">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硝酸</w:t>
            </w:r>
          </w:p>
        </w:tc>
        <w:tc>
          <w:tcPr>
            <w:tcW w:w="3985" w:type="dxa"/>
            <w:vAlign w:val="center"/>
          </w:tcPr>
          <w:p w14:paraId="024B40AF">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硝酸</w:t>
            </w:r>
          </w:p>
        </w:tc>
        <w:tc>
          <w:tcPr>
            <w:tcW w:w="2333" w:type="dxa"/>
            <w:vMerge w:val="continue"/>
            <w:vAlign w:val="center"/>
          </w:tcPr>
          <w:p w14:paraId="35084ECF">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6EFD1B3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733" w:type="dxa"/>
            <w:vAlign w:val="center"/>
          </w:tcPr>
          <w:p w14:paraId="00BA0B38">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3</w:t>
            </w:r>
          </w:p>
        </w:tc>
        <w:tc>
          <w:tcPr>
            <w:tcW w:w="2019" w:type="dxa"/>
            <w:vAlign w:val="center"/>
          </w:tcPr>
          <w:p w14:paraId="5EA95144">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盐酸</w:t>
            </w:r>
          </w:p>
        </w:tc>
        <w:tc>
          <w:tcPr>
            <w:tcW w:w="3985" w:type="dxa"/>
            <w:vAlign w:val="center"/>
          </w:tcPr>
          <w:p w14:paraId="7A4518C0">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盐酸</w:t>
            </w:r>
          </w:p>
        </w:tc>
        <w:tc>
          <w:tcPr>
            <w:tcW w:w="2333" w:type="dxa"/>
            <w:vMerge w:val="continue"/>
            <w:vAlign w:val="center"/>
          </w:tcPr>
          <w:p w14:paraId="5819D351">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2BC85DA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733" w:type="dxa"/>
            <w:vAlign w:val="center"/>
          </w:tcPr>
          <w:p w14:paraId="16DB251B">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4</w:t>
            </w:r>
          </w:p>
        </w:tc>
        <w:tc>
          <w:tcPr>
            <w:tcW w:w="2019" w:type="dxa"/>
            <w:vAlign w:val="center"/>
          </w:tcPr>
          <w:p w14:paraId="157A938E">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二甲苯</w:t>
            </w:r>
          </w:p>
        </w:tc>
        <w:tc>
          <w:tcPr>
            <w:tcW w:w="3985" w:type="dxa"/>
            <w:vAlign w:val="center"/>
          </w:tcPr>
          <w:p w14:paraId="0F2CE721">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二甲苯</w:t>
            </w:r>
          </w:p>
        </w:tc>
        <w:tc>
          <w:tcPr>
            <w:tcW w:w="2333" w:type="dxa"/>
            <w:vMerge w:val="continue"/>
            <w:vAlign w:val="center"/>
          </w:tcPr>
          <w:p w14:paraId="0851E026">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1DF2CD8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 w:hRule="atLeast"/>
          <w:jc w:val="center"/>
        </w:trPr>
        <w:tc>
          <w:tcPr>
            <w:tcW w:w="733" w:type="dxa"/>
            <w:vAlign w:val="center"/>
          </w:tcPr>
          <w:p w14:paraId="5E5163B6">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5</w:t>
            </w:r>
          </w:p>
        </w:tc>
        <w:tc>
          <w:tcPr>
            <w:tcW w:w="2019" w:type="dxa"/>
            <w:vAlign w:val="center"/>
          </w:tcPr>
          <w:p w14:paraId="6877E3C9">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碲化镉</w:t>
            </w:r>
          </w:p>
        </w:tc>
        <w:tc>
          <w:tcPr>
            <w:tcW w:w="3985" w:type="dxa"/>
            <w:vAlign w:val="center"/>
          </w:tcPr>
          <w:p w14:paraId="469D033B">
            <w:pPr>
              <w:widowControl w:val="0"/>
              <w:snapToGrid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碲化镉</w:t>
            </w:r>
          </w:p>
        </w:tc>
        <w:tc>
          <w:tcPr>
            <w:tcW w:w="2333" w:type="dxa"/>
            <w:vMerge w:val="restart"/>
            <w:vAlign w:val="center"/>
          </w:tcPr>
          <w:p w14:paraId="5C38FC79">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在发生火灾情况下，风险物质直接以粉尘、烟雾的状态进入空气中，对周边环境造成影响，对周围人群造成伤害</w:t>
            </w:r>
          </w:p>
        </w:tc>
      </w:tr>
      <w:tr w14:paraId="1771E47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 w:hRule="atLeast"/>
          <w:jc w:val="center"/>
        </w:trPr>
        <w:tc>
          <w:tcPr>
            <w:tcW w:w="733" w:type="dxa"/>
            <w:vAlign w:val="center"/>
          </w:tcPr>
          <w:p w14:paraId="03D3B323">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6</w:t>
            </w:r>
          </w:p>
        </w:tc>
        <w:tc>
          <w:tcPr>
            <w:tcW w:w="2019" w:type="dxa"/>
            <w:vAlign w:val="center"/>
          </w:tcPr>
          <w:p w14:paraId="64EBC79F">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硒化镉</w:t>
            </w:r>
          </w:p>
        </w:tc>
        <w:tc>
          <w:tcPr>
            <w:tcW w:w="3985" w:type="dxa"/>
            <w:shd w:val="clear" w:color="auto" w:fill="auto"/>
            <w:vAlign w:val="center"/>
          </w:tcPr>
          <w:p w14:paraId="65126523">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硒化镉</w:t>
            </w:r>
          </w:p>
        </w:tc>
        <w:tc>
          <w:tcPr>
            <w:tcW w:w="2333" w:type="dxa"/>
            <w:vMerge w:val="continue"/>
            <w:vAlign w:val="center"/>
          </w:tcPr>
          <w:p w14:paraId="657C6625">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519AC84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 w:hRule="atLeast"/>
          <w:jc w:val="center"/>
        </w:trPr>
        <w:tc>
          <w:tcPr>
            <w:tcW w:w="733" w:type="dxa"/>
            <w:vAlign w:val="center"/>
          </w:tcPr>
          <w:p w14:paraId="1A180926">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7</w:t>
            </w:r>
          </w:p>
        </w:tc>
        <w:tc>
          <w:tcPr>
            <w:tcW w:w="2019" w:type="dxa"/>
            <w:vAlign w:val="center"/>
          </w:tcPr>
          <w:p w14:paraId="3664477A">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氯化镉</w:t>
            </w:r>
          </w:p>
        </w:tc>
        <w:tc>
          <w:tcPr>
            <w:tcW w:w="3985" w:type="dxa"/>
            <w:vAlign w:val="center"/>
          </w:tcPr>
          <w:p w14:paraId="5F5F3446">
            <w:pPr>
              <w:widowControl w:val="0"/>
              <w:snapToGrid w:val="0"/>
              <w:jc w:val="center"/>
              <w:rPr>
                <w:rFonts w:ascii="Times New Roman" w:hAnsi="Times New Roman" w:eastAsia="宋体" w:cs="Times New Roman"/>
                <w:caps w:val="0"/>
                <w:smallCaps w:val="0"/>
                <w:color w:val="auto"/>
                <w:spacing w:val="0"/>
                <w:sz w:val="21"/>
                <w:highlight w:val="none"/>
                <w:lang w:eastAsia="en-US"/>
              </w:rPr>
            </w:pPr>
            <w:r>
              <w:rPr>
                <w:rFonts w:ascii="Times New Roman" w:hAnsi="Times New Roman" w:eastAsia="宋体" w:cs="Times New Roman"/>
                <w:caps w:val="0"/>
                <w:smallCaps w:val="0"/>
                <w:color w:val="auto"/>
                <w:spacing w:val="0"/>
                <w:sz w:val="21"/>
                <w:highlight w:val="none"/>
                <w:lang w:eastAsia="en-US"/>
              </w:rPr>
              <w:t>氯化镉</w:t>
            </w:r>
          </w:p>
        </w:tc>
        <w:tc>
          <w:tcPr>
            <w:tcW w:w="2333" w:type="dxa"/>
            <w:vMerge w:val="continue"/>
            <w:vAlign w:val="center"/>
          </w:tcPr>
          <w:p w14:paraId="6087B550">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0013D21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 w:hRule="atLeast"/>
          <w:jc w:val="center"/>
        </w:trPr>
        <w:tc>
          <w:tcPr>
            <w:tcW w:w="733" w:type="dxa"/>
            <w:vAlign w:val="center"/>
          </w:tcPr>
          <w:p w14:paraId="314DD13A">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8</w:t>
            </w:r>
          </w:p>
        </w:tc>
        <w:tc>
          <w:tcPr>
            <w:tcW w:w="2019" w:type="dxa"/>
            <w:vAlign w:val="center"/>
          </w:tcPr>
          <w:p w14:paraId="760B45A1">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钼</w:t>
            </w:r>
          </w:p>
        </w:tc>
        <w:tc>
          <w:tcPr>
            <w:tcW w:w="3985" w:type="dxa"/>
            <w:vAlign w:val="center"/>
          </w:tcPr>
          <w:p w14:paraId="6A3C1C41">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钼</w:t>
            </w:r>
          </w:p>
        </w:tc>
        <w:tc>
          <w:tcPr>
            <w:tcW w:w="2333" w:type="dxa"/>
            <w:vMerge w:val="continue"/>
            <w:vAlign w:val="center"/>
          </w:tcPr>
          <w:p w14:paraId="27FC3606">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568EB30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 w:hRule="atLeast"/>
          <w:jc w:val="center"/>
        </w:trPr>
        <w:tc>
          <w:tcPr>
            <w:tcW w:w="733" w:type="dxa"/>
            <w:vAlign w:val="center"/>
          </w:tcPr>
          <w:p w14:paraId="47BC9BB2">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9</w:t>
            </w:r>
          </w:p>
        </w:tc>
        <w:tc>
          <w:tcPr>
            <w:tcW w:w="2019" w:type="dxa"/>
            <w:vAlign w:val="center"/>
          </w:tcPr>
          <w:p w14:paraId="7B389F65">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铬</w:t>
            </w:r>
          </w:p>
        </w:tc>
        <w:tc>
          <w:tcPr>
            <w:tcW w:w="3985" w:type="dxa"/>
            <w:vAlign w:val="center"/>
          </w:tcPr>
          <w:p w14:paraId="4127C077">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铬</w:t>
            </w:r>
          </w:p>
        </w:tc>
        <w:tc>
          <w:tcPr>
            <w:tcW w:w="2333" w:type="dxa"/>
            <w:vMerge w:val="continue"/>
            <w:vAlign w:val="center"/>
          </w:tcPr>
          <w:p w14:paraId="67173BB3">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r w14:paraId="48506B54">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 w:hRule="atLeast"/>
          <w:jc w:val="center"/>
        </w:trPr>
        <w:tc>
          <w:tcPr>
            <w:tcW w:w="733" w:type="dxa"/>
            <w:tcBorders>
              <w:bottom w:val="single" w:color="auto" w:sz="8" w:space="0"/>
            </w:tcBorders>
            <w:vAlign w:val="center"/>
          </w:tcPr>
          <w:p w14:paraId="26601C11">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hint="eastAsia" w:ascii="Times New Roman" w:hAnsi="Times New Roman" w:cs="Times New Roman"/>
                <w:caps w:val="0"/>
                <w:smallCaps w:val="0"/>
                <w:color w:val="auto"/>
                <w:spacing w:val="0"/>
                <w:sz w:val="21"/>
                <w:szCs w:val="21"/>
                <w:highlight w:val="none"/>
                <w:lang w:eastAsia="en-US"/>
              </w:rPr>
              <w:t>10</w:t>
            </w:r>
          </w:p>
        </w:tc>
        <w:tc>
          <w:tcPr>
            <w:tcW w:w="2019" w:type="dxa"/>
            <w:tcBorders>
              <w:bottom w:val="single" w:color="auto" w:sz="8" w:space="0"/>
            </w:tcBorders>
            <w:vAlign w:val="center"/>
          </w:tcPr>
          <w:p w14:paraId="5C4B2FCD">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废润滑油</w:t>
            </w:r>
          </w:p>
        </w:tc>
        <w:tc>
          <w:tcPr>
            <w:tcW w:w="3985" w:type="dxa"/>
            <w:tcBorders>
              <w:bottom w:val="single" w:color="auto" w:sz="8" w:space="0"/>
            </w:tcBorders>
            <w:vAlign w:val="center"/>
          </w:tcPr>
          <w:p w14:paraId="23F57870">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废润滑油</w:t>
            </w:r>
          </w:p>
        </w:tc>
        <w:tc>
          <w:tcPr>
            <w:tcW w:w="2333" w:type="dxa"/>
            <w:vMerge w:val="continue"/>
            <w:tcBorders>
              <w:bottom w:val="single" w:color="auto" w:sz="8" w:space="0"/>
            </w:tcBorders>
            <w:vAlign w:val="center"/>
          </w:tcPr>
          <w:p w14:paraId="410616D6">
            <w:pPr>
              <w:pStyle w:val="105"/>
              <w:widowControl w:val="0"/>
              <w:snapToGrid w:val="0"/>
              <w:jc w:val="center"/>
              <w:rPr>
                <w:rFonts w:ascii="Times New Roman" w:hAnsi="Times New Roman" w:cs="Times New Roman"/>
                <w:caps w:val="0"/>
                <w:smallCaps w:val="0"/>
                <w:color w:val="auto"/>
                <w:spacing w:val="0"/>
                <w:sz w:val="21"/>
                <w:szCs w:val="21"/>
                <w:highlight w:val="none"/>
                <w:lang w:eastAsia="en-US"/>
              </w:rPr>
            </w:pPr>
          </w:p>
        </w:tc>
      </w:tr>
    </w:tbl>
    <w:p w14:paraId="65F8A851">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（2）火灾爆炸事故中的风险物质直接释放</w:t>
      </w:r>
    </w:p>
    <w:p w14:paraId="7E34C67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次生危险性分析</w:t>
      </w:r>
    </w:p>
    <w:p w14:paraId="7A341FE5">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火灾爆炸事故中的次生危险性分析本项目涉及的有毒物质事故状况下的伴生、次生危害具体见表5.2-</w:t>
      </w:r>
      <w:r>
        <w:rPr>
          <w:rFonts w:hint="eastAsia" w:ascii="Times New Roman" w:hAnsi="Times New Roman" w:eastAsia="宋体" w:cs="Times New Roman"/>
          <w:caps w:val="0"/>
          <w:smallCaps w:val="0"/>
          <w:color w:val="auto"/>
          <w:spacing w:val="0"/>
          <w:szCs w:val="28"/>
          <w:highlight w:val="none"/>
          <w:lang w:val="en-US" w:eastAsia="zh-CN"/>
        </w:rPr>
        <w:t>20</w:t>
      </w:r>
      <w:r>
        <w:rPr>
          <w:rFonts w:ascii="Times New Roman" w:hAnsi="Times New Roman" w:eastAsia="宋体" w:cs="Times New Roman"/>
          <w:caps w:val="0"/>
          <w:smallCaps w:val="0"/>
          <w:color w:val="auto"/>
          <w:spacing w:val="0"/>
          <w:szCs w:val="28"/>
          <w:highlight w:val="none"/>
        </w:rPr>
        <w:t>。</w:t>
      </w:r>
    </w:p>
    <w:p w14:paraId="15418EBD">
      <w:pPr>
        <w:pStyle w:val="13"/>
        <w:widowControl w:val="0"/>
        <w:spacing w:after="0"/>
        <w:ind w:right="113"/>
        <w:jc w:val="center"/>
        <w:rPr>
          <w:rFonts w:ascii="Times New Roman" w:hAnsi="Times New Roman" w:eastAsia="宋体" w:cs="Times New Roman"/>
          <w:b/>
          <w:bCs/>
          <w:caps w:val="0"/>
          <w:smallCaps w:val="0"/>
          <w:color w:val="auto"/>
          <w:spacing w:val="0"/>
          <w:kern w:val="0"/>
          <w:highlight w:val="none"/>
        </w:rPr>
      </w:pPr>
      <w:r>
        <w:rPr>
          <w:rFonts w:ascii="Times New Roman" w:hAnsi="Times New Roman" w:eastAsia="宋体" w:cs="Times New Roman"/>
          <w:b/>
          <w:bCs/>
          <w:caps w:val="0"/>
          <w:smallCaps w:val="0"/>
          <w:color w:val="auto"/>
          <w:spacing w:val="0"/>
          <w:kern w:val="0"/>
          <w:highlight w:val="none"/>
        </w:rPr>
        <w:t>表5.2-</w:t>
      </w:r>
      <w:r>
        <w:rPr>
          <w:rFonts w:hint="eastAsia" w:ascii="Times New Roman" w:hAnsi="Times New Roman" w:eastAsia="宋体" w:cs="Times New Roman"/>
          <w:b/>
          <w:bCs/>
          <w:caps w:val="0"/>
          <w:smallCaps w:val="0"/>
          <w:color w:val="auto"/>
          <w:spacing w:val="0"/>
          <w:kern w:val="0"/>
          <w:highlight w:val="none"/>
        </w:rPr>
        <w:t>2</w:t>
      </w:r>
      <w:r>
        <w:rPr>
          <w:rFonts w:hint="eastAsia" w:ascii="Times New Roman" w:hAnsi="Times New Roman" w:eastAsia="宋体" w:cs="Times New Roman"/>
          <w:b/>
          <w:bCs/>
          <w:caps w:val="0"/>
          <w:smallCaps w:val="0"/>
          <w:color w:val="auto"/>
          <w:spacing w:val="0"/>
          <w:kern w:val="0"/>
          <w:highlight w:val="none"/>
          <w:lang w:val="en-US" w:eastAsia="zh-CN"/>
        </w:rPr>
        <w:t>0</w:t>
      </w:r>
      <w:r>
        <w:rPr>
          <w:rFonts w:ascii="Times New Roman" w:hAnsi="Times New Roman" w:eastAsia="宋体" w:cs="Times New Roman"/>
          <w:b/>
          <w:bCs/>
          <w:caps w:val="0"/>
          <w:smallCaps w:val="0"/>
          <w:color w:val="auto"/>
          <w:spacing w:val="0"/>
          <w:kern w:val="0"/>
          <w:highlight w:val="none"/>
        </w:rPr>
        <w:t>次生危害一览表</w:t>
      </w:r>
    </w:p>
    <w:p w14:paraId="17A2A7B7">
      <w:pPr>
        <w:widowControl w:val="0"/>
        <w:spacing w:before="5"/>
        <w:rPr>
          <w:rFonts w:ascii="Times New Roman" w:hAnsi="Times New Roman" w:eastAsia="宋体" w:cs="Times New Roman"/>
          <w:b/>
          <w:bCs/>
          <w:caps w:val="0"/>
          <w:smallCaps w:val="0"/>
          <w:color w:val="auto"/>
          <w:spacing w:val="0"/>
          <w:sz w:val="3"/>
          <w:szCs w:val="3"/>
          <w:highlight w:val="none"/>
        </w:rPr>
      </w:pPr>
    </w:p>
    <w:tbl>
      <w:tblPr>
        <w:tblStyle w:val="176"/>
        <w:tblW w:w="5000" w:type="pct"/>
        <w:jc w:val="center"/>
        <w:tblLayout w:type="fixed"/>
        <w:tblCellMar>
          <w:top w:w="0" w:type="dxa"/>
          <w:left w:w="0" w:type="dxa"/>
          <w:bottom w:w="0" w:type="dxa"/>
          <w:right w:w="0" w:type="dxa"/>
        </w:tblCellMar>
      </w:tblPr>
      <w:tblGrid>
        <w:gridCol w:w="1147"/>
        <w:gridCol w:w="1597"/>
        <w:gridCol w:w="3928"/>
        <w:gridCol w:w="1181"/>
        <w:gridCol w:w="1218"/>
      </w:tblGrid>
      <w:tr w14:paraId="0F7D6DC2">
        <w:tblPrEx>
          <w:tblCellMar>
            <w:top w:w="0" w:type="dxa"/>
            <w:left w:w="0" w:type="dxa"/>
            <w:bottom w:w="0" w:type="dxa"/>
            <w:right w:w="0" w:type="dxa"/>
          </w:tblCellMar>
        </w:tblPrEx>
        <w:trPr>
          <w:jc w:val="center"/>
        </w:trPr>
        <w:tc>
          <w:tcPr>
            <w:tcW w:w="1147" w:type="dxa"/>
            <w:vMerge w:val="restart"/>
            <w:tcBorders>
              <w:top w:val="single" w:color="auto" w:sz="8" w:space="0"/>
              <w:left w:val="nil"/>
              <w:right w:val="single" w:color="000000" w:sz="4" w:space="0"/>
            </w:tcBorders>
            <w:vAlign w:val="center"/>
          </w:tcPr>
          <w:p w14:paraId="4BEAA45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化学品名称</w:t>
            </w:r>
          </w:p>
        </w:tc>
        <w:tc>
          <w:tcPr>
            <w:tcW w:w="1597" w:type="dxa"/>
            <w:vMerge w:val="restart"/>
            <w:tcBorders>
              <w:top w:val="single" w:color="auto" w:sz="8" w:space="0"/>
              <w:left w:val="single" w:color="000000" w:sz="4" w:space="0"/>
              <w:right w:val="single" w:color="000000" w:sz="4" w:space="0"/>
            </w:tcBorders>
            <w:vAlign w:val="center"/>
          </w:tcPr>
          <w:p w14:paraId="63923BC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条件</w:t>
            </w:r>
          </w:p>
        </w:tc>
        <w:tc>
          <w:tcPr>
            <w:tcW w:w="3928" w:type="dxa"/>
            <w:vMerge w:val="restart"/>
            <w:tcBorders>
              <w:top w:val="single" w:color="auto" w:sz="8" w:space="0"/>
              <w:left w:val="single" w:color="000000" w:sz="4" w:space="0"/>
              <w:right w:val="single" w:color="000000" w:sz="4" w:space="0"/>
            </w:tcBorders>
            <w:vAlign w:val="center"/>
          </w:tcPr>
          <w:p w14:paraId="4F8AE29C">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次生污染物</w:t>
            </w:r>
          </w:p>
        </w:tc>
        <w:tc>
          <w:tcPr>
            <w:tcW w:w="2398" w:type="dxa"/>
            <w:gridSpan w:val="2"/>
            <w:tcBorders>
              <w:top w:val="single" w:color="auto" w:sz="8" w:space="0"/>
              <w:left w:val="single" w:color="000000" w:sz="4" w:space="0"/>
              <w:bottom w:val="single" w:color="000000" w:sz="4" w:space="0"/>
              <w:right w:val="nil"/>
            </w:tcBorders>
            <w:vAlign w:val="center"/>
          </w:tcPr>
          <w:p w14:paraId="377D5D2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危害后果</w:t>
            </w:r>
          </w:p>
        </w:tc>
      </w:tr>
      <w:tr w14:paraId="019212B0">
        <w:tblPrEx>
          <w:tblCellMar>
            <w:top w:w="0" w:type="dxa"/>
            <w:left w:w="0" w:type="dxa"/>
            <w:bottom w:w="0" w:type="dxa"/>
            <w:right w:w="0" w:type="dxa"/>
          </w:tblCellMar>
        </w:tblPrEx>
        <w:trPr>
          <w:jc w:val="center"/>
        </w:trPr>
        <w:tc>
          <w:tcPr>
            <w:tcW w:w="1147" w:type="dxa"/>
            <w:vMerge w:val="continue"/>
            <w:tcBorders>
              <w:left w:val="nil"/>
              <w:bottom w:val="single" w:color="auto" w:sz="8" w:space="0"/>
              <w:right w:val="single" w:color="000000" w:sz="4" w:space="0"/>
            </w:tcBorders>
            <w:vAlign w:val="center"/>
          </w:tcPr>
          <w:p w14:paraId="69E0F3E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vMerge w:val="continue"/>
            <w:tcBorders>
              <w:left w:val="single" w:color="000000" w:sz="4" w:space="0"/>
              <w:bottom w:val="single" w:color="auto" w:sz="8" w:space="0"/>
              <w:right w:val="single" w:color="000000" w:sz="4" w:space="0"/>
            </w:tcBorders>
            <w:vAlign w:val="center"/>
          </w:tcPr>
          <w:p w14:paraId="2C39CCBF">
            <w:pPr>
              <w:widowControl w:val="0"/>
              <w:jc w:val="center"/>
              <w:rPr>
                <w:rFonts w:ascii="Times New Roman" w:hAnsi="Times New Roman" w:eastAsia="宋体" w:cs="Times New Roman"/>
                <w:caps w:val="0"/>
                <w:smallCaps w:val="0"/>
                <w:color w:val="auto"/>
                <w:spacing w:val="0"/>
                <w:sz w:val="21"/>
                <w:highlight w:val="none"/>
                <w:lang w:eastAsia="en-US"/>
              </w:rPr>
            </w:pPr>
          </w:p>
        </w:tc>
        <w:tc>
          <w:tcPr>
            <w:tcW w:w="3928" w:type="dxa"/>
            <w:vMerge w:val="continue"/>
            <w:tcBorders>
              <w:left w:val="single" w:color="000000" w:sz="4" w:space="0"/>
              <w:bottom w:val="single" w:color="auto" w:sz="8" w:space="0"/>
              <w:right w:val="single" w:color="000000" w:sz="4" w:space="0"/>
            </w:tcBorders>
            <w:vAlign w:val="center"/>
          </w:tcPr>
          <w:p w14:paraId="7B86CF0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180" w:type="dxa"/>
            <w:tcBorders>
              <w:top w:val="single" w:color="000000" w:sz="4" w:space="0"/>
              <w:left w:val="single" w:color="000000" w:sz="4" w:space="0"/>
              <w:bottom w:val="single" w:color="auto" w:sz="8" w:space="0"/>
              <w:right w:val="single" w:color="000000" w:sz="4" w:space="0"/>
            </w:tcBorders>
            <w:vAlign w:val="center"/>
          </w:tcPr>
          <w:p w14:paraId="6CF9C6C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大气污染</w:t>
            </w:r>
          </w:p>
        </w:tc>
        <w:tc>
          <w:tcPr>
            <w:tcW w:w="1218" w:type="dxa"/>
            <w:tcBorders>
              <w:top w:val="single" w:color="000000" w:sz="4" w:space="0"/>
              <w:left w:val="single" w:color="000000" w:sz="4" w:space="0"/>
              <w:bottom w:val="single" w:color="auto" w:sz="8" w:space="0"/>
              <w:right w:val="nil"/>
            </w:tcBorders>
            <w:vAlign w:val="center"/>
          </w:tcPr>
          <w:p w14:paraId="1CC4F7E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水体污染</w:t>
            </w:r>
          </w:p>
        </w:tc>
      </w:tr>
      <w:tr w14:paraId="5648A06F">
        <w:tblPrEx>
          <w:tblCellMar>
            <w:top w:w="0" w:type="dxa"/>
            <w:left w:w="0" w:type="dxa"/>
            <w:bottom w:w="0" w:type="dxa"/>
            <w:right w:w="0" w:type="dxa"/>
          </w:tblCellMar>
        </w:tblPrEx>
        <w:trPr>
          <w:jc w:val="center"/>
        </w:trPr>
        <w:tc>
          <w:tcPr>
            <w:tcW w:w="1147" w:type="dxa"/>
            <w:vMerge w:val="restart"/>
            <w:tcBorders>
              <w:top w:val="single" w:color="auto" w:sz="8" w:space="0"/>
              <w:left w:val="nil"/>
              <w:right w:val="single" w:color="000000" w:sz="4" w:space="0"/>
            </w:tcBorders>
            <w:vAlign w:val="center"/>
          </w:tcPr>
          <w:p w14:paraId="062B82F6">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碲化镉</w:t>
            </w:r>
          </w:p>
        </w:tc>
        <w:tc>
          <w:tcPr>
            <w:tcW w:w="1597" w:type="dxa"/>
            <w:tcBorders>
              <w:top w:val="single" w:color="auto" w:sz="8" w:space="0"/>
              <w:left w:val="single" w:color="000000" w:sz="4" w:space="0"/>
              <w:right w:val="single" w:color="000000" w:sz="4" w:space="0"/>
            </w:tcBorders>
            <w:vAlign w:val="center"/>
          </w:tcPr>
          <w:p w14:paraId="0CE71DC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遇氧化物</w:t>
            </w:r>
          </w:p>
        </w:tc>
        <w:tc>
          <w:tcPr>
            <w:tcW w:w="3928" w:type="dxa"/>
            <w:vMerge w:val="restart"/>
            <w:tcBorders>
              <w:top w:val="single" w:color="auto" w:sz="8" w:space="0"/>
              <w:left w:val="single" w:color="000000" w:sz="4" w:space="0"/>
              <w:right w:val="single" w:color="000000" w:sz="4" w:space="0"/>
            </w:tcBorders>
            <w:vAlign w:val="center"/>
          </w:tcPr>
          <w:p w14:paraId="5E3F2CB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不燃、分解产生镉/氧化镉,氧化碲</w:t>
            </w:r>
          </w:p>
        </w:tc>
        <w:tc>
          <w:tcPr>
            <w:tcW w:w="1180" w:type="dxa"/>
            <w:vMerge w:val="restart"/>
            <w:tcBorders>
              <w:top w:val="single" w:color="auto" w:sz="8" w:space="0"/>
              <w:left w:val="single" w:color="000000" w:sz="4" w:space="0"/>
              <w:bottom w:val="single" w:color="auto" w:sz="8" w:space="0"/>
              <w:right w:val="single" w:color="000000" w:sz="4" w:space="0"/>
            </w:tcBorders>
            <w:vAlign w:val="center"/>
          </w:tcPr>
          <w:p w14:paraId="78F5E5A3">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受热条件下有毒物质自身和次生的有毒物质以颗粒物形式挥发进入大气，产生的伴生/次生危害，造成大气污染。</w:t>
            </w:r>
          </w:p>
        </w:tc>
        <w:tc>
          <w:tcPr>
            <w:tcW w:w="1218" w:type="dxa"/>
            <w:vMerge w:val="restart"/>
            <w:tcBorders>
              <w:top w:val="single" w:color="auto" w:sz="8" w:space="0"/>
              <w:left w:val="single" w:color="000000" w:sz="4" w:space="0"/>
              <w:bottom w:val="single" w:color="auto" w:sz="8" w:space="0"/>
              <w:right w:val="nil"/>
            </w:tcBorders>
            <w:vAlign w:val="center"/>
          </w:tcPr>
          <w:p w14:paraId="536E661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有毒物质遇水溶解或溶液经清净下水管等排水管网混入清净下水、消防水、</w:t>
            </w:r>
            <w:r>
              <w:rPr>
                <w:rFonts w:hint="eastAsia" w:ascii="Times New Roman" w:hAnsi="Times New Roman" w:cs="Times New Roman"/>
                <w:caps w:val="0"/>
                <w:smallCaps w:val="0"/>
                <w:color w:val="auto"/>
                <w:spacing w:val="0"/>
                <w:sz w:val="21"/>
                <w:szCs w:val="21"/>
                <w:highlight w:val="none"/>
                <w:lang w:eastAsia="zh-CN"/>
              </w:rPr>
              <w:t>雨水</w:t>
            </w:r>
            <w:r>
              <w:rPr>
                <w:rFonts w:ascii="Times New Roman" w:hAnsi="Times New Roman" w:cs="Times New Roman"/>
                <w:caps w:val="0"/>
                <w:smallCaps w:val="0"/>
                <w:color w:val="auto"/>
                <w:spacing w:val="0"/>
                <w:sz w:val="21"/>
                <w:szCs w:val="21"/>
                <w:highlight w:val="none"/>
                <w:lang w:eastAsia="en-US"/>
              </w:rPr>
              <w:t>经厂区排水管线流入地表水体，造成水体污染。或溶液直接渗入地下，对地下水环境造成危害。</w:t>
            </w:r>
          </w:p>
        </w:tc>
      </w:tr>
      <w:tr w14:paraId="0EAEC448">
        <w:tblPrEx>
          <w:tblCellMar>
            <w:top w:w="0" w:type="dxa"/>
            <w:left w:w="0" w:type="dxa"/>
            <w:bottom w:w="0" w:type="dxa"/>
            <w:right w:w="0" w:type="dxa"/>
          </w:tblCellMar>
        </w:tblPrEx>
        <w:trPr>
          <w:jc w:val="center"/>
        </w:trPr>
        <w:tc>
          <w:tcPr>
            <w:tcW w:w="1147" w:type="dxa"/>
            <w:vMerge w:val="continue"/>
            <w:tcBorders>
              <w:left w:val="nil"/>
              <w:bottom w:val="single" w:color="000000" w:sz="4" w:space="0"/>
              <w:right w:val="single" w:color="000000" w:sz="4" w:space="0"/>
            </w:tcBorders>
            <w:vAlign w:val="center"/>
          </w:tcPr>
          <w:p w14:paraId="52E1DB36">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226BDC1E">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遇硝酸</w:t>
            </w:r>
          </w:p>
        </w:tc>
        <w:tc>
          <w:tcPr>
            <w:tcW w:w="3928" w:type="dxa"/>
            <w:vMerge w:val="continue"/>
            <w:tcBorders>
              <w:left w:val="single" w:color="000000" w:sz="4" w:space="0"/>
              <w:bottom w:val="single" w:color="000000" w:sz="4" w:space="0"/>
              <w:right w:val="single" w:color="000000" w:sz="4" w:space="0"/>
            </w:tcBorders>
            <w:vAlign w:val="center"/>
          </w:tcPr>
          <w:p w14:paraId="77CCD820">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7D2AA003">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4B5AAC2F">
            <w:pPr>
              <w:widowControl w:val="0"/>
              <w:jc w:val="center"/>
              <w:rPr>
                <w:rFonts w:ascii="Times New Roman" w:hAnsi="Times New Roman" w:eastAsia="宋体" w:cs="Times New Roman"/>
                <w:caps w:val="0"/>
                <w:smallCaps w:val="0"/>
                <w:color w:val="auto"/>
                <w:spacing w:val="0"/>
                <w:sz w:val="21"/>
                <w:highlight w:val="none"/>
                <w:lang w:eastAsia="en-US"/>
              </w:rPr>
            </w:pPr>
          </w:p>
        </w:tc>
      </w:tr>
      <w:tr w14:paraId="67F4CBB1">
        <w:tblPrEx>
          <w:tblCellMar>
            <w:top w:w="0" w:type="dxa"/>
            <w:left w:w="0" w:type="dxa"/>
            <w:bottom w:w="0" w:type="dxa"/>
            <w:right w:w="0" w:type="dxa"/>
          </w:tblCellMar>
        </w:tblPrEx>
        <w:trPr>
          <w:jc w:val="center"/>
        </w:trPr>
        <w:tc>
          <w:tcPr>
            <w:tcW w:w="1147" w:type="dxa"/>
            <w:vMerge w:val="continue"/>
            <w:tcBorders>
              <w:left w:val="nil"/>
              <w:bottom w:val="single" w:color="000000" w:sz="4" w:space="0"/>
              <w:right w:val="single" w:color="000000" w:sz="4" w:space="0"/>
            </w:tcBorders>
            <w:vAlign w:val="center"/>
          </w:tcPr>
          <w:p w14:paraId="575D5D02">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19F8C78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遇热</w:t>
            </w:r>
          </w:p>
        </w:tc>
        <w:tc>
          <w:tcPr>
            <w:tcW w:w="3928" w:type="dxa"/>
            <w:vMerge w:val="continue"/>
            <w:tcBorders>
              <w:left w:val="single" w:color="000000" w:sz="4" w:space="0"/>
              <w:bottom w:val="single" w:color="000000" w:sz="4" w:space="0"/>
              <w:right w:val="single" w:color="000000" w:sz="4" w:space="0"/>
            </w:tcBorders>
            <w:vAlign w:val="center"/>
          </w:tcPr>
          <w:p w14:paraId="3F80DEE0">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1A895A9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5E379A8D">
            <w:pPr>
              <w:widowControl w:val="0"/>
              <w:jc w:val="center"/>
              <w:rPr>
                <w:rFonts w:ascii="Times New Roman" w:hAnsi="Times New Roman" w:eastAsia="宋体" w:cs="Times New Roman"/>
                <w:caps w:val="0"/>
                <w:smallCaps w:val="0"/>
                <w:color w:val="auto"/>
                <w:spacing w:val="0"/>
                <w:sz w:val="21"/>
                <w:highlight w:val="none"/>
                <w:lang w:eastAsia="en-US"/>
              </w:rPr>
            </w:pPr>
          </w:p>
        </w:tc>
      </w:tr>
      <w:tr w14:paraId="7AE06565">
        <w:tblPrEx>
          <w:tblCellMar>
            <w:top w:w="0" w:type="dxa"/>
            <w:left w:w="0" w:type="dxa"/>
            <w:bottom w:w="0" w:type="dxa"/>
            <w:right w:w="0" w:type="dxa"/>
          </w:tblCellMar>
        </w:tblPrEx>
        <w:trPr>
          <w:jc w:val="center"/>
        </w:trPr>
        <w:tc>
          <w:tcPr>
            <w:tcW w:w="1147" w:type="dxa"/>
            <w:vMerge w:val="continue"/>
            <w:tcBorders>
              <w:left w:val="nil"/>
              <w:bottom w:val="single" w:color="000000" w:sz="4" w:space="0"/>
              <w:right w:val="single" w:color="000000" w:sz="4" w:space="0"/>
            </w:tcBorders>
            <w:vAlign w:val="center"/>
          </w:tcPr>
          <w:p w14:paraId="21B3967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19E60D7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遇潮湿空气</w:t>
            </w:r>
          </w:p>
        </w:tc>
        <w:tc>
          <w:tcPr>
            <w:tcW w:w="3928" w:type="dxa"/>
            <w:vMerge w:val="continue"/>
            <w:tcBorders>
              <w:left w:val="single" w:color="000000" w:sz="4" w:space="0"/>
              <w:bottom w:val="single" w:color="000000" w:sz="4" w:space="0"/>
              <w:right w:val="single" w:color="000000" w:sz="4" w:space="0"/>
            </w:tcBorders>
            <w:vAlign w:val="center"/>
          </w:tcPr>
          <w:p w14:paraId="24EEDACC">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64E86D7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6F414B5A">
            <w:pPr>
              <w:widowControl w:val="0"/>
              <w:jc w:val="center"/>
              <w:rPr>
                <w:rFonts w:ascii="Times New Roman" w:hAnsi="Times New Roman" w:eastAsia="宋体" w:cs="Times New Roman"/>
                <w:caps w:val="0"/>
                <w:smallCaps w:val="0"/>
                <w:color w:val="auto"/>
                <w:spacing w:val="0"/>
                <w:sz w:val="21"/>
                <w:highlight w:val="none"/>
                <w:lang w:eastAsia="en-US"/>
              </w:rPr>
            </w:pPr>
          </w:p>
        </w:tc>
      </w:tr>
      <w:tr w14:paraId="6D693E08">
        <w:tblPrEx>
          <w:tblCellMar>
            <w:top w:w="0" w:type="dxa"/>
            <w:left w:w="0" w:type="dxa"/>
            <w:bottom w:w="0" w:type="dxa"/>
            <w:right w:w="0" w:type="dxa"/>
          </w:tblCellMar>
        </w:tblPrEx>
        <w:trPr>
          <w:jc w:val="center"/>
        </w:trPr>
        <w:tc>
          <w:tcPr>
            <w:tcW w:w="1147" w:type="dxa"/>
            <w:vMerge w:val="restart"/>
            <w:tcBorders>
              <w:top w:val="single" w:color="000000" w:sz="4" w:space="0"/>
              <w:left w:val="nil"/>
              <w:right w:val="single" w:color="000000" w:sz="4" w:space="0"/>
            </w:tcBorders>
            <w:vAlign w:val="center"/>
          </w:tcPr>
          <w:p w14:paraId="28A4DDB7">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硒化镉</w:t>
            </w:r>
          </w:p>
        </w:tc>
        <w:tc>
          <w:tcPr>
            <w:tcW w:w="1597" w:type="dxa"/>
            <w:tcBorders>
              <w:top w:val="single" w:color="000000" w:sz="4" w:space="0"/>
              <w:left w:val="single" w:color="000000" w:sz="4" w:space="0"/>
              <w:bottom w:val="single" w:color="000000" w:sz="4" w:space="0"/>
              <w:right w:val="single" w:color="000000" w:sz="4" w:space="0"/>
            </w:tcBorders>
            <w:vAlign w:val="center"/>
          </w:tcPr>
          <w:p w14:paraId="2CC1C96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遇氧化物</w:t>
            </w:r>
          </w:p>
        </w:tc>
        <w:tc>
          <w:tcPr>
            <w:tcW w:w="3928" w:type="dxa"/>
            <w:vMerge w:val="restart"/>
            <w:tcBorders>
              <w:top w:val="single" w:color="000000" w:sz="4" w:space="0"/>
              <w:left w:val="single" w:color="000000" w:sz="4" w:space="0"/>
              <w:right w:val="single" w:color="000000" w:sz="4" w:space="0"/>
            </w:tcBorders>
            <w:vAlign w:val="center"/>
          </w:tcPr>
          <w:p w14:paraId="4C3AE04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不燃、分解产生镉/氧化镉</w:t>
            </w: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7D9DD16A">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3B7364CB">
            <w:pPr>
              <w:widowControl w:val="0"/>
              <w:jc w:val="center"/>
              <w:rPr>
                <w:rFonts w:ascii="Times New Roman" w:hAnsi="Times New Roman" w:eastAsia="宋体" w:cs="Times New Roman"/>
                <w:caps w:val="0"/>
                <w:smallCaps w:val="0"/>
                <w:color w:val="auto"/>
                <w:spacing w:val="0"/>
                <w:sz w:val="21"/>
                <w:highlight w:val="none"/>
                <w:lang w:eastAsia="en-US"/>
              </w:rPr>
            </w:pPr>
          </w:p>
        </w:tc>
      </w:tr>
      <w:tr w14:paraId="799A493D">
        <w:tblPrEx>
          <w:tblCellMar>
            <w:top w:w="0" w:type="dxa"/>
            <w:left w:w="0" w:type="dxa"/>
            <w:bottom w:w="0" w:type="dxa"/>
            <w:right w:w="0" w:type="dxa"/>
          </w:tblCellMar>
        </w:tblPrEx>
        <w:trPr>
          <w:jc w:val="center"/>
        </w:trPr>
        <w:tc>
          <w:tcPr>
            <w:tcW w:w="1147" w:type="dxa"/>
            <w:vMerge w:val="continue"/>
            <w:tcBorders>
              <w:left w:val="nil"/>
              <w:right w:val="single" w:color="000000" w:sz="4" w:space="0"/>
            </w:tcBorders>
            <w:vAlign w:val="center"/>
          </w:tcPr>
          <w:p w14:paraId="2811288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58FF164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遇热</w:t>
            </w:r>
          </w:p>
        </w:tc>
        <w:tc>
          <w:tcPr>
            <w:tcW w:w="3928" w:type="dxa"/>
            <w:vMerge w:val="continue"/>
            <w:tcBorders>
              <w:left w:val="single" w:color="000000" w:sz="4" w:space="0"/>
              <w:right w:val="single" w:color="000000" w:sz="4" w:space="0"/>
            </w:tcBorders>
            <w:vAlign w:val="center"/>
          </w:tcPr>
          <w:p w14:paraId="2BB797D9">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0802C047">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4E4CAFAA">
            <w:pPr>
              <w:widowControl w:val="0"/>
              <w:jc w:val="center"/>
              <w:rPr>
                <w:rFonts w:ascii="Times New Roman" w:hAnsi="Times New Roman" w:eastAsia="宋体" w:cs="Times New Roman"/>
                <w:caps w:val="0"/>
                <w:smallCaps w:val="0"/>
                <w:color w:val="auto"/>
                <w:spacing w:val="0"/>
                <w:sz w:val="21"/>
                <w:highlight w:val="none"/>
                <w:lang w:eastAsia="en-US"/>
              </w:rPr>
            </w:pPr>
          </w:p>
        </w:tc>
      </w:tr>
      <w:tr w14:paraId="0868EF9F">
        <w:tblPrEx>
          <w:tblCellMar>
            <w:top w:w="0" w:type="dxa"/>
            <w:left w:w="0" w:type="dxa"/>
            <w:bottom w:w="0" w:type="dxa"/>
            <w:right w:w="0" w:type="dxa"/>
          </w:tblCellMar>
        </w:tblPrEx>
        <w:trPr>
          <w:jc w:val="center"/>
        </w:trPr>
        <w:tc>
          <w:tcPr>
            <w:tcW w:w="1147" w:type="dxa"/>
            <w:vMerge w:val="continue"/>
            <w:tcBorders>
              <w:left w:val="nil"/>
              <w:bottom w:val="single" w:color="000000" w:sz="4" w:space="0"/>
              <w:right w:val="single" w:color="000000" w:sz="4" w:space="0"/>
            </w:tcBorders>
            <w:vAlign w:val="center"/>
          </w:tcPr>
          <w:p w14:paraId="6BDF776E">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3CABDD05">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遇酸</w:t>
            </w:r>
          </w:p>
        </w:tc>
        <w:tc>
          <w:tcPr>
            <w:tcW w:w="3928" w:type="dxa"/>
            <w:vMerge w:val="continue"/>
            <w:tcBorders>
              <w:left w:val="single" w:color="000000" w:sz="4" w:space="0"/>
              <w:bottom w:val="single" w:color="000000" w:sz="4" w:space="0"/>
              <w:right w:val="single" w:color="000000" w:sz="4" w:space="0"/>
            </w:tcBorders>
            <w:vAlign w:val="center"/>
          </w:tcPr>
          <w:p w14:paraId="2D053900">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73AA6C84">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2D1D9499">
            <w:pPr>
              <w:widowControl w:val="0"/>
              <w:jc w:val="center"/>
              <w:rPr>
                <w:rFonts w:ascii="Times New Roman" w:hAnsi="Times New Roman" w:eastAsia="宋体" w:cs="Times New Roman"/>
                <w:caps w:val="0"/>
                <w:smallCaps w:val="0"/>
                <w:color w:val="auto"/>
                <w:spacing w:val="0"/>
                <w:sz w:val="21"/>
                <w:highlight w:val="none"/>
                <w:lang w:eastAsia="en-US"/>
              </w:rPr>
            </w:pPr>
          </w:p>
        </w:tc>
      </w:tr>
      <w:tr w14:paraId="640DCC2D">
        <w:tblPrEx>
          <w:tblCellMar>
            <w:top w:w="0" w:type="dxa"/>
            <w:left w:w="0" w:type="dxa"/>
            <w:bottom w:w="0" w:type="dxa"/>
            <w:right w:w="0" w:type="dxa"/>
          </w:tblCellMar>
        </w:tblPrEx>
        <w:trPr>
          <w:jc w:val="center"/>
        </w:trPr>
        <w:tc>
          <w:tcPr>
            <w:tcW w:w="1147" w:type="dxa"/>
            <w:vMerge w:val="restart"/>
            <w:tcBorders>
              <w:top w:val="single" w:color="000000" w:sz="4" w:space="0"/>
              <w:left w:val="nil"/>
              <w:right w:val="single" w:color="000000" w:sz="4" w:space="0"/>
            </w:tcBorders>
            <w:vAlign w:val="center"/>
          </w:tcPr>
          <w:p w14:paraId="4711077A">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氯化镉</w:t>
            </w:r>
          </w:p>
        </w:tc>
        <w:tc>
          <w:tcPr>
            <w:tcW w:w="1597" w:type="dxa"/>
            <w:tcBorders>
              <w:top w:val="single" w:color="000000" w:sz="4" w:space="0"/>
              <w:left w:val="single" w:color="000000" w:sz="4" w:space="0"/>
              <w:bottom w:val="single" w:color="000000" w:sz="4" w:space="0"/>
              <w:right w:val="single" w:color="000000" w:sz="4" w:space="0"/>
            </w:tcBorders>
            <w:vAlign w:val="center"/>
          </w:tcPr>
          <w:p w14:paraId="2D0EE27F">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遇热</w:t>
            </w:r>
          </w:p>
        </w:tc>
        <w:tc>
          <w:tcPr>
            <w:tcW w:w="3928" w:type="dxa"/>
            <w:vMerge w:val="restart"/>
            <w:tcBorders>
              <w:top w:val="single" w:color="000000" w:sz="4" w:space="0"/>
              <w:left w:val="single" w:color="000000" w:sz="4" w:space="0"/>
              <w:right w:val="single" w:color="000000" w:sz="4" w:space="0"/>
            </w:tcBorders>
            <w:vAlign w:val="center"/>
          </w:tcPr>
          <w:p w14:paraId="62A6837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不燃、分解产生镉/氧化镉,氯化氢</w:t>
            </w: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02BC16B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25C1EF9B">
            <w:pPr>
              <w:widowControl w:val="0"/>
              <w:jc w:val="center"/>
              <w:rPr>
                <w:rFonts w:ascii="Times New Roman" w:hAnsi="Times New Roman" w:eastAsia="宋体" w:cs="Times New Roman"/>
                <w:caps w:val="0"/>
                <w:smallCaps w:val="0"/>
                <w:color w:val="auto"/>
                <w:spacing w:val="0"/>
                <w:sz w:val="21"/>
                <w:highlight w:val="none"/>
                <w:lang w:eastAsia="en-US"/>
              </w:rPr>
            </w:pPr>
          </w:p>
        </w:tc>
      </w:tr>
      <w:tr w14:paraId="5AF8186C">
        <w:tblPrEx>
          <w:tblCellMar>
            <w:top w:w="0" w:type="dxa"/>
            <w:left w:w="0" w:type="dxa"/>
            <w:bottom w:w="0" w:type="dxa"/>
            <w:right w:w="0" w:type="dxa"/>
          </w:tblCellMar>
        </w:tblPrEx>
        <w:trPr>
          <w:jc w:val="center"/>
        </w:trPr>
        <w:tc>
          <w:tcPr>
            <w:tcW w:w="1147" w:type="dxa"/>
            <w:vMerge w:val="continue"/>
            <w:tcBorders>
              <w:left w:val="nil"/>
              <w:right w:val="single" w:color="000000" w:sz="4" w:space="0"/>
            </w:tcBorders>
            <w:vAlign w:val="center"/>
          </w:tcPr>
          <w:p w14:paraId="74EFD75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7333E06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与氧化剂接触</w:t>
            </w:r>
          </w:p>
        </w:tc>
        <w:tc>
          <w:tcPr>
            <w:tcW w:w="3928" w:type="dxa"/>
            <w:vMerge w:val="continue"/>
            <w:tcBorders>
              <w:left w:val="single" w:color="000000" w:sz="4" w:space="0"/>
              <w:right w:val="single" w:color="000000" w:sz="4" w:space="0"/>
            </w:tcBorders>
            <w:vAlign w:val="center"/>
          </w:tcPr>
          <w:p w14:paraId="34A3415E">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3C42AEB1">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4B188EF0">
            <w:pPr>
              <w:widowControl w:val="0"/>
              <w:jc w:val="center"/>
              <w:rPr>
                <w:rFonts w:ascii="Times New Roman" w:hAnsi="Times New Roman" w:eastAsia="宋体" w:cs="Times New Roman"/>
                <w:caps w:val="0"/>
                <w:smallCaps w:val="0"/>
                <w:color w:val="auto"/>
                <w:spacing w:val="0"/>
                <w:sz w:val="21"/>
                <w:highlight w:val="none"/>
                <w:lang w:eastAsia="en-US"/>
              </w:rPr>
            </w:pPr>
          </w:p>
        </w:tc>
      </w:tr>
      <w:tr w14:paraId="48C2D2A1">
        <w:tblPrEx>
          <w:tblCellMar>
            <w:top w:w="0" w:type="dxa"/>
            <w:left w:w="0" w:type="dxa"/>
            <w:bottom w:w="0" w:type="dxa"/>
            <w:right w:w="0" w:type="dxa"/>
          </w:tblCellMar>
        </w:tblPrEx>
        <w:trPr>
          <w:jc w:val="center"/>
        </w:trPr>
        <w:tc>
          <w:tcPr>
            <w:tcW w:w="1147" w:type="dxa"/>
            <w:vMerge w:val="continue"/>
            <w:tcBorders>
              <w:left w:val="nil"/>
              <w:bottom w:val="single" w:color="000000" w:sz="4" w:space="0"/>
              <w:right w:val="single" w:color="000000" w:sz="4" w:space="0"/>
            </w:tcBorders>
            <w:vAlign w:val="center"/>
          </w:tcPr>
          <w:p w14:paraId="178DA0D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202A1519">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遇</w:t>
            </w:r>
            <w:r>
              <w:rPr>
                <w:rFonts w:ascii="Times New Roman" w:hAnsi="Times New Roman" w:cs="Times New Roman"/>
                <w:caps w:val="0"/>
                <w:smallCaps w:val="0"/>
                <w:color w:val="auto"/>
                <w:spacing w:val="0"/>
                <w:sz w:val="21"/>
                <w:szCs w:val="21"/>
                <w:highlight w:val="none"/>
                <w:shd w:val="clear" w:color="auto" w:fill="FFFFFF"/>
                <w:lang w:eastAsia="en-US"/>
              </w:rPr>
              <w:t>钾</w:t>
            </w:r>
          </w:p>
        </w:tc>
        <w:tc>
          <w:tcPr>
            <w:tcW w:w="3928" w:type="dxa"/>
            <w:vMerge w:val="continue"/>
            <w:tcBorders>
              <w:left w:val="single" w:color="000000" w:sz="4" w:space="0"/>
              <w:bottom w:val="single" w:color="000000" w:sz="4" w:space="0"/>
              <w:right w:val="single" w:color="000000" w:sz="4" w:space="0"/>
            </w:tcBorders>
            <w:vAlign w:val="center"/>
          </w:tcPr>
          <w:p w14:paraId="7124770F">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2907A54E">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1015D6CF">
            <w:pPr>
              <w:widowControl w:val="0"/>
              <w:jc w:val="center"/>
              <w:rPr>
                <w:rFonts w:ascii="Times New Roman" w:hAnsi="Times New Roman" w:eastAsia="宋体" w:cs="Times New Roman"/>
                <w:caps w:val="0"/>
                <w:smallCaps w:val="0"/>
                <w:color w:val="auto"/>
                <w:spacing w:val="0"/>
                <w:sz w:val="21"/>
                <w:highlight w:val="none"/>
                <w:lang w:eastAsia="en-US"/>
              </w:rPr>
            </w:pPr>
          </w:p>
        </w:tc>
      </w:tr>
      <w:tr w14:paraId="70D4B773">
        <w:tblPrEx>
          <w:tblCellMar>
            <w:top w:w="0" w:type="dxa"/>
            <w:left w:w="0" w:type="dxa"/>
            <w:bottom w:w="0" w:type="dxa"/>
            <w:right w:w="0" w:type="dxa"/>
          </w:tblCellMar>
        </w:tblPrEx>
        <w:trPr>
          <w:jc w:val="center"/>
        </w:trPr>
        <w:tc>
          <w:tcPr>
            <w:tcW w:w="1147" w:type="dxa"/>
            <w:tcBorders>
              <w:top w:val="single" w:color="000000" w:sz="4" w:space="0"/>
              <w:left w:val="nil"/>
              <w:bottom w:val="single" w:color="auto" w:sz="8" w:space="0"/>
              <w:right w:val="single" w:color="000000" w:sz="4" w:space="0"/>
            </w:tcBorders>
            <w:vAlign w:val="center"/>
          </w:tcPr>
          <w:p w14:paraId="7F5A9ED0">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钼</w:t>
            </w:r>
          </w:p>
        </w:tc>
        <w:tc>
          <w:tcPr>
            <w:tcW w:w="1597" w:type="dxa"/>
            <w:tcBorders>
              <w:top w:val="single" w:color="000000" w:sz="4" w:space="0"/>
              <w:left w:val="single" w:color="000000" w:sz="4" w:space="0"/>
              <w:bottom w:val="single" w:color="auto" w:sz="8" w:space="0"/>
              <w:right w:val="single" w:color="000000" w:sz="4" w:space="0"/>
            </w:tcBorders>
            <w:vAlign w:val="center"/>
          </w:tcPr>
          <w:p w14:paraId="12D30814">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lang w:eastAsia="en-US"/>
              </w:rPr>
              <w:t>遇高热</w:t>
            </w:r>
          </w:p>
        </w:tc>
        <w:tc>
          <w:tcPr>
            <w:tcW w:w="3928" w:type="dxa"/>
            <w:tcBorders>
              <w:top w:val="single" w:color="000000" w:sz="4" w:space="0"/>
              <w:left w:val="single" w:color="000000" w:sz="4" w:space="0"/>
              <w:bottom w:val="single" w:color="auto" w:sz="8" w:space="0"/>
              <w:right w:val="single" w:color="000000" w:sz="4" w:space="0"/>
            </w:tcBorders>
            <w:vAlign w:val="center"/>
          </w:tcPr>
          <w:p w14:paraId="74C78C92">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shd w:val="clear" w:color="auto" w:fill="FFFFFF"/>
                <w:lang w:eastAsia="en-US"/>
              </w:rPr>
              <w:t>不燃、产生MoO</w:t>
            </w:r>
            <w:r>
              <w:rPr>
                <w:rFonts w:ascii="Times New Roman" w:hAnsi="Times New Roman" w:cs="Times New Roman"/>
                <w:caps w:val="0"/>
                <w:smallCaps w:val="0"/>
                <w:color w:val="auto"/>
                <w:spacing w:val="0"/>
                <w:sz w:val="21"/>
                <w:szCs w:val="21"/>
                <w:highlight w:val="none"/>
                <w:shd w:val="clear" w:color="auto" w:fill="FFFFFF"/>
                <w:vertAlign w:val="subscript"/>
                <w:lang w:eastAsia="en-US"/>
              </w:rPr>
              <w:t>3</w:t>
            </w:r>
          </w:p>
        </w:tc>
        <w:tc>
          <w:tcPr>
            <w:tcW w:w="1180" w:type="dxa"/>
            <w:vMerge w:val="continue"/>
            <w:tcBorders>
              <w:top w:val="single" w:color="auto" w:sz="8" w:space="0"/>
              <w:left w:val="single" w:color="000000" w:sz="4" w:space="0"/>
              <w:bottom w:val="single" w:color="auto" w:sz="8" w:space="0"/>
              <w:right w:val="single" w:color="000000" w:sz="4" w:space="0"/>
            </w:tcBorders>
            <w:vAlign w:val="center"/>
          </w:tcPr>
          <w:p w14:paraId="17B95A2E">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18" w:type="dxa"/>
            <w:vMerge w:val="continue"/>
            <w:tcBorders>
              <w:top w:val="single" w:color="auto" w:sz="8" w:space="0"/>
              <w:left w:val="single" w:color="000000" w:sz="4" w:space="0"/>
              <w:bottom w:val="single" w:color="auto" w:sz="8" w:space="0"/>
              <w:right w:val="nil"/>
            </w:tcBorders>
            <w:vAlign w:val="center"/>
          </w:tcPr>
          <w:p w14:paraId="53CA52C0">
            <w:pPr>
              <w:widowControl w:val="0"/>
              <w:jc w:val="center"/>
              <w:rPr>
                <w:rFonts w:ascii="Times New Roman" w:hAnsi="Times New Roman" w:eastAsia="宋体" w:cs="Times New Roman"/>
                <w:caps w:val="0"/>
                <w:smallCaps w:val="0"/>
                <w:color w:val="auto"/>
                <w:spacing w:val="0"/>
                <w:sz w:val="21"/>
                <w:highlight w:val="none"/>
                <w:lang w:eastAsia="en-US"/>
              </w:rPr>
            </w:pPr>
          </w:p>
        </w:tc>
      </w:tr>
    </w:tbl>
    <w:p w14:paraId="6CA41503">
      <w:pPr>
        <w:widowControl w:val="0"/>
        <w:spacing w:before="12"/>
        <w:rPr>
          <w:rFonts w:ascii="Times New Roman" w:hAnsi="Times New Roman" w:eastAsia="宋体" w:cs="Times New Roman"/>
          <w:b/>
          <w:bCs/>
          <w:caps w:val="0"/>
          <w:smallCaps w:val="0"/>
          <w:color w:val="auto"/>
          <w:spacing w:val="0"/>
          <w:sz w:val="5"/>
          <w:szCs w:val="5"/>
          <w:highlight w:val="none"/>
        </w:rPr>
      </w:pPr>
    </w:p>
    <w:p w14:paraId="641ACD02">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对于次生危险影响物质，公司应在发生火灾爆炸的第一时间内启动应急预案，尽可能将燃烧产生的烟雾通过喷洒水方式降低有害物质在空气中的扩散量，及时疏散</w:t>
      </w:r>
      <w:r>
        <w:rPr>
          <w:rFonts w:hint="eastAsia" w:ascii="Times New Roman" w:hAnsi="Times New Roman" w:eastAsia="宋体" w:cs="Times New Roman"/>
          <w:caps w:val="0"/>
          <w:smallCaps w:val="0"/>
          <w:color w:val="auto"/>
          <w:spacing w:val="0"/>
          <w:szCs w:val="28"/>
          <w:highlight w:val="none"/>
          <w:lang w:val="zh-CN"/>
        </w:rPr>
        <w:t>可能</w:t>
      </w:r>
      <w:r>
        <w:rPr>
          <w:rFonts w:ascii="Times New Roman" w:hAnsi="Times New Roman" w:eastAsia="宋体" w:cs="Times New Roman"/>
          <w:caps w:val="0"/>
          <w:smallCaps w:val="0"/>
          <w:color w:val="auto"/>
          <w:spacing w:val="0"/>
          <w:szCs w:val="28"/>
          <w:highlight w:val="none"/>
          <w:lang w:val="zh-CN"/>
        </w:rPr>
        <w:t>受影响的人员（包括周围企业的工作人员，周围居民），并设置警戒线禁止一切无关人员进入可能受影响的区域，及时向有关单位报告。氯化镉在遇火高热可产生氯化氢的物质，公司必须加强日常管理或采取其它手段，严禁事故发生。</w:t>
      </w:r>
    </w:p>
    <w:p w14:paraId="4C050039">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最大可信事故所造成的危害在所有预测的事故中最严重，并且发生该事故的概率不为零。按照《建设项目环境风险评价技术导则》中的定义，最大可信事故指：在所有预测的概率不为零的事故中，对环境（或健康）危害最严重的重大事故。</w:t>
      </w:r>
    </w:p>
    <w:p w14:paraId="4F7AE10E">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本项目溶液容器泄漏、发生火灾等事故的发生概率均不为零。</w:t>
      </w:r>
    </w:p>
    <w:p w14:paraId="350CA035">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本目碲化镉、硒化镉、钼不溶于水，碲化镉、硒化镉、氯化镉、钼在原料仓库都为固态，发生火灾时以分解产物排放至大气环境中，遇水情况下只有氯化镉会溶于水中进入水环境。设定</w:t>
      </w:r>
      <w:r>
        <w:rPr>
          <w:rFonts w:hint="eastAsia" w:ascii="Times New Roman" w:hAnsi="Times New Roman" w:eastAsia="宋体" w:cs="Times New Roman"/>
          <w:caps w:val="0"/>
          <w:smallCaps w:val="0"/>
          <w:color w:val="auto"/>
          <w:spacing w:val="0"/>
          <w:szCs w:val="28"/>
          <w:highlight w:val="none"/>
        </w:rPr>
        <w:t>情形</w:t>
      </w:r>
      <w:r>
        <w:rPr>
          <w:rFonts w:ascii="Times New Roman" w:hAnsi="Times New Roman" w:eastAsia="宋体" w:cs="Times New Roman"/>
          <w:caps w:val="0"/>
          <w:smallCaps w:val="0"/>
          <w:color w:val="auto"/>
          <w:spacing w:val="0"/>
          <w:szCs w:val="28"/>
          <w:highlight w:val="none"/>
        </w:rPr>
        <w:t>主</w:t>
      </w:r>
      <w:r>
        <w:rPr>
          <w:rFonts w:hint="eastAsia" w:ascii="Times New Roman" w:hAnsi="Times New Roman" w:eastAsia="宋体" w:cs="Times New Roman"/>
          <w:caps w:val="0"/>
          <w:smallCaps w:val="0"/>
          <w:color w:val="auto"/>
          <w:spacing w:val="0"/>
          <w:szCs w:val="28"/>
          <w:highlight w:val="none"/>
        </w:rPr>
        <w:t>要有</w:t>
      </w:r>
      <w:r>
        <w:rPr>
          <w:rFonts w:ascii="Times New Roman" w:hAnsi="Times New Roman" w:eastAsia="宋体" w:cs="Times New Roman"/>
          <w:caps w:val="0"/>
          <w:smallCaps w:val="0"/>
          <w:color w:val="auto"/>
          <w:spacing w:val="0"/>
          <w:szCs w:val="28"/>
          <w:highlight w:val="none"/>
        </w:rPr>
        <w:t>以下几种情况：</w:t>
      </w:r>
    </w:p>
    <w:p w14:paraId="743E2A1B">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1、氯化镉溶液滚涂设备容</w:t>
      </w:r>
      <w:r>
        <w:rPr>
          <w:rFonts w:hint="eastAsia" w:ascii="Times New Roman" w:hAnsi="Times New Roman" w:eastAsia="宋体" w:cs="Times New Roman"/>
          <w:caps w:val="0"/>
          <w:smallCaps w:val="0"/>
          <w:color w:val="auto"/>
          <w:spacing w:val="0"/>
          <w:szCs w:val="28"/>
          <w:highlight w:val="none"/>
          <w:lang w:eastAsia="zh-CN"/>
        </w:rPr>
        <w:t>器完</w:t>
      </w:r>
      <w:r>
        <w:rPr>
          <w:rFonts w:ascii="Times New Roman" w:hAnsi="Times New Roman" w:eastAsia="宋体" w:cs="Times New Roman"/>
          <w:caps w:val="0"/>
          <w:smallCaps w:val="0"/>
          <w:color w:val="auto"/>
          <w:spacing w:val="0"/>
          <w:szCs w:val="28"/>
          <w:highlight w:val="none"/>
        </w:rPr>
        <w:t>全破裂，溶液进入地表水环境或地下水环境。</w:t>
      </w:r>
    </w:p>
    <w:p w14:paraId="06DE19F5">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2、发生火灾情况下，碲化镉、硒化镉、氯化镉、钼以粉尘和烟雾形式排放到大气环境中。</w:t>
      </w:r>
    </w:p>
    <w:p w14:paraId="6B307E23">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3、发生火灾情况下，碲化镉、硒化镉、氯化镉、钼分解，次生产物释放到大气环境中。</w:t>
      </w:r>
    </w:p>
    <w:p w14:paraId="0FA5B5D8">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4、发生火灾情况下，氯化镉溶于消防水进入水环境。</w:t>
      </w:r>
    </w:p>
    <w:bookmarkEnd w:id="181"/>
    <w:bookmarkEnd w:id="182"/>
    <w:p w14:paraId="5F6AF1CE">
      <w:pPr>
        <w:pStyle w:val="114"/>
        <w:rPr>
          <w:rFonts w:ascii="Times New Roman" w:hAnsi="Times New Roman" w:cs="Times New Roman"/>
          <w:caps w:val="0"/>
          <w:smallCaps w:val="0"/>
          <w:color w:val="auto"/>
          <w:spacing w:val="0"/>
          <w:sz w:val="28"/>
          <w:szCs w:val="28"/>
          <w:highlight w:val="none"/>
        </w:rPr>
      </w:pPr>
      <w:bookmarkStart w:id="183" w:name="_Toc425411512"/>
      <w:bookmarkStart w:id="184" w:name="_Toc419099762"/>
      <w:r>
        <w:rPr>
          <w:rFonts w:hint="eastAsia" w:ascii="Times New Roman" w:hAnsi="Times New Roman" w:cs="Times New Roman"/>
          <w:caps w:val="0"/>
          <w:smallCaps w:val="0"/>
          <w:color w:val="auto"/>
          <w:spacing w:val="0"/>
          <w:sz w:val="28"/>
          <w:szCs w:val="28"/>
          <w:highlight w:val="none"/>
        </w:rPr>
        <w:t>5.2.7.3泄漏事故影响分析</w:t>
      </w:r>
    </w:p>
    <w:p w14:paraId="539C69B9">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(1)风险事故情形设定</w:t>
      </w:r>
    </w:p>
    <w:p w14:paraId="452348BB">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根据</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建设项目环境风险评价技术导则</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(HJ169-2018)，设定风险事故情形发生可能性应处于合理的区间，发生频率小于10</w:t>
      </w:r>
      <w:r>
        <w:rPr>
          <w:rFonts w:ascii="Times New Roman" w:hAnsi="Times New Roman" w:eastAsia="宋体" w:cs="Times New Roman"/>
          <w:caps w:val="0"/>
          <w:smallCaps w:val="0"/>
          <w:color w:val="auto"/>
          <w:spacing w:val="0"/>
          <w:szCs w:val="28"/>
          <w:highlight w:val="none"/>
          <w:vertAlign w:val="superscript"/>
        </w:rPr>
        <w:t>-</w:t>
      </w:r>
      <w:r>
        <w:rPr>
          <w:rFonts w:hint="eastAsia" w:ascii="Times New Roman" w:hAnsi="Times New Roman" w:eastAsia="宋体" w:cs="Times New Roman"/>
          <w:caps w:val="0"/>
          <w:smallCaps w:val="0"/>
          <w:color w:val="auto"/>
          <w:spacing w:val="0"/>
          <w:szCs w:val="28"/>
          <w:highlight w:val="none"/>
          <w:vertAlign w:val="superscript"/>
        </w:rPr>
        <w:t>6</w:t>
      </w:r>
      <w:r>
        <w:rPr>
          <w:rFonts w:ascii="Times New Roman" w:hAnsi="Times New Roman" w:eastAsia="宋体" w:cs="Times New Roman"/>
          <w:caps w:val="0"/>
          <w:smallCaps w:val="0"/>
          <w:color w:val="auto"/>
          <w:spacing w:val="0"/>
          <w:szCs w:val="28"/>
          <w:highlight w:val="none"/>
        </w:rPr>
        <w:t>/年的事件是极小概率事件。事故情形的设定应在环境风险识别的基础上筛选，设定的事故情形应选择对环境影响较大并具有代表性的事故类型。</w:t>
      </w:r>
    </w:p>
    <w:p w14:paraId="07BEC189">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结合本工程涉及物料的危险性、事故统计资料、危险性分析，确定风险事故情形为危化品泄漏事故，具体见下表。</w:t>
      </w:r>
    </w:p>
    <w:p w14:paraId="27E33E7B">
      <w:pPr>
        <w:pStyle w:val="13"/>
        <w:widowControl w:val="0"/>
        <w:spacing w:after="0"/>
        <w:ind w:right="113"/>
        <w:jc w:val="center"/>
        <w:rPr>
          <w:rFonts w:ascii="Times New Roman" w:hAnsi="Times New Roman" w:eastAsia="宋体" w:cs="Times New Roman"/>
          <w:b/>
          <w:bCs/>
          <w:caps w:val="0"/>
          <w:smallCaps w:val="0"/>
          <w:color w:val="auto"/>
          <w:spacing w:val="0"/>
          <w:kern w:val="0"/>
          <w:highlight w:val="none"/>
        </w:rPr>
      </w:pPr>
      <w:r>
        <w:rPr>
          <w:rFonts w:hint="eastAsia" w:ascii="Times New Roman" w:hAnsi="Times New Roman" w:eastAsia="宋体" w:cs="Times New Roman"/>
          <w:caps w:val="0"/>
          <w:smallCaps w:val="0"/>
          <w:color w:val="auto"/>
          <w:spacing w:val="0"/>
          <w:szCs w:val="28"/>
          <w:highlight w:val="none"/>
        </w:rPr>
        <w:t>表</w:t>
      </w:r>
      <w:r>
        <w:rPr>
          <w:rFonts w:ascii="Times New Roman" w:hAnsi="Times New Roman" w:eastAsia="宋体" w:cs="Times New Roman"/>
          <w:b/>
          <w:bCs/>
          <w:caps w:val="0"/>
          <w:smallCaps w:val="0"/>
          <w:color w:val="auto"/>
          <w:spacing w:val="0"/>
          <w:kern w:val="0"/>
          <w:highlight w:val="none"/>
        </w:rPr>
        <w:t>5.</w:t>
      </w:r>
      <w:r>
        <w:rPr>
          <w:rFonts w:hint="eastAsia" w:ascii="Times New Roman" w:hAnsi="Times New Roman" w:eastAsia="宋体" w:cs="Times New Roman"/>
          <w:b/>
          <w:bCs/>
          <w:caps w:val="0"/>
          <w:smallCaps w:val="0"/>
          <w:color w:val="auto"/>
          <w:spacing w:val="0"/>
          <w:kern w:val="0"/>
          <w:highlight w:val="none"/>
          <w:lang w:val="en-US" w:eastAsia="zh-CN"/>
        </w:rPr>
        <w:t>2</w:t>
      </w:r>
      <w:r>
        <w:rPr>
          <w:rFonts w:hint="eastAsia" w:ascii="Times New Roman" w:hAnsi="Times New Roman" w:eastAsia="宋体" w:cs="Times New Roman"/>
          <w:b/>
          <w:bCs/>
          <w:caps w:val="0"/>
          <w:smallCaps w:val="0"/>
          <w:color w:val="auto"/>
          <w:spacing w:val="0"/>
          <w:kern w:val="0"/>
          <w:highlight w:val="none"/>
        </w:rPr>
        <w:t>-2</w:t>
      </w:r>
      <w:r>
        <w:rPr>
          <w:rFonts w:hint="eastAsia" w:ascii="Times New Roman" w:hAnsi="Times New Roman" w:eastAsia="宋体" w:cs="Times New Roman"/>
          <w:b/>
          <w:bCs/>
          <w:caps w:val="0"/>
          <w:smallCaps w:val="0"/>
          <w:color w:val="auto"/>
          <w:spacing w:val="0"/>
          <w:kern w:val="0"/>
          <w:highlight w:val="none"/>
          <w:lang w:val="en-US" w:eastAsia="zh-CN"/>
        </w:rPr>
        <w:t>1</w:t>
      </w:r>
      <w:r>
        <w:rPr>
          <w:rFonts w:hint="eastAsia" w:ascii="Times New Roman" w:hAnsi="Times New Roman" w:eastAsia="宋体" w:cs="Times New Roman"/>
          <w:b/>
          <w:bCs/>
          <w:caps w:val="0"/>
          <w:smallCaps w:val="0"/>
          <w:color w:val="auto"/>
          <w:spacing w:val="0"/>
          <w:kern w:val="0"/>
          <w:highlight w:val="none"/>
        </w:rPr>
        <w:t>本项目风险事故影响后果比较一览表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2464"/>
        <w:gridCol w:w="5073"/>
        <w:gridCol w:w="1066"/>
      </w:tblGrid>
      <w:tr w14:paraId="57A2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6644AE2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序号</w:t>
            </w:r>
          </w:p>
        </w:tc>
        <w:tc>
          <w:tcPr>
            <w:tcW w:w="2464" w:type="dxa"/>
            <w:vAlign w:val="center"/>
          </w:tcPr>
          <w:p w14:paraId="64F394C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风险事故</w:t>
            </w:r>
          </w:p>
        </w:tc>
        <w:tc>
          <w:tcPr>
            <w:tcW w:w="5073" w:type="dxa"/>
            <w:vAlign w:val="center"/>
          </w:tcPr>
          <w:p w14:paraId="7B6D345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影响后果</w:t>
            </w:r>
          </w:p>
        </w:tc>
        <w:tc>
          <w:tcPr>
            <w:tcW w:w="1066" w:type="dxa"/>
            <w:vAlign w:val="center"/>
          </w:tcPr>
          <w:p w14:paraId="6B0A4AF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影响程度</w:t>
            </w:r>
          </w:p>
        </w:tc>
      </w:tr>
      <w:tr w14:paraId="3C8B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32F844A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2464" w:type="dxa"/>
            <w:vAlign w:val="center"/>
          </w:tcPr>
          <w:p w14:paraId="1862D61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生产装置及生产过程潜在的泄漏风险事故</w:t>
            </w:r>
          </w:p>
        </w:tc>
        <w:tc>
          <w:tcPr>
            <w:tcW w:w="5073" w:type="dxa"/>
            <w:vAlign w:val="center"/>
          </w:tcPr>
          <w:p w14:paraId="2312457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在生产中使用辅料时导致辅料泄漏，泄漏的原料挥发出的废气从而影响环境空气质量，或危害人体健康。</w:t>
            </w:r>
          </w:p>
        </w:tc>
        <w:tc>
          <w:tcPr>
            <w:tcW w:w="1066" w:type="dxa"/>
            <w:vAlign w:val="center"/>
          </w:tcPr>
          <w:p w14:paraId="236747C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较大</w:t>
            </w:r>
          </w:p>
        </w:tc>
      </w:tr>
      <w:tr w14:paraId="76AE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348838B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2464" w:type="dxa"/>
            <w:vAlign w:val="center"/>
          </w:tcPr>
          <w:p w14:paraId="2A04C34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危险废物贮运过程中的</w:t>
            </w:r>
            <w:r>
              <w:rPr>
                <w:rFonts w:hint="eastAsia" w:ascii="Times New Roman" w:hAnsi="Times New Roman" w:eastAsia="宋体" w:cs="Times New Roman"/>
                <w:caps w:val="0"/>
                <w:smallCaps w:val="0"/>
                <w:color w:val="auto"/>
                <w:spacing w:val="0"/>
                <w:sz w:val="21"/>
                <w:highlight w:val="none"/>
              </w:rPr>
              <w:t>泄漏</w:t>
            </w:r>
            <w:r>
              <w:rPr>
                <w:rFonts w:ascii="Times New Roman" w:hAnsi="Times New Roman" w:eastAsia="宋体" w:cs="Times New Roman"/>
                <w:caps w:val="0"/>
                <w:smallCaps w:val="0"/>
                <w:color w:val="auto"/>
                <w:spacing w:val="0"/>
                <w:sz w:val="21"/>
                <w:highlight w:val="none"/>
              </w:rPr>
              <w:t>风险事故</w:t>
            </w:r>
          </w:p>
        </w:tc>
        <w:tc>
          <w:tcPr>
            <w:tcW w:w="5073" w:type="dxa"/>
            <w:vAlign w:val="center"/>
          </w:tcPr>
          <w:p w14:paraId="3365D73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本项目生产过程会产生危废，其运输过程如果出现翻车事故，或贮存过程出现跑冒滴漏等情况，地面污染物经雨水冲刷则可能会进入地表水体，或挥发出的气态污染物向四周自然扩散。本项目委托具有危险废物运输资质的专业运输公司，且运输路线尽量避开饮用水源保护区及大型城镇中心，因此危险废物贮运事故的影响后果也可以得到有效控制。</w:t>
            </w:r>
          </w:p>
        </w:tc>
        <w:tc>
          <w:tcPr>
            <w:tcW w:w="1066" w:type="dxa"/>
            <w:vAlign w:val="center"/>
          </w:tcPr>
          <w:p w14:paraId="2C917F6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一般</w:t>
            </w:r>
          </w:p>
        </w:tc>
      </w:tr>
      <w:tr w14:paraId="21BC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172AB76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w:t>
            </w:r>
          </w:p>
        </w:tc>
        <w:tc>
          <w:tcPr>
            <w:tcW w:w="2464" w:type="dxa"/>
            <w:vAlign w:val="center"/>
          </w:tcPr>
          <w:p w14:paraId="2958ACA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危险化学品贮运过程中的泄漏风险事故</w:t>
            </w:r>
          </w:p>
        </w:tc>
        <w:tc>
          <w:tcPr>
            <w:tcW w:w="5073" w:type="dxa"/>
            <w:vAlign w:val="center"/>
          </w:tcPr>
          <w:p w14:paraId="4205B89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本项目使用的危险化学品运输过程因交通事故造成包装破损，危险化学品大量溢出而对环境造成污染或人员伤害。</w:t>
            </w:r>
          </w:p>
        </w:tc>
        <w:tc>
          <w:tcPr>
            <w:tcW w:w="1066" w:type="dxa"/>
            <w:vAlign w:val="center"/>
          </w:tcPr>
          <w:p w14:paraId="183D8BF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一般</w:t>
            </w:r>
          </w:p>
        </w:tc>
      </w:tr>
      <w:tr w14:paraId="2F4D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1E8AA8D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w:t>
            </w:r>
          </w:p>
        </w:tc>
        <w:tc>
          <w:tcPr>
            <w:tcW w:w="2464" w:type="dxa"/>
            <w:vAlign w:val="center"/>
          </w:tcPr>
          <w:p w14:paraId="6F02CE7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污染防治设施故障</w:t>
            </w:r>
          </w:p>
        </w:tc>
        <w:tc>
          <w:tcPr>
            <w:tcW w:w="5073" w:type="dxa"/>
            <w:vAlign w:val="center"/>
          </w:tcPr>
          <w:p w14:paraId="518BB5E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由于本项目生产过程中有氯化氢、氮氧化物、镉及其化合物等污染物产生，一旦污染防治措施失效，则污染物将直接排入周边环境，由于防治措施失效的概率较小，发生事故的可能性较小，且发生事故后立即采取对策，故影响后果一般。</w:t>
            </w:r>
          </w:p>
        </w:tc>
        <w:tc>
          <w:tcPr>
            <w:tcW w:w="1066" w:type="dxa"/>
            <w:vAlign w:val="center"/>
          </w:tcPr>
          <w:p w14:paraId="253C2A4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一般</w:t>
            </w:r>
          </w:p>
        </w:tc>
      </w:tr>
      <w:tr w14:paraId="0B6D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5C361A3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5</w:t>
            </w:r>
          </w:p>
        </w:tc>
        <w:tc>
          <w:tcPr>
            <w:tcW w:w="2464" w:type="dxa"/>
            <w:vAlign w:val="center"/>
          </w:tcPr>
          <w:p w14:paraId="37F776B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厂区内发生</w:t>
            </w:r>
            <w:r>
              <w:rPr>
                <w:rFonts w:ascii="Times New Roman" w:hAnsi="Times New Roman" w:eastAsia="宋体" w:cs="Times New Roman"/>
                <w:caps w:val="0"/>
                <w:smallCaps w:val="0"/>
                <w:color w:val="auto"/>
                <w:spacing w:val="0"/>
                <w:sz w:val="21"/>
                <w:highlight w:val="none"/>
              </w:rPr>
              <w:t>火灾爆炸事故</w:t>
            </w:r>
          </w:p>
        </w:tc>
        <w:tc>
          <w:tcPr>
            <w:tcW w:w="5073" w:type="dxa"/>
            <w:vAlign w:val="center"/>
          </w:tcPr>
          <w:p w14:paraId="494FFF8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受热条件下有毒物质自身和次生的有毒物质以颗粒物形式挥发进入大气，产生的伴生/次生危害，造成大气污染。有毒物质遇水溶解或溶液经清净下水管等排水管网混入清净下水、消防水、</w:t>
            </w:r>
            <w:r>
              <w:rPr>
                <w:rFonts w:hint="eastAsia" w:ascii="Times New Roman" w:hAnsi="Times New Roman" w:eastAsia="宋体" w:cs="Times New Roman"/>
                <w:caps w:val="0"/>
                <w:smallCaps w:val="0"/>
                <w:color w:val="auto"/>
                <w:spacing w:val="0"/>
                <w:sz w:val="21"/>
                <w:highlight w:val="none"/>
                <w:lang w:eastAsia="zh-CN"/>
              </w:rPr>
              <w:t>雨水</w:t>
            </w:r>
            <w:r>
              <w:rPr>
                <w:rFonts w:ascii="Times New Roman" w:hAnsi="Times New Roman" w:eastAsia="宋体" w:cs="Times New Roman"/>
                <w:caps w:val="0"/>
                <w:smallCaps w:val="0"/>
                <w:color w:val="auto"/>
                <w:spacing w:val="0"/>
                <w:sz w:val="21"/>
                <w:highlight w:val="none"/>
              </w:rPr>
              <w:t>经厂区排水管线流入地表水体，造成水体污染。或溶液直接渗入地下，对地下水环境造成危害。</w:t>
            </w:r>
          </w:p>
        </w:tc>
        <w:tc>
          <w:tcPr>
            <w:tcW w:w="1066" w:type="dxa"/>
            <w:vAlign w:val="center"/>
          </w:tcPr>
          <w:p w14:paraId="217A406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较大</w:t>
            </w:r>
          </w:p>
        </w:tc>
      </w:tr>
    </w:tbl>
    <w:p w14:paraId="06F9B6AD">
      <w:pPr>
        <w:pStyle w:val="114"/>
        <w:rPr>
          <w:rFonts w:ascii="Times New Roman" w:hAnsi="Times New Roman" w:cs="Times New Roman"/>
          <w:caps w:val="0"/>
          <w:smallCaps w:val="0"/>
          <w:color w:val="auto"/>
          <w:spacing w:val="0"/>
          <w:sz w:val="28"/>
          <w:szCs w:val="28"/>
          <w:highlight w:val="none"/>
        </w:rPr>
      </w:pPr>
      <w:r>
        <w:rPr>
          <w:rFonts w:hint="eastAsia" w:ascii="Times New Roman" w:hAnsi="Times New Roman" w:cs="Times New Roman"/>
          <w:caps w:val="0"/>
          <w:smallCaps w:val="0"/>
          <w:color w:val="auto"/>
          <w:spacing w:val="0"/>
          <w:sz w:val="28"/>
          <w:szCs w:val="28"/>
          <w:highlight w:val="none"/>
        </w:rPr>
        <w:t>5.2.7.4环境风险事故预测与评价</w:t>
      </w:r>
    </w:p>
    <w:p w14:paraId="1A2A21F1">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（1）</w:t>
      </w:r>
      <w:r>
        <w:rPr>
          <w:rFonts w:ascii="Times New Roman" w:hAnsi="Times New Roman" w:eastAsia="宋体" w:cs="Times New Roman"/>
          <w:caps w:val="0"/>
          <w:smallCaps w:val="0"/>
          <w:color w:val="auto"/>
          <w:spacing w:val="0"/>
          <w:szCs w:val="28"/>
          <w:highlight w:val="none"/>
        </w:rPr>
        <w:t>大气环境风险</w:t>
      </w:r>
    </w:p>
    <w:p w14:paraId="28C2A680">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项目大气环境风险主要为</w:t>
      </w:r>
      <w:r>
        <w:rPr>
          <w:rFonts w:hint="eastAsia" w:ascii="Times New Roman" w:hAnsi="Times New Roman" w:eastAsia="宋体" w:cs="Times New Roman"/>
          <w:caps w:val="0"/>
          <w:smallCaps w:val="0"/>
          <w:color w:val="auto"/>
          <w:spacing w:val="0"/>
          <w:szCs w:val="28"/>
          <w:highlight w:val="none"/>
        </w:rPr>
        <w:t>环保设施故障和厂区发生火灾碲化镉硒化镉等受热分解产生有毒有害物质。</w:t>
      </w:r>
      <w:r>
        <w:rPr>
          <w:rFonts w:ascii="Times New Roman" w:hAnsi="Times New Roman" w:eastAsia="宋体" w:cs="Times New Roman"/>
          <w:caps w:val="0"/>
          <w:smallCaps w:val="0"/>
          <w:color w:val="auto"/>
          <w:spacing w:val="0"/>
          <w:szCs w:val="28"/>
          <w:highlight w:val="none"/>
        </w:rPr>
        <w:t>当环保设备处理效率下降或发生故障时，废气在车间无组织排放，或者使废气不经处理直接排空。一旦出现此情况，废气中的镉及其化合物等污染物将对周边环境敏感点的空气质量产生一定影响。</w:t>
      </w:r>
    </w:p>
    <w:p w14:paraId="075E9C32">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由于本项目废气产生量较小，在废气处理设施事故状况下，将造成评价范围内各污染物的最大地面小时浓度贡献值有所增加。故本项目建成后必须加强废气处理措施的日常运行维护管理，定期检修废气处理设施，避免或减少事故排放，</w:t>
      </w:r>
      <w:r>
        <w:rPr>
          <w:rFonts w:hint="eastAsia" w:ascii="Times New Roman" w:hAnsi="Times New Roman" w:eastAsia="宋体" w:cs="Times New Roman"/>
          <w:caps w:val="0"/>
          <w:smallCaps w:val="0"/>
          <w:color w:val="auto"/>
          <w:spacing w:val="0"/>
          <w:szCs w:val="28"/>
          <w:highlight w:val="none"/>
        </w:rPr>
        <w:t>库房生产车间等生产重地严禁烟火，</w:t>
      </w:r>
      <w:r>
        <w:rPr>
          <w:rFonts w:ascii="Times New Roman" w:hAnsi="Times New Roman" w:eastAsia="宋体" w:cs="Times New Roman"/>
          <w:caps w:val="0"/>
          <w:smallCaps w:val="0"/>
          <w:color w:val="auto"/>
          <w:spacing w:val="0"/>
          <w:szCs w:val="28"/>
          <w:highlight w:val="none"/>
        </w:rPr>
        <w:t>只要做好污染防治措施的管理和维护保养，本项目排放的大气污染物对评价区域内的大气环境质量影响程度在可接受范围。</w:t>
      </w:r>
    </w:p>
    <w:p w14:paraId="2A3B457C">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（2）地下水风险分析</w:t>
      </w:r>
    </w:p>
    <w:p w14:paraId="7F5871C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项目废水通过地下污水管网输送，企业会定期检查管道，发生风险泄漏时易察觉并可采取紧急制动措施，降低泄漏量。拟建项目各装置区在设计中均采取地面防渗防腐措施，阻断了日常操作及事故情况下泄漏至地面的液体物质向土壤及地下水的分散过程。</w:t>
      </w:r>
    </w:p>
    <w:p w14:paraId="42B117D8">
      <w:pPr>
        <w:spacing w:line="360" w:lineRule="auto"/>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在采取一定的防护措施后，泄漏物料对地下水的污染可以降低到很低的水平</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对于事故时进入事故污水中的有害物料会随着事故污水进入事故池暂存，然后泵送至污水处理设施进行处理，发生风险时不会对地下水造成较大的危害。</w:t>
      </w:r>
    </w:p>
    <w:p w14:paraId="066A63B1">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（3）</w:t>
      </w:r>
      <w:r>
        <w:rPr>
          <w:rFonts w:ascii="Times New Roman" w:hAnsi="Times New Roman" w:eastAsia="宋体" w:cs="Times New Roman"/>
          <w:caps w:val="0"/>
          <w:smallCaps w:val="0"/>
          <w:color w:val="auto"/>
          <w:spacing w:val="0"/>
          <w:szCs w:val="28"/>
          <w:highlight w:val="none"/>
        </w:rPr>
        <w:t>地表水风险分析</w:t>
      </w:r>
    </w:p>
    <w:p w14:paraId="59560DE5">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拟建项目针对事故情况下的泄漏液体物料随雨水进入雨水管网等危险物质采取了控制、收集及储存措施，切断了上述危险物质进入外部水体的途径，从根本上消除了事故情况下对周边水域造成污染的可能。主要防范措施如下</w:t>
      </w:r>
      <w:r>
        <w:rPr>
          <w:rFonts w:hint="eastAsia" w:ascii="Times New Roman" w:hAnsi="Times New Roman" w:eastAsia="宋体" w:cs="Times New Roman"/>
          <w:caps w:val="0"/>
          <w:smallCaps w:val="0"/>
          <w:color w:val="auto"/>
          <w:spacing w:val="0"/>
          <w:szCs w:val="28"/>
          <w:highlight w:val="none"/>
        </w:rPr>
        <w:t>：</w:t>
      </w:r>
    </w:p>
    <w:p w14:paraId="59D6578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1</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车间内收集措施</w:t>
      </w:r>
    </w:p>
    <w:p w14:paraId="6C7AA96E">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项目液体状态的危险物质有氯化镉溶液等。由生产工艺可知，项目车间内使用氯化镉溶液在设备内</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污水处理设施间周边设置围堰</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生产厂房、</w:t>
      </w:r>
      <w:r>
        <w:rPr>
          <w:rFonts w:hint="eastAsia" w:ascii="Times New Roman" w:hAnsi="Times New Roman" w:eastAsia="宋体" w:cs="Times New Roman"/>
          <w:caps w:val="0"/>
          <w:smallCaps w:val="0"/>
          <w:color w:val="auto"/>
          <w:spacing w:val="0"/>
          <w:szCs w:val="28"/>
          <w:highlight w:val="none"/>
        </w:rPr>
        <w:t>原料库房</w:t>
      </w:r>
      <w:r>
        <w:rPr>
          <w:rFonts w:ascii="Times New Roman" w:hAnsi="Times New Roman" w:eastAsia="宋体" w:cs="Times New Roman"/>
          <w:caps w:val="0"/>
          <w:smallCaps w:val="0"/>
          <w:color w:val="auto"/>
          <w:spacing w:val="0"/>
          <w:szCs w:val="28"/>
          <w:highlight w:val="none"/>
        </w:rPr>
        <w:t>、污水处理设施间、危废暂存间内均设置重点防渗层和防腐层。因此当发生泄漏时泄漏的液体通过接水托盘、围堰收集后进入事故池，通过泵至事故水池。</w:t>
      </w:r>
    </w:p>
    <w:p w14:paraId="22005E6E">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2</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事故废水收集和处理系统</w:t>
      </w:r>
    </w:p>
    <w:p w14:paraId="063373FC">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根据</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水体污染防控紧急措施设计导则</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和</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化工建设项目环境保护设计规范</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(GB50483-2009)关于事故应急池容积计算公式</w:t>
      </w:r>
      <w:r>
        <w:rPr>
          <w:rFonts w:hint="eastAsia" w:ascii="Times New Roman" w:hAnsi="Times New Roman" w:eastAsia="宋体" w:cs="Times New Roman"/>
          <w:caps w:val="0"/>
          <w:smallCaps w:val="0"/>
          <w:color w:val="auto"/>
          <w:spacing w:val="0"/>
          <w:szCs w:val="28"/>
          <w:highlight w:val="none"/>
        </w:rPr>
        <w:t>：</w:t>
      </w:r>
    </w:p>
    <w:p w14:paraId="0BD9C228">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V总=(V1+V2-V3)max+V4+V5</w:t>
      </w:r>
    </w:p>
    <w:p w14:paraId="08F384F6">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注</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(V1+V2-V3)max是指对收集系统范围内不同罐组或装置分别计算V1+V2-V3,取其中最大值。</w:t>
      </w:r>
    </w:p>
    <w:p w14:paraId="04E0997E">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V1-收集系统范围内发生事故的一个罐组或一套装置的物料量。储存相同物料的罐组按一个最大储罐计，装置物料量按存留最大物料量的一台反应器或中间储罐计</w:t>
      </w:r>
      <w:r>
        <w:rPr>
          <w:rFonts w:hint="eastAsia" w:ascii="Times New Roman" w:hAnsi="Times New Roman" w:eastAsia="宋体" w:cs="Times New Roman"/>
          <w:caps w:val="0"/>
          <w:smallCaps w:val="0"/>
          <w:color w:val="auto"/>
          <w:spacing w:val="0"/>
          <w:szCs w:val="28"/>
          <w:highlight w:val="none"/>
        </w:rPr>
        <w:t>；</w:t>
      </w:r>
    </w:p>
    <w:p w14:paraId="6C988073">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V2-发生事故的储罐或装置的消防水量，m</w:t>
      </w:r>
      <w:r>
        <w:rPr>
          <w:rFonts w:hint="eastAsia" w:ascii="Times New Roman" w:hAnsi="Times New Roman" w:eastAsia="宋体" w:cs="Times New Roman"/>
          <w:caps w:val="0"/>
          <w:smallCaps w:val="0"/>
          <w:color w:val="auto"/>
          <w:spacing w:val="0"/>
          <w:szCs w:val="28"/>
          <w:highlight w:val="none"/>
          <w:vertAlign w:val="superscript"/>
        </w:rPr>
        <w:t>3</w:t>
      </w:r>
      <w:r>
        <w:rPr>
          <w:rFonts w:hint="eastAsia" w:ascii="Times New Roman" w:hAnsi="Times New Roman" w:eastAsia="宋体" w:cs="Times New Roman"/>
          <w:caps w:val="0"/>
          <w:smallCaps w:val="0"/>
          <w:color w:val="auto"/>
          <w:spacing w:val="0"/>
          <w:szCs w:val="28"/>
          <w:highlight w:val="none"/>
        </w:rPr>
        <w:t>；</w:t>
      </w:r>
    </w:p>
    <w:p w14:paraId="5CA96B53">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V3-发生事故时可以转输到其他储存或处理设施的物料量，m</w:t>
      </w:r>
      <w:r>
        <w:rPr>
          <w:rFonts w:hint="eastAsia" w:ascii="Times New Roman" w:hAnsi="Times New Roman" w:eastAsia="宋体" w:cs="Times New Roman"/>
          <w:caps w:val="0"/>
          <w:smallCaps w:val="0"/>
          <w:color w:val="auto"/>
          <w:spacing w:val="0"/>
          <w:szCs w:val="28"/>
          <w:highlight w:val="none"/>
          <w:vertAlign w:val="superscript"/>
        </w:rPr>
        <w:t>3</w:t>
      </w:r>
      <w:r>
        <w:rPr>
          <w:rFonts w:hint="eastAsia" w:ascii="Times New Roman" w:hAnsi="Times New Roman" w:eastAsia="宋体" w:cs="Times New Roman"/>
          <w:caps w:val="0"/>
          <w:smallCaps w:val="0"/>
          <w:color w:val="auto"/>
          <w:spacing w:val="0"/>
          <w:szCs w:val="28"/>
          <w:highlight w:val="none"/>
        </w:rPr>
        <w:t>；</w:t>
      </w:r>
    </w:p>
    <w:p w14:paraId="1E40538F">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V4-发生事故时仍必须进入该收集系统的生产废水量，m</w:t>
      </w:r>
      <w:r>
        <w:rPr>
          <w:rFonts w:hint="eastAsia" w:ascii="Times New Roman" w:hAnsi="Times New Roman" w:eastAsia="宋体" w:cs="Times New Roman"/>
          <w:caps w:val="0"/>
          <w:smallCaps w:val="0"/>
          <w:color w:val="auto"/>
          <w:spacing w:val="0"/>
          <w:szCs w:val="28"/>
          <w:highlight w:val="none"/>
          <w:vertAlign w:val="superscript"/>
        </w:rPr>
        <w:t>3</w:t>
      </w:r>
      <w:r>
        <w:rPr>
          <w:rFonts w:hint="eastAsia" w:ascii="Times New Roman" w:hAnsi="Times New Roman" w:eastAsia="宋体" w:cs="Times New Roman"/>
          <w:caps w:val="0"/>
          <w:smallCaps w:val="0"/>
          <w:color w:val="auto"/>
          <w:spacing w:val="0"/>
          <w:szCs w:val="28"/>
          <w:highlight w:val="none"/>
        </w:rPr>
        <w:t>；</w:t>
      </w:r>
    </w:p>
    <w:p w14:paraId="5C169F21">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V5-发生事故时可能进入该收集系统的降雨量，m</w:t>
      </w:r>
      <w:r>
        <w:rPr>
          <w:rFonts w:hint="eastAsia" w:ascii="Times New Roman" w:hAnsi="Times New Roman" w:eastAsia="宋体" w:cs="Times New Roman"/>
          <w:caps w:val="0"/>
          <w:smallCaps w:val="0"/>
          <w:color w:val="auto"/>
          <w:spacing w:val="0"/>
          <w:szCs w:val="28"/>
          <w:highlight w:val="none"/>
          <w:vertAlign w:val="superscript"/>
        </w:rPr>
        <w:t>3</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(V5=10qF</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q-降雨强度，mm</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按平均日降雨量</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(q=qa/n:qa-年平均降雨量，mm</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n-年平均降雨日数)</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F-必须进入事故废水收集系统的雨水汇水面积，ha)。</w:t>
      </w:r>
    </w:p>
    <w:p w14:paraId="4C42DE24">
      <w:pPr>
        <w:spacing w:line="360" w:lineRule="auto"/>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项目</w:t>
      </w:r>
      <w:r>
        <w:rPr>
          <w:rFonts w:hint="eastAsia" w:ascii="Times New Roman" w:hAnsi="Times New Roman" w:eastAsia="宋体" w:cs="Times New Roman"/>
          <w:caps w:val="0"/>
          <w:smallCaps w:val="0"/>
          <w:color w:val="auto"/>
          <w:spacing w:val="0"/>
          <w:szCs w:val="28"/>
          <w:highlight w:val="none"/>
        </w:rPr>
        <w:t>氯化镉</w:t>
      </w:r>
      <w:r>
        <w:rPr>
          <w:rFonts w:ascii="Times New Roman" w:hAnsi="Times New Roman" w:eastAsia="宋体" w:cs="Times New Roman"/>
          <w:caps w:val="0"/>
          <w:smallCaps w:val="0"/>
          <w:color w:val="auto"/>
          <w:spacing w:val="0"/>
          <w:szCs w:val="28"/>
          <w:highlight w:val="none"/>
        </w:rPr>
        <w:t>溶液装置为最大生产装置，最大生产液体量为12m</w:t>
      </w:r>
      <w:r>
        <w:rPr>
          <w:rFonts w:hint="eastAsia"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，发生泄漏事故时最大物料泄漏量以12m</w:t>
      </w:r>
      <w:r>
        <w:rPr>
          <w:rFonts w:hint="eastAsia"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计算</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根据计算，发生火灾事故时消防水用水量为108m</w:t>
      </w:r>
      <w:r>
        <w:rPr>
          <w:rFonts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。项目设置清污废水分别收集系统，发生事故时无清净污水进入该收集系统。根据计算，本工程的初期雨水量约为2</w:t>
      </w:r>
      <w:r>
        <w:rPr>
          <w:rFonts w:hint="eastAsia" w:ascii="Times New Roman" w:hAnsi="Times New Roman" w:eastAsia="宋体" w:cs="Times New Roman"/>
          <w:caps w:val="0"/>
          <w:smallCaps w:val="0"/>
          <w:color w:val="auto"/>
          <w:spacing w:val="0"/>
          <w:szCs w:val="28"/>
          <w:highlight w:val="none"/>
        </w:rPr>
        <w:t>32</w:t>
      </w:r>
      <w:r>
        <w:rPr>
          <w:rFonts w:ascii="Times New Roman" w:hAnsi="Times New Roman" w:eastAsia="宋体" w:cs="Times New Roman"/>
          <w:caps w:val="0"/>
          <w:smallCaps w:val="0"/>
          <w:color w:val="auto"/>
          <w:spacing w:val="0"/>
          <w:szCs w:val="28"/>
          <w:highlight w:val="none"/>
        </w:rPr>
        <w:t>m</w:t>
      </w:r>
      <w:r>
        <w:rPr>
          <w:rFonts w:hint="eastAsia"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。合计，事故状态下废水</w:t>
      </w:r>
      <w:r>
        <w:rPr>
          <w:rFonts w:hint="eastAsia" w:ascii="Times New Roman" w:hAnsi="Times New Roman" w:eastAsia="宋体" w:cs="Times New Roman"/>
          <w:caps w:val="0"/>
          <w:smallCaps w:val="0"/>
          <w:color w:val="auto"/>
          <w:spacing w:val="0"/>
          <w:szCs w:val="28"/>
          <w:highlight w:val="none"/>
        </w:rPr>
        <w:t>352</w:t>
      </w:r>
      <w:r>
        <w:rPr>
          <w:rFonts w:ascii="Times New Roman" w:hAnsi="Times New Roman" w:eastAsia="宋体" w:cs="Times New Roman"/>
          <w:caps w:val="0"/>
          <w:smallCaps w:val="0"/>
          <w:color w:val="auto"/>
          <w:spacing w:val="0"/>
          <w:szCs w:val="28"/>
          <w:highlight w:val="none"/>
        </w:rPr>
        <w:t>m</w:t>
      </w:r>
      <w:r>
        <w:rPr>
          <w:rFonts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w:t>
      </w:r>
      <w:r>
        <w:rPr>
          <w:rFonts w:hint="eastAsia" w:ascii="Times New Roman" w:hAnsi="Times New Roman" w:eastAsia="宋体" w:cs="Times New Roman"/>
          <w:caps w:val="0"/>
          <w:smallCaps w:val="0"/>
          <w:color w:val="auto"/>
          <w:spacing w:val="0"/>
          <w:szCs w:val="28"/>
          <w:highlight w:val="none"/>
        </w:rPr>
        <w:t>现有</w:t>
      </w:r>
      <w:r>
        <w:rPr>
          <w:rFonts w:ascii="Times New Roman" w:hAnsi="Times New Roman" w:eastAsia="宋体" w:cs="Times New Roman"/>
          <w:caps w:val="0"/>
          <w:smallCaps w:val="0"/>
          <w:color w:val="auto"/>
          <w:spacing w:val="0"/>
          <w:szCs w:val="28"/>
          <w:highlight w:val="none"/>
        </w:rPr>
        <w:t>事故水池容积400m</w:t>
      </w:r>
      <w:r>
        <w:rPr>
          <w:rFonts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，可以满足本项目需求。</w:t>
      </w:r>
    </w:p>
    <w:p w14:paraId="6DC6E249">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本项目厂区设置一座事故池，容积为400m</w:t>
      </w:r>
      <w:r>
        <w:rPr>
          <w:rFonts w:hint="eastAsia"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，可以满足事故状态下需要。同时，本项目生产厂房、</w:t>
      </w:r>
      <w:r>
        <w:rPr>
          <w:rFonts w:hint="eastAsia" w:ascii="Times New Roman" w:hAnsi="Times New Roman" w:eastAsia="宋体" w:cs="Times New Roman"/>
          <w:caps w:val="0"/>
          <w:smallCaps w:val="0"/>
          <w:color w:val="auto"/>
          <w:spacing w:val="0"/>
          <w:szCs w:val="28"/>
          <w:highlight w:val="none"/>
        </w:rPr>
        <w:t>原料库房</w:t>
      </w:r>
      <w:r>
        <w:rPr>
          <w:rFonts w:ascii="Times New Roman" w:hAnsi="Times New Roman" w:eastAsia="宋体" w:cs="Times New Roman"/>
          <w:caps w:val="0"/>
          <w:smallCaps w:val="0"/>
          <w:color w:val="auto"/>
          <w:spacing w:val="0"/>
          <w:szCs w:val="28"/>
          <w:highlight w:val="none"/>
        </w:rPr>
        <w:t>、污水处理设施、</w:t>
      </w:r>
      <w:r>
        <w:rPr>
          <w:rFonts w:hint="eastAsia" w:ascii="Times New Roman" w:hAnsi="Times New Roman" w:eastAsia="宋体" w:cs="Times New Roman"/>
          <w:caps w:val="0"/>
          <w:smallCaps w:val="0"/>
          <w:color w:val="auto"/>
          <w:spacing w:val="0"/>
          <w:szCs w:val="28"/>
          <w:highlight w:val="none"/>
        </w:rPr>
        <w:t>危险废物贮存库</w:t>
      </w:r>
      <w:r>
        <w:rPr>
          <w:rFonts w:ascii="Times New Roman" w:hAnsi="Times New Roman" w:eastAsia="宋体" w:cs="Times New Roman"/>
          <w:caps w:val="0"/>
          <w:smallCaps w:val="0"/>
          <w:color w:val="auto"/>
          <w:spacing w:val="0"/>
          <w:szCs w:val="28"/>
          <w:highlight w:val="none"/>
        </w:rPr>
        <w:t>内均设置重点防渗层和防腐层，污水处理设施周围设置围堰。经采取上述措施后，不会对周围环境产生影响。</w:t>
      </w:r>
    </w:p>
    <w:p w14:paraId="393A5231">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5.</w:t>
      </w:r>
      <w:r>
        <w:rPr>
          <w:rFonts w:hint="eastAsia" w:ascii="Times New Roman" w:hAnsi="Times New Roman" w:cs="Times New Roman"/>
          <w:caps w:val="0"/>
          <w:smallCaps w:val="0"/>
          <w:color w:val="auto"/>
          <w:spacing w:val="0"/>
          <w:sz w:val="28"/>
          <w:szCs w:val="28"/>
          <w:highlight w:val="none"/>
        </w:rPr>
        <w:t>2.7.5</w:t>
      </w:r>
      <w:r>
        <w:rPr>
          <w:rFonts w:ascii="Times New Roman" w:hAnsi="Times New Roman" w:cs="Times New Roman"/>
          <w:caps w:val="0"/>
          <w:smallCaps w:val="0"/>
          <w:color w:val="auto"/>
          <w:spacing w:val="0"/>
          <w:sz w:val="28"/>
          <w:szCs w:val="28"/>
          <w:highlight w:val="none"/>
        </w:rPr>
        <w:t>环境风险防范措施及应急要求</w:t>
      </w:r>
    </w:p>
    <w:p w14:paraId="611A70AC">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(1)事故风险防范措施</w:t>
      </w:r>
    </w:p>
    <w:p w14:paraId="1A4D54F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厂区建立严格的环境与安全管理制度，制定完善的环境保护规章制度和预防事故应急预案，严格操作规程，做好运行记录，对生产设备、环保设施进行定期检修，发现隐患及时处理，杜绝盲目生产造成非正常工况及事故排放对环境产生影响。</w:t>
      </w:r>
    </w:p>
    <w:p w14:paraId="7A1A7C8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（2）</w:t>
      </w:r>
      <w:r>
        <w:rPr>
          <w:rFonts w:ascii="Times New Roman" w:hAnsi="Times New Roman" w:eastAsia="宋体" w:cs="Times New Roman"/>
          <w:caps w:val="0"/>
          <w:smallCaps w:val="0"/>
          <w:color w:val="auto"/>
          <w:spacing w:val="0"/>
          <w:szCs w:val="28"/>
          <w:highlight w:val="none"/>
        </w:rPr>
        <w:t>危险化学品贮存安全防范措施</w:t>
      </w:r>
    </w:p>
    <w:p w14:paraId="76E4B84B">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危险化学品运输</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根据近年来的事故风险统计，交通事故引发有毒物质泄漏到环境中的事件呈上升趋势。必须加强运输过程中的风险意识和风险管理，危险化学品运输要由有资质的单位承担，定人定车，合理规划运输路线。</w:t>
      </w:r>
    </w:p>
    <w:p w14:paraId="3CBE7BC6">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原料库房：原料库房</w:t>
      </w:r>
      <w:r>
        <w:rPr>
          <w:rFonts w:ascii="Times New Roman" w:hAnsi="Times New Roman" w:eastAsia="宋体" w:cs="Times New Roman"/>
          <w:caps w:val="0"/>
          <w:smallCaps w:val="0"/>
          <w:color w:val="auto"/>
          <w:spacing w:val="0"/>
          <w:szCs w:val="28"/>
          <w:highlight w:val="none"/>
        </w:rPr>
        <w:t>应拥有良好的储存条件，企业应根据</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常用化学危险品贮存通则</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(GB15603-1995)、</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毒害性商品储藏养护技术条件</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(GB17916-2013)进行储存。在</w:t>
      </w:r>
      <w:r>
        <w:rPr>
          <w:rFonts w:hint="eastAsia" w:ascii="Times New Roman" w:hAnsi="Times New Roman" w:eastAsia="宋体" w:cs="Times New Roman"/>
          <w:caps w:val="0"/>
          <w:smallCaps w:val="0"/>
          <w:color w:val="auto"/>
          <w:spacing w:val="0"/>
          <w:szCs w:val="28"/>
          <w:highlight w:val="none"/>
        </w:rPr>
        <w:t>原料库房</w:t>
      </w:r>
      <w:r>
        <w:rPr>
          <w:rFonts w:ascii="Times New Roman" w:hAnsi="Times New Roman" w:eastAsia="宋体" w:cs="Times New Roman"/>
          <w:caps w:val="0"/>
          <w:smallCaps w:val="0"/>
          <w:color w:val="auto"/>
          <w:spacing w:val="0"/>
          <w:szCs w:val="28"/>
          <w:highlight w:val="none"/>
        </w:rPr>
        <w:t>及车间现场设置紧急喷淋和洗眼器，随时保持水管畅通</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操作时根据物质安全技术说明书MSDS</w:t>
      </w:r>
      <w:r>
        <w:rPr>
          <w:rFonts w:hint="eastAsia" w:ascii="Times New Roman" w:hAnsi="Times New Roman" w:eastAsia="宋体" w:cs="Times New Roman"/>
          <w:caps w:val="0"/>
          <w:smallCaps w:val="0"/>
          <w:color w:val="auto"/>
          <w:spacing w:val="0"/>
          <w:szCs w:val="28"/>
          <w:highlight w:val="none"/>
        </w:rPr>
        <w:t>中</w:t>
      </w:r>
      <w:r>
        <w:rPr>
          <w:rFonts w:ascii="Times New Roman" w:hAnsi="Times New Roman" w:eastAsia="宋体" w:cs="Times New Roman"/>
          <w:caps w:val="0"/>
          <w:smallCaps w:val="0"/>
          <w:color w:val="auto"/>
          <w:spacing w:val="0"/>
          <w:szCs w:val="28"/>
          <w:highlight w:val="none"/>
        </w:rPr>
        <w:t>的要求，并</w:t>
      </w:r>
      <w:r>
        <w:rPr>
          <w:rFonts w:hint="eastAsia" w:ascii="Times New Roman" w:hAnsi="Times New Roman" w:eastAsia="宋体" w:cs="Times New Roman"/>
          <w:caps w:val="0"/>
          <w:smallCaps w:val="0"/>
          <w:color w:val="auto"/>
          <w:spacing w:val="0"/>
          <w:szCs w:val="28"/>
          <w:highlight w:val="none"/>
          <w:lang w:eastAsia="zh-CN"/>
        </w:rPr>
        <w:t>佩戴</w:t>
      </w:r>
      <w:r>
        <w:rPr>
          <w:rFonts w:ascii="Times New Roman" w:hAnsi="Times New Roman" w:eastAsia="宋体" w:cs="Times New Roman"/>
          <w:caps w:val="0"/>
          <w:smallCaps w:val="0"/>
          <w:color w:val="auto"/>
          <w:spacing w:val="0"/>
          <w:szCs w:val="28"/>
          <w:highlight w:val="none"/>
        </w:rPr>
        <w:t>适当的个人防护用品PPE。</w:t>
      </w:r>
    </w:p>
    <w:p w14:paraId="4654C947">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加强危险化学品的管理</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要求企业加强危险化学品的管理，设置防盗设施。同时应加强管理，由专人负责，非操作人员不得随意出入。加强防火，达到消防、安全等有关部门的要求。做好药品的入库和出库登记记录，明确去向。加强对职工的安全教育，制定严格的工作守则和个人卫生措施，所有操作人员必须了解所有化学品的有害作用及对患者的急救措施，以保证生产的正常运行和员工的身体健康。向化学品供应商索取化学品的物质安全技术说明书MSDS，张贴在仓库贮存及使用现场，供操作人员学习。</w:t>
      </w:r>
    </w:p>
    <w:p w14:paraId="326D02FB">
      <w:pPr>
        <w:spacing w:line="360" w:lineRule="auto"/>
        <w:ind w:firstLine="480" w:firstLineChars="200"/>
        <w:jc w:val="both"/>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对于</w:t>
      </w:r>
      <w:r>
        <w:rPr>
          <w:rFonts w:hint="eastAsia" w:ascii="Times New Roman" w:hAnsi="Times New Roman" w:eastAsia="宋体" w:cs="Times New Roman"/>
          <w:caps w:val="0"/>
          <w:smallCaps w:val="0"/>
          <w:color w:val="auto"/>
          <w:spacing w:val="0"/>
          <w:szCs w:val="28"/>
          <w:highlight w:val="none"/>
        </w:rPr>
        <w:t>危险废物贮存库</w:t>
      </w:r>
      <w:r>
        <w:rPr>
          <w:rFonts w:ascii="Times New Roman" w:hAnsi="Times New Roman" w:eastAsia="宋体" w:cs="Times New Roman"/>
          <w:caps w:val="0"/>
          <w:smallCaps w:val="0"/>
          <w:color w:val="auto"/>
          <w:spacing w:val="0"/>
          <w:szCs w:val="28"/>
          <w:highlight w:val="none"/>
        </w:rPr>
        <w:t>的危险物质，做好每日的进出台账记录，保证所有的危险化学品进出有序。在</w:t>
      </w:r>
      <w:r>
        <w:rPr>
          <w:rFonts w:hint="eastAsia" w:ascii="Times New Roman" w:hAnsi="Times New Roman" w:eastAsia="宋体" w:cs="Times New Roman"/>
          <w:caps w:val="0"/>
          <w:smallCaps w:val="0"/>
          <w:color w:val="auto"/>
          <w:spacing w:val="0"/>
          <w:szCs w:val="28"/>
          <w:highlight w:val="none"/>
        </w:rPr>
        <w:t>危险废物贮存库</w:t>
      </w:r>
      <w:r>
        <w:rPr>
          <w:rFonts w:ascii="Times New Roman" w:hAnsi="Times New Roman" w:eastAsia="宋体" w:cs="Times New Roman"/>
          <w:caps w:val="0"/>
          <w:smallCaps w:val="0"/>
          <w:color w:val="auto"/>
          <w:spacing w:val="0"/>
          <w:szCs w:val="28"/>
          <w:highlight w:val="none"/>
        </w:rPr>
        <w:t>周围放置一定量的应急物资，保证在事故发生时，可以进行立即进行应对。同时对于易燃易爆物质存储区域安装有监控，并设置防静电设施。</w:t>
      </w:r>
    </w:p>
    <w:p w14:paraId="07D95042">
      <w:pPr>
        <w:spacing w:line="360" w:lineRule="auto"/>
        <w:ind w:firstLine="480" w:firstLineChars="200"/>
        <w:jc w:val="both"/>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对于</w:t>
      </w:r>
      <w:r>
        <w:rPr>
          <w:rFonts w:hint="eastAsia" w:ascii="Times New Roman" w:hAnsi="Times New Roman" w:eastAsia="宋体" w:cs="Times New Roman"/>
          <w:caps w:val="0"/>
          <w:smallCaps w:val="0"/>
          <w:color w:val="auto"/>
          <w:spacing w:val="0"/>
          <w:szCs w:val="28"/>
          <w:highlight w:val="none"/>
        </w:rPr>
        <w:t>危险废物贮存库</w:t>
      </w:r>
      <w:r>
        <w:rPr>
          <w:rFonts w:ascii="Times New Roman" w:hAnsi="Times New Roman" w:eastAsia="宋体" w:cs="Times New Roman"/>
          <w:caps w:val="0"/>
          <w:smallCaps w:val="0"/>
          <w:color w:val="auto"/>
          <w:spacing w:val="0"/>
          <w:szCs w:val="28"/>
          <w:highlight w:val="none"/>
        </w:rPr>
        <w:t>，废物分区放置，不可随意堆放，同时对于所有液体废物都应设置一定容量的托盘，将桶放置于托盘内，保证泄漏时可以被托盘容纳而不会向外泄漏。本项目环境风险位置为生产厂房、</w:t>
      </w:r>
      <w:r>
        <w:rPr>
          <w:rFonts w:hint="eastAsia" w:ascii="Times New Roman" w:hAnsi="Times New Roman" w:eastAsia="宋体" w:cs="Times New Roman"/>
          <w:caps w:val="0"/>
          <w:smallCaps w:val="0"/>
          <w:color w:val="auto"/>
          <w:spacing w:val="0"/>
          <w:szCs w:val="28"/>
          <w:highlight w:val="none"/>
        </w:rPr>
        <w:t>原料库房</w:t>
      </w:r>
      <w:r>
        <w:rPr>
          <w:rFonts w:ascii="Times New Roman" w:hAnsi="Times New Roman" w:eastAsia="宋体" w:cs="Times New Roman"/>
          <w:caps w:val="0"/>
          <w:smallCaps w:val="0"/>
          <w:color w:val="auto"/>
          <w:spacing w:val="0"/>
          <w:szCs w:val="28"/>
          <w:highlight w:val="none"/>
        </w:rPr>
        <w:t>、污水处理设施间、危废暂存间，生产厂房设置导流槽，生产厂房、</w:t>
      </w:r>
      <w:r>
        <w:rPr>
          <w:rFonts w:hint="eastAsia" w:ascii="Times New Roman" w:hAnsi="Times New Roman" w:eastAsia="宋体" w:cs="Times New Roman"/>
          <w:caps w:val="0"/>
          <w:smallCaps w:val="0"/>
          <w:color w:val="auto"/>
          <w:spacing w:val="0"/>
          <w:szCs w:val="28"/>
          <w:highlight w:val="none"/>
        </w:rPr>
        <w:t>原料库房</w:t>
      </w:r>
      <w:r>
        <w:rPr>
          <w:rFonts w:ascii="Times New Roman" w:hAnsi="Times New Roman" w:eastAsia="宋体" w:cs="Times New Roman"/>
          <w:caps w:val="0"/>
          <w:smallCaps w:val="0"/>
          <w:color w:val="auto"/>
          <w:spacing w:val="0"/>
          <w:szCs w:val="28"/>
          <w:highlight w:val="none"/>
        </w:rPr>
        <w:t>、污水处理设施、危废暂存间内均设置重点防渗层和防腐层，污水处理设施周围设置围堰，厂区设置一座事故应急池400m</w:t>
      </w:r>
      <w:r>
        <w:rPr>
          <w:rFonts w:hint="eastAsia" w:ascii="Times New Roman" w:hAnsi="Times New Roman" w:eastAsia="宋体" w:cs="Times New Roman"/>
          <w:caps w:val="0"/>
          <w:smallCaps w:val="0"/>
          <w:color w:val="auto"/>
          <w:spacing w:val="0"/>
          <w:szCs w:val="28"/>
          <w:highlight w:val="none"/>
          <w:vertAlign w:val="superscript"/>
        </w:rPr>
        <w:t>3</w:t>
      </w:r>
      <w:r>
        <w:rPr>
          <w:rFonts w:ascii="Times New Roman" w:hAnsi="Times New Roman" w:eastAsia="宋体" w:cs="Times New Roman"/>
          <w:caps w:val="0"/>
          <w:smallCaps w:val="0"/>
          <w:color w:val="auto"/>
          <w:spacing w:val="0"/>
          <w:szCs w:val="28"/>
          <w:highlight w:val="none"/>
        </w:rPr>
        <w:t>。危险废物分类存放，危废间设置上墙制度及危废台账，设专人管理。现有的</w:t>
      </w:r>
      <w:r>
        <w:rPr>
          <w:rFonts w:hint="eastAsia" w:ascii="Times New Roman" w:hAnsi="Times New Roman" w:eastAsia="宋体" w:cs="Times New Roman"/>
          <w:caps w:val="0"/>
          <w:smallCaps w:val="0"/>
          <w:color w:val="auto"/>
          <w:spacing w:val="0"/>
          <w:szCs w:val="28"/>
          <w:highlight w:val="none"/>
        </w:rPr>
        <w:t>危险废物贮存库</w:t>
      </w:r>
      <w:r>
        <w:rPr>
          <w:rFonts w:ascii="Times New Roman" w:hAnsi="Times New Roman" w:eastAsia="宋体" w:cs="Times New Roman"/>
          <w:caps w:val="0"/>
          <w:smallCaps w:val="0"/>
          <w:color w:val="auto"/>
          <w:spacing w:val="0"/>
          <w:szCs w:val="28"/>
          <w:highlight w:val="none"/>
        </w:rPr>
        <w:t>完全可以满足危废暂存，同时本项目的</w:t>
      </w:r>
      <w:r>
        <w:rPr>
          <w:rFonts w:hint="eastAsia" w:ascii="Times New Roman" w:hAnsi="Times New Roman" w:eastAsia="宋体" w:cs="Times New Roman"/>
          <w:caps w:val="0"/>
          <w:smallCaps w:val="0"/>
          <w:color w:val="auto"/>
          <w:spacing w:val="0"/>
          <w:szCs w:val="28"/>
          <w:highlight w:val="none"/>
        </w:rPr>
        <w:t>危险废物贮存库</w:t>
      </w:r>
      <w:r>
        <w:rPr>
          <w:rFonts w:ascii="Times New Roman" w:hAnsi="Times New Roman" w:eastAsia="宋体" w:cs="Times New Roman"/>
          <w:caps w:val="0"/>
          <w:smallCaps w:val="0"/>
          <w:color w:val="auto"/>
          <w:spacing w:val="0"/>
          <w:szCs w:val="28"/>
          <w:highlight w:val="none"/>
        </w:rPr>
        <w:t>已按照</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危险废物贮存污染控制标准</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(GB18597-2023)进行了建设。所以符合相关要求。</w:t>
      </w:r>
    </w:p>
    <w:p w14:paraId="42711858">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（3）</w:t>
      </w:r>
      <w:r>
        <w:rPr>
          <w:rFonts w:ascii="Times New Roman" w:hAnsi="Times New Roman" w:eastAsia="宋体" w:cs="Times New Roman"/>
          <w:caps w:val="0"/>
          <w:smallCaps w:val="0"/>
          <w:color w:val="auto"/>
          <w:spacing w:val="0"/>
          <w:szCs w:val="28"/>
          <w:highlight w:val="none"/>
        </w:rPr>
        <w:t>工艺技术设计安全防范措施</w:t>
      </w:r>
    </w:p>
    <w:p w14:paraId="3A17A8B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应按照有关规定和标准合理设计工程的安全监测系统，包括自动监测、报警、紧急切断及紧急停车系统，防火、防爆、防中毒等事故处理系统，还要完善应急救援设施和救援通道。</w:t>
      </w:r>
    </w:p>
    <w:p w14:paraId="7B76E53F">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（4）</w:t>
      </w:r>
      <w:r>
        <w:rPr>
          <w:rFonts w:ascii="Times New Roman" w:hAnsi="Times New Roman" w:eastAsia="宋体" w:cs="Times New Roman"/>
          <w:caps w:val="0"/>
          <w:smallCaps w:val="0"/>
          <w:color w:val="auto"/>
          <w:spacing w:val="0"/>
          <w:szCs w:val="28"/>
          <w:highlight w:val="none"/>
        </w:rPr>
        <w:t>自动控制的安全防范措施</w:t>
      </w:r>
    </w:p>
    <w:p w14:paraId="68C30D30">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各生产装置的工艺控制应设置必要的报警自动控制及自动连锁停车的控制设施。自动控制系统应采用关键数据输入的冗余技术，应具有关键输入的异常中止功能。自动控制系统应辅之以就地显示仪表和就地控制阀门，能对紧急情况进行现场处理。</w:t>
      </w:r>
    </w:p>
    <w:p w14:paraId="44927A71">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（5）</w:t>
      </w:r>
      <w:r>
        <w:rPr>
          <w:rFonts w:ascii="Times New Roman" w:hAnsi="Times New Roman" w:eastAsia="宋体" w:cs="Times New Roman"/>
          <w:caps w:val="0"/>
          <w:smallCaps w:val="0"/>
          <w:color w:val="auto"/>
          <w:spacing w:val="0"/>
          <w:szCs w:val="28"/>
          <w:highlight w:val="none"/>
        </w:rPr>
        <w:t>电气、电讯安全防范措施</w:t>
      </w:r>
    </w:p>
    <w:p w14:paraId="0B04B4F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应根据危险区域的等级，正确选择相应类型的级别和组别的电气设备。电气设备的组级别只能高于环境组级别，不能随意降低标准。设计、安装、运行、维修电气设备、线路、仪表等应符合国家有关标准、规程和规范的要求，并要求达到整体防爆性的要求;电气控制设备及导线尽可能远离易燃易爆物质。</w:t>
      </w:r>
    </w:p>
    <w:p w14:paraId="4EDFC635">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采用三相五线制加漏电保护体制。将中性线与接地线分开，中性线对地绝缘，接地线(保护零线)专用接地，以减少对地产生火花的可能性。安装漏电保护应严格按照有关规范要求执行。禁止使用临时线路，尽可能少用移动式电具。如必须使用，要有严格的安全措施。</w:t>
      </w:r>
    </w:p>
    <w:p w14:paraId="1B7BB1A3">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建立和健全电气安全规章制度和安全操作规程，并严格执行。加强对电气设施进行维护、保养、检修，保持电气设备正常运行</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包括保持电气设备的电压、电流、温升等参数不超过允许值，保持电气设备足够的绝缘能力，保持电气连接良好等。对职工进行电气安全教育，掌握触电急救方法，严禁非电工进行电气操作。</w:t>
      </w:r>
    </w:p>
    <w:p w14:paraId="6078D897">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（6）</w:t>
      </w:r>
      <w:r>
        <w:rPr>
          <w:rFonts w:ascii="Times New Roman" w:hAnsi="Times New Roman" w:eastAsia="宋体" w:cs="Times New Roman"/>
          <w:caps w:val="0"/>
          <w:smallCaps w:val="0"/>
          <w:color w:val="auto"/>
          <w:spacing w:val="0"/>
          <w:szCs w:val="28"/>
          <w:highlight w:val="none"/>
        </w:rPr>
        <w:t>其他事故防范措施</w:t>
      </w:r>
    </w:p>
    <w:p w14:paraId="336E6DA2">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本项目废气处理装置的风机，严禁出现风机失效、废气未收集无组织排放的工况。加强废气吸收装置的运行管理，一旦出现事故性排放应及时停止生产操作，待修复后再进行生产。</w:t>
      </w:r>
    </w:p>
    <w:p w14:paraId="3957CE1C">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一旦发生氯化镉</w:t>
      </w:r>
      <w:r>
        <w:rPr>
          <w:rFonts w:hint="eastAsia" w:ascii="Times New Roman" w:hAnsi="Times New Roman" w:eastAsia="宋体" w:cs="Times New Roman"/>
          <w:caps w:val="0"/>
          <w:smallCaps w:val="0"/>
          <w:color w:val="auto"/>
          <w:spacing w:val="0"/>
          <w:szCs w:val="28"/>
          <w:highlight w:val="none"/>
        </w:rPr>
        <w:t>溶液</w:t>
      </w:r>
      <w:r>
        <w:rPr>
          <w:rFonts w:ascii="Times New Roman" w:hAnsi="Times New Roman" w:eastAsia="宋体" w:cs="Times New Roman"/>
          <w:caps w:val="0"/>
          <w:smallCaps w:val="0"/>
          <w:color w:val="auto"/>
          <w:spacing w:val="0"/>
          <w:szCs w:val="28"/>
          <w:highlight w:val="none"/>
        </w:rPr>
        <w:t>事故性泄漏现象，需紧急关闭车间排放口闸门，采用导流槽将泄漏的废液收集后通过泵排入事故池。</w:t>
      </w:r>
    </w:p>
    <w:p w14:paraId="76B72DB2">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（7）</w:t>
      </w:r>
      <w:r>
        <w:rPr>
          <w:rFonts w:ascii="Times New Roman" w:hAnsi="Times New Roman" w:eastAsia="宋体" w:cs="Times New Roman"/>
          <w:caps w:val="0"/>
          <w:smallCaps w:val="0"/>
          <w:color w:val="auto"/>
          <w:spacing w:val="0"/>
          <w:szCs w:val="28"/>
          <w:highlight w:val="none"/>
        </w:rPr>
        <w:t>应急响应</w:t>
      </w:r>
    </w:p>
    <w:p w14:paraId="1EDEBC5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本项目应编制</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突发环境事件应急预案</w:t>
      </w:r>
      <w:r>
        <w:rPr>
          <w:rFonts w:hint="eastAsia" w:ascii="Times New Roman" w:hAnsi="Times New Roman" w:eastAsia="宋体" w:cs="Times New Roman"/>
          <w:caps w:val="0"/>
          <w:smallCaps w:val="0"/>
          <w:color w:val="auto"/>
          <w:spacing w:val="0"/>
          <w:szCs w:val="28"/>
          <w:highlight w:val="none"/>
        </w:rPr>
        <w:t>》</w:t>
      </w:r>
      <w:r>
        <w:rPr>
          <w:rFonts w:ascii="Times New Roman" w:hAnsi="Times New Roman" w:eastAsia="宋体" w:cs="Times New Roman"/>
          <w:caps w:val="0"/>
          <w:smallCaps w:val="0"/>
          <w:color w:val="auto"/>
          <w:spacing w:val="0"/>
          <w:szCs w:val="28"/>
          <w:highlight w:val="none"/>
        </w:rPr>
        <w:t>，包括建立完善设备故障、化学品泄漏、人身安全事故、污染事故等紧急突发事件的应急响应机制。定期开展巡查、调节、维修、保养，及时发现有可能引起的事故异常苗头，消除事故隐患。</w:t>
      </w:r>
      <w:r>
        <w:rPr>
          <w:rFonts w:hint="eastAsia" w:ascii="Times New Roman" w:hAnsi="Times New Roman" w:eastAsia="宋体" w:cs="Times New Roman"/>
          <w:caps w:val="0"/>
          <w:smallCaps w:val="0"/>
          <w:color w:val="auto"/>
          <w:spacing w:val="0"/>
          <w:szCs w:val="28"/>
          <w:highlight w:val="none"/>
        </w:rPr>
        <w:t>通过</w:t>
      </w:r>
      <w:r>
        <w:rPr>
          <w:rFonts w:ascii="Times New Roman" w:hAnsi="Times New Roman" w:eastAsia="宋体" w:cs="Times New Roman"/>
          <w:caps w:val="0"/>
          <w:smallCaps w:val="0"/>
          <w:color w:val="auto"/>
          <w:spacing w:val="0"/>
          <w:szCs w:val="28"/>
          <w:highlight w:val="none"/>
        </w:rPr>
        <w:t>信息渠道，发现紧急状况，立即报告园区和主管部门，并采取积极措施，控制事态扩大。</w:t>
      </w:r>
    </w:p>
    <w:p w14:paraId="15DD073F">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hint="eastAsia" w:ascii="Times New Roman" w:hAnsi="Times New Roman" w:eastAsia="宋体" w:cs="Times New Roman"/>
          <w:caps w:val="0"/>
          <w:smallCaps w:val="0"/>
          <w:color w:val="auto"/>
          <w:spacing w:val="0"/>
          <w:szCs w:val="28"/>
          <w:highlight w:val="none"/>
        </w:rPr>
        <w:t>（8）</w:t>
      </w:r>
      <w:r>
        <w:rPr>
          <w:rFonts w:ascii="Times New Roman" w:hAnsi="Times New Roman" w:eastAsia="宋体" w:cs="Times New Roman"/>
          <w:caps w:val="0"/>
          <w:smallCaps w:val="0"/>
          <w:color w:val="auto"/>
          <w:spacing w:val="0"/>
          <w:szCs w:val="28"/>
          <w:highlight w:val="none"/>
        </w:rPr>
        <w:t>突发环境事件应急预案</w:t>
      </w:r>
    </w:p>
    <w:p w14:paraId="499D873B">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预防是防止事故发生的根本措施，但也应有应急措施，一旦发生事故，处置是否得当，关系到事故蔓延的范围和损失大小。本评价根据初步的重大危险事故分析，就本厂事故应急预案提出建议，供项目业主及管理部门参考，本项目建成后，应编制突发环境</w:t>
      </w:r>
      <w:r>
        <w:rPr>
          <w:rFonts w:hint="eastAsia" w:ascii="Times New Roman" w:hAnsi="Times New Roman" w:eastAsia="宋体" w:cs="Times New Roman"/>
          <w:caps w:val="0"/>
          <w:smallCaps w:val="0"/>
          <w:color w:val="auto"/>
          <w:spacing w:val="0"/>
          <w:szCs w:val="28"/>
          <w:highlight w:val="none"/>
        </w:rPr>
        <w:t>事故</w:t>
      </w:r>
      <w:r>
        <w:rPr>
          <w:rFonts w:ascii="Times New Roman" w:hAnsi="Times New Roman" w:eastAsia="宋体" w:cs="Times New Roman"/>
          <w:caps w:val="0"/>
          <w:smallCaps w:val="0"/>
          <w:color w:val="auto"/>
          <w:spacing w:val="0"/>
          <w:szCs w:val="28"/>
          <w:highlight w:val="none"/>
        </w:rPr>
        <w:t>应急救援预案，并在安全管理中具体化和进一步完善。</w:t>
      </w:r>
    </w:p>
    <w:p w14:paraId="0665242D">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应急预案的主要内容见表5.</w:t>
      </w:r>
      <w:r>
        <w:rPr>
          <w:rFonts w:hint="eastAsia" w:ascii="Times New Roman" w:hAnsi="Times New Roman" w:eastAsia="宋体" w:cs="Times New Roman"/>
          <w:caps w:val="0"/>
          <w:smallCaps w:val="0"/>
          <w:color w:val="auto"/>
          <w:spacing w:val="0"/>
          <w:szCs w:val="28"/>
          <w:highlight w:val="none"/>
          <w:lang w:val="en-US" w:eastAsia="zh-CN"/>
        </w:rPr>
        <w:t>2</w:t>
      </w:r>
      <w:r>
        <w:rPr>
          <w:rFonts w:ascii="Times New Roman" w:hAnsi="Times New Roman" w:eastAsia="宋体" w:cs="Times New Roman"/>
          <w:caps w:val="0"/>
          <w:smallCaps w:val="0"/>
          <w:color w:val="auto"/>
          <w:spacing w:val="0"/>
          <w:szCs w:val="28"/>
          <w:highlight w:val="none"/>
        </w:rPr>
        <w:t>-</w:t>
      </w:r>
      <w:r>
        <w:rPr>
          <w:rFonts w:hint="eastAsia" w:ascii="Times New Roman" w:hAnsi="Times New Roman" w:eastAsia="宋体" w:cs="Times New Roman"/>
          <w:caps w:val="0"/>
          <w:smallCaps w:val="0"/>
          <w:color w:val="auto"/>
          <w:spacing w:val="0"/>
          <w:szCs w:val="28"/>
          <w:highlight w:val="none"/>
        </w:rPr>
        <w:t>2</w:t>
      </w:r>
      <w:r>
        <w:rPr>
          <w:rFonts w:hint="eastAsia" w:ascii="Times New Roman" w:hAnsi="Times New Roman" w:eastAsia="宋体" w:cs="Times New Roman"/>
          <w:caps w:val="0"/>
          <w:smallCaps w:val="0"/>
          <w:color w:val="auto"/>
          <w:spacing w:val="0"/>
          <w:szCs w:val="28"/>
          <w:highlight w:val="none"/>
          <w:lang w:val="en-US" w:eastAsia="zh-CN"/>
        </w:rPr>
        <w:t>2</w:t>
      </w:r>
      <w:r>
        <w:rPr>
          <w:rFonts w:ascii="Times New Roman" w:hAnsi="Times New Roman" w:eastAsia="宋体" w:cs="Times New Roman"/>
          <w:caps w:val="0"/>
          <w:smallCaps w:val="0"/>
          <w:color w:val="auto"/>
          <w:spacing w:val="0"/>
          <w:szCs w:val="28"/>
          <w:highlight w:val="none"/>
        </w:rPr>
        <w:t>。</w:t>
      </w:r>
    </w:p>
    <w:p w14:paraId="2A08D7A3">
      <w:pPr>
        <w:pStyle w:val="13"/>
        <w:widowControl w:val="0"/>
        <w:spacing w:after="0"/>
        <w:ind w:right="113"/>
        <w:jc w:val="center"/>
        <w:rPr>
          <w:rFonts w:ascii="Times New Roman" w:hAnsi="Times New Roman" w:eastAsia="宋体" w:cs="Times New Roman"/>
          <w:b/>
          <w:bCs/>
          <w:caps w:val="0"/>
          <w:smallCaps w:val="0"/>
          <w:color w:val="auto"/>
          <w:spacing w:val="0"/>
          <w:kern w:val="0"/>
          <w:highlight w:val="none"/>
        </w:rPr>
      </w:pPr>
      <w:r>
        <w:rPr>
          <w:rFonts w:hint="eastAsia" w:ascii="Times New Roman" w:hAnsi="Times New Roman" w:eastAsia="宋体" w:cs="Times New Roman"/>
          <w:caps w:val="0"/>
          <w:smallCaps w:val="0"/>
          <w:color w:val="auto"/>
          <w:spacing w:val="0"/>
          <w:szCs w:val="28"/>
          <w:highlight w:val="none"/>
        </w:rPr>
        <w:t>表</w:t>
      </w:r>
      <w:r>
        <w:rPr>
          <w:rFonts w:ascii="Times New Roman" w:hAnsi="Times New Roman" w:eastAsia="宋体" w:cs="Times New Roman"/>
          <w:b/>
          <w:bCs/>
          <w:caps w:val="0"/>
          <w:smallCaps w:val="0"/>
          <w:color w:val="auto"/>
          <w:spacing w:val="0"/>
          <w:kern w:val="0"/>
          <w:highlight w:val="none"/>
        </w:rPr>
        <w:t>5.</w:t>
      </w:r>
      <w:r>
        <w:rPr>
          <w:rFonts w:hint="eastAsia" w:ascii="Times New Roman" w:hAnsi="Times New Roman" w:eastAsia="宋体" w:cs="Times New Roman"/>
          <w:b/>
          <w:bCs/>
          <w:caps w:val="0"/>
          <w:smallCaps w:val="0"/>
          <w:color w:val="auto"/>
          <w:spacing w:val="0"/>
          <w:kern w:val="0"/>
          <w:highlight w:val="none"/>
          <w:lang w:val="en-US" w:eastAsia="zh-CN"/>
        </w:rPr>
        <w:t>2</w:t>
      </w:r>
      <w:r>
        <w:rPr>
          <w:rFonts w:hint="eastAsia" w:ascii="Times New Roman" w:hAnsi="Times New Roman" w:eastAsia="宋体" w:cs="Times New Roman"/>
          <w:b/>
          <w:bCs/>
          <w:caps w:val="0"/>
          <w:smallCaps w:val="0"/>
          <w:color w:val="auto"/>
          <w:spacing w:val="0"/>
          <w:kern w:val="0"/>
          <w:highlight w:val="none"/>
        </w:rPr>
        <w:t>-2</w:t>
      </w:r>
      <w:r>
        <w:rPr>
          <w:rFonts w:hint="eastAsia" w:ascii="Times New Roman" w:hAnsi="Times New Roman" w:eastAsia="宋体" w:cs="Times New Roman"/>
          <w:b/>
          <w:bCs/>
          <w:caps w:val="0"/>
          <w:smallCaps w:val="0"/>
          <w:color w:val="auto"/>
          <w:spacing w:val="0"/>
          <w:kern w:val="0"/>
          <w:highlight w:val="none"/>
          <w:lang w:val="en-US" w:eastAsia="zh-CN"/>
        </w:rPr>
        <w:t>2</w:t>
      </w:r>
      <w:r>
        <w:rPr>
          <w:rFonts w:hint="eastAsia" w:ascii="Times New Roman" w:hAnsi="Times New Roman" w:eastAsia="宋体" w:cs="Times New Roman"/>
          <w:b/>
          <w:bCs/>
          <w:caps w:val="0"/>
          <w:smallCaps w:val="0"/>
          <w:color w:val="auto"/>
          <w:spacing w:val="0"/>
          <w:kern w:val="0"/>
          <w:highlight w:val="none"/>
        </w:rPr>
        <w:t>应急预案内容</w:t>
      </w:r>
    </w:p>
    <w:tbl>
      <w:tblPr>
        <w:tblStyle w:val="3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3451"/>
        <w:gridCol w:w="5026"/>
      </w:tblGrid>
      <w:tr w14:paraId="7EB446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5584D20F">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序号</w:t>
            </w:r>
          </w:p>
        </w:tc>
        <w:tc>
          <w:tcPr>
            <w:tcW w:w="3451" w:type="dxa"/>
            <w:tcBorders>
              <w:tl2br w:val="nil"/>
              <w:tr2bl w:val="nil"/>
            </w:tcBorders>
            <w:vAlign w:val="center"/>
          </w:tcPr>
          <w:p w14:paraId="62E19A81">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w:t>
            </w:r>
          </w:p>
        </w:tc>
        <w:tc>
          <w:tcPr>
            <w:tcW w:w="5026" w:type="dxa"/>
            <w:tcBorders>
              <w:tl2br w:val="nil"/>
              <w:tr2bl w:val="nil"/>
            </w:tcBorders>
            <w:vAlign w:val="center"/>
          </w:tcPr>
          <w:p w14:paraId="4084247B">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内容及要求</w:t>
            </w:r>
          </w:p>
        </w:tc>
      </w:tr>
      <w:tr w14:paraId="550A59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6EB92374">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3451" w:type="dxa"/>
            <w:tcBorders>
              <w:tl2br w:val="nil"/>
              <w:tr2bl w:val="nil"/>
            </w:tcBorders>
            <w:vAlign w:val="center"/>
          </w:tcPr>
          <w:p w14:paraId="7774C525">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应急计划区域</w:t>
            </w:r>
          </w:p>
        </w:tc>
        <w:tc>
          <w:tcPr>
            <w:tcW w:w="5026" w:type="dxa"/>
            <w:tcBorders>
              <w:tl2br w:val="nil"/>
              <w:tr2bl w:val="nil"/>
            </w:tcBorders>
            <w:vAlign w:val="center"/>
          </w:tcPr>
          <w:p w14:paraId="75181356">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危险目标：原料库房、危险废物贮存库</w:t>
            </w:r>
          </w:p>
        </w:tc>
      </w:tr>
      <w:tr w14:paraId="1E519F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39B81045">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3451" w:type="dxa"/>
            <w:tcBorders>
              <w:tl2br w:val="nil"/>
              <w:tr2bl w:val="nil"/>
            </w:tcBorders>
            <w:vAlign w:val="center"/>
          </w:tcPr>
          <w:p w14:paraId="563C5B8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应急组织机构、人员</w:t>
            </w:r>
          </w:p>
        </w:tc>
        <w:tc>
          <w:tcPr>
            <w:tcW w:w="5026" w:type="dxa"/>
            <w:tcBorders>
              <w:tl2br w:val="nil"/>
              <w:tr2bl w:val="nil"/>
            </w:tcBorders>
            <w:vAlign w:val="center"/>
          </w:tcPr>
          <w:p w14:paraId="2C9C6FA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工厂、地区应急组织机构、人员</w:t>
            </w:r>
          </w:p>
        </w:tc>
      </w:tr>
      <w:tr w14:paraId="69C25E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1E8D10DD">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3</w:t>
            </w:r>
          </w:p>
        </w:tc>
        <w:tc>
          <w:tcPr>
            <w:tcW w:w="3451" w:type="dxa"/>
            <w:tcBorders>
              <w:tl2br w:val="nil"/>
              <w:tr2bl w:val="nil"/>
            </w:tcBorders>
            <w:vAlign w:val="center"/>
          </w:tcPr>
          <w:p w14:paraId="20A1847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预案分级响应条件</w:t>
            </w:r>
          </w:p>
        </w:tc>
        <w:tc>
          <w:tcPr>
            <w:tcW w:w="5026" w:type="dxa"/>
            <w:tcBorders>
              <w:tl2br w:val="nil"/>
              <w:tr2bl w:val="nil"/>
            </w:tcBorders>
            <w:vAlign w:val="center"/>
          </w:tcPr>
          <w:p w14:paraId="6E3CA41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规定预案的级别及分级响应程序</w:t>
            </w:r>
          </w:p>
        </w:tc>
      </w:tr>
      <w:tr w14:paraId="249BC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715BBB58">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4</w:t>
            </w:r>
          </w:p>
        </w:tc>
        <w:tc>
          <w:tcPr>
            <w:tcW w:w="3451" w:type="dxa"/>
            <w:tcBorders>
              <w:tl2br w:val="nil"/>
              <w:tr2bl w:val="nil"/>
            </w:tcBorders>
            <w:vAlign w:val="center"/>
          </w:tcPr>
          <w:p w14:paraId="5711D1D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应急救援保障</w:t>
            </w:r>
          </w:p>
        </w:tc>
        <w:tc>
          <w:tcPr>
            <w:tcW w:w="5026" w:type="dxa"/>
            <w:tcBorders>
              <w:tl2br w:val="nil"/>
              <w:tr2bl w:val="nil"/>
            </w:tcBorders>
            <w:vAlign w:val="center"/>
          </w:tcPr>
          <w:p w14:paraId="71A90C8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应急设施</w:t>
            </w:r>
            <w:r>
              <w:rPr>
                <w:rFonts w:hint="eastAsia" w:ascii="Times New Roman" w:hAnsi="Times New Roman" w:eastAsia="宋体" w:cs="Times New Roman"/>
                <w:caps w:val="0"/>
                <w:smallCaps w:val="0"/>
                <w:color w:val="auto"/>
                <w:spacing w:val="0"/>
                <w:sz w:val="21"/>
                <w:highlight w:val="none"/>
              </w:rPr>
              <w:t>，</w:t>
            </w:r>
            <w:r>
              <w:rPr>
                <w:rFonts w:ascii="Times New Roman" w:hAnsi="Times New Roman" w:eastAsia="宋体" w:cs="Times New Roman"/>
                <w:caps w:val="0"/>
                <w:smallCaps w:val="0"/>
                <w:color w:val="auto"/>
                <w:spacing w:val="0"/>
                <w:sz w:val="21"/>
                <w:highlight w:val="none"/>
              </w:rPr>
              <w:t>设备与器材等</w:t>
            </w:r>
          </w:p>
        </w:tc>
      </w:tr>
      <w:tr w14:paraId="630DB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72330B2F">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5</w:t>
            </w:r>
          </w:p>
        </w:tc>
        <w:tc>
          <w:tcPr>
            <w:tcW w:w="3451" w:type="dxa"/>
            <w:tcBorders>
              <w:tl2br w:val="nil"/>
              <w:tr2bl w:val="nil"/>
            </w:tcBorders>
            <w:vAlign w:val="center"/>
          </w:tcPr>
          <w:p w14:paraId="3A09D26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报警、通讯联络方式</w:t>
            </w:r>
          </w:p>
        </w:tc>
        <w:tc>
          <w:tcPr>
            <w:tcW w:w="5026" w:type="dxa"/>
            <w:tcBorders>
              <w:tl2br w:val="nil"/>
              <w:tr2bl w:val="nil"/>
            </w:tcBorders>
            <w:vAlign w:val="center"/>
          </w:tcPr>
          <w:p w14:paraId="2ABB3F7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规定应急状态下的报警通讯方式、通知方式和交通保障、</w:t>
            </w:r>
            <w:r>
              <w:rPr>
                <w:rFonts w:hint="eastAsia" w:ascii="Times New Roman" w:hAnsi="Times New Roman" w:eastAsia="宋体" w:cs="Times New Roman"/>
                <w:caps w:val="0"/>
                <w:smallCaps w:val="0"/>
                <w:color w:val="auto"/>
                <w:spacing w:val="0"/>
                <w:sz w:val="21"/>
                <w:highlight w:val="none"/>
              </w:rPr>
              <w:t>管制</w:t>
            </w:r>
          </w:p>
        </w:tc>
      </w:tr>
      <w:tr w14:paraId="424AE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339E6B97">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6</w:t>
            </w:r>
          </w:p>
        </w:tc>
        <w:tc>
          <w:tcPr>
            <w:tcW w:w="3451" w:type="dxa"/>
            <w:tcBorders>
              <w:tl2br w:val="nil"/>
              <w:tr2bl w:val="nil"/>
            </w:tcBorders>
            <w:vAlign w:val="center"/>
          </w:tcPr>
          <w:p w14:paraId="1FB17A6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应急环境监测、抢险、救援及控制措施</w:t>
            </w:r>
          </w:p>
        </w:tc>
        <w:tc>
          <w:tcPr>
            <w:tcW w:w="5026" w:type="dxa"/>
            <w:tcBorders>
              <w:tl2br w:val="nil"/>
              <w:tr2bl w:val="nil"/>
            </w:tcBorders>
            <w:vAlign w:val="center"/>
          </w:tcPr>
          <w:p w14:paraId="7DAC4C7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由专业队伍负责对事故现场进行侦察监测，对事故性质、参数与后果进行评估，为指挥部门提供决策依据</w:t>
            </w:r>
          </w:p>
        </w:tc>
      </w:tr>
      <w:tr w14:paraId="2D11E7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7BD84D2E">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7</w:t>
            </w:r>
          </w:p>
        </w:tc>
        <w:tc>
          <w:tcPr>
            <w:tcW w:w="3451" w:type="dxa"/>
            <w:tcBorders>
              <w:tl2br w:val="nil"/>
              <w:tr2bl w:val="nil"/>
            </w:tcBorders>
            <w:vAlign w:val="center"/>
          </w:tcPr>
          <w:p w14:paraId="6E76B2F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应急检测、保护措施、消除泄漏措施和器材</w:t>
            </w:r>
          </w:p>
        </w:tc>
        <w:tc>
          <w:tcPr>
            <w:tcW w:w="5026" w:type="dxa"/>
            <w:tcBorders>
              <w:tl2br w:val="nil"/>
              <w:tr2bl w:val="nil"/>
            </w:tcBorders>
            <w:vAlign w:val="center"/>
          </w:tcPr>
          <w:p w14:paraId="2C0A4D3B">
            <w:pPr>
              <w:widowControl w:val="0"/>
              <w:spacing w:line="240" w:lineRule="auto"/>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事故现场、邻近区域、控制防火区域，控制和清除污染措施及相应设备</w:t>
            </w:r>
          </w:p>
        </w:tc>
      </w:tr>
      <w:tr w14:paraId="517CD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735A1B74">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8</w:t>
            </w:r>
          </w:p>
        </w:tc>
        <w:tc>
          <w:tcPr>
            <w:tcW w:w="3451" w:type="dxa"/>
            <w:tcBorders>
              <w:tl2br w:val="nil"/>
              <w:tr2bl w:val="nil"/>
            </w:tcBorders>
            <w:vAlign w:val="center"/>
          </w:tcPr>
          <w:p w14:paraId="553C3AA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人员紧急撤离、疏散、应急剂量控制、撤离组织计划</w:t>
            </w:r>
          </w:p>
        </w:tc>
        <w:tc>
          <w:tcPr>
            <w:tcW w:w="5026" w:type="dxa"/>
            <w:tcBorders>
              <w:tl2br w:val="nil"/>
              <w:tr2bl w:val="nil"/>
            </w:tcBorders>
            <w:vAlign w:val="center"/>
          </w:tcPr>
          <w:p w14:paraId="14C1C98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事故现场、工厂邻近</w:t>
            </w:r>
            <w:r>
              <w:rPr>
                <w:rFonts w:hint="eastAsia" w:ascii="Times New Roman" w:hAnsi="Times New Roman" w:eastAsia="宋体" w:cs="Times New Roman"/>
                <w:caps w:val="0"/>
                <w:smallCaps w:val="0"/>
                <w:color w:val="auto"/>
                <w:spacing w:val="0"/>
                <w:sz w:val="21"/>
                <w:highlight w:val="none"/>
              </w:rPr>
              <w:t>区域</w:t>
            </w:r>
            <w:r>
              <w:rPr>
                <w:rFonts w:ascii="Times New Roman" w:hAnsi="Times New Roman" w:eastAsia="宋体" w:cs="Times New Roman"/>
                <w:caps w:val="0"/>
                <w:smallCaps w:val="0"/>
                <w:color w:val="auto"/>
                <w:spacing w:val="0"/>
                <w:sz w:val="21"/>
                <w:highlight w:val="none"/>
              </w:rPr>
              <w:t>、受事故影响的区域人员及公众对毒物应急剂量控制规定，撤离组织计划及救护，医疗救护与公众健康</w:t>
            </w:r>
          </w:p>
        </w:tc>
      </w:tr>
      <w:tr w14:paraId="10A751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0ACF69DA">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9</w:t>
            </w:r>
          </w:p>
        </w:tc>
        <w:tc>
          <w:tcPr>
            <w:tcW w:w="3451" w:type="dxa"/>
            <w:tcBorders>
              <w:tl2br w:val="nil"/>
              <w:tr2bl w:val="nil"/>
            </w:tcBorders>
            <w:vAlign w:val="center"/>
          </w:tcPr>
          <w:p w14:paraId="46A5DBA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事故应急救援关闭程序与恢复措施</w:t>
            </w:r>
          </w:p>
        </w:tc>
        <w:tc>
          <w:tcPr>
            <w:tcW w:w="5026" w:type="dxa"/>
            <w:tcBorders>
              <w:tl2br w:val="nil"/>
              <w:tr2bl w:val="nil"/>
            </w:tcBorders>
            <w:vAlign w:val="center"/>
          </w:tcPr>
          <w:p w14:paraId="1838932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规定应急状态终止程序</w:t>
            </w:r>
          </w:p>
          <w:p w14:paraId="23A5372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事故现场善后处理，恢复措施</w:t>
            </w:r>
          </w:p>
          <w:p w14:paraId="1A6CCB0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邻近区域解除事故警戒及善后恢复措施</w:t>
            </w:r>
          </w:p>
        </w:tc>
      </w:tr>
      <w:tr w14:paraId="3E96D0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510E2E46">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10</w:t>
            </w:r>
          </w:p>
        </w:tc>
        <w:tc>
          <w:tcPr>
            <w:tcW w:w="3451" w:type="dxa"/>
            <w:tcBorders>
              <w:tl2br w:val="nil"/>
              <w:tr2bl w:val="nil"/>
            </w:tcBorders>
            <w:vAlign w:val="center"/>
          </w:tcPr>
          <w:p w14:paraId="01FEC19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应急培训计划</w:t>
            </w:r>
          </w:p>
        </w:tc>
        <w:tc>
          <w:tcPr>
            <w:tcW w:w="5026" w:type="dxa"/>
            <w:tcBorders>
              <w:tl2br w:val="nil"/>
              <w:tr2bl w:val="nil"/>
            </w:tcBorders>
            <w:vAlign w:val="center"/>
          </w:tcPr>
          <w:p w14:paraId="6D71A3B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应急计划制定后，平时安排人员培训与演练</w:t>
            </w:r>
          </w:p>
        </w:tc>
      </w:tr>
      <w:tr w14:paraId="54D8B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l2br w:val="nil"/>
              <w:tr2bl w:val="nil"/>
            </w:tcBorders>
            <w:vAlign w:val="center"/>
          </w:tcPr>
          <w:p w14:paraId="17ED5ACC">
            <w:pPr>
              <w:widowControl w:val="0"/>
              <w:spacing w:line="36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11</w:t>
            </w:r>
          </w:p>
        </w:tc>
        <w:tc>
          <w:tcPr>
            <w:tcW w:w="3451" w:type="dxa"/>
            <w:tcBorders>
              <w:tl2br w:val="nil"/>
              <w:tr2bl w:val="nil"/>
            </w:tcBorders>
            <w:vAlign w:val="center"/>
          </w:tcPr>
          <w:p w14:paraId="4A0520A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公众教育和信息</w:t>
            </w:r>
          </w:p>
        </w:tc>
        <w:tc>
          <w:tcPr>
            <w:tcW w:w="5026" w:type="dxa"/>
            <w:tcBorders>
              <w:tl2br w:val="nil"/>
              <w:tr2bl w:val="nil"/>
            </w:tcBorders>
            <w:vAlign w:val="center"/>
          </w:tcPr>
          <w:p w14:paraId="463778B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对工厂邻近地区开展公众教育、培训和发布有关信息</w:t>
            </w:r>
          </w:p>
        </w:tc>
      </w:tr>
    </w:tbl>
    <w:p w14:paraId="11920E64">
      <w:pPr>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br w:type="page"/>
      </w:r>
    </w:p>
    <w:bookmarkEnd w:id="183"/>
    <w:bookmarkEnd w:id="184"/>
    <w:p w14:paraId="49005E80">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185" w:name="_Toc477951987"/>
      <w:bookmarkStart w:id="186" w:name="_Toc1059"/>
      <w:r>
        <w:rPr>
          <w:rFonts w:ascii="Times New Roman" w:hAnsi="Times New Roman" w:eastAsia="宋体" w:cs="Times New Roman"/>
          <w:caps w:val="0"/>
          <w:smallCaps w:val="0"/>
          <w:color w:val="auto"/>
          <w:spacing w:val="0"/>
          <w:highlight w:val="none"/>
        </w:rPr>
        <w:t>6环境保护措施及其可行性论证</w:t>
      </w:r>
      <w:bookmarkEnd w:id="185"/>
      <w:bookmarkEnd w:id="186"/>
    </w:p>
    <w:p w14:paraId="44813541">
      <w:pPr>
        <w:pStyle w:val="4"/>
        <w:widowControl w:val="0"/>
        <w:rPr>
          <w:rFonts w:eastAsia="宋体"/>
          <w:caps w:val="0"/>
          <w:smallCaps w:val="0"/>
          <w:color w:val="auto"/>
          <w:spacing w:val="0"/>
          <w:highlight w:val="none"/>
        </w:rPr>
      </w:pPr>
      <w:bookmarkStart w:id="187" w:name="_Toc285188899"/>
      <w:bookmarkStart w:id="188" w:name="_Toc477951988"/>
      <w:bookmarkStart w:id="189" w:name="_Toc26967858"/>
      <w:bookmarkStart w:id="190" w:name="_Toc342462489"/>
      <w:bookmarkStart w:id="191" w:name="_Toc10628"/>
      <w:bookmarkStart w:id="192" w:name="_Toc477951995"/>
      <w:r>
        <w:rPr>
          <w:rFonts w:eastAsia="宋体"/>
          <w:caps w:val="0"/>
          <w:smallCaps w:val="0"/>
          <w:color w:val="auto"/>
          <w:spacing w:val="0"/>
          <w:highlight w:val="none"/>
        </w:rPr>
        <w:t>6.1施工期污染防治措施</w:t>
      </w:r>
      <w:bookmarkEnd w:id="187"/>
      <w:bookmarkEnd w:id="188"/>
      <w:bookmarkEnd w:id="189"/>
      <w:bookmarkEnd w:id="190"/>
      <w:bookmarkEnd w:id="191"/>
    </w:p>
    <w:p w14:paraId="02E08BEC">
      <w:pPr>
        <w:pStyle w:val="5"/>
        <w:widowControl w:val="0"/>
        <w:rPr>
          <w:rFonts w:eastAsia="宋体"/>
          <w:caps w:val="0"/>
          <w:smallCaps w:val="0"/>
          <w:color w:val="auto"/>
          <w:spacing w:val="0"/>
          <w:sz w:val="30"/>
          <w:szCs w:val="30"/>
          <w:highlight w:val="none"/>
        </w:rPr>
      </w:pPr>
      <w:bookmarkStart w:id="193" w:name="_Toc491703523"/>
      <w:bookmarkStart w:id="194" w:name="_Toc486865440"/>
      <w:bookmarkStart w:id="195" w:name="_Toc504746058"/>
      <w:bookmarkStart w:id="196" w:name="_Toc505951427"/>
      <w:bookmarkStart w:id="197" w:name="_Toc26967861"/>
      <w:bookmarkStart w:id="198" w:name="_Toc1713"/>
      <w:bookmarkStart w:id="199" w:name="_Toc491703522"/>
      <w:bookmarkStart w:id="200" w:name="_Toc486865439"/>
      <w:bookmarkStart w:id="201" w:name="_Toc504746057"/>
      <w:bookmarkStart w:id="202" w:name="_Toc505951426"/>
      <w:bookmarkStart w:id="203" w:name="_Toc26967860"/>
      <w:r>
        <w:rPr>
          <w:rFonts w:eastAsia="宋体"/>
          <w:caps w:val="0"/>
          <w:smallCaps w:val="0"/>
          <w:color w:val="auto"/>
          <w:spacing w:val="0"/>
          <w:sz w:val="30"/>
          <w:szCs w:val="30"/>
          <w:highlight w:val="none"/>
        </w:rPr>
        <w:t>6.1.1废水</w:t>
      </w:r>
      <w:bookmarkEnd w:id="193"/>
      <w:bookmarkEnd w:id="194"/>
      <w:r>
        <w:rPr>
          <w:rFonts w:eastAsia="宋体"/>
          <w:caps w:val="0"/>
          <w:smallCaps w:val="0"/>
          <w:color w:val="auto"/>
          <w:spacing w:val="0"/>
          <w:sz w:val="30"/>
          <w:szCs w:val="30"/>
          <w:highlight w:val="none"/>
        </w:rPr>
        <w:t>污染防治措施</w:t>
      </w:r>
      <w:bookmarkEnd w:id="195"/>
      <w:bookmarkEnd w:id="196"/>
      <w:bookmarkEnd w:id="197"/>
      <w:bookmarkEnd w:id="198"/>
    </w:p>
    <w:p w14:paraId="44E80343">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该项目施工期废水主要为施工人员生活污水。施工期生活污水</w:t>
      </w:r>
      <w:r>
        <w:rPr>
          <w:rFonts w:ascii="Times New Roman" w:hAnsi="Times New Roman" w:eastAsia="宋体" w:cs="Times New Roman"/>
          <w:caps w:val="0"/>
          <w:smallCaps w:val="0"/>
          <w:color w:val="auto"/>
          <w:spacing w:val="0"/>
          <w:szCs w:val="28"/>
          <w:highlight w:val="none"/>
        </w:rPr>
        <w:t>排入化粪池集中处理，处理后全部排入高新区污水处理厂</w:t>
      </w:r>
      <w:r>
        <w:rPr>
          <w:rFonts w:ascii="Times New Roman" w:hAnsi="Times New Roman" w:eastAsia="宋体" w:cs="Times New Roman"/>
          <w:caps w:val="0"/>
          <w:smallCaps w:val="0"/>
          <w:color w:val="auto"/>
          <w:spacing w:val="0"/>
          <w:szCs w:val="28"/>
          <w:highlight w:val="none"/>
          <w:lang w:val="zh-CN"/>
        </w:rPr>
        <w:t>。</w:t>
      </w:r>
    </w:p>
    <w:p w14:paraId="5EF15942">
      <w:pPr>
        <w:pStyle w:val="5"/>
        <w:widowControl w:val="0"/>
        <w:rPr>
          <w:rFonts w:eastAsia="宋体"/>
          <w:caps w:val="0"/>
          <w:smallCaps w:val="0"/>
          <w:color w:val="auto"/>
          <w:spacing w:val="0"/>
          <w:sz w:val="30"/>
          <w:szCs w:val="30"/>
          <w:highlight w:val="none"/>
        </w:rPr>
      </w:pPr>
      <w:bookmarkStart w:id="204" w:name="_Toc22893"/>
      <w:r>
        <w:rPr>
          <w:rFonts w:eastAsia="宋体"/>
          <w:caps w:val="0"/>
          <w:smallCaps w:val="0"/>
          <w:color w:val="auto"/>
          <w:spacing w:val="0"/>
          <w:sz w:val="30"/>
          <w:szCs w:val="30"/>
          <w:highlight w:val="none"/>
        </w:rPr>
        <w:t>6.1.2噪声</w:t>
      </w:r>
      <w:bookmarkEnd w:id="199"/>
      <w:bookmarkEnd w:id="200"/>
      <w:r>
        <w:rPr>
          <w:rFonts w:eastAsia="宋体"/>
          <w:caps w:val="0"/>
          <w:smallCaps w:val="0"/>
          <w:color w:val="auto"/>
          <w:spacing w:val="0"/>
          <w:sz w:val="30"/>
          <w:szCs w:val="30"/>
          <w:highlight w:val="none"/>
        </w:rPr>
        <w:t>污染防治措施</w:t>
      </w:r>
      <w:bookmarkEnd w:id="201"/>
      <w:bookmarkEnd w:id="202"/>
      <w:bookmarkEnd w:id="203"/>
      <w:bookmarkEnd w:id="204"/>
    </w:p>
    <w:p w14:paraId="5FC481EE">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（1）在施工设备选型上，选用正规厂家、噪声较低的环保型设备。保证现场设备安装质量，确保施工设备正常运行。</w:t>
      </w:r>
    </w:p>
    <w:p w14:paraId="08084BDF">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w:t>
      </w:r>
      <w:r>
        <w:rPr>
          <w:rFonts w:ascii="Times New Roman" w:hAnsi="Times New Roman" w:eastAsia="宋体" w:cs="Times New Roman"/>
          <w:caps w:val="0"/>
          <w:smallCaps w:val="0"/>
          <w:color w:val="auto"/>
          <w:spacing w:val="0"/>
          <w:szCs w:val="28"/>
          <w:highlight w:val="none"/>
        </w:rPr>
        <w:t>2</w:t>
      </w:r>
      <w:r>
        <w:rPr>
          <w:rFonts w:ascii="Times New Roman" w:hAnsi="Times New Roman" w:eastAsia="宋体" w:cs="Times New Roman"/>
          <w:caps w:val="0"/>
          <w:smallCaps w:val="0"/>
          <w:color w:val="auto"/>
          <w:spacing w:val="0"/>
          <w:szCs w:val="28"/>
          <w:highlight w:val="none"/>
          <w:lang w:val="zh-CN"/>
        </w:rPr>
        <w:t>）在保证施工进度的前提下，合理安排作业时间，严禁在22:00～6:00时间段内施工。</w:t>
      </w:r>
    </w:p>
    <w:p w14:paraId="766CCC4D">
      <w:pPr>
        <w:pStyle w:val="5"/>
        <w:widowControl w:val="0"/>
        <w:rPr>
          <w:rFonts w:eastAsia="宋体"/>
          <w:b w:val="0"/>
          <w:caps w:val="0"/>
          <w:smallCaps w:val="0"/>
          <w:color w:val="auto"/>
          <w:spacing w:val="0"/>
          <w:sz w:val="28"/>
          <w:highlight w:val="none"/>
        </w:rPr>
      </w:pPr>
      <w:bookmarkStart w:id="205" w:name="_Toc491703524"/>
      <w:bookmarkStart w:id="206" w:name="_Toc486865441"/>
      <w:bookmarkStart w:id="207" w:name="_Toc504746059"/>
      <w:bookmarkStart w:id="208" w:name="_Toc505951428"/>
      <w:bookmarkStart w:id="209" w:name="_Toc26967862"/>
      <w:bookmarkStart w:id="210" w:name="_Toc27614"/>
      <w:r>
        <w:rPr>
          <w:rFonts w:eastAsia="宋体"/>
          <w:caps w:val="0"/>
          <w:smallCaps w:val="0"/>
          <w:color w:val="auto"/>
          <w:spacing w:val="0"/>
          <w:sz w:val="30"/>
          <w:szCs w:val="30"/>
          <w:highlight w:val="none"/>
        </w:rPr>
        <w:t>6.1.3固体废物</w:t>
      </w:r>
      <w:bookmarkEnd w:id="205"/>
      <w:bookmarkEnd w:id="206"/>
      <w:r>
        <w:rPr>
          <w:rFonts w:eastAsia="宋体"/>
          <w:caps w:val="0"/>
          <w:smallCaps w:val="0"/>
          <w:color w:val="auto"/>
          <w:spacing w:val="0"/>
          <w:sz w:val="30"/>
          <w:szCs w:val="30"/>
          <w:highlight w:val="none"/>
        </w:rPr>
        <w:t>污染防治措施</w:t>
      </w:r>
      <w:bookmarkEnd w:id="207"/>
      <w:bookmarkEnd w:id="208"/>
      <w:bookmarkEnd w:id="209"/>
      <w:bookmarkEnd w:id="210"/>
    </w:p>
    <w:p w14:paraId="79CC072A">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施工期固体废物主要为施工人员产生的少量生活垃圾，施工人员产生的生活垃圾量较少，设置固定垃圾箱存放，由市政部门统一清运处理，不得随意丢弃。</w:t>
      </w:r>
    </w:p>
    <w:p w14:paraId="58FFA6BB">
      <w:pPr>
        <w:pStyle w:val="4"/>
        <w:widowControl w:val="0"/>
        <w:rPr>
          <w:rFonts w:eastAsia="宋体"/>
          <w:caps w:val="0"/>
          <w:smallCaps w:val="0"/>
          <w:color w:val="auto"/>
          <w:spacing w:val="0"/>
          <w:kern w:val="0"/>
          <w:sz w:val="24"/>
          <w:szCs w:val="24"/>
          <w:highlight w:val="none"/>
          <w:lang w:bidi="ar"/>
        </w:rPr>
      </w:pPr>
      <w:bookmarkStart w:id="211" w:name="_Toc30797"/>
      <w:r>
        <w:rPr>
          <w:rFonts w:eastAsia="宋体"/>
          <w:caps w:val="0"/>
          <w:smallCaps w:val="0"/>
          <w:color w:val="auto"/>
          <w:spacing w:val="0"/>
          <w:sz w:val="30"/>
          <w:szCs w:val="30"/>
          <w:highlight w:val="none"/>
        </w:rPr>
        <w:t>6.2</w:t>
      </w:r>
      <w:r>
        <w:rPr>
          <w:rFonts w:eastAsia="宋体"/>
          <w:caps w:val="0"/>
          <w:smallCaps w:val="0"/>
          <w:color w:val="auto"/>
          <w:spacing w:val="0"/>
          <w:highlight w:val="none"/>
        </w:rPr>
        <w:t>运营</w:t>
      </w:r>
      <w:r>
        <w:rPr>
          <w:rFonts w:hint="eastAsia" w:eastAsia="宋体"/>
          <w:caps w:val="0"/>
          <w:smallCaps w:val="0"/>
          <w:color w:val="auto"/>
          <w:spacing w:val="0"/>
          <w:highlight w:val="none"/>
        </w:rPr>
        <w:t>期</w:t>
      </w:r>
      <w:r>
        <w:rPr>
          <w:rFonts w:eastAsia="宋体"/>
          <w:caps w:val="0"/>
          <w:smallCaps w:val="0"/>
          <w:color w:val="auto"/>
          <w:spacing w:val="0"/>
          <w:highlight w:val="none"/>
        </w:rPr>
        <w:t>污染防治措施</w:t>
      </w:r>
      <w:bookmarkEnd w:id="192"/>
      <w:bookmarkEnd w:id="211"/>
    </w:p>
    <w:p w14:paraId="2A12D081">
      <w:pPr>
        <w:widowControl w:val="0"/>
        <w:spacing w:line="360" w:lineRule="auto"/>
        <w:jc w:val="both"/>
        <w:outlineLvl w:val="2"/>
        <w:rPr>
          <w:rFonts w:ascii="Times New Roman" w:hAnsi="Times New Roman" w:eastAsia="宋体" w:cs="Times New Roman"/>
          <w:b/>
          <w:bCs/>
          <w:caps w:val="0"/>
          <w:smallCaps w:val="0"/>
          <w:color w:val="auto"/>
          <w:spacing w:val="0"/>
          <w:sz w:val="30"/>
          <w:szCs w:val="30"/>
          <w:highlight w:val="none"/>
        </w:rPr>
      </w:pPr>
      <w:bookmarkStart w:id="212" w:name="_Toc7343"/>
      <w:r>
        <w:rPr>
          <w:rFonts w:ascii="Times New Roman" w:hAnsi="Times New Roman" w:eastAsia="宋体" w:cs="Times New Roman"/>
          <w:b/>
          <w:bCs/>
          <w:caps w:val="0"/>
          <w:smallCaps w:val="0"/>
          <w:color w:val="auto"/>
          <w:spacing w:val="0"/>
          <w:sz w:val="30"/>
          <w:szCs w:val="30"/>
          <w:highlight w:val="none"/>
        </w:rPr>
        <w:t>6.2.1废水污染防治措施</w:t>
      </w:r>
      <w:bookmarkEnd w:id="212"/>
    </w:p>
    <w:p w14:paraId="00EBF459">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szCs w:val="24"/>
          <w:highlight w:val="none"/>
        </w:rPr>
        <w:t>本项目不新增员工，无新增生活废水，主要产生生产废水、碱性喷淋塔排水以及新增纯化水制备废水。</w:t>
      </w:r>
      <w:r>
        <w:rPr>
          <w:rFonts w:ascii="Times New Roman" w:hAnsi="Times New Roman" w:eastAsia="宋体" w:cs="Times New Roman"/>
          <w:caps w:val="0"/>
          <w:smallCaps w:val="0"/>
          <w:color w:val="auto"/>
          <w:spacing w:val="0"/>
          <w:kern w:val="0"/>
          <w:szCs w:val="24"/>
          <w:highlight w:val="none"/>
          <w:lang w:bidi="ar"/>
        </w:rPr>
        <w:t>项目生产废水主要包括</w:t>
      </w:r>
      <w:r>
        <w:rPr>
          <w:rFonts w:ascii="Times New Roman" w:hAnsi="Times New Roman" w:eastAsia="宋体" w:cs="Times New Roman"/>
          <w:caps w:val="0"/>
          <w:smallCaps w:val="0"/>
          <w:color w:val="auto"/>
          <w:spacing w:val="0"/>
          <w:szCs w:val="24"/>
          <w:highlight w:val="none"/>
        </w:rPr>
        <w:t>高浓度含镉废水、低浓度含镉废水、显影废水及碱性废水</w:t>
      </w:r>
      <w:r>
        <w:rPr>
          <w:rFonts w:ascii="Times New Roman" w:hAnsi="Times New Roman" w:eastAsia="宋体" w:cs="Times New Roman"/>
          <w:caps w:val="0"/>
          <w:smallCaps w:val="0"/>
          <w:color w:val="auto"/>
          <w:spacing w:val="0"/>
          <w:kern w:val="0"/>
          <w:szCs w:val="24"/>
          <w:highlight w:val="none"/>
          <w:lang w:bidi="ar"/>
        </w:rPr>
        <w:t>。因此本项目新建污水处理站1座，内设碱性废水处理系统、显影废水处理系统、低浓度及高浓度含镉废水处理系统，废水处理采用“调节+</w:t>
      </w:r>
      <w:r>
        <w:rPr>
          <w:rFonts w:hint="eastAsia" w:ascii="Times New Roman" w:hAnsi="Times New Roman" w:eastAsia="宋体" w:cs="Times New Roman"/>
          <w:caps w:val="0"/>
          <w:smallCaps w:val="0"/>
          <w:color w:val="auto"/>
          <w:spacing w:val="0"/>
          <w:szCs w:val="24"/>
          <w:highlight w:val="none"/>
          <w:lang w:val="en-US" w:eastAsia="zh-CN"/>
        </w:rPr>
        <w:t>化学混凝</w:t>
      </w:r>
      <w:r>
        <w:rPr>
          <w:rFonts w:ascii="Times New Roman" w:hAnsi="Times New Roman" w:eastAsia="宋体" w:cs="Times New Roman"/>
          <w:caps w:val="0"/>
          <w:smallCaps w:val="0"/>
          <w:color w:val="auto"/>
          <w:spacing w:val="0"/>
          <w:szCs w:val="24"/>
          <w:highlight w:val="none"/>
        </w:rPr>
        <w:t>沉淀</w:t>
      </w:r>
      <w:r>
        <w:rPr>
          <w:rFonts w:ascii="Times New Roman" w:hAnsi="Times New Roman" w:eastAsia="宋体" w:cs="Times New Roman"/>
          <w:caps w:val="0"/>
          <w:smallCaps w:val="0"/>
          <w:color w:val="auto"/>
          <w:spacing w:val="0"/>
          <w:kern w:val="0"/>
          <w:szCs w:val="24"/>
          <w:highlight w:val="none"/>
          <w:lang w:bidi="ar"/>
        </w:rPr>
        <w:t>+TMF膜+催化</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光催化+电催化</w:t>
      </w:r>
      <w:r>
        <w:rPr>
          <w:rFonts w:hint="eastAsia" w:ascii="Times New Roman" w:hAnsi="Times New Roman" w:eastAsia="宋体" w:cs="Times New Roman"/>
          <w:caps w:val="0"/>
          <w:smallCaps w:val="0"/>
          <w:color w:val="auto"/>
          <w:spacing w:val="0"/>
          <w:kern w:val="0"/>
          <w:szCs w:val="24"/>
          <w:highlight w:val="none"/>
          <w:lang w:eastAsia="zh-CN" w:bidi="ar"/>
        </w:rPr>
        <w:t>）</w:t>
      </w:r>
      <w:r>
        <w:rPr>
          <w:rFonts w:ascii="Times New Roman" w:hAnsi="Times New Roman" w:eastAsia="宋体" w:cs="Times New Roman"/>
          <w:caps w:val="0"/>
          <w:smallCaps w:val="0"/>
          <w:color w:val="auto"/>
          <w:spacing w:val="0"/>
          <w:kern w:val="0"/>
          <w:szCs w:val="24"/>
          <w:highlight w:val="none"/>
          <w:lang w:bidi="ar"/>
        </w:rPr>
        <w:t>+气浮+</w:t>
      </w:r>
      <w:r>
        <w:rPr>
          <w:rFonts w:hint="eastAsia" w:ascii="Times New Roman" w:hAnsi="Times New Roman" w:eastAsia="宋体" w:cs="Times New Roman"/>
          <w:caps w:val="0"/>
          <w:smallCaps w:val="0"/>
          <w:color w:val="auto"/>
          <w:spacing w:val="0"/>
          <w:szCs w:val="24"/>
          <w:highlight w:val="none"/>
          <w:lang w:val="en-US" w:eastAsia="zh-CN"/>
        </w:rPr>
        <w:t>好氧处理+厌氧处理</w:t>
      </w:r>
      <w:r>
        <w:rPr>
          <w:rFonts w:ascii="Times New Roman" w:hAnsi="Times New Roman" w:eastAsia="宋体" w:cs="Times New Roman"/>
          <w:caps w:val="0"/>
          <w:smallCaps w:val="0"/>
          <w:color w:val="auto"/>
          <w:spacing w:val="0"/>
          <w:kern w:val="0"/>
          <w:szCs w:val="24"/>
          <w:highlight w:val="none"/>
          <w:lang w:bidi="ar"/>
        </w:rPr>
        <w:t>+MBR+RO反渗透+三效蒸发”工艺，基板清洗废水为碱性废水，经碱性废水处理系统收集，pH中和后与纯水制备废水一同经市政污水管网进入佳木斯高新区污水处理厂；显影及显影清洗废水进入显影废水处理系统；涂覆前清洗废水、ZnTe膜层溅射后清洗废水及背电极镀膜前清洗废水均为低浓度含镉废水，进入低浓度废水收集池；活化层喷涂废液及活化层清洗、蚀刻废水为高浓度含镉废水，高浓度含镉废水进入高</w:t>
      </w:r>
      <w:r>
        <w:rPr>
          <w:rFonts w:hint="eastAsia" w:ascii="Times New Roman" w:hAnsi="Times New Roman" w:eastAsia="宋体" w:cs="Times New Roman"/>
          <w:caps w:val="0"/>
          <w:smallCaps w:val="0"/>
          <w:color w:val="auto"/>
          <w:spacing w:val="0"/>
          <w:kern w:val="0"/>
          <w:szCs w:val="24"/>
          <w:highlight w:val="none"/>
          <w:lang w:bidi="ar"/>
        </w:rPr>
        <w:t>浓度</w:t>
      </w:r>
      <w:r>
        <w:rPr>
          <w:rFonts w:ascii="Times New Roman" w:hAnsi="Times New Roman" w:eastAsia="宋体" w:cs="Times New Roman"/>
          <w:caps w:val="0"/>
          <w:smallCaps w:val="0"/>
          <w:color w:val="auto"/>
          <w:spacing w:val="0"/>
          <w:kern w:val="0"/>
          <w:szCs w:val="24"/>
          <w:highlight w:val="none"/>
          <w:lang w:bidi="ar"/>
        </w:rPr>
        <w:t>废水收集池。显影废水、低浓度含镉废水以及高浓度含镉废水经废水处理设施处理后产生的纯水全部回用于生产工序，实现含镉废水零排放。</w:t>
      </w:r>
    </w:p>
    <w:p w14:paraId="7E505C0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bidi="ar"/>
        </w:rPr>
        <w:t>表6.2-1废水情况一览表</w:t>
      </w:r>
    </w:p>
    <w:tbl>
      <w:tblPr>
        <w:tblStyle w:val="3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82"/>
        <w:gridCol w:w="1583"/>
        <w:gridCol w:w="1816"/>
        <w:gridCol w:w="3220"/>
        <w:gridCol w:w="2176"/>
      </w:tblGrid>
      <w:tr w14:paraId="39D7B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tcBorders>
              <w:tl2br w:val="nil"/>
              <w:tr2bl w:val="nil"/>
            </w:tcBorders>
            <w:tcMar>
              <w:left w:w="57" w:type="dxa"/>
              <w:right w:w="57" w:type="dxa"/>
            </w:tcMar>
            <w:vAlign w:val="center"/>
          </w:tcPr>
          <w:p w14:paraId="199ABAB2">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类别</w:t>
            </w:r>
          </w:p>
        </w:tc>
        <w:tc>
          <w:tcPr>
            <w:tcW w:w="1583" w:type="dxa"/>
            <w:tcBorders>
              <w:tl2br w:val="nil"/>
              <w:tr2bl w:val="nil"/>
            </w:tcBorders>
            <w:tcMar>
              <w:left w:w="57" w:type="dxa"/>
              <w:right w:w="57" w:type="dxa"/>
            </w:tcMar>
            <w:vAlign w:val="center"/>
          </w:tcPr>
          <w:p w14:paraId="699332F1">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b/>
                <w:bCs/>
                <w:caps w:val="0"/>
                <w:smallCaps w:val="0"/>
                <w:color w:val="auto"/>
                <w:spacing w:val="0"/>
                <w:sz w:val="21"/>
                <w:szCs w:val="21"/>
                <w:highlight w:val="none"/>
                <w:lang w:eastAsia="en-US"/>
              </w:rPr>
              <w:t>产污环节</w:t>
            </w:r>
          </w:p>
        </w:tc>
        <w:tc>
          <w:tcPr>
            <w:tcW w:w="1816" w:type="dxa"/>
            <w:tcBorders>
              <w:tl2br w:val="nil"/>
              <w:tr2bl w:val="nil"/>
            </w:tcBorders>
            <w:tcMar>
              <w:left w:w="57" w:type="dxa"/>
              <w:right w:w="57" w:type="dxa"/>
            </w:tcMar>
            <w:vAlign w:val="center"/>
          </w:tcPr>
          <w:p w14:paraId="757E5F35">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主要污染物</w:t>
            </w:r>
          </w:p>
        </w:tc>
        <w:tc>
          <w:tcPr>
            <w:tcW w:w="3220" w:type="dxa"/>
            <w:tcBorders>
              <w:tl2br w:val="nil"/>
              <w:tr2bl w:val="nil"/>
            </w:tcBorders>
            <w:tcMar>
              <w:left w:w="57" w:type="dxa"/>
              <w:right w:w="57" w:type="dxa"/>
            </w:tcMar>
            <w:vAlign w:val="center"/>
          </w:tcPr>
          <w:p w14:paraId="2DCA1CEB">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b/>
                <w:bCs/>
                <w:caps w:val="0"/>
                <w:smallCaps w:val="0"/>
                <w:color w:val="auto"/>
                <w:spacing w:val="0"/>
                <w:sz w:val="21"/>
                <w:szCs w:val="21"/>
                <w:highlight w:val="none"/>
                <w:lang w:eastAsia="en-US"/>
              </w:rPr>
              <w:t>处理措施</w:t>
            </w:r>
          </w:p>
        </w:tc>
        <w:tc>
          <w:tcPr>
            <w:tcW w:w="2176" w:type="dxa"/>
            <w:tcBorders>
              <w:tl2br w:val="nil"/>
              <w:tr2bl w:val="nil"/>
            </w:tcBorders>
            <w:tcMar>
              <w:left w:w="57" w:type="dxa"/>
              <w:right w:w="57" w:type="dxa"/>
            </w:tcMar>
            <w:vAlign w:val="center"/>
          </w:tcPr>
          <w:p w14:paraId="00EDE714">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cs="Times New Roman"/>
                <w:b/>
                <w:bCs/>
                <w:caps w:val="0"/>
                <w:smallCaps w:val="0"/>
                <w:color w:val="auto"/>
                <w:spacing w:val="0"/>
                <w:sz w:val="21"/>
                <w:szCs w:val="21"/>
                <w:highlight w:val="none"/>
              </w:rPr>
              <w:t>水量</w:t>
            </w:r>
          </w:p>
        </w:tc>
      </w:tr>
      <w:tr w14:paraId="2FCF96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restart"/>
            <w:tcBorders>
              <w:tl2br w:val="nil"/>
              <w:tr2bl w:val="nil"/>
            </w:tcBorders>
            <w:tcMar>
              <w:left w:w="57" w:type="dxa"/>
              <w:right w:w="57" w:type="dxa"/>
            </w:tcMar>
            <w:vAlign w:val="center"/>
          </w:tcPr>
          <w:p w14:paraId="2190759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废水</w:t>
            </w:r>
          </w:p>
        </w:tc>
        <w:tc>
          <w:tcPr>
            <w:tcW w:w="1583" w:type="dxa"/>
            <w:tcBorders>
              <w:tl2br w:val="nil"/>
              <w:tr2bl w:val="nil"/>
            </w:tcBorders>
            <w:tcMar>
              <w:left w:w="57" w:type="dxa"/>
              <w:right w:w="57" w:type="dxa"/>
            </w:tcMar>
            <w:vAlign w:val="center"/>
          </w:tcPr>
          <w:p w14:paraId="26E7CA0F">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基片清洗废水</w:t>
            </w:r>
            <w:r>
              <w:rPr>
                <w:rFonts w:ascii="Times New Roman" w:hAnsi="Times New Roman" w:cs="Times New Roman"/>
                <w:caps w:val="0"/>
                <w:smallCaps w:val="0"/>
                <w:color w:val="auto"/>
                <w:spacing w:val="0"/>
                <w:sz w:val="21"/>
                <w:szCs w:val="21"/>
                <w:highlight w:val="none"/>
              </w:rPr>
              <w:t>W1</w:t>
            </w:r>
          </w:p>
        </w:tc>
        <w:tc>
          <w:tcPr>
            <w:tcW w:w="1816" w:type="dxa"/>
            <w:tcBorders>
              <w:tl2br w:val="nil"/>
              <w:tr2bl w:val="nil"/>
            </w:tcBorders>
            <w:tcMar>
              <w:left w:w="57" w:type="dxa"/>
              <w:right w:w="57" w:type="dxa"/>
            </w:tcMar>
            <w:vAlign w:val="center"/>
          </w:tcPr>
          <w:p w14:paraId="05EE4326">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pH、</w:t>
            </w:r>
            <w:r>
              <w:rPr>
                <w:rFonts w:ascii="Times New Roman" w:hAnsi="Times New Roman" w:cs="Times New Roman"/>
                <w:caps w:val="0"/>
                <w:smallCaps w:val="0"/>
                <w:color w:val="auto"/>
                <w:spacing w:val="0"/>
                <w:sz w:val="21"/>
                <w:highlight w:val="none"/>
                <w:lang w:eastAsia="en-US"/>
              </w:rPr>
              <w:t>SS</w:t>
            </w:r>
          </w:p>
        </w:tc>
        <w:tc>
          <w:tcPr>
            <w:tcW w:w="3220" w:type="dxa"/>
            <w:tcBorders>
              <w:tl2br w:val="nil"/>
              <w:tr2bl w:val="nil"/>
            </w:tcBorders>
            <w:tcMar>
              <w:left w:w="57" w:type="dxa"/>
              <w:right w:w="57" w:type="dxa"/>
            </w:tcMar>
            <w:vAlign w:val="center"/>
          </w:tcPr>
          <w:p w14:paraId="445B440D">
            <w:pPr>
              <w:widowControl w:val="0"/>
              <w:spacing w:line="320" w:lineRule="exact"/>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不含镉的废水经中和后直接排入园区排水管网</w:t>
            </w:r>
          </w:p>
        </w:tc>
        <w:tc>
          <w:tcPr>
            <w:tcW w:w="2176" w:type="dxa"/>
            <w:tcBorders>
              <w:tl2br w:val="nil"/>
              <w:tr2bl w:val="nil"/>
            </w:tcBorders>
            <w:tcMar>
              <w:left w:w="57" w:type="dxa"/>
              <w:right w:w="57" w:type="dxa"/>
            </w:tcMar>
            <w:vAlign w:val="center"/>
          </w:tcPr>
          <w:p w14:paraId="77E05B3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18.379</w:t>
            </w:r>
          </w:p>
        </w:tc>
      </w:tr>
      <w:tr w14:paraId="017F3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28BA2DD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22C1778D">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涂覆前清洗废水</w:t>
            </w:r>
            <w:r>
              <w:rPr>
                <w:rFonts w:ascii="Times New Roman" w:hAnsi="Times New Roman" w:cs="Times New Roman"/>
                <w:caps w:val="0"/>
                <w:smallCaps w:val="0"/>
                <w:color w:val="auto"/>
                <w:spacing w:val="0"/>
                <w:sz w:val="21"/>
                <w:szCs w:val="21"/>
                <w:highlight w:val="none"/>
              </w:rPr>
              <w:t>W2</w:t>
            </w:r>
          </w:p>
        </w:tc>
        <w:tc>
          <w:tcPr>
            <w:tcW w:w="1816" w:type="dxa"/>
            <w:tcBorders>
              <w:tl2br w:val="nil"/>
              <w:tr2bl w:val="nil"/>
            </w:tcBorders>
            <w:tcMar>
              <w:left w:w="57" w:type="dxa"/>
              <w:right w:w="57" w:type="dxa"/>
            </w:tcMar>
            <w:vAlign w:val="center"/>
          </w:tcPr>
          <w:p w14:paraId="35DB4099">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220" w:type="dxa"/>
            <w:tcBorders>
              <w:tl2br w:val="nil"/>
              <w:tr2bl w:val="nil"/>
            </w:tcBorders>
            <w:tcMar>
              <w:left w:w="57" w:type="dxa"/>
              <w:right w:w="57" w:type="dxa"/>
            </w:tcMar>
            <w:vAlign w:val="center"/>
          </w:tcPr>
          <w:p w14:paraId="1E14822A">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属于低浓度废水，进入低浓度废水收集池+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5801FDF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47.52</w:t>
            </w:r>
          </w:p>
        </w:tc>
      </w:tr>
      <w:tr w14:paraId="1D9700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4DB7F510">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142C9F59">
            <w:pPr>
              <w:pStyle w:val="10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 w:val="21"/>
                <w:szCs w:val="21"/>
                <w:highlight w:val="none"/>
                <w:lang w:eastAsia="en-US"/>
              </w:rPr>
              <w:t>活化层喷涂废液</w:t>
            </w:r>
            <w:r>
              <w:rPr>
                <w:rFonts w:ascii="Times New Roman" w:hAnsi="Times New Roman" w:cs="Times New Roman"/>
                <w:caps w:val="0"/>
                <w:smallCaps w:val="0"/>
                <w:color w:val="auto"/>
                <w:spacing w:val="0"/>
                <w:sz w:val="21"/>
                <w:szCs w:val="21"/>
                <w:highlight w:val="none"/>
              </w:rPr>
              <w:t>W3</w:t>
            </w:r>
          </w:p>
        </w:tc>
        <w:tc>
          <w:tcPr>
            <w:tcW w:w="1816" w:type="dxa"/>
            <w:tcBorders>
              <w:tl2br w:val="nil"/>
              <w:tr2bl w:val="nil"/>
            </w:tcBorders>
            <w:tcMar>
              <w:left w:w="57" w:type="dxa"/>
              <w:right w:w="57" w:type="dxa"/>
            </w:tcMar>
            <w:vAlign w:val="center"/>
          </w:tcPr>
          <w:p w14:paraId="65317BE3">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220" w:type="dxa"/>
            <w:tcBorders>
              <w:tl2br w:val="nil"/>
              <w:tr2bl w:val="nil"/>
            </w:tcBorders>
            <w:tcMar>
              <w:left w:w="57" w:type="dxa"/>
              <w:right w:w="57" w:type="dxa"/>
            </w:tcMar>
            <w:vAlign w:val="center"/>
          </w:tcPr>
          <w:p w14:paraId="6D496EE6">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属于高浓度废水，进入高</w:t>
            </w:r>
            <w:r>
              <w:rPr>
                <w:rFonts w:hint="eastAsia" w:ascii="Times New Roman" w:hAnsi="Times New Roman" w:eastAsia="宋体" w:cs="Times New Roman"/>
                <w:caps w:val="0"/>
                <w:smallCaps w:val="0"/>
                <w:color w:val="auto"/>
                <w:spacing w:val="0"/>
                <w:sz w:val="21"/>
                <w:szCs w:val="21"/>
                <w:highlight w:val="none"/>
              </w:rPr>
              <w:t>浓度</w:t>
            </w:r>
            <w:r>
              <w:rPr>
                <w:rFonts w:ascii="Times New Roman" w:hAnsi="Times New Roman" w:eastAsia="宋体" w:cs="Times New Roman"/>
                <w:caps w:val="0"/>
                <w:smallCaps w:val="0"/>
                <w:color w:val="auto"/>
                <w:spacing w:val="0"/>
                <w:sz w:val="21"/>
                <w:szCs w:val="21"/>
                <w:highlight w:val="none"/>
              </w:rPr>
              <w:t>废水收集池+调节pH+</w:t>
            </w:r>
            <w:r>
              <w:rPr>
                <w:rFonts w:hint="eastAsia" w:ascii="Times New Roman" w:hAnsi="Times New Roman" w:eastAsia="宋体" w:cs="Times New Roman"/>
                <w:caps w:val="0"/>
                <w:smallCaps w:val="0"/>
                <w:color w:val="auto"/>
                <w:spacing w:val="0"/>
                <w:sz w:val="21"/>
                <w:szCs w:val="21"/>
                <w:highlight w:val="none"/>
                <w:lang w:val="en-US" w:eastAsia="zh-CN"/>
              </w:rPr>
              <w:t>化学混凝沉淀</w:t>
            </w:r>
            <w:r>
              <w:rPr>
                <w:rFonts w:ascii="Times New Roman" w:hAnsi="Times New Roman" w:eastAsia="宋体" w:cs="Times New Roman"/>
                <w:caps w:val="0"/>
                <w:smallCaps w:val="0"/>
                <w:color w:val="auto"/>
                <w:spacing w:val="0"/>
                <w:sz w:val="21"/>
                <w:szCs w:val="21"/>
                <w:highlight w:val="none"/>
              </w:rPr>
              <w:t>+三效蒸发</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04D4FC9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0.03</w:t>
            </w:r>
          </w:p>
        </w:tc>
      </w:tr>
      <w:tr w14:paraId="3D0B00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37A84121">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67D08808">
            <w:pPr>
              <w:pStyle w:val="10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 w:val="21"/>
                <w:szCs w:val="21"/>
                <w:highlight w:val="none"/>
              </w:rPr>
              <w:t>活化层清洗、蚀刻废水W4</w:t>
            </w:r>
          </w:p>
        </w:tc>
        <w:tc>
          <w:tcPr>
            <w:tcW w:w="1816" w:type="dxa"/>
            <w:tcBorders>
              <w:tl2br w:val="nil"/>
              <w:tr2bl w:val="nil"/>
            </w:tcBorders>
            <w:tcMar>
              <w:left w:w="57" w:type="dxa"/>
              <w:right w:w="57" w:type="dxa"/>
            </w:tcMar>
            <w:vAlign w:val="center"/>
          </w:tcPr>
          <w:p w14:paraId="4FA1C2CA">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highlight w:val="none"/>
                <w:lang w:eastAsia="en-US"/>
              </w:rPr>
              <w:t>HC</w:t>
            </w:r>
            <w:r>
              <w:rPr>
                <w:rFonts w:ascii="Times New Roman" w:hAnsi="Times New Roman" w:cs="Times New Roman"/>
                <w:caps w:val="0"/>
                <w:smallCaps w:val="0"/>
                <w:color w:val="auto"/>
                <w:spacing w:val="0"/>
                <w:position w:val="2"/>
                <w:sz w:val="21"/>
                <w:highlight w:val="none"/>
              </w:rPr>
              <w:t>l</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highlight w:val="none"/>
                <w:lang w:eastAsia="en-US"/>
              </w:rPr>
              <w:t>HNO</w:t>
            </w:r>
            <w:r>
              <w:rPr>
                <w:rFonts w:ascii="Times New Roman" w:hAnsi="Times New Roman" w:cs="Times New Roman"/>
                <w:caps w:val="0"/>
                <w:smallCaps w:val="0"/>
                <w:color w:val="auto"/>
                <w:spacing w:val="0"/>
                <w:position w:val="2"/>
                <w:sz w:val="21"/>
                <w:highlight w:val="none"/>
                <w:vertAlign w:val="subscript"/>
                <w:lang w:eastAsia="en-US"/>
              </w:rPr>
              <w:t>3</w:t>
            </w:r>
          </w:p>
        </w:tc>
        <w:tc>
          <w:tcPr>
            <w:tcW w:w="3220" w:type="dxa"/>
            <w:tcBorders>
              <w:tl2br w:val="nil"/>
              <w:tr2bl w:val="nil"/>
            </w:tcBorders>
            <w:tcMar>
              <w:left w:w="57" w:type="dxa"/>
              <w:right w:w="57" w:type="dxa"/>
            </w:tcMar>
            <w:vAlign w:val="center"/>
          </w:tcPr>
          <w:p w14:paraId="79ADB905">
            <w:pPr>
              <w:widowControl w:val="0"/>
              <w:spacing w:line="320" w:lineRule="exact"/>
              <w:jc w:val="both"/>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酸洗及蚀刻</w:t>
            </w:r>
            <w:r>
              <w:rPr>
                <w:rFonts w:ascii="Times New Roman" w:hAnsi="Times New Roman" w:eastAsia="宋体" w:cs="Times New Roman"/>
                <w:caps w:val="0"/>
                <w:smallCaps w:val="0"/>
                <w:color w:val="auto"/>
                <w:spacing w:val="0"/>
                <w:sz w:val="21"/>
                <w:highlight w:val="none"/>
              </w:rPr>
              <w:t>属于高浓度废水，进入高</w:t>
            </w:r>
            <w:r>
              <w:rPr>
                <w:rFonts w:hint="eastAsia" w:ascii="Times New Roman" w:hAnsi="Times New Roman" w:eastAsia="宋体" w:cs="Times New Roman"/>
                <w:caps w:val="0"/>
                <w:smallCaps w:val="0"/>
                <w:color w:val="auto"/>
                <w:spacing w:val="0"/>
                <w:sz w:val="21"/>
                <w:highlight w:val="none"/>
              </w:rPr>
              <w:t>浓度</w:t>
            </w:r>
            <w:r>
              <w:rPr>
                <w:rFonts w:ascii="Times New Roman" w:hAnsi="Times New Roman" w:eastAsia="宋体" w:cs="Times New Roman"/>
                <w:caps w:val="0"/>
                <w:smallCaps w:val="0"/>
                <w:color w:val="auto"/>
                <w:spacing w:val="0"/>
                <w:sz w:val="21"/>
                <w:highlight w:val="none"/>
              </w:rPr>
              <w:t>废水收集池+调节pH+</w:t>
            </w:r>
            <w:r>
              <w:rPr>
                <w:rFonts w:hint="eastAsia" w:ascii="Times New Roman" w:hAnsi="Times New Roman" w:eastAsia="宋体" w:cs="Times New Roman"/>
                <w:caps w:val="0"/>
                <w:smallCaps w:val="0"/>
                <w:color w:val="auto"/>
                <w:spacing w:val="0"/>
                <w:sz w:val="21"/>
                <w:szCs w:val="21"/>
                <w:highlight w:val="none"/>
                <w:lang w:val="en-US" w:eastAsia="zh-CN"/>
              </w:rPr>
              <w:t>化学混凝沉淀</w:t>
            </w:r>
            <w:r>
              <w:rPr>
                <w:rFonts w:ascii="Times New Roman" w:hAnsi="Times New Roman" w:eastAsia="宋体" w:cs="Times New Roman"/>
                <w:caps w:val="0"/>
                <w:smallCaps w:val="0"/>
                <w:color w:val="auto"/>
                <w:spacing w:val="0"/>
                <w:sz w:val="21"/>
                <w:highlight w:val="none"/>
              </w:rPr>
              <w:t>+RO反渗透+三效蒸发</w:t>
            </w:r>
            <w:r>
              <w:rPr>
                <w:rFonts w:hint="eastAsia" w:ascii="Times New Roman" w:hAnsi="Times New Roman" w:eastAsia="宋体" w:cs="Times New Roman"/>
                <w:caps w:val="0"/>
                <w:smallCaps w:val="0"/>
                <w:color w:val="auto"/>
                <w:spacing w:val="0"/>
                <w:sz w:val="21"/>
                <w:highlight w:val="none"/>
                <w:lang w:eastAsia="zh-CN"/>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r>
              <w:rPr>
                <w:rFonts w:hint="eastAsia" w:ascii="Times New Roman" w:hAnsi="Times New Roman" w:eastAsia="宋体" w:cs="Times New Roman"/>
                <w:caps w:val="0"/>
                <w:smallCaps w:val="0"/>
                <w:color w:val="auto"/>
                <w:spacing w:val="0"/>
                <w:sz w:val="21"/>
                <w:szCs w:val="21"/>
                <w:highlight w:val="none"/>
                <w:lang w:eastAsia="zh-CN"/>
              </w:rPr>
              <w:t>；</w:t>
            </w:r>
            <w:r>
              <w:rPr>
                <w:rFonts w:hint="eastAsia" w:ascii="Times New Roman" w:hAnsi="Times New Roman" w:eastAsia="宋体" w:cs="Times New Roman"/>
                <w:caps w:val="0"/>
                <w:smallCaps w:val="0"/>
                <w:color w:val="auto"/>
                <w:spacing w:val="0"/>
                <w:sz w:val="21"/>
                <w:highlight w:val="none"/>
                <w:lang w:val="en-US" w:eastAsia="zh-CN"/>
              </w:rPr>
              <w:t>纯水洗属于低浓度</w:t>
            </w:r>
            <w:r>
              <w:rPr>
                <w:rFonts w:ascii="Times New Roman" w:hAnsi="Times New Roman" w:eastAsia="宋体" w:cs="Times New Roman"/>
                <w:caps w:val="0"/>
                <w:smallCaps w:val="0"/>
                <w:color w:val="auto"/>
                <w:spacing w:val="0"/>
                <w:sz w:val="21"/>
                <w:highlight w:val="none"/>
              </w:rPr>
              <w:t>废水，进入低浓度废水收集池+调节pH+TMF膜系统+RO反渗透+三效蒸发</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564937A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0.173；</w:t>
            </w:r>
            <w:r>
              <w:rPr>
                <w:rFonts w:hint="eastAsia" w:ascii="Times New Roman" w:hAnsi="Times New Roman" w:eastAsia="宋体" w:cs="Times New Roman"/>
                <w:caps w:val="0"/>
                <w:smallCaps w:val="0"/>
                <w:color w:val="auto"/>
                <w:spacing w:val="0"/>
                <w:sz w:val="21"/>
                <w:highlight w:val="none"/>
              </w:rPr>
              <w:t>15.12</w:t>
            </w:r>
          </w:p>
        </w:tc>
      </w:tr>
      <w:tr w14:paraId="191483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73F867C2">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22160632">
            <w:pPr>
              <w:pStyle w:val="10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 w:val="21"/>
                <w:szCs w:val="21"/>
                <w:highlight w:val="none"/>
              </w:rPr>
              <w:t>ZnTe膜层溅射后清洗废水W5</w:t>
            </w:r>
          </w:p>
        </w:tc>
        <w:tc>
          <w:tcPr>
            <w:tcW w:w="1816" w:type="dxa"/>
            <w:tcBorders>
              <w:tl2br w:val="nil"/>
              <w:tr2bl w:val="nil"/>
            </w:tcBorders>
            <w:tcMar>
              <w:left w:w="57" w:type="dxa"/>
              <w:right w:w="57" w:type="dxa"/>
            </w:tcMar>
            <w:vAlign w:val="center"/>
          </w:tcPr>
          <w:p w14:paraId="59BC0682">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220" w:type="dxa"/>
            <w:tcBorders>
              <w:tl2br w:val="nil"/>
              <w:tr2bl w:val="nil"/>
            </w:tcBorders>
            <w:tcMar>
              <w:left w:w="57" w:type="dxa"/>
              <w:right w:w="57" w:type="dxa"/>
            </w:tcMar>
            <w:vAlign w:val="center"/>
          </w:tcPr>
          <w:p w14:paraId="3EE1174E">
            <w:pPr>
              <w:widowControl w:val="0"/>
              <w:spacing w:line="32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属于低浓度废水，进入低浓度废水收集池+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278F011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12.96</w:t>
            </w:r>
          </w:p>
        </w:tc>
      </w:tr>
      <w:tr w14:paraId="5F408A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46A9F923">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7B37CB06">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rPr>
              <w:t>显影及显影清洗废水W6。</w:t>
            </w:r>
          </w:p>
        </w:tc>
        <w:tc>
          <w:tcPr>
            <w:tcW w:w="1816" w:type="dxa"/>
            <w:tcBorders>
              <w:tl2br w:val="nil"/>
              <w:tr2bl w:val="nil"/>
            </w:tcBorders>
            <w:tcMar>
              <w:left w:w="57" w:type="dxa"/>
              <w:right w:w="57" w:type="dxa"/>
            </w:tcMar>
            <w:vAlign w:val="center"/>
          </w:tcPr>
          <w:p w14:paraId="47FDF9C9">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szCs w:val="21"/>
                <w:highlight w:val="none"/>
                <w:lang w:eastAsia="en-US"/>
              </w:rPr>
              <w:t>H</w:t>
            </w:r>
            <w:r>
              <w:rPr>
                <w:rFonts w:ascii="Times New Roman" w:hAnsi="Times New Roman" w:cs="Times New Roman"/>
                <w:caps w:val="0"/>
                <w:smallCaps w:val="0"/>
                <w:color w:val="auto"/>
                <w:spacing w:val="0"/>
                <w:sz w:val="13"/>
                <w:szCs w:val="13"/>
                <w:highlight w:val="none"/>
                <w:lang w:eastAsia="en-US"/>
              </w:rPr>
              <w:t>2</w:t>
            </w:r>
            <w:r>
              <w:rPr>
                <w:rFonts w:ascii="Times New Roman" w:hAnsi="Times New Roman" w:cs="Times New Roman"/>
                <w:caps w:val="0"/>
                <w:smallCaps w:val="0"/>
                <w:color w:val="auto"/>
                <w:spacing w:val="0"/>
                <w:position w:val="2"/>
                <w:sz w:val="21"/>
                <w:szCs w:val="21"/>
                <w:highlight w:val="none"/>
                <w:lang w:eastAsia="en-US"/>
              </w:rPr>
              <w:t>O</w:t>
            </w:r>
            <w:r>
              <w:rPr>
                <w:rFonts w:ascii="Times New Roman" w:hAnsi="Times New Roman" w:cs="Times New Roman"/>
                <w:caps w:val="0"/>
                <w:smallCaps w:val="0"/>
                <w:color w:val="auto"/>
                <w:spacing w:val="0"/>
                <w:sz w:val="13"/>
                <w:szCs w:val="13"/>
                <w:highlight w:val="none"/>
                <w:lang w:eastAsia="en-US"/>
              </w:rPr>
              <w:t>2</w:t>
            </w:r>
            <w:r>
              <w:rPr>
                <w:rFonts w:hint="eastAsia" w:ascii="Times New Roman" w:hAnsi="Times New Roman" w:cs="Times New Roman"/>
                <w:caps w:val="0"/>
                <w:smallCaps w:val="0"/>
                <w:color w:val="auto"/>
                <w:spacing w:val="0"/>
                <w:sz w:val="13"/>
                <w:szCs w:val="13"/>
                <w:highlight w:val="none"/>
              </w:rPr>
              <w:t>、</w:t>
            </w:r>
            <w:r>
              <w:rPr>
                <w:rFonts w:hint="eastAsia" w:ascii="Times New Roman" w:hAnsi="Times New Roman" w:cs="Times New Roman"/>
                <w:caps w:val="0"/>
                <w:smallCaps w:val="0"/>
                <w:color w:val="auto"/>
                <w:spacing w:val="0"/>
                <w:sz w:val="21"/>
                <w:szCs w:val="21"/>
                <w:highlight w:val="none"/>
              </w:rPr>
              <w:t>有机物</w:t>
            </w:r>
          </w:p>
        </w:tc>
        <w:tc>
          <w:tcPr>
            <w:tcW w:w="3220" w:type="dxa"/>
            <w:tcBorders>
              <w:tl2br w:val="nil"/>
              <w:tr2bl w:val="nil"/>
            </w:tcBorders>
            <w:tcMar>
              <w:left w:w="57" w:type="dxa"/>
              <w:right w:w="57" w:type="dxa"/>
            </w:tcMar>
            <w:vAlign w:val="center"/>
          </w:tcPr>
          <w:p w14:paraId="1B9C482C">
            <w:pPr>
              <w:widowControl w:val="0"/>
              <w:spacing w:line="320" w:lineRule="exact"/>
              <w:jc w:val="both"/>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属于显影废水，进入显影废水收集池+预沉淀+催化</w:t>
            </w:r>
            <w:r>
              <w:rPr>
                <w:rFonts w:hint="eastAsia"/>
                <w:color w:val="auto"/>
                <w:sz w:val="21"/>
                <w:szCs w:val="21"/>
                <w:highlight w:val="none"/>
                <w:lang w:eastAsia="zh-CN"/>
              </w:rPr>
              <w:t>（</w:t>
            </w:r>
            <w:r>
              <w:rPr>
                <w:rFonts w:hint="eastAsia" w:ascii="Times New Roman" w:hAnsi="Times New Roman" w:eastAsia="宋体" w:cs="Times New Roman"/>
                <w:caps w:val="0"/>
                <w:smallCaps w:val="0"/>
                <w:color w:val="auto"/>
                <w:spacing w:val="0"/>
                <w:sz w:val="21"/>
                <w:szCs w:val="21"/>
                <w:highlight w:val="none"/>
                <w:lang w:val="en-US" w:eastAsia="zh-CN"/>
              </w:rPr>
              <w:t>电催化+光氧催化</w:t>
            </w:r>
            <w:r>
              <w:rPr>
                <w:rFonts w:hint="eastAsia"/>
                <w:color w:val="auto"/>
                <w:sz w:val="21"/>
                <w:szCs w:val="21"/>
                <w:highlight w:val="none"/>
                <w:lang w:eastAsia="zh-CN"/>
              </w:rPr>
              <w:t>）</w:t>
            </w:r>
            <w:r>
              <w:rPr>
                <w:rFonts w:ascii="Times New Roman" w:hAnsi="Times New Roman" w:eastAsia="宋体" w:cs="Times New Roman"/>
                <w:caps w:val="0"/>
                <w:smallCaps w:val="0"/>
                <w:color w:val="auto"/>
                <w:spacing w:val="0"/>
                <w:sz w:val="21"/>
                <w:szCs w:val="21"/>
                <w:highlight w:val="none"/>
              </w:rPr>
              <w:t>+气浮+</w:t>
            </w:r>
            <w:r>
              <w:rPr>
                <w:rFonts w:hint="eastAsia" w:ascii="Times New Roman" w:hAnsi="Times New Roman" w:eastAsia="宋体" w:cs="Times New Roman"/>
                <w:caps w:val="0"/>
                <w:smallCaps w:val="0"/>
                <w:color w:val="auto"/>
                <w:spacing w:val="0"/>
                <w:sz w:val="21"/>
                <w:szCs w:val="21"/>
                <w:highlight w:val="none"/>
                <w:lang w:val="en-US" w:eastAsia="zh-CN"/>
              </w:rPr>
              <w:t>好氧+厌氧</w:t>
            </w:r>
            <w:r>
              <w:rPr>
                <w:rFonts w:ascii="Times New Roman" w:hAnsi="Times New Roman" w:eastAsia="宋体" w:cs="Times New Roman"/>
                <w:caps w:val="0"/>
                <w:smallCaps w:val="0"/>
                <w:color w:val="auto"/>
                <w:spacing w:val="0"/>
                <w:sz w:val="21"/>
                <w:szCs w:val="21"/>
                <w:highlight w:val="none"/>
              </w:rPr>
              <w:t>+MBR</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7167939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14.065</w:t>
            </w:r>
          </w:p>
        </w:tc>
      </w:tr>
      <w:tr w14:paraId="7426D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508B99EC">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26979115">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rPr>
              <w:t>背电极镀膜前清洗废水W7</w:t>
            </w:r>
          </w:p>
        </w:tc>
        <w:tc>
          <w:tcPr>
            <w:tcW w:w="1816" w:type="dxa"/>
            <w:tcBorders>
              <w:tl2br w:val="nil"/>
              <w:tr2bl w:val="nil"/>
            </w:tcBorders>
            <w:tcMar>
              <w:left w:w="57" w:type="dxa"/>
              <w:right w:w="57" w:type="dxa"/>
            </w:tcMar>
            <w:vAlign w:val="center"/>
          </w:tcPr>
          <w:p w14:paraId="277ED853">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p>
        </w:tc>
        <w:tc>
          <w:tcPr>
            <w:tcW w:w="3220" w:type="dxa"/>
            <w:tcBorders>
              <w:tl2br w:val="nil"/>
              <w:tr2bl w:val="nil"/>
            </w:tcBorders>
            <w:tcMar>
              <w:left w:w="57" w:type="dxa"/>
              <w:right w:w="57" w:type="dxa"/>
            </w:tcMar>
            <w:vAlign w:val="center"/>
          </w:tcPr>
          <w:p w14:paraId="5CD8838F">
            <w:pPr>
              <w:widowControl w:val="0"/>
              <w:spacing w:line="32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属于低浓度废水，进入低浓度废水收集池+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3DB2C51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15.12</w:t>
            </w:r>
          </w:p>
        </w:tc>
      </w:tr>
      <w:tr w14:paraId="1CF71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82" w:type="dxa"/>
            <w:vMerge w:val="continue"/>
            <w:tcBorders>
              <w:tl2br w:val="nil"/>
              <w:tr2bl w:val="nil"/>
            </w:tcBorders>
            <w:tcMar>
              <w:left w:w="57" w:type="dxa"/>
              <w:right w:w="57" w:type="dxa"/>
            </w:tcMar>
            <w:vAlign w:val="center"/>
          </w:tcPr>
          <w:p w14:paraId="7EB5D904">
            <w:pPr>
              <w:widowControl w:val="0"/>
              <w:spacing w:line="320" w:lineRule="exact"/>
              <w:jc w:val="center"/>
              <w:rPr>
                <w:rFonts w:ascii="Times New Roman" w:hAnsi="Times New Roman" w:eastAsia="宋体" w:cs="Times New Roman"/>
                <w:caps w:val="0"/>
                <w:smallCaps w:val="0"/>
                <w:color w:val="auto"/>
                <w:spacing w:val="0"/>
                <w:sz w:val="21"/>
                <w:highlight w:val="none"/>
              </w:rPr>
            </w:pPr>
          </w:p>
        </w:tc>
        <w:tc>
          <w:tcPr>
            <w:tcW w:w="1583" w:type="dxa"/>
            <w:tcBorders>
              <w:tl2br w:val="nil"/>
              <w:tr2bl w:val="nil"/>
            </w:tcBorders>
            <w:tcMar>
              <w:left w:w="57" w:type="dxa"/>
              <w:right w:w="57" w:type="dxa"/>
            </w:tcMar>
            <w:vAlign w:val="center"/>
          </w:tcPr>
          <w:p w14:paraId="2D8BEEDD">
            <w:pPr>
              <w:pStyle w:val="105"/>
              <w:widowControl w:val="0"/>
              <w:jc w:val="center"/>
              <w:rPr>
                <w:rFonts w:ascii="Times New Roman" w:hAnsi="Times New Roman" w:cs="Times New Roman"/>
                <w:caps w:val="0"/>
                <w:smallCaps w:val="0"/>
                <w:color w:val="auto"/>
                <w:spacing w:val="0"/>
                <w:sz w:val="21"/>
                <w:szCs w:val="21"/>
                <w:highlight w:val="none"/>
                <w:lang w:eastAsia="en-US"/>
              </w:rPr>
            </w:pPr>
            <w:r>
              <w:rPr>
                <w:rFonts w:ascii="Times New Roman" w:hAnsi="Times New Roman" w:cs="Times New Roman"/>
                <w:caps w:val="0"/>
                <w:smallCaps w:val="0"/>
                <w:color w:val="auto"/>
                <w:spacing w:val="0"/>
                <w:sz w:val="21"/>
                <w:szCs w:val="21"/>
                <w:highlight w:val="none"/>
              </w:rPr>
              <w:t>碱性喷淋塔喷淋废水</w:t>
            </w:r>
          </w:p>
        </w:tc>
        <w:tc>
          <w:tcPr>
            <w:tcW w:w="1816" w:type="dxa"/>
            <w:tcBorders>
              <w:tl2br w:val="nil"/>
              <w:tr2bl w:val="nil"/>
            </w:tcBorders>
            <w:tcMar>
              <w:left w:w="57" w:type="dxa"/>
              <w:right w:w="57" w:type="dxa"/>
            </w:tcMar>
            <w:vAlign w:val="center"/>
          </w:tcPr>
          <w:p w14:paraId="5FC2FB21">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cs="Times New Roman"/>
                <w:caps w:val="0"/>
                <w:smallCaps w:val="0"/>
                <w:color w:val="auto"/>
                <w:spacing w:val="0"/>
                <w:sz w:val="21"/>
                <w:szCs w:val="21"/>
                <w:highlight w:val="none"/>
                <w:lang w:val="en-US" w:eastAsia="zh-CN"/>
              </w:rPr>
              <w:t>pH、</w:t>
            </w:r>
            <w:r>
              <w:rPr>
                <w:rFonts w:hint="eastAsia" w:ascii="Times New Roman" w:hAnsi="Times New Roman" w:cs="Times New Roman"/>
                <w:caps w:val="0"/>
                <w:smallCaps w:val="0"/>
                <w:color w:val="auto"/>
                <w:spacing w:val="0"/>
                <w:sz w:val="21"/>
                <w:szCs w:val="21"/>
                <w:highlight w:val="none"/>
              </w:rPr>
              <w:t>高盐水</w:t>
            </w:r>
          </w:p>
        </w:tc>
        <w:tc>
          <w:tcPr>
            <w:tcW w:w="3220" w:type="dxa"/>
            <w:tcBorders>
              <w:tl2br w:val="nil"/>
              <w:tr2bl w:val="nil"/>
            </w:tcBorders>
            <w:tcMar>
              <w:left w:w="57" w:type="dxa"/>
              <w:right w:w="57" w:type="dxa"/>
            </w:tcMar>
            <w:vAlign w:val="center"/>
          </w:tcPr>
          <w:p w14:paraId="45DAE181">
            <w:pPr>
              <w:widowControl w:val="0"/>
              <w:spacing w:line="32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进入低浓度废水收集池+</w:t>
            </w:r>
            <w:r>
              <w:rPr>
                <w:rFonts w:hint="eastAsia" w:ascii="Times New Roman" w:hAnsi="Times New Roman" w:eastAsia="宋体" w:cs="Times New Roman"/>
                <w:caps w:val="0"/>
                <w:smallCaps w:val="0"/>
                <w:color w:val="auto"/>
                <w:spacing w:val="0"/>
                <w:sz w:val="21"/>
                <w:szCs w:val="21"/>
                <w:highlight w:val="none"/>
                <w:lang w:val="en-US" w:eastAsia="zh-CN"/>
              </w:rPr>
              <w:t>加碱</w:t>
            </w:r>
            <w:r>
              <w:rPr>
                <w:rFonts w:ascii="Times New Roman" w:hAnsi="Times New Roman" w:eastAsia="宋体" w:cs="Times New Roman"/>
                <w:caps w:val="0"/>
                <w:smallCaps w:val="0"/>
                <w:color w:val="auto"/>
                <w:spacing w:val="0"/>
                <w:sz w:val="21"/>
                <w:szCs w:val="21"/>
                <w:highlight w:val="none"/>
              </w:rPr>
              <w:t>调节pH</w:t>
            </w:r>
            <w:r>
              <w:rPr>
                <w:rFonts w:hint="eastAsia"/>
                <w:color w:val="auto"/>
                <w:sz w:val="21"/>
                <w:szCs w:val="21"/>
                <w:highlight w:val="none"/>
                <w:lang w:val="en-US" w:eastAsia="zh-CN"/>
              </w:rPr>
              <w:t>至碱性沉淀</w:t>
            </w:r>
            <w:r>
              <w:rPr>
                <w:rFonts w:ascii="Times New Roman" w:hAnsi="Times New Roman" w:cs="Times New Roman"/>
                <w:caps w:val="0"/>
                <w:smallCaps w:val="0"/>
                <w:color w:val="auto"/>
                <w:spacing w:val="0"/>
                <w:sz w:val="21"/>
                <w:szCs w:val="21"/>
                <w:highlight w:val="none"/>
                <w:lang w:eastAsia="en-US"/>
              </w:rPr>
              <w:t>Cd</w:t>
            </w:r>
            <w:r>
              <w:rPr>
                <w:rFonts w:hint="eastAsia" w:ascii="Times New Roman" w:hAnsi="Times New Roman" w:cs="Times New Roman"/>
                <w:caps w:val="0"/>
                <w:smallCaps w:val="0"/>
                <w:color w:val="auto"/>
                <w:spacing w:val="0"/>
                <w:sz w:val="21"/>
                <w:szCs w:val="21"/>
                <w:highlight w:val="none"/>
                <w:vertAlign w:val="superscript"/>
              </w:rPr>
              <w:t>2+</w:t>
            </w:r>
            <w:r>
              <w:rPr>
                <w:rFonts w:ascii="Times New Roman" w:hAnsi="Times New Roman" w:eastAsia="宋体" w:cs="Times New Roman"/>
                <w:caps w:val="0"/>
                <w:smallCaps w:val="0"/>
                <w:color w:val="auto"/>
                <w:spacing w:val="0"/>
                <w:sz w:val="21"/>
                <w:szCs w:val="21"/>
                <w:highlight w:val="none"/>
              </w:rPr>
              <w:t>+</w:t>
            </w:r>
            <w:r>
              <w:rPr>
                <w:rFonts w:ascii="Times New Roman" w:hAnsi="Times New Roman" w:eastAsia="宋体" w:cs="Times New Roman"/>
                <w:caps w:val="0"/>
                <w:smallCaps w:val="0"/>
                <w:color w:val="auto"/>
                <w:spacing w:val="0"/>
                <w:sz w:val="21"/>
                <w:szCs w:val="21"/>
                <w:highlight w:val="none"/>
              </w:rPr>
              <w:t>TMF膜系统</w:t>
            </w:r>
            <w:r>
              <w:rPr>
                <w:rFonts w:hint="eastAsia" w:ascii="Times New Roman" w:hAnsi="Times New Roman" w:eastAsia="宋体" w:cs="Times New Roman"/>
                <w:caps w:val="0"/>
                <w:smallCaps w:val="0"/>
                <w:color w:val="auto"/>
                <w:spacing w:val="0"/>
                <w:sz w:val="21"/>
                <w:szCs w:val="21"/>
                <w:highlight w:val="none"/>
              </w:rPr>
              <w:t>，</w:t>
            </w:r>
            <w:r>
              <w:rPr>
                <w:rFonts w:hint="eastAsia" w:ascii="Times New Roman" w:hAnsi="Times New Roman" w:eastAsia="宋体" w:cs="Times New Roman"/>
                <w:caps w:val="0"/>
                <w:smallCaps w:val="0"/>
                <w:color w:val="auto"/>
                <w:spacing w:val="0"/>
                <w:sz w:val="21"/>
                <w:szCs w:val="21"/>
                <w:highlight w:val="none"/>
              </w:rPr>
              <w:t>随后进入后续预处理水箱深度处理</w:t>
            </w:r>
          </w:p>
        </w:tc>
        <w:tc>
          <w:tcPr>
            <w:tcW w:w="2176" w:type="dxa"/>
            <w:tcBorders>
              <w:tl2br w:val="nil"/>
              <w:tr2bl w:val="nil"/>
            </w:tcBorders>
            <w:tcMar>
              <w:left w:w="57" w:type="dxa"/>
              <w:right w:w="57" w:type="dxa"/>
            </w:tcMar>
            <w:vAlign w:val="center"/>
          </w:tcPr>
          <w:p w14:paraId="6E46BDE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w:t>
            </w:r>
          </w:p>
        </w:tc>
      </w:tr>
    </w:tbl>
    <w:p w14:paraId="41A09B11">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6.2.1.1污水处理设施可行性分析</w:t>
      </w:r>
    </w:p>
    <w:p w14:paraId="61D0729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依据《排污许可证申请与核发技术规范-电池工业》(HJ967-2018)薄膜太阳电池含镉废水技术可行措施为化学混凝沉淀法，本项目采用“调节+沉淀+TMF膜+催化+气浮+生化+MBR+RO反渗透+三效蒸发”组合工艺，为可行性技术。本项目组合工艺介绍如下：</w:t>
      </w:r>
    </w:p>
    <w:p w14:paraId="65EB346C">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hAnsi="Times New Roman" w:eastAsia="宋体" w:cs="Times New Roman"/>
          <w:caps w:val="0"/>
          <w:smallCaps w:val="0"/>
          <w:color w:val="auto"/>
          <w:spacing w:val="0"/>
          <w:kern w:val="0"/>
          <w:sz w:val="24"/>
          <w:szCs w:val="24"/>
          <w:highlight w:val="none"/>
          <w:lang w:val="en-US" w:eastAsia="zh-CN" w:bidi="ar"/>
        </w:rPr>
      </w:pPr>
      <w:r>
        <w:rPr>
          <w:rFonts w:ascii="Times New Roman" w:hAnsi="Times New Roman" w:eastAsia="宋体" w:cs="Times New Roman"/>
          <w:caps w:val="0"/>
          <w:smallCaps w:val="0"/>
          <w:color w:val="auto"/>
          <w:spacing w:val="0"/>
          <w:kern w:val="0"/>
          <w:szCs w:val="24"/>
          <w:highlight w:val="none"/>
          <w:lang w:bidi="ar"/>
        </w:rPr>
        <w:t>（1）显影废水在显影废水收集池中进行收集，</w:t>
      </w:r>
      <w:r>
        <w:rPr>
          <w:rFonts w:hint="eastAsia" w:ascii="Times New Roman" w:hAnsi="Times New Roman" w:eastAsia="宋体" w:cs="Times New Roman"/>
          <w:caps w:val="0"/>
          <w:smallCaps w:val="0"/>
          <w:color w:val="auto"/>
          <w:spacing w:val="0"/>
          <w:kern w:val="0"/>
          <w:szCs w:val="24"/>
          <w:highlight w:val="none"/>
          <w:lang w:val="en-US" w:eastAsia="zh-CN" w:bidi="ar"/>
        </w:rPr>
        <w:t>显影废水污染物主要为</w:t>
      </w:r>
      <w:r>
        <w:rPr>
          <w:rFonts w:hint="eastAsia" w:ascii="Times New Roman" w:hAnsi="Times New Roman" w:eastAsia="宋体" w:cs="Times New Roman"/>
          <w:caps w:val="0"/>
          <w:smallCaps w:val="0"/>
          <w:color w:val="auto"/>
          <w:spacing w:val="0"/>
          <w:kern w:val="0"/>
          <w:szCs w:val="24"/>
          <w:highlight w:val="none"/>
          <w:lang w:val="en-US" w:eastAsia="zh-CN" w:bidi="ar"/>
        </w:rPr>
        <w:t>COD、Cd</w:t>
      </w:r>
      <w:r>
        <w:rPr>
          <w:rFonts w:hint="eastAsia" w:ascii="Times New Roman" w:hAnsi="Times New Roman" w:eastAsia="宋体" w:cs="Times New Roman"/>
          <w:caps w:val="0"/>
          <w:smallCaps w:val="0"/>
          <w:color w:val="auto"/>
          <w:spacing w:val="0"/>
          <w:kern w:val="0"/>
          <w:szCs w:val="24"/>
          <w:highlight w:val="none"/>
          <w:vertAlign w:val="superscript"/>
          <w:lang w:val="en-US" w:eastAsia="zh-CN" w:bidi="ar"/>
        </w:rPr>
        <w:t>2+</w:t>
      </w:r>
      <w:r>
        <w:rPr>
          <w:rFonts w:hint="eastAsia" w:ascii="Times New Roman" w:hAnsi="Times New Roman" w:eastAsia="宋体" w:cs="Times New Roman"/>
          <w:caps w:val="0"/>
          <w:smallCaps w:val="0"/>
          <w:color w:val="auto"/>
          <w:spacing w:val="0"/>
          <w:kern w:val="0"/>
          <w:szCs w:val="24"/>
          <w:highlight w:val="none"/>
          <w:lang w:val="en-US" w:eastAsia="zh-CN" w:bidi="ar"/>
        </w:rPr>
        <w:t>、以及TN，</w:t>
      </w:r>
      <w:r>
        <w:rPr>
          <w:rFonts w:ascii="Times New Roman" w:hAnsi="Times New Roman" w:eastAsia="宋体" w:cs="Times New Roman"/>
          <w:caps w:val="0"/>
          <w:smallCaps w:val="0"/>
          <w:color w:val="auto"/>
          <w:spacing w:val="0"/>
          <w:kern w:val="0"/>
          <w:szCs w:val="24"/>
          <w:highlight w:val="none"/>
          <w:lang w:bidi="ar"/>
        </w:rPr>
        <w:t>显影废水收集池</w:t>
      </w:r>
      <w:r>
        <w:rPr>
          <w:rFonts w:ascii="Times New Roman" w:hAnsi="Times New Roman" w:eastAsia="宋体" w:cs="Times New Roman"/>
          <w:caps w:val="0"/>
          <w:smallCaps w:val="0"/>
          <w:color w:val="auto"/>
          <w:spacing w:val="0"/>
          <w:kern w:val="0"/>
          <w:szCs w:val="24"/>
          <w:highlight w:val="none"/>
          <w:lang w:bidi="ar"/>
        </w:rPr>
        <w:t>中设有搅拌系统，均质均量。通过提升泵泵入预沉系统先</w:t>
      </w:r>
      <w:r>
        <w:rPr>
          <w:rFonts w:hint="eastAsia" w:ascii="Times New Roman" w:hAnsi="Times New Roman" w:eastAsia="宋体" w:cs="Times New Roman"/>
          <w:caps w:val="0"/>
          <w:smallCaps w:val="0"/>
          <w:color w:val="auto"/>
          <w:spacing w:val="0"/>
          <w:kern w:val="0"/>
          <w:szCs w:val="24"/>
          <w:highlight w:val="none"/>
          <w:lang w:bidi="ar"/>
        </w:rPr>
        <w:t>去除</w:t>
      </w:r>
      <w:r>
        <w:rPr>
          <w:rFonts w:ascii="Times New Roman" w:hAnsi="Times New Roman" w:eastAsia="宋体" w:cs="Times New Roman"/>
          <w:caps w:val="0"/>
          <w:smallCaps w:val="0"/>
          <w:color w:val="auto"/>
          <w:spacing w:val="0"/>
          <w:kern w:val="0"/>
          <w:szCs w:val="24"/>
          <w:highlight w:val="none"/>
          <w:lang w:bidi="ar"/>
        </w:rPr>
        <w:t>废水中的悬浮污染物，调节pH至</w:t>
      </w:r>
      <w:r>
        <w:rPr>
          <w:rFonts w:hint="eastAsia" w:ascii="Times New Roman" w:hAnsi="Times New Roman" w:eastAsia="宋体" w:cs="Times New Roman"/>
          <w:caps w:val="0"/>
          <w:smallCaps w:val="0"/>
          <w:color w:val="auto"/>
          <w:spacing w:val="0"/>
          <w:kern w:val="0"/>
          <w:szCs w:val="24"/>
          <w:highlight w:val="none"/>
          <w:lang w:val="en-US" w:eastAsia="zh-CN" w:bidi="ar"/>
        </w:rPr>
        <w:t>5.5-6.5之间</w:t>
      </w:r>
      <w:r>
        <w:rPr>
          <w:rFonts w:ascii="Times New Roman" w:hAnsi="Times New Roman" w:eastAsia="宋体" w:cs="Times New Roman"/>
          <w:caps w:val="0"/>
          <w:smallCaps w:val="0"/>
          <w:color w:val="auto"/>
          <w:spacing w:val="0"/>
          <w:kern w:val="0"/>
          <w:szCs w:val="24"/>
          <w:highlight w:val="none"/>
          <w:lang w:bidi="ar"/>
        </w:rPr>
        <w:t>，进行光催化氧化处理，之后泵入电催化系统，进行氧化处理</w:t>
      </w:r>
      <w:r>
        <w:rPr>
          <w:rFonts w:ascii="Times New Roman" w:hAnsi="Times New Roman" w:eastAsia="宋体" w:cs="Times New Roman"/>
          <w:caps w:val="0"/>
          <w:smallCaps w:val="0"/>
          <w:color w:val="auto"/>
          <w:spacing w:val="0"/>
          <w:kern w:val="0"/>
          <w:szCs w:val="24"/>
          <w:highlight w:val="none"/>
          <w:lang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统</w:t>
      </w:r>
      <w:r>
        <w:rPr>
          <w:rFonts w:hint="default" w:ascii="Times New Roman" w:hAnsi="Times New Roman" w:eastAsia="宋体" w:cs="Times New Roman"/>
          <w:caps w:val="0"/>
          <w:smallCaps w:val="0"/>
          <w:color w:val="auto"/>
          <w:spacing w:val="0"/>
          <w:kern w:val="0"/>
          <w:szCs w:val="24"/>
          <w:highlight w:val="none"/>
          <w:lang w:val="en-US" w:eastAsia="zh-CN" w:bidi="ar"/>
        </w:rPr>
        <w:t>称为</w:t>
      </w:r>
      <w:r>
        <w:rPr>
          <w:rFonts w:hint="default" w:ascii="Times New Roman" w:hAnsi="Times New Roman" w:cs="Times New Roman"/>
          <w:color w:val="auto"/>
          <w:sz w:val="24"/>
          <w:szCs w:val="24"/>
          <w:highlight w:val="none"/>
        </w:rPr>
        <w:t>XE催</w:t>
      </w:r>
      <w:r>
        <w:rPr>
          <w:rFonts w:hint="default" w:ascii="Times New Roman" w:hAnsi="Times New Roman" w:eastAsia="宋体" w:cs="Times New Roman"/>
          <w:caps w:val="0"/>
          <w:smallCaps w:val="0"/>
          <w:color w:val="auto"/>
          <w:spacing w:val="0"/>
          <w:kern w:val="0"/>
          <w:sz w:val="24"/>
          <w:szCs w:val="24"/>
          <w:highlight w:val="none"/>
          <w:lang w:val="en-US" w:eastAsia="zh-CN" w:bidi="ar"/>
        </w:rPr>
        <w:t>化氧化，</w:t>
      </w:r>
      <w:r>
        <w:rPr>
          <w:rFonts w:ascii="Times New Roman" w:hAnsi="Times New Roman" w:eastAsia="宋体" w:cs="Times New Roman"/>
          <w:caps w:val="0"/>
          <w:smallCaps w:val="0"/>
          <w:color w:val="auto"/>
          <w:spacing w:val="0"/>
          <w:kern w:val="0"/>
          <w:sz w:val="24"/>
          <w:szCs w:val="24"/>
          <w:highlight w:val="none"/>
          <w:lang w:val="en-US" w:eastAsia="zh-CN" w:bidi="ar"/>
        </w:rPr>
        <w:t>XE</w:t>
      </w:r>
      <w:r>
        <w:rPr>
          <w:rFonts w:hint="eastAsia" w:ascii="Times New Roman" w:hAnsi="Times New Roman" w:eastAsia="宋体" w:cs="Times New Roman"/>
          <w:caps w:val="0"/>
          <w:smallCaps w:val="0"/>
          <w:color w:val="auto"/>
          <w:spacing w:val="0"/>
          <w:kern w:val="0"/>
          <w:sz w:val="24"/>
          <w:szCs w:val="24"/>
          <w:highlight w:val="none"/>
          <w:lang w:val="en-US" w:eastAsia="zh-CN" w:bidi="ar"/>
        </w:rPr>
        <w:t>催化氧化设备装置基于高级催化技术原理，利用高级氧化催化反应过程中生成的自由基、强氧化粒子</w:t>
      </w:r>
      <w:r>
        <w:rPr>
          <w:rFonts w:ascii="Times New Roman" w:hAnsi="Times New Roman" w:eastAsia="宋体" w:cs="Times New Roman"/>
          <w:caps w:val="0"/>
          <w:smallCaps w:val="0"/>
          <w:color w:val="auto"/>
          <w:spacing w:val="0"/>
          <w:kern w:val="0"/>
          <w:sz w:val="24"/>
          <w:szCs w:val="24"/>
          <w:highlight w:val="none"/>
          <w:lang w:val="en-US" w:eastAsia="zh-CN" w:bidi="ar"/>
        </w:rPr>
        <w:t>(</w:t>
      </w:r>
      <w:r>
        <w:rPr>
          <w:rFonts w:hint="eastAsia" w:ascii="Times New Roman" w:hAnsi="Times New Roman" w:eastAsia="宋体" w:cs="Times New Roman"/>
          <w:caps w:val="0"/>
          <w:smallCaps w:val="0"/>
          <w:color w:val="auto"/>
          <w:spacing w:val="0"/>
          <w:kern w:val="0"/>
          <w:sz w:val="24"/>
          <w:szCs w:val="24"/>
          <w:highlight w:val="none"/>
          <w:lang w:val="en-US" w:eastAsia="zh-CN" w:bidi="ar"/>
        </w:rPr>
        <w:t>·</w:t>
      </w:r>
      <w:r>
        <w:rPr>
          <w:rFonts w:ascii="Times New Roman" w:hAnsi="Times New Roman" w:eastAsia="宋体" w:cs="Times New Roman"/>
          <w:caps w:val="0"/>
          <w:smallCaps w:val="0"/>
          <w:color w:val="auto"/>
          <w:spacing w:val="0"/>
          <w:kern w:val="0"/>
          <w:sz w:val="24"/>
          <w:szCs w:val="24"/>
          <w:highlight w:val="none"/>
          <w:lang w:val="en-US" w:eastAsia="zh-CN" w:bidi="ar"/>
        </w:rPr>
        <w:t>OH</w:t>
      </w:r>
      <w:r>
        <w:rPr>
          <w:rFonts w:hint="eastAsia" w:ascii="Times New Roman" w:hAnsi="Times New Roman" w:eastAsia="宋体" w:cs="Times New Roman"/>
          <w:caps w:val="0"/>
          <w:smallCaps w:val="0"/>
          <w:color w:val="auto"/>
          <w:spacing w:val="0"/>
          <w:kern w:val="0"/>
          <w:sz w:val="24"/>
          <w:szCs w:val="24"/>
          <w:highlight w:val="none"/>
          <w:lang w:val="en-US" w:eastAsia="zh-CN" w:bidi="ar"/>
        </w:rPr>
        <w:t>、</w:t>
      </w:r>
      <w:r>
        <w:rPr>
          <w:rFonts w:ascii="Times New Roman" w:hAnsi="Times New Roman" w:eastAsia="宋体" w:cs="Times New Roman"/>
          <w:caps w:val="0"/>
          <w:smallCaps w:val="0"/>
          <w:color w:val="auto"/>
          <w:spacing w:val="0"/>
          <w:kern w:val="0"/>
          <w:sz w:val="24"/>
          <w:szCs w:val="24"/>
          <w:highlight w:val="none"/>
          <w:lang w:val="en-US" w:eastAsia="zh-CN" w:bidi="ar"/>
        </w:rPr>
        <w:t>O</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2</w:t>
      </w:r>
      <w:r>
        <w:rPr>
          <w:rFonts w:hint="eastAsia" w:ascii="Times New Roman" w:hAnsi="Times New Roman" w:eastAsia="宋体" w:cs="Times New Roman"/>
          <w:caps w:val="0"/>
          <w:smallCaps w:val="0"/>
          <w:color w:val="auto"/>
          <w:spacing w:val="0"/>
          <w:kern w:val="0"/>
          <w:sz w:val="24"/>
          <w:szCs w:val="24"/>
          <w:highlight w:val="none"/>
          <w:lang w:val="en-US" w:eastAsia="zh-CN" w:bidi="ar"/>
        </w:rPr>
        <w:t>、</w:t>
      </w:r>
      <w:r>
        <w:rPr>
          <w:rFonts w:ascii="Times New Roman" w:hAnsi="Times New Roman" w:eastAsia="宋体" w:cs="Times New Roman"/>
          <w:caps w:val="0"/>
          <w:smallCaps w:val="0"/>
          <w:color w:val="auto"/>
          <w:spacing w:val="0"/>
          <w:kern w:val="0"/>
          <w:sz w:val="24"/>
          <w:szCs w:val="24"/>
          <w:highlight w:val="none"/>
          <w:lang w:val="en-US" w:eastAsia="zh-CN" w:bidi="ar"/>
        </w:rPr>
        <w:t>H</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2</w:t>
      </w:r>
      <w:r>
        <w:rPr>
          <w:rFonts w:ascii="Times New Roman" w:hAnsi="Times New Roman" w:eastAsia="宋体" w:cs="Times New Roman"/>
          <w:caps w:val="0"/>
          <w:smallCaps w:val="0"/>
          <w:color w:val="auto"/>
          <w:spacing w:val="0"/>
          <w:kern w:val="0"/>
          <w:sz w:val="24"/>
          <w:szCs w:val="24"/>
          <w:highlight w:val="none"/>
          <w:lang w:val="en-US" w:eastAsia="zh-CN" w:bidi="ar"/>
        </w:rPr>
        <w:t>O</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2</w:t>
      </w:r>
      <w:r>
        <w:rPr>
          <w:rFonts w:hint="eastAsia" w:ascii="Times New Roman" w:hAnsi="Times New Roman" w:eastAsia="宋体" w:cs="Times New Roman"/>
          <w:caps w:val="0"/>
          <w:smallCaps w:val="0"/>
          <w:color w:val="auto"/>
          <w:spacing w:val="0"/>
          <w:kern w:val="0"/>
          <w:sz w:val="24"/>
          <w:szCs w:val="24"/>
          <w:highlight w:val="none"/>
          <w:lang w:val="en-US" w:eastAsia="zh-CN" w:bidi="ar"/>
        </w:rPr>
        <w:t>、</w:t>
      </w:r>
      <w:r>
        <w:rPr>
          <w:rFonts w:ascii="Times New Roman" w:hAnsi="Times New Roman" w:eastAsia="宋体" w:cs="Times New Roman"/>
          <w:caps w:val="0"/>
          <w:smallCaps w:val="0"/>
          <w:color w:val="auto"/>
          <w:spacing w:val="0"/>
          <w:kern w:val="0"/>
          <w:sz w:val="24"/>
          <w:szCs w:val="24"/>
          <w:highlight w:val="none"/>
          <w:lang w:val="en-US" w:eastAsia="zh-CN" w:bidi="ar"/>
        </w:rPr>
        <w:t>O</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3</w:t>
      </w:r>
      <w:r>
        <w:rPr>
          <w:rFonts w:hint="eastAsia" w:ascii="Times New Roman" w:hAnsi="Times New Roman" w:eastAsia="宋体" w:cs="Times New Roman"/>
          <w:caps w:val="0"/>
          <w:smallCaps w:val="0"/>
          <w:color w:val="auto"/>
          <w:spacing w:val="0"/>
          <w:kern w:val="0"/>
          <w:sz w:val="24"/>
          <w:szCs w:val="24"/>
          <w:highlight w:val="none"/>
          <w:lang w:val="en-US" w:eastAsia="zh-CN" w:bidi="ar"/>
        </w:rPr>
        <w:t>、</w:t>
      </w:r>
      <w:r>
        <w:rPr>
          <w:rFonts w:ascii="Times New Roman" w:hAnsi="Times New Roman" w:eastAsia="宋体" w:cs="Times New Roman"/>
          <w:caps w:val="0"/>
          <w:smallCaps w:val="0"/>
          <w:color w:val="auto"/>
          <w:spacing w:val="0"/>
          <w:kern w:val="0"/>
          <w:sz w:val="24"/>
          <w:szCs w:val="24"/>
          <w:highlight w:val="none"/>
          <w:lang w:val="en-US" w:eastAsia="zh-CN" w:bidi="ar"/>
        </w:rPr>
        <w:t>Cl</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2</w:t>
      </w:r>
      <w:r>
        <w:rPr>
          <w:rFonts w:hint="eastAsia" w:ascii="Times New Roman" w:hAnsi="Times New Roman" w:eastAsia="宋体" w:cs="Times New Roman"/>
          <w:caps w:val="0"/>
          <w:smallCaps w:val="0"/>
          <w:color w:val="auto"/>
          <w:spacing w:val="0"/>
          <w:kern w:val="0"/>
          <w:sz w:val="24"/>
          <w:szCs w:val="24"/>
          <w:highlight w:val="none"/>
          <w:lang w:val="en-US" w:eastAsia="zh-CN" w:bidi="ar"/>
        </w:rPr>
        <w:t>等</w:t>
      </w:r>
      <w:r>
        <w:rPr>
          <w:rFonts w:ascii="Times New Roman" w:hAnsi="Times New Roman" w:eastAsia="宋体" w:cs="Times New Roman"/>
          <w:caps w:val="0"/>
          <w:smallCaps w:val="0"/>
          <w:color w:val="auto"/>
          <w:spacing w:val="0"/>
          <w:kern w:val="0"/>
          <w:sz w:val="24"/>
          <w:szCs w:val="24"/>
          <w:highlight w:val="none"/>
          <w:lang w:val="en-US" w:eastAsia="zh-CN" w:bidi="ar"/>
        </w:rPr>
        <w:t>)</w:t>
      </w:r>
      <w:r>
        <w:rPr>
          <w:rFonts w:hint="eastAsia" w:ascii="Times New Roman" w:hAnsi="Times New Roman" w:eastAsia="宋体" w:cs="Times New Roman"/>
          <w:caps w:val="0"/>
          <w:smallCaps w:val="0"/>
          <w:color w:val="auto"/>
          <w:spacing w:val="0"/>
          <w:kern w:val="0"/>
          <w:sz w:val="24"/>
          <w:szCs w:val="24"/>
          <w:highlight w:val="none"/>
          <w:lang w:val="en-US" w:eastAsia="zh-CN" w:bidi="ar"/>
        </w:rPr>
        <w:t>，与废水中的有机污染物无选择地快速发生链式反应，进行氧化降解，将难生化降解的高分子有机物转化为可生化降解的小分子化合物，提高</w:t>
      </w:r>
      <w:r>
        <w:rPr>
          <w:rFonts w:ascii="Times New Roman" w:hAnsi="Times New Roman" w:eastAsia="宋体" w:cs="Times New Roman"/>
          <w:caps w:val="0"/>
          <w:smallCaps w:val="0"/>
          <w:color w:val="auto"/>
          <w:spacing w:val="0"/>
          <w:kern w:val="0"/>
          <w:sz w:val="24"/>
          <w:szCs w:val="24"/>
          <w:highlight w:val="none"/>
          <w:lang w:val="en-US" w:eastAsia="zh-CN" w:bidi="ar"/>
        </w:rPr>
        <w:t>B/C</w:t>
      </w:r>
      <w:r>
        <w:rPr>
          <w:rFonts w:hint="eastAsia" w:ascii="Times New Roman" w:hAnsi="Times New Roman" w:eastAsia="宋体" w:cs="Times New Roman"/>
          <w:caps w:val="0"/>
          <w:smallCaps w:val="0"/>
          <w:color w:val="auto"/>
          <w:spacing w:val="0"/>
          <w:kern w:val="0"/>
          <w:sz w:val="24"/>
          <w:szCs w:val="24"/>
          <w:highlight w:val="none"/>
          <w:lang w:val="en-US" w:eastAsia="zh-CN" w:bidi="ar"/>
        </w:rPr>
        <w:t>比，改善废水的可生化性，甚至将有机物最终分解为</w:t>
      </w:r>
      <w:r>
        <w:rPr>
          <w:rFonts w:ascii="Times New Roman" w:hAnsi="Times New Roman" w:eastAsia="宋体" w:cs="Times New Roman"/>
          <w:caps w:val="0"/>
          <w:smallCaps w:val="0"/>
          <w:color w:val="auto"/>
          <w:spacing w:val="0"/>
          <w:kern w:val="0"/>
          <w:sz w:val="24"/>
          <w:szCs w:val="24"/>
          <w:highlight w:val="none"/>
          <w:lang w:val="en-US" w:eastAsia="zh-CN" w:bidi="ar"/>
        </w:rPr>
        <w:t>CO</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2</w:t>
      </w:r>
      <w:r>
        <w:rPr>
          <w:rFonts w:hint="eastAsia" w:ascii="Times New Roman" w:hAnsi="Times New Roman" w:eastAsia="宋体" w:cs="Times New Roman"/>
          <w:caps w:val="0"/>
          <w:smallCaps w:val="0"/>
          <w:color w:val="auto"/>
          <w:spacing w:val="0"/>
          <w:kern w:val="0"/>
          <w:sz w:val="24"/>
          <w:szCs w:val="24"/>
          <w:highlight w:val="none"/>
          <w:lang w:val="en-US" w:eastAsia="zh-CN" w:bidi="ar"/>
        </w:rPr>
        <w:t>和</w:t>
      </w:r>
      <w:r>
        <w:rPr>
          <w:rFonts w:ascii="Times New Roman" w:hAnsi="Times New Roman" w:eastAsia="宋体" w:cs="Times New Roman"/>
          <w:caps w:val="0"/>
          <w:smallCaps w:val="0"/>
          <w:color w:val="auto"/>
          <w:spacing w:val="0"/>
          <w:kern w:val="0"/>
          <w:sz w:val="24"/>
          <w:szCs w:val="24"/>
          <w:highlight w:val="none"/>
          <w:lang w:val="en-US" w:eastAsia="zh-CN" w:bidi="ar"/>
        </w:rPr>
        <w:t>H</w:t>
      </w:r>
      <w:r>
        <w:rPr>
          <w:rFonts w:ascii="Times New Roman" w:hAnsi="Times New Roman" w:eastAsia="宋体" w:cs="Times New Roman"/>
          <w:caps w:val="0"/>
          <w:smallCaps w:val="0"/>
          <w:color w:val="auto"/>
          <w:spacing w:val="0"/>
          <w:kern w:val="0"/>
          <w:sz w:val="24"/>
          <w:szCs w:val="24"/>
          <w:highlight w:val="none"/>
          <w:vertAlign w:val="subscript"/>
          <w:lang w:val="en-US" w:eastAsia="zh-CN" w:bidi="ar"/>
        </w:rPr>
        <w:t>2</w:t>
      </w:r>
      <w:r>
        <w:rPr>
          <w:rFonts w:ascii="Times New Roman" w:hAnsi="Times New Roman" w:eastAsia="宋体" w:cs="Times New Roman"/>
          <w:caps w:val="0"/>
          <w:smallCaps w:val="0"/>
          <w:color w:val="auto"/>
          <w:spacing w:val="0"/>
          <w:kern w:val="0"/>
          <w:sz w:val="24"/>
          <w:szCs w:val="24"/>
          <w:highlight w:val="none"/>
          <w:lang w:val="en-US" w:eastAsia="zh-CN" w:bidi="ar"/>
        </w:rPr>
        <w:t>O</w:t>
      </w:r>
      <w:r>
        <w:rPr>
          <w:rFonts w:hint="eastAsia" w:ascii="Times New Roman" w:hAnsi="Times New Roman" w:eastAsia="宋体" w:cs="Times New Roman"/>
          <w:caps w:val="0"/>
          <w:smallCaps w:val="0"/>
          <w:color w:val="auto"/>
          <w:spacing w:val="0"/>
          <w:kern w:val="0"/>
          <w:sz w:val="24"/>
          <w:szCs w:val="24"/>
          <w:highlight w:val="none"/>
          <w:lang w:val="en-US" w:eastAsia="zh-CN" w:bidi="ar"/>
        </w:rPr>
        <w:t>等简单的无机分子，降解</w:t>
      </w:r>
      <w:r>
        <w:rPr>
          <w:rFonts w:ascii="Times New Roman" w:hAnsi="Times New Roman" w:eastAsia="宋体" w:cs="Times New Roman"/>
          <w:caps w:val="0"/>
          <w:smallCaps w:val="0"/>
          <w:color w:val="auto"/>
          <w:spacing w:val="0"/>
          <w:kern w:val="0"/>
          <w:sz w:val="24"/>
          <w:szCs w:val="24"/>
          <w:highlight w:val="none"/>
          <w:lang w:val="en-US" w:eastAsia="zh-CN" w:bidi="ar"/>
        </w:rPr>
        <w:t>COD</w:t>
      </w:r>
      <w:r>
        <w:rPr>
          <w:rFonts w:hint="eastAsia" w:ascii="Times New Roman" w:hAnsi="Times New Roman" w:eastAsia="宋体" w:cs="Times New Roman"/>
          <w:caps w:val="0"/>
          <w:smallCaps w:val="0"/>
          <w:color w:val="auto"/>
          <w:spacing w:val="0"/>
          <w:kern w:val="0"/>
          <w:sz w:val="24"/>
          <w:szCs w:val="24"/>
          <w:highlight w:val="none"/>
          <w:lang w:val="en-US" w:eastAsia="zh-CN" w:bidi="ar"/>
        </w:rPr>
        <w:t>。</w:t>
      </w:r>
    </w:p>
    <w:p w14:paraId="5613FF10">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 w:val="24"/>
          <w:szCs w:val="24"/>
          <w:highlight w:val="none"/>
          <w:lang w:val="en-US" w:eastAsia="zh-CN" w:bidi="ar"/>
        </w:rPr>
        <w:t>由于体系内产生的羟基自由基具有极高的氧化电位，可与废水中的大部分有机污染物无选择地发生氧化反应，因此</w:t>
      </w:r>
      <w:r>
        <w:rPr>
          <w:rFonts w:ascii="Times New Roman" w:hAnsi="Times New Roman" w:eastAsia="宋体" w:cs="Times New Roman"/>
          <w:caps w:val="0"/>
          <w:smallCaps w:val="0"/>
          <w:color w:val="auto"/>
          <w:spacing w:val="0"/>
          <w:kern w:val="0"/>
          <w:sz w:val="24"/>
          <w:szCs w:val="24"/>
          <w:highlight w:val="none"/>
          <w:lang w:val="en-US" w:eastAsia="zh-CN" w:bidi="ar"/>
        </w:rPr>
        <w:t>XE</w:t>
      </w:r>
      <w:r>
        <w:rPr>
          <w:rFonts w:hint="eastAsia" w:ascii="Times New Roman" w:hAnsi="Times New Roman" w:eastAsia="宋体" w:cs="Times New Roman"/>
          <w:caps w:val="0"/>
          <w:smallCaps w:val="0"/>
          <w:color w:val="auto"/>
          <w:spacing w:val="0"/>
          <w:kern w:val="0"/>
          <w:sz w:val="24"/>
          <w:szCs w:val="24"/>
          <w:highlight w:val="none"/>
          <w:lang w:val="en-US" w:eastAsia="zh-CN" w:bidi="ar"/>
        </w:rPr>
        <w:t>催化氧化处理废水时对有机污染物无明显的选择性，对废水中含有多种不明确有机污染物，处理优势尤为明显，可实现高效处理。</w:t>
      </w:r>
      <w:r>
        <w:rPr>
          <w:rFonts w:ascii="Times New Roman" w:hAnsi="Times New Roman" w:eastAsia="宋体" w:cs="Times New Roman"/>
          <w:caps w:val="0"/>
          <w:smallCaps w:val="0"/>
          <w:color w:val="auto"/>
          <w:spacing w:val="0"/>
          <w:kern w:val="0"/>
          <w:sz w:val="24"/>
          <w:szCs w:val="24"/>
          <w:highlight w:val="none"/>
          <w:lang w:val="en-US" w:eastAsia="zh-CN" w:bidi="ar"/>
        </w:rPr>
        <w:t>XE</w:t>
      </w:r>
      <w:r>
        <w:rPr>
          <w:rFonts w:hint="eastAsia" w:ascii="Times New Roman" w:hAnsi="Times New Roman" w:eastAsia="宋体" w:cs="Times New Roman"/>
          <w:caps w:val="0"/>
          <w:smallCaps w:val="0"/>
          <w:color w:val="auto"/>
          <w:spacing w:val="0"/>
          <w:kern w:val="0"/>
          <w:sz w:val="24"/>
          <w:szCs w:val="24"/>
          <w:highlight w:val="none"/>
          <w:lang w:val="en-US" w:eastAsia="zh-CN" w:bidi="ar"/>
        </w:rPr>
        <w:t>催化处理过程中电子转移只在电极及废水组份间进行，氧化反应依靠体系产生的羟基自由基进行，不需另外添加氧化还原剂，避免了由于另外添加药剂而引起的二次污染问题，随</w:t>
      </w:r>
      <w:r>
        <w:rPr>
          <w:rFonts w:ascii="Times New Roman" w:hAnsi="Times New Roman" w:eastAsia="宋体" w:cs="Times New Roman"/>
          <w:caps w:val="0"/>
          <w:smallCaps w:val="0"/>
          <w:color w:val="auto"/>
          <w:spacing w:val="0"/>
          <w:kern w:val="0"/>
          <w:szCs w:val="24"/>
          <w:highlight w:val="none"/>
          <w:lang w:bidi="ar"/>
        </w:rPr>
        <w:t>后自流进入组合气浮装置。组合气浮系统内</w:t>
      </w:r>
      <w:r>
        <w:rPr>
          <w:rFonts w:hint="eastAsia" w:ascii="Times New Roman" w:hAnsi="Times New Roman" w:eastAsia="宋体" w:cs="Times New Roman"/>
          <w:caps w:val="0"/>
          <w:smallCaps w:val="0"/>
          <w:color w:val="auto"/>
          <w:spacing w:val="0"/>
          <w:kern w:val="0"/>
          <w:szCs w:val="24"/>
          <w:highlight w:val="none"/>
          <w:lang w:val="en-US" w:eastAsia="zh-CN" w:bidi="ar"/>
        </w:rPr>
        <w:t>加入PAC和PAM絮凝剂</w:t>
      </w:r>
      <w:r>
        <w:rPr>
          <w:rFonts w:ascii="Times New Roman" w:hAnsi="Times New Roman" w:eastAsia="宋体" w:cs="Times New Roman"/>
          <w:caps w:val="0"/>
          <w:smallCaps w:val="0"/>
          <w:color w:val="auto"/>
          <w:spacing w:val="0"/>
          <w:kern w:val="0"/>
          <w:szCs w:val="24"/>
          <w:highlight w:val="none"/>
          <w:lang w:bidi="ar"/>
        </w:rPr>
        <w:t>进行硬度的去除，</w:t>
      </w:r>
      <w:r>
        <w:rPr>
          <w:rFonts w:ascii="Times New Roman" w:hAnsi="Times New Roman" w:eastAsia="宋体" w:cs="Times New Roman"/>
          <w:caps w:val="0"/>
          <w:smallCaps w:val="0"/>
          <w:color w:val="auto"/>
          <w:spacing w:val="0"/>
          <w:kern w:val="0"/>
          <w:szCs w:val="24"/>
          <w:highlight w:val="none"/>
          <w:lang w:bidi="ar"/>
        </w:rPr>
        <w:t>对来水的SS进行去除，之后再进入气浮出水池，通过加酸进行pH调节。经过充分调节后，</w:t>
      </w:r>
      <w:r>
        <w:rPr>
          <w:rFonts w:ascii="Times New Roman" w:hAnsi="Times New Roman" w:eastAsia="宋体" w:cs="Times New Roman"/>
          <w:caps w:val="0"/>
          <w:smallCaps w:val="0"/>
          <w:color w:val="auto"/>
          <w:spacing w:val="0"/>
          <w:kern w:val="0"/>
          <w:szCs w:val="24"/>
          <w:highlight w:val="none"/>
          <w:lang w:bidi="ar"/>
        </w:rPr>
        <w:t>废水进入撬装式一体化生化系统，</w:t>
      </w:r>
      <w:r>
        <w:rPr>
          <w:rFonts w:hint="eastAsia" w:ascii="Times New Roman" w:hAnsi="Times New Roman" w:eastAsia="宋体" w:cs="Times New Roman"/>
          <w:caps w:val="0"/>
          <w:smallCaps w:val="0"/>
          <w:color w:val="auto"/>
          <w:spacing w:val="0"/>
          <w:kern w:val="0"/>
          <w:szCs w:val="24"/>
          <w:highlight w:val="none"/>
          <w:lang w:val="en-US" w:eastAsia="zh-CN" w:bidi="ar"/>
        </w:rPr>
        <w:t>此系统由好氧池、厌氧池及MBR膜共同组成，</w:t>
      </w:r>
      <w:r>
        <w:rPr>
          <w:rFonts w:ascii="Times New Roman" w:hAnsi="Times New Roman" w:eastAsia="宋体" w:cs="Times New Roman"/>
          <w:caps w:val="0"/>
          <w:smallCaps w:val="0"/>
          <w:color w:val="auto"/>
          <w:spacing w:val="0"/>
          <w:kern w:val="0"/>
          <w:szCs w:val="24"/>
          <w:highlight w:val="none"/>
          <w:lang w:bidi="ar"/>
        </w:rPr>
        <w:t>对COD、TN进行氧化去除，进一步去除COD、TN等污染物。设计MBR系统作为泥水分离措施，MBR产水进入预处理水箱，之后进入膜浓缩系统。另设计一路旁通，接至低浓废水收集池</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旁路设置为预防显影废水设备故障时的备用处理方案</w:t>
      </w:r>
      <w:r>
        <w:rPr>
          <w:rFonts w:ascii="Times New Roman" w:hAnsi="Times New Roman" w:eastAsia="宋体" w:cs="Times New Roman"/>
          <w:caps w:val="0"/>
          <w:smallCaps w:val="0"/>
          <w:color w:val="auto"/>
          <w:spacing w:val="0"/>
          <w:kern w:val="0"/>
          <w:szCs w:val="24"/>
          <w:highlight w:val="none"/>
          <w:lang w:bidi="ar"/>
        </w:rPr>
        <w:t>。</w:t>
      </w:r>
    </w:p>
    <w:p w14:paraId="0C73DEA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处理过程中的预沉系统、气浮系统、生化系统排泥至污泥浓缩池1，通过排泥泵排至压滤机进行处理，压滤液返回显影废水收集池处理，压滤得到的化学污泥按危废进行妥善处理。</w:t>
      </w:r>
    </w:p>
    <w:p w14:paraId="176CC070">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（2）低浓废水工艺流程</w:t>
      </w:r>
    </w:p>
    <w:p w14:paraId="0523C250">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低浓度废水在低浓废水收集池中收集，废水通过提升泵提升进入化学沉淀池，在化学沉淀池中加入氢氧化钠，并设搅拌装置，控制废水pH值在9左右，反应时间15min，经化学沉淀处理后的废水通过泵提升进入膜分离单元，膜分离单元采用多孔微滤膜，在压力驱使下废水中的悬浮物（Cd(OH)</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）与液体分离，渗透液进入预处理水箱，之后进入膜处理系统，截留的浓缩液流入浓缩槽，在浓缩槽内不断浓缩处理后，达到一定污泥量后，通过排泥泵排至污泥浓缩池1。</w:t>
      </w:r>
    </w:p>
    <w:p w14:paraId="238F6EC2">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（3）高浓度废水工艺流程</w:t>
      </w:r>
    </w:p>
    <w:p w14:paraId="72179982">
      <w:pPr>
        <w:widowControl w:val="0"/>
        <w:spacing w:line="360" w:lineRule="auto"/>
        <w:ind w:firstLine="480" w:firstLineChars="200"/>
        <w:jc w:val="both"/>
        <w:rPr>
          <w:rFonts w:hint="eastAsia" w:ascii="Times New Roman" w:hAnsi="Times New Roman" w:eastAsia="宋体" w:cs="Times New Roman"/>
          <w:caps w:val="0"/>
          <w:smallCaps w:val="0"/>
          <w:color w:val="auto"/>
          <w:spacing w:val="0"/>
          <w:kern w:val="0"/>
          <w:szCs w:val="24"/>
          <w:highlight w:val="none"/>
          <w:lang w:eastAsia="zh-CN" w:bidi="ar"/>
        </w:rPr>
      </w:pPr>
      <w:r>
        <w:rPr>
          <w:rFonts w:ascii="Times New Roman" w:hAnsi="Times New Roman" w:eastAsia="宋体" w:cs="Times New Roman"/>
          <w:caps w:val="0"/>
          <w:smallCaps w:val="0"/>
          <w:color w:val="auto"/>
          <w:spacing w:val="0"/>
          <w:kern w:val="0"/>
          <w:szCs w:val="24"/>
          <w:highlight w:val="none"/>
          <w:lang w:bidi="ar"/>
        </w:rPr>
        <w:t>两股废水单独进行收集，调节pH</w:t>
      </w:r>
      <w:r>
        <w:rPr>
          <w:rFonts w:hint="eastAsia" w:ascii="Times New Roman" w:hAnsi="Times New Roman" w:eastAsia="宋体" w:cs="Times New Roman"/>
          <w:caps w:val="0"/>
          <w:smallCaps w:val="0"/>
          <w:color w:val="auto"/>
          <w:spacing w:val="0"/>
          <w:kern w:val="0"/>
          <w:szCs w:val="24"/>
          <w:highlight w:val="none"/>
          <w:lang w:val="en-US" w:eastAsia="zh-CN" w:bidi="ar"/>
        </w:rPr>
        <w:t>至6.5-8.0之间随</w:t>
      </w:r>
      <w:r>
        <w:rPr>
          <w:rFonts w:ascii="Times New Roman" w:hAnsi="Times New Roman" w:eastAsia="宋体" w:cs="Times New Roman"/>
          <w:caps w:val="0"/>
          <w:smallCaps w:val="0"/>
          <w:color w:val="auto"/>
          <w:spacing w:val="0"/>
          <w:kern w:val="0"/>
          <w:szCs w:val="24"/>
          <w:highlight w:val="none"/>
          <w:lang w:bidi="ar"/>
        </w:rPr>
        <w:t>后加</w:t>
      </w:r>
      <w:r>
        <w:rPr>
          <w:rFonts w:hint="eastAsia" w:ascii="Times New Roman" w:hAnsi="Times New Roman" w:eastAsia="宋体" w:cs="Times New Roman"/>
          <w:caps w:val="0"/>
          <w:smallCaps w:val="0"/>
          <w:color w:val="auto"/>
          <w:spacing w:val="0"/>
          <w:kern w:val="0"/>
          <w:szCs w:val="24"/>
          <w:highlight w:val="none"/>
          <w:lang w:val="en-US" w:eastAsia="zh-CN" w:bidi="ar"/>
        </w:rPr>
        <w:t>入PAC和PAM进行</w:t>
      </w:r>
      <w:r>
        <w:rPr>
          <w:rFonts w:ascii="Times New Roman" w:hAnsi="Times New Roman" w:eastAsia="宋体" w:cs="Times New Roman"/>
          <w:caps w:val="0"/>
          <w:smallCaps w:val="0"/>
          <w:color w:val="auto"/>
          <w:spacing w:val="0"/>
          <w:kern w:val="0"/>
          <w:szCs w:val="24"/>
          <w:highlight w:val="none"/>
          <w:lang w:bidi="ar"/>
        </w:rPr>
        <w:t>沉淀，产水进入蒸发进水池，后续蒸发结晶处理</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蒸发能力为1.5t/h，蒸发水经冷凝后进入预处理水箱，</w:t>
      </w:r>
      <w:r>
        <w:rPr>
          <w:rFonts w:ascii="Times New Roman" w:hAnsi="Times New Roman" w:eastAsia="宋体" w:cs="Times New Roman"/>
          <w:caps w:val="0"/>
          <w:smallCaps w:val="0"/>
          <w:color w:val="auto"/>
          <w:spacing w:val="0"/>
          <w:kern w:val="0"/>
          <w:szCs w:val="24"/>
          <w:highlight w:val="none"/>
          <w:lang w:bidi="ar"/>
        </w:rPr>
        <w:t>系统中所产生的污泥经过收集后，进入污泥浓缩池2，最终</w:t>
      </w:r>
      <w:r>
        <w:rPr>
          <w:rFonts w:hint="eastAsia" w:ascii="Times New Roman" w:hAnsi="Times New Roman" w:eastAsia="宋体" w:cs="Times New Roman"/>
          <w:caps w:val="0"/>
          <w:smallCaps w:val="0"/>
          <w:color w:val="auto"/>
          <w:spacing w:val="0"/>
          <w:kern w:val="0"/>
          <w:szCs w:val="24"/>
          <w:highlight w:val="none"/>
          <w:lang w:val="en-US" w:eastAsia="zh-CN" w:bidi="ar"/>
        </w:rPr>
        <w:t>与低浓度废水中的</w:t>
      </w:r>
      <w:r>
        <w:rPr>
          <w:rFonts w:ascii="Times New Roman" w:hAnsi="Times New Roman" w:eastAsia="宋体" w:cs="Times New Roman"/>
          <w:caps w:val="0"/>
          <w:smallCaps w:val="0"/>
          <w:color w:val="auto"/>
          <w:spacing w:val="0"/>
          <w:kern w:val="0"/>
          <w:szCs w:val="24"/>
          <w:highlight w:val="none"/>
          <w:lang w:bidi="ar"/>
        </w:rPr>
        <w:t>污泥浓缩池1</w:t>
      </w:r>
      <w:r>
        <w:rPr>
          <w:rFonts w:hint="eastAsia" w:ascii="Times New Roman" w:hAnsi="Times New Roman" w:eastAsia="宋体" w:cs="Times New Roman"/>
          <w:caps w:val="0"/>
          <w:smallCaps w:val="0"/>
          <w:color w:val="auto"/>
          <w:spacing w:val="0"/>
          <w:kern w:val="0"/>
          <w:szCs w:val="24"/>
          <w:highlight w:val="none"/>
          <w:lang w:val="en-US" w:eastAsia="zh-CN" w:bidi="ar"/>
        </w:rPr>
        <w:t>共同</w:t>
      </w:r>
      <w:r>
        <w:rPr>
          <w:rFonts w:ascii="Times New Roman" w:hAnsi="Times New Roman" w:eastAsia="宋体" w:cs="Times New Roman"/>
          <w:caps w:val="0"/>
          <w:smallCaps w:val="0"/>
          <w:color w:val="auto"/>
          <w:spacing w:val="0"/>
          <w:kern w:val="0"/>
          <w:szCs w:val="24"/>
          <w:highlight w:val="none"/>
          <w:lang w:bidi="ar"/>
        </w:rPr>
        <w:t>经过污泥压滤后，泥饼外运处理</w:t>
      </w:r>
      <w:r>
        <w:rPr>
          <w:rFonts w:hint="eastAsia" w:ascii="Times New Roman" w:hAnsi="Times New Roman" w:eastAsia="宋体" w:cs="Times New Roman"/>
          <w:caps w:val="0"/>
          <w:smallCaps w:val="0"/>
          <w:color w:val="auto"/>
          <w:spacing w:val="0"/>
          <w:kern w:val="0"/>
          <w:szCs w:val="24"/>
          <w:highlight w:val="none"/>
          <w:lang w:eastAsia="zh-CN" w:bidi="ar"/>
        </w:rPr>
        <w:t>。</w:t>
      </w:r>
    </w:p>
    <w:p w14:paraId="033450F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（4）膜浓缩工艺流程</w:t>
      </w:r>
    </w:p>
    <w:p w14:paraId="46C914B8">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预处理水箱的废水先经过活性炭过滤器，随后进入初级RO系统，初级RO系统产水排至初级淡水水箱，初级RO浓水在初级浓水箱中收集。RO浓水通过ROR系统进一步浓缩减量，产水排至初级淡水水箱，ROR浓水直接排入蒸发进水池进行蒸发结晶处理。初级淡水箱的废水进入淡水RO系统，产水排至纯水原水箱，浓水返回预处理水箱。</w:t>
      </w:r>
    </w:p>
    <w:p w14:paraId="687111E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（5）纯水制备工艺流程</w:t>
      </w:r>
    </w:p>
    <w:p w14:paraId="2F7AB897">
      <w:pPr>
        <w:pStyle w:val="13"/>
        <w:widowControl w:val="0"/>
        <w:spacing w:after="0"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纯水原水箱内的水经过2级RO处理后，经过UV杀菌器后进入EDI模组进行最终脱盐，产水至纯水箱暂存，通过纯水增加泵至去TOC仪和终端过滤器，最终至用水点。一级RO浓水回流至淡水RO系统，二级RO和EDI浓水回流至纯水原水箱。</w:t>
      </w:r>
    </w:p>
    <w:p w14:paraId="6B709897">
      <w:pPr>
        <w:pStyle w:val="13"/>
        <w:widowControl w:val="0"/>
        <w:spacing w:after="0"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RO反渗透工艺与膜过滤脱盐系统RO反渗透过滤器原理一样，进一步去除水中阴、阳离子，有机物及细菌等。过滤后的水经EDI除盐反应后进入超纯水水箱，用于生产工艺中氯化镉溶液配制及活化层清洗工序。</w:t>
      </w:r>
    </w:p>
    <w:p w14:paraId="3D45691F">
      <w:pPr>
        <w:pStyle w:val="13"/>
        <w:widowControl w:val="0"/>
        <w:spacing w:after="0" w:line="360" w:lineRule="auto"/>
        <w:ind w:firstLine="480" w:firstLineChars="200"/>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电除盐（英文Eelectrdeioization，简称EDI),是一种使用直流电源，无需化学药剂添加的持续从进水中去除离子和离子物质技术。EDI及时主要用与反渗透（RO）产水的深度除盐，无需储存和处理树脂再生和相关废水中的危险化学药剂，能够有效取代传统离子交换混床。EDI性能稳定，产水电阻率可达到≥15MΩ.cm(25℃)，并有极强的硅和硼去除能力，是能实现除盐水深度除盐处理的真正经济型产品。</w:t>
      </w:r>
    </w:p>
    <w:p w14:paraId="1951CD99">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（6）蒸发结晶系统</w:t>
      </w:r>
    </w:p>
    <w:p w14:paraId="1A8DDE3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本项目采用三效蒸发器</w:t>
      </w:r>
      <w:r>
        <w:rPr>
          <w:rFonts w:hint="eastAsia" w:ascii="Times New Roman" w:hAnsi="Times New Roman" w:eastAsia="宋体" w:cs="Times New Roman"/>
          <w:caps w:val="0"/>
          <w:smallCaps w:val="0"/>
          <w:color w:val="auto"/>
          <w:spacing w:val="0"/>
          <w:kern w:val="0"/>
          <w:szCs w:val="24"/>
          <w:highlight w:val="none"/>
          <w:lang w:bidi="ar"/>
        </w:rPr>
        <w:t>（热源以外购热源为主，外购热源不足时用电供热）</w:t>
      </w:r>
      <w:r>
        <w:rPr>
          <w:rFonts w:ascii="Times New Roman" w:hAnsi="Times New Roman" w:eastAsia="宋体" w:cs="Times New Roman"/>
          <w:caps w:val="0"/>
          <w:smallCaps w:val="0"/>
          <w:color w:val="auto"/>
          <w:spacing w:val="0"/>
          <w:kern w:val="0"/>
          <w:szCs w:val="24"/>
          <w:highlight w:val="none"/>
          <w:lang w:bidi="ar"/>
        </w:rPr>
        <w:t>，冷凝水回流至预处理水箱，结晶混盐废渣委外处理。</w:t>
      </w:r>
    </w:p>
    <w:p w14:paraId="7FEB1428">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高</w:t>
      </w:r>
      <w:r>
        <w:rPr>
          <w:rFonts w:hint="eastAsia" w:ascii="Times New Roman" w:hAnsi="Times New Roman" w:eastAsia="宋体" w:cs="Times New Roman"/>
          <w:caps w:val="0"/>
          <w:smallCaps w:val="0"/>
          <w:color w:val="auto"/>
          <w:spacing w:val="0"/>
          <w:kern w:val="0"/>
          <w:szCs w:val="24"/>
          <w:highlight w:val="none"/>
          <w:lang w:bidi="ar"/>
        </w:rPr>
        <w:t>浓度含镉</w:t>
      </w:r>
      <w:r>
        <w:rPr>
          <w:rFonts w:ascii="Times New Roman" w:hAnsi="Times New Roman" w:eastAsia="宋体" w:cs="Times New Roman"/>
          <w:caps w:val="0"/>
          <w:smallCaps w:val="0"/>
          <w:color w:val="auto"/>
          <w:spacing w:val="0"/>
          <w:kern w:val="0"/>
          <w:szCs w:val="24"/>
          <w:highlight w:val="none"/>
          <w:lang w:bidi="ar"/>
        </w:rPr>
        <w:t>废水经由三效蒸发器高温高效、中温中效、低温低效三级蒸发使其废水中所含物质结晶析出委外处理，其冷凝水回流至预处理水箱经由纯水处理工艺处理回用。</w:t>
      </w:r>
    </w:p>
    <w:p w14:paraId="7B8107AF">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position w:val="2"/>
          <w:highlight w:val="none"/>
        </w:rPr>
      </w:pPr>
      <w:r>
        <w:rPr>
          <w:rFonts w:ascii="Times New Roman" w:hAnsi="Times New Roman" w:eastAsia="宋体" w:cs="Times New Roman"/>
          <w:caps w:val="0"/>
          <w:smallCaps w:val="0"/>
          <w:color w:val="auto"/>
          <w:spacing w:val="0"/>
          <w:kern w:val="0"/>
          <w:szCs w:val="24"/>
          <w:highlight w:val="none"/>
          <w:lang w:bidi="ar"/>
        </w:rPr>
        <w:t>（7）</w:t>
      </w:r>
      <w:r>
        <w:rPr>
          <w:rFonts w:ascii="Times New Roman" w:hAnsi="Times New Roman" w:eastAsia="宋体" w:cs="Times New Roman"/>
          <w:caps w:val="0"/>
          <w:smallCaps w:val="0"/>
          <w:color w:val="auto"/>
          <w:spacing w:val="0"/>
          <w:position w:val="2"/>
          <w:highlight w:val="none"/>
        </w:rPr>
        <w:t>事故应急装置</w:t>
      </w:r>
    </w:p>
    <w:p w14:paraId="287D9B83">
      <w:pPr>
        <w:pStyle w:val="13"/>
        <w:widowControl w:val="0"/>
        <w:spacing w:after="0" w:line="360" w:lineRule="auto"/>
        <w:ind w:firstLine="480" w:firstLineChars="200"/>
        <w:jc w:val="both"/>
        <w:rPr>
          <w:rFonts w:ascii="Times New Roman" w:hAnsi="Times New Roman" w:eastAsia="宋体" w:cs="Times New Roman"/>
          <w:caps w:val="0"/>
          <w:smallCaps w:val="0"/>
          <w:color w:val="auto"/>
          <w:spacing w:val="0"/>
          <w:position w:val="2"/>
          <w:highlight w:val="none"/>
        </w:rPr>
      </w:pPr>
      <w:r>
        <w:rPr>
          <w:rFonts w:ascii="Times New Roman" w:hAnsi="Times New Roman" w:eastAsia="宋体" w:cs="Times New Roman"/>
          <w:caps w:val="0"/>
          <w:smallCaps w:val="0"/>
          <w:color w:val="auto"/>
          <w:spacing w:val="0"/>
          <w:position w:val="2"/>
          <w:highlight w:val="none"/>
        </w:rPr>
        <w:t>本项目污水处理站设置了2座50m</w:t>
      </w:r>
      <w:r>
        <w:rPr>
          <w:rFonts w:ascii="Times New Roman" w:hAnsi="Times New Roman" w:eastAsia="宋体" w:cs="Times New Roman"/>
          <w:caps w:val="0"/>
          <w:smallCaps w:val="0"/>
          <w:color w:val="auto"/>
          <w:spacing w:val="0"/>
          <w:position w:val="2"/>
          <w:highlight w:val="none"/>
          <w:vertAlign w:val="superscript"/>
        </w:rPr>
        <w:t>3</w:t>
      </w:r>
      <w:r>
        <w:rPr>
          <w:rFonts w:ascii="Times New Roman" w:hAnsi="Times New Roman" w:eastAsia="宋体" w:cs="Times New Roman"/>
          <w:caps w:val="0"/>
          <w:smallCaps w:val="0"/>
          <w:color w:val="auto"/>
          <w:spacing w:val="0"/>
          <w:position w:val="2"/>
          <w:highlight w:val="none"/>
        </w:rPr>
        <w:t>的应急事故水箱，如污水处理系统发生故障，可将产生的含镉污水输送至应急事故水箱，应急事故水箱可容纳生产系统和纯水装置排放的约20小时产生的含镉污水。污水处理站一旦发生故障不能运行时，处理不了的污水可进入应急事故水箱，待污水处理站恢复运行后，将应急水箱内的污水分批返回污水处理站处理。同时在项目污水处理间，设置了一个20m</w:t>
      </w:r>
      <w:r>
        <w:rPr>
          <w:rFonts w:ascii="Times New Roman" w:hAnsi="Times New Roman" w:eastAsia="宋体" w:cs="Times New Roman"/>
          <w:caps w:val="0"/>
          <w:smallCaps w:val="0"/>
          <w:color w:val="auto"/>
          <w:spacing w:val="0"/>
          <w:position w:val="2"/>
          <w:highlight w:val="none"/>
          <w:vertAlign w:val="superscript"/>
        </w:rPr>
        <w:t>3</w:t>
      </w:r>
      <w:r>
        <w:rPr>
          <w:rFonts w:ascii="Times New Roman" w:hAnsi="Times New Roman" w:eastAsia="宋体" w:cs="Times New Roman"/>
          <w:caps w:val="0"/>
          <w:smallCaps w:val="0"/>
          <w:color w:val="auto"/>
          <w:spacing w:val="0"/>
          <w:position w:val="2"/>
          <w:highlight w:val="none"/>
        </w:rPr>
        <w:t>的收集水池，防止管线及水箱发生破裂或渗漏，造成地表漫流。本次评价要求设置了1座应急事故池，一旦发生火灾或设备容器破裂产生的废液或消防水，进入地表水体或造成地表漫流，事故池容积为400m</w:t>
      </w:r>
      <w:r>
        <w:rPr>
          <w:rFonts w:ascii="Times New Roman" w:hAnsi="Times New Roman" w:eastAsia="宋体" w:cs="Times New Roman"/>
          <w:caps w:val="0"/>
          <w:smallCaps w:val="0"/>
          <w:color w:val="auto"/>
          <w:spacing w:val="0"/>
          <w:position w:val="2"/>
          <w:highlight w:val="none"/>
          <w:vertAlign w:val="superscript"/>
        </w:rPr>
        <w:t>3</w:t>
      </w:r>
      <w:r>
        <w:rPr>
          <w:rFonts w:ascii="Times New Roman" w:hAnsi="Times New Roman" w:eastAsia="宋体" w:cs="Times New Roman"/>
          <w:caps w:val="0"/>
          <w:smallCaps w:val="0"/>
          <w:color w:val="auto"/>
          <w:spacing w:val="0"/>
          <w:position w:val="2"/>
          <w:highlight w:val="none"/>
        </w:rPr>
        <w:t>。</w:t>
      </w:r>
    </w:p>
    <w:p w14:paraId="50536BFC">
      <w:pPr>
        <w:ind w:firstLine="480" w:firstLineChars="200"/>
        <w:rPr>
          <w:rFonts w:ascii="Times New Roman" w:hAnsi="Times New Roman" w:eastAsia="宋体" w:cs="Times New Roman"/>
          <w:caps w:val="0"/>
          <w:smallCaps w:val="0"/>
          <w:color w:val="auto"/>
          <w:spacing w:val="0"/>
          <w:position w:val="2"/>
          <w:highlight w:val="none"/>
        </w:rPr>
      </w:pPr>
      <w:r>
        <w:rPr>
          <w:rFonts w:hint="eastAsia" w:ascii="Times New Roman" w:hAnsi="Times New Roman" w:eastAsia="宋体" w:cs="Times New Roman"/>
          <w:caps w:val="0"/>
          <w:smallCaps w:val="0"/>
          <w:color w:val="auto"/>
          <w:spacing w:val="0"/>
          <w:position w:val="2"/>
          <w:highlight w:val="none"/>
        </w:rPr>
        <w:t>各污染物处理效率及进水浓度见下表：</w:t>
      </w:r>
    </w:p>
    <w:p w14:paraId="05208381">
      <w:pPr>
        <w:ind w:firstLine="480" w:firstLineChars="200"/>
        <w:jc w:val="center"/>
        <w:rPr>
          <w:rFonts w:ascii="Times New Roman" w:hAnsi="Times New Roman" w:eastAsia="宋体" w:cs="Times New Roman"/>
          <w:caps w:val="0"/>
          <w:smallCaps w:val="0"/>
          <w:color w:val="auto"/>
          <w:spacing w:val="0"/>
          <w:position w:val="2"/>
          <w:highlight w:val="none"/>
        </w:rPr>
      </w:pPr>
      <w:r>
        <w:rPr>
          <w:rFonts w:hint="eastAsia" w:ascii="Times New Roman" w:hAnsi="Times New Roman" w:eastAsia="宋体" w:cs="Times New Roman"/>
          <w:caps w:val="0"/>
          <w:smallCaps w:val="0"/>
          <w:color w:val="auto"/>
          <w:spacing w:val="0"/>
          <w:position w:val="2"/>
          <w:highlight w:val="none"/>
        </w:rPr>
        <w:t>表6.2-2废水处理效率一览表</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486"/>
        <w:gridCol w:w="1680"/>
        <w:gridCol w:w="1102"/>
        <w:gridCol w:w="1252"/>
        <w:gridCol w:w="952"/>
        <w:gridCol w:w="1103"/>
        <w:gridCol w:w="917"/>
      </w:tblGrid>
      <w:tr w14:paraId="468EC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tcBorders>
              <w:tl2br w:val="nil"/>
              <w:tr2bl w:val="nil"/>
            </w:tcBorders>
            <w:vAlign w:val="center"/>
          </w:tcPr>
          <w:p w14:paraId="700E72E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废水类型</w:t>
            </w:r>
          </w:p>
        </w:tc>
        <w:tc>
          <w:tcPr>
            <w:tcW w:w="1486" w:type="dxa"/>
            <w:tcBorders>
              <w:tl2br w:val="nil"/>
              <w:tr2bl w:val="nil"/>
            </w:tcBorders>
            <w:vAlign w:val="center"/>
          </w:tcPr>
          <w:p w14:paraId="187502D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环节</w:t>
            </w:r>
          </w:p>
        </w:tc>
        <w:tc>
          <w:tcPr>
            <w:tcW w:w="1680" w:type="dxa"/>
            <w:tcBorders>
              <w:tl2br w:val="nil"/>
              <w:tr2bl w:val="nil"/>
            </w:tcBorders>
            <w:vAlign w:val="center"/>
          </w:tcPr>
          <w:p w14:paraId="1716A78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指标</w:t>
            </w:r>
          </w:p>
        </w:tc>
        <w:tc>
          <w:tcPr>
            <w:tcW w:w="1102" w:type="dxa"/>
            <w:tcBorders>
              <w:tl2br w:val="nil"/>
              <w:tr2bl w:val="nil"/>
            </w:tcBorders>
            <w:vAlign w:val="center"/>
          </w:tcPr>
          <w:p w14:paraId="258A116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COD</w:t>
            </w:r>
          </w:p>
        </w:tc>
        <w:tc>
          <w:tcPr>
            <w:tcW w:w="1252" w:type="dxa"/>
            <w:tcBorders>
              <w:tl2br w:val="nil"/>
              <w:tr2bl w:val="nil"/>
            </w:tcBorders>
            <w:vAlign w:val="center"/>
          </w:tcPr>
          <w:p w14:paraId="089726A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TDS</w:t>
            </w:r>
          </w:p>
        </w:tc>
        <w:tc>
          <w:tcPr>
            <w:tcW w:w="952" w:type="dxa"/>
            <w:tcBorders>
              <w:tl2br w:val="nil"/>
              <w:tr2bl w:val="nil"/>
            </w:tcBorders>
            <w:vAlign w:val="center"/>
          </w:tcPr>
          <w:p w14:paraId="7C3D81F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SS</w:t>
            </w:r>
          </w:p>
        </w:tc>
        <w:tc>
          <w:tcPr>
            <w:tcW w:w="1103" w:type="dxa"/>
            <w:tcBorders>
              <w:tl2br w:val="nil"/>
              <w:tr2bl w:val="nil"/>
            </w:tcBorders>
            <w:vAlign w:val="center"/>
          </w:tcPr>
          <w:p w14:paraId="3F531A3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TN</w:t>
            </w:r>
          </w:p>
        </w:tc>
        <w:tc>
          <w:tcPr>
            <w:tcW w:w="917" w:type="dxa"/>
            <w:tcBorders>
              <w:tl2br w:val="nil"/>
              <w:tr2bl w:val="nil"/>
            </w:tcBorders>
            <w:vAlign w:val="center"/>
          </w:tcPr>
          <w:p w14:paraId="76B59A4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Cd</w:t>
            </w:r>
            <w:r>
              <w:rPr>
                <w:rFonts w:ascii="Times New Roman" w:hAnsi="Times New Roman" w:cs="Times New Roman" w:eastAsiaTheme="minorEastAsia"/>
                <w:caps w:val="0"/>
                <w:smallCaps w:val="0"/>
                <w:color w:val="auto"/>
                <w:spacing w:val="0"/>
                <w:sz w:val="21"/>
                <w:highlight w:val="none"/>
                <w:vertAlign w:val="superscript"/>
              </w:rPr>
              <w:t>2+</w:t>
            </w:r>
          </w:p>
        </w:tc>
      </w:tr>
      <w:tr w14:paraId="16D99F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restart"/>
            <w:tcBorders>
              <w:tl2br w:val="nil"/>
              <w:tr2bl w:val="nil"/>
            </w:tcBorders>
            <w:vAlign w:val="center"/>
          </w:tcPr>
          <w:p w14:paraId="37A787A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显影废水</w:t>
            </w:r>
          </w:p>
        </w:tc>
        <w:tc>
          <w:tcPr>
            <w:tcW w:w="1486" w:type="dxa"/>
            <w:vMerge w:val="restart"/>
            <w:tcBorders>
              <w:tl2br w:val="nil"/>
              <w:tr2bl w:val="nil"/>
            </w:tcBorders>
            <w:vAlign w:val="center"/>
          </w:tcPr>
          <w:p w14:paraId="13FEA0D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预沉淀</w:t>
            </w:r>
          </w:p>
        </w:tc>
        <w:tc>
          <w:tcPr>
            <w:tcW w:w="1680" w:type="dxa"/>
            <w:tcBorders>
              <w:tl2br w:val="nil"/>
              <w:tr2bl w:val="nil"/>
            </w:tcBorders>
            <w:vAlign w:val="center"/>
          </w:tcPr>
          <w:p w14:paraId="59656E4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1591850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7500</w:t>
            </w:r>
          </w:p>
        </w:tc>
        <w:tc>
          <w:tcPr>
            <w:tcW w:w="1252" w:type="dxa"/>
            <w:tcBorders>
              <w:tl2br w:val="nil"/>
              <w:tr2bl w:val="nil"/>
            </w:tcBorders>
            <w:vAlign w:val="center"/>
          </w:tcPr>
          <w:p w14:paraId="520BF33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150</w:t>
            </w:r>
          </w:p>
        </w:tc>
        <w:tc>
          <w:tcPr>
            <w:tcW w:w="952" w:type="dxa"/>
            <w:tcBorders>
              <w:tl2br w:val="nil"/>
              <w:tr2bl w:val="nil"/>
            </w:tcBorders>
            <w:vAlign w:val="center"/>
          </w:tcPr>
          <w:p w14:paraId="7CB9FD4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100</w:t>
            </w:r>
          </w:p>
        </w:tc>
        <w:tc>
          <w:tcPr>
            <w:tcW w:w="1103" w:type="dxa"/>
            <w:tcBorders>
              <w:tl2br w:val="nil"/>
              <w:tr2bl w:val="nil"/>
            </w:tcBorders>
            <w:vAlign w:val="center"/>
          </w:tcPr>
          <w:p w14:paraId="6C3CE8C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950</w:t>
            </w:r>
          </w:p>
        </w:tc>
        <w:tc>
          <w:tcPr>
            <w:tcW w:w="917" w:type="dxa"/>
            <w:tcBorders>
              <w:tl2br w:val="nil"/>
              <w:tr2bl w:val="nil"/>
            </w:tcBorders>
            <w:vAlign w:val="center"/>
          </w:tcPr>
          <w:p w14:paraId="0D11778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0.5</w:t>
            </w:r>
          </w:p>
        </w:tc>
      </w:tr>
      <w:tr w14:paraId="66AAC2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291D4D6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255E49B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135980A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6818B67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13.3</w:t>
            </w:r>
          </w:p>
        </w:tc>
        <w:tc>
          <w:tcPr>
            <w:tcW w:w="1252" w:type="dxa"/>
            <w:tcBorders>
              <w:tl2br w:val="nil"/>
              <w:tr2bl w:val="nil"/>
            </w:tcBorders>
            <w:vAlign w:val="center"/>
          </w:tcPr>
          <w:p w14:paraId="23ADAD3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52" w:type="dxa"/>
            <w:tcBorders>
              <w:tl2br w:val="nil"/>
              <w:tr2bl w:val="nil"/>
            </w:tcBorders>
            <w:vAlign w:val="center"/>
          </w:tcPr>
          <w:p w14:paraId="71974B0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40</w:t>
            </w:r>
          </w:p>
        </w:tc>
        <w:tc>
          <w:tcPr>
            <w:tcW w:w="1103" w:type="dxa"/>
            <w:tcBorders>
              <w:tl2br w:val="nil"/>
              <w:tr2bl w:val="nil"/>
            </w:tcBorders>
            <w:vAlign w:val="center"/>
          </w:tcPr>
          <w:p w14:paraId="7982588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5.26</w:t>
            </w:r>
          </w:p>
        </w:tc>
        <w:tc>
          <w:tcPr>
            <w:tcW w:w="917" w:type="dxa"/>
            <w:tcBorders>
              <w:tl2br w:val="nil"/>
              <w:tr2bl w:val="nil"/>
            </w:tcBorders>
            <w:vAlign w:val="center"/>
          </w:tcPr>
          <w:p w14:paraId="5279116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50</w:t>
            </w:r>
          </w:p>
        </w:tc>
      </w:tr>
      <w:tr w14:paraId="4DD863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6D43233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restart"/>
            <w:tcBorders>
              <w:tl2br w:val="nil"/>
              <w:tr2bl w:val="nil"/>
            </w:tcBorders>
            <w:vAlign w:val="center"/>
          </w:tcPr>
          <w:p w14:paraId="00B48AC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催化、气浮</w:t>
            </w:r>
          </w:p>
        </w:tc>
        <w:tc>
          <w:tcPr>
            <w:tcW w:w="1680" w:type="dxa"/>
            <w:tcBorders>
              <w:tl2br w:val="nil"/>
              <w:tr2bl w:val="nil"/>
            </w:tcBorders>
            <w:vAlign w:val="center"/>
          </w:tcPr>
          <w:p w14:paraId="1E08D03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3637680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6500</w:t>
            </w:r>
          </w:p>
        </w:tc>
        <w:tc>
          <w:tcPr>
            <w:tcW w:w="1252" w:type="dxa"/>
            <w:tcBorders>
              <w:tl2br w:val="nil"/>
              <w:tr2bl w:val="nil"/>
            </w:tcBorders>
            <w:vAlign w:val="center"/>
          </w:tcPr>
          <w:p w14:paraId="6C0432D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200</w:t>
            </w:r>
          </w:p>
        </w:tc>
        <w:tc>
          <w:tcPr>
            <w:tcW w:w="952" w:type="dxa"/>
            <w:tcBorders>
              <w:tl2br w:val="nil"/>
              <w:tr2bl w:val="nil"/>
            </w:tcBorders>
            <w:vAlign w:val="center"/>
          </w:tcPr>
          <w:p w14:paraId="2075259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60</w:t>
            </w:r>
          </w:p>
        </w:tc>
        <w:tc>
          <w:tcPr>
            <w:tcW w:w="1103" w:type="dxa"/>
            <w:tcBorders>
              <w:tl2br w:val="nil"/>
              <w:tr2bl w:val="nil"/>
            </w:tcBorders>
            <w:vAlign w:val="center"/>
          </w:tcPr>
          <w:p w14:paraId="261D9D4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900</w:t>
            </w:r>
          </w:p>
        </w:tc>
        <w:tc>
          <w:tcPr>
            <w:tcW w:w="917" w:type="dxa"/>
            <w:tcBorders>
              <w:tl2br w:val="nil"/>
              <w:tr2bl w:val="nil"/>
            </w:tcBorders>
            <w:vAlign w:val="center"/>
          </w:tcPr>
          <w:p w14:paraId="66FB70D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0.25</w:t>
            </w:r>
          </w:p>
        </w:tc>
      </w:tr>
      <w:tr w14:paraId="19149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443CB69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1B9AF62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01FD59D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3A7F025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46.15</w:t>
            </w:r>
          </w:p>
        </w:tc>
        <w:tc>
          <w:tcPr>
            <w:tcW w:w="1252" w:type="dxa"/>
            <w:tcBorders>
              <w:tl2br w:val="nil"/>
              <w:tr2bl w:val="nil"/>
            </w:tcBorders>
            <w:vAlign w:val="center"/>
          </w:tcPr>
          <w:p w14:paraId="72CEDC6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52" w:type="dxa"/>
            <w:tcBorders>
              <w:tl2br w:val="nil"/>
              <w:tr2bl w:val="nil"/>
            </w:tcBorders>
            <w:vAlign w:val="center"/>
          </w:tcPr>
          <w:p w14:paraId="0F3BE15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66.67</w:t>
            </w:r>
          </w:p>
        </w:tc>
        <w:tc>
          <w:tcPr>
            <w:tcW w:w="1103" w:type="dxa"/>
            <w:tcBorders>
              <w:tl2br w:val="nil"/>
              <w:tr2bl w:val="nil"/>
            </w:tcBorders>
            <w:vAlign w:val="center"/>
          </w:tcPr>
          <w:p w14:paraId="262DBC8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22.22</w:t>
            </w:r>
          </w:p>
        </w:tc>
        <w:tc>
          <w:tcPr>
            <w:tcW w:w="917" w:type="dxa"/>
            <w:tcBorders>
              <w:tl2br w:val="nil"/>
              <w:tr2bl w:val="nil"/>
            </w:tcBorders>
            <w:vAlign w:val="center"/>
          </w:tcPr>
          <w:p w14:paraId="634E128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96</w:t>
            </w:r>
          </w:p>
        </w:tc>
      </w:tr>
      <w:tr w14:paraId="1BE088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2C3225A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restart"/>
            <w:tcBorders>
              <w:tl2br w:val="nil"/>
              <w:tr2bl w:val="nil"/>
            </w:tcBorders>
            <w:vAlign w:val="center"/>
          </w:tcPr>
          <w:p w14:paraId="76C205C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生化+MBR</w:t>
            </w:r>
          </w:p>
        </w:tc>
        <w:tc>
          <w:tcPr>
            <w:tcW w:w="1680" w:type="dxa"/>
            <w:tcBorders>
              <w:tl2br w:val="nil"/>
              <w:tr2bl w:val="nil"/>
            </w:tcBorders>
            <w:vAlign w:val="center"/>
          </w:tcPr>
          <w:p w14:paraId="435E129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700BCB9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3500</w:t>
            </w:r>
          </w:p>
        </w:tc>
        <w:tc>
          <w:tcPr>
            <w:tcW w:w="1252" w:type="dxa"/>
            <w:tcBorders>
              <w:tl2br w:val="nil"/>
              <w:tr2bl w:val="nil"/>
            </w:tcBorders>
            <w:vAlign w:val="center"/>
          </w:tcPr>
          <w:p w14:paraId="5AD651E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200</w:t>
            </w:r>
          </w:p>
        </w:tc>
        <w:tc>
          <w:tcPr>
            <w:tcW w:w="952" w:type="dxa"/>
            <w:tcBorders>
              <w:tl2br w:val="nil"/>
              <w:tr2bl w:val="nil"/>
            </w:tcBorders>
            <w:vAlign w:val="center"/>
          </w:tcPr>
          <w:p w14:paraId="705D408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20</w:t>
            </w:r>
          </w:p>
        </w:tc>
        <w:tc>
          <w:tcPr>
            <w:tcW w:w="1103" w:type="dxa"/>
            <w:tcBorders>
              <w:tl2br w:val="nil"/>
              <w:tr2bl w:val="nil"/>
            </w:tcBorders>
            <w:vAlign w:val="center"/>
          </w:tcPr>
          <w:p w14:paraId="2B9C46A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700</w:t>
            </w:r>
          </w:p>
        </w:tc>
        <w:tc>
          <w:tcPr>
            <w:tcW w:w="917" w:type="dxa"/>
            <w:tcBorders>
              <w:tl2br w:val="nil"/>
              <w:tr2bl w:val="nil"/>
            </w:tcBorders>
            <w:vAlign w:val="center"/>
          </w:tcPr>
          <w:p w14:paraId="4FCF3BE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0.01</w:t>
            </w:r>
          </w:p>
        </w:tc>
      </w:tr>
      <w:tr w14:paraId="52F17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1857EAC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21E8D24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7C4EE62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19CDB37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97.71</w:t>
            </w:r>
          </w:p>
        </w:tc>
        <w:tc>
          <w:tcPr>
            <w:tcW w:w="1252" w:type="dxa"/>
            <w:tcBorders>
              <w:tl2br w:val="nil"/>
              <w:tr2bl w:val="nil"/>
            </w:tcBorders>
            <w:vAlign w:val="center"/>
          </w:tcPr>
          <w:p w14:paraId="3DBAB65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52" w:type="dxa"/>
            <w:tcBorders>
              <w:tl2br w:val="nil"/>
              <w:tr2bl w:val="nil"/>
            </w:tcBorders>
            <w:vAlign w:val="center"/>
          </w:tcPr>
          <w:p w14:paraId="7A996D8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25</w:t>
            </w:r>
          </w:p>
        </w:tc>
        <w:tc>
          <w:tcPr>
            <w:tcW w:w="1103" w:type="dxa"/>
            <w:tcBorders>
              <w:tl2br w:val="nil"/>
              <w:tr2bl w:val="nil"/>
            </w:tcBorders>
            <w:vAlign w:val="center"/>
          </w:tcPr>
          <w:p w14:paraId="0E5E066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97.14</w:t>
            </w:r>
          </w:p>
        </w:tc>
        <w:tc>
          <w:tcPr>
            <w:tcW w:w="917" w:type="dxa"/>
            <w:tcBorders>
              <w:tl2br w:val="nil"/>
              <w:tr2bl w:val="nil"/>
            </w:tcBorders>
            <w:vAlign w:val="center"/>
          </w:tcPr>
          <w:p w14:paraId="4221F2B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r>
      <w:tr w14:paraId="6A0C4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7B5229A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65677F8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1E65F06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前处理后出水</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7E6E75B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80</w:t>
            </w:r>
          </w:p>
        </w:tc>
        <w:tc>
          <w:tcPr>
            <w:tcW w:w="1252" w:type="dxa"/>
            <w:tcBorders>
              <w:tl2br w:val="nil"/>
              <w:tr2bl w:val="nil"/>
            </w:tcBorders>
            <w:vAlign w:val="center"/>
          </w:tcPr>
          <w:p w14:paraId="09DA1FD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200</w:t>
            </w:r>
          </w:p>
        </w:tc>
        <w:tc>
          <w:tcPr>
            <w:tcW w:w="952" w:type="dxa"/>
            <w:tcBorders>
              <w:tl2br w:val="nil"/>
              <w:tr2bl w:val="nil"/>
            </w:tcBorders>
            <w:vAlign w:val="center"/>
          </w:tcPr>
          <w:p w14:paraId="5F5C954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15</w:t>
            </w:r>
          </w:p>
        </w:tc>
        <w:tc>
          <w:tcPr>
            <w:tcW w:w="1103" w:type="dxa"/>
            <w:tcBorders>
              <w:tl2br w:val="nil"/>
              <w:tr2bl w:val="nil"/>
            </w:tcBorders>
            <w:vAlign w:val="center"/>
          </w:tcPr>
          <w:p w14:paraId="0F25C33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20</w:t>
            </w:r>
          </w:p>
        </w:tc>
        <w:tc>
          <w:tcPr>
            <w:tcW w:w="917" w:type="dxa"/>
            <w:tcBorders>
              <w:tl2br w:val="nil"/>
              <w:tr2bl w:val="nil"/>
            </w:tcBorders>
            <w:vAlign w:val="center"/>
          </w:tcPr>
          <w:p w14:paraId="4C22B9B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0.01</w:t>
            </w:r>
          </w:p>
        </w:tc>
      </w:tr>
      <w:tr w14:paraId="2BC750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restart"/>
            <w:tcBorders>
              <w:tl2br w:val="nil"/>
              <w:tr2bl w:val="nil"/>
            </w:tcBorders>
            <w:vAlign w:val="center"/>
          </w:tcPr>
          <w:p w14:paraId="530BA24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低浓度含镉废水</w:t>
            </w:r>
          </w:p>
        </w:tc>
        <w:tc>
          <w:tcPr>
            <w:tcW w:w="1486" w:type="dxa"/>
            <w:vMerge w:val="restart"/>
            <w:tcBorders>
              <w:tl2br w:val="nil"/>
              <w:tr2bl w:val="nil"/>
            </w:tcBorders>
            <w:vAlign w:val="center"/>
          </w:tcPr>
          <w:p w14:paraId="11C419A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pH调节+TMF膜浓缩</w:t>
            </w:r>
          </w:p>
        </w:tc>
        <w:tc>
          <w:tcPr>
            <w:tcW w:w="1680" w:type="dxa"/>
            <w:tcBorders>
              <w:tl2br w:val="nil"/>
              <w:tr2bl w:val="nil"/>
            </w:tcBorders>
            <w:vAlign w:val="center"/>
          </w:tcPr>
          <w:p w14:paraId="073CE8E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1D332FE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50</w:t>
            </w:r>
          </w:p>
        </w:tc>
        <w:tc>
          <w:tcPr>
            <w:tcW w:w="1252" w:type="dxa"/>
            <w:tcBorders>
              <w:tl2br w:val="nil"/>
              <w:tr2bl w:val="nil"/>
            </w:tcBorders>
            <w:vAlign w:val="center"/>
          </w:tcPr>
          <w:p w14:paraId="6399E4E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100</w:t>
            </w:r>
          </w:p>
        </w:tc>
        <w:tc>
          <w:tcPr>
            <w:tcW w:w="952" w:type="dxa"/>
            <w:tcBorders>
              <w:tl2br w:val="nil"/>
              <w:tr2bl w:val="nil"/>
            </w:tcBorders>
            <w:vAlign w:val="center"/>
          </w:tcPr>
          <w:p w14:paraId="087CB27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100</w:t>
            </w:r>
          </w:p>
        </w:tc>
        <w:tc>
          <w:tcPr>
            <w:tcW w:w="1103" w:type="dxa"/>
            <w:tcBorders>
              <w:tl2br w:val="nil"/>
              <w:tr2bl w:val="nil"/>
            </w:tcBorders>
            <w:vAlign w:val="center"/>
          </w:tcPr>
          <w:p w14:paraId="70C42E8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w:t>
            </w:r>
          </w:p>
        </w:tc>
        <w:tc>
          <w:tcPr>
            <w:tcW w:w="917" w:type="dxa"/>
            <w:tcBorders>
              <w:tl2br w:val="nil"/>
              <w:tr2bl w:val="nil"/>
            </w:tcBorders>
            <w:vAlign w:val="center"/>
          </w:tcPr>
          <w:p w14:paraId="7F81A0F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0.5</w:t>
            </w:r>
          </w:p>
        </w:tc>
      </w:tr>
      <w:tr w14:paraId="63E463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346B7E8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502724B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55F4B14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3787CF3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1252" w:type="dxa"/>
            <w:tcBorders>
              <w:tl2br w:val="nil"/>
              <w:tr2bl w:val="nil"/>
            </w:tcBorders>
            <w:vAlign w:val="center"/>
          </w:tcPr>
          <w:p w14:paraId="7A6552B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52" w:type="dxa"/>
            <w:tcBorders>
              <w:tl2br w:val="nil"/>
              <w:tr2bl w:val="nil"/>
            </w:tcBorders>
            <w:vAlign w:val="center"/>
          </w:tcPr>
          <w:p w14:paraId="12164FB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85</w:t>
            </w:r>
          </w:p>
        </w:tc>
        <w:tc>
          <w:tcPr>
            <w:tcW w:w="1103" w:type="dxa"/>
            <w:tcBorders>
              <w:tl2br w:val="nil"/>
              <w:tr2bl w:val="nil"/>
            </w:tcBorders>
            <w:vAlign w:val="center"/>
          </w:tcPr>
          <w:p w14:paraId="112EA98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17" w:type="dxa"/>
            <w:tcBorders>
              <w:tl2br w:val="nil"/>
              <w:tr2bl w:val="nil"/>
            </w:tcBorders>
            <w:vAlign w:val="center"/>
          </w:tcPr>
          <w:p w14:paraId="63D9D76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100</w:t>
            </w:r>
          </w:p>
        </w:tc>
      </w:tr>
      <w:tr w14:paraId="613ADC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596C7C6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17C5C23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1861291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前处理后出水</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53B5F16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50</w:t>
            </w:r>
          </w:p>
        </w:tc>
        <w:tc>
          <w:tcPr>
            <w:tcW w:w="1252" w:type="dxa"/>
            <w:tcBorders>
              <w:tl2br w:val="nil"/>
              <w:tr2bl w:val="nil"/>
            </w:tcBorders>
            <w:vAlign w:val="center"/>
          </w:tcPr>
          <w:p w14:paraId="7A44B16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100</w:t>
            </w:r>
          </w:p>
        </w:tc>
        <w:tc>
          <w:tcPr>
            <w:tcW w:w="952" w:type="dxa"/>
            <w:tcBorders>
              <w:tl2br w:val="nil"/>
              <w:tr2bl w:val="nil"/>
            </w:tcBorders>
            <w:vAlign w:val="center"/>
          </w:tcPr>
          <w:p w14:paraId="3A48562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15</w:t>
            </w:r>
          </w:p>
        </w:tc>
        <w:tc>
          <w:tcPr>
            <w:tcW w:w="1103" w:type="dxa"/>
            <w:tcBorders>
              <w:tl2br w:val="nil"/>
              <w:tr2bl w:val="nil"/>
            </w:tcBorders>
            <w:vAlign w:val="center"/>
          </w:tcPr>
          <w:p w14:paraId="6A176F3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w:t>
            </w:r>
          </w:p>
        </w:tc>
        <w:tc>
          <w:tcPr>
            <w:tcW w:w="917" w:type="dxa"/>
            <w:tcBorders>
              <w:tl2br w:val="nil"/>
              <w:tr2bl w:val="nil"/>
            </w:tcBorders>
            <w:vAlign w:val="center"/>
          </w:tcPr>
          <w:p w14:paraId="05F82FB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w:t>
            </w:r>
          </w:p>
        </w:tc>
      </w:tr>
      <w:tr w14:paraId="7BF50C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restart"/>
            <w:tcBorders>
              <w:tl2br w:val="nil"/>
              <w:tr2bl w:val="nil"/>
            </w:tcBorders>
            <w:vAlign w:val="center"/>
          </w:tcPr>
          <w:p w14:paraId="1194A46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高浓度含镉废水</w:t>
            </w:r>
          </w:p>
        </w:tc>
        <w:tc>
          <w:tcPr>
            <w:tcW w:w="1486" w:type="dxa"/>
            <w:vMerge w:val="restart"/>
            <w:tcBorders>
              <w:tl2br w:val="nil"/>
              <w:tr2bl w:val="nil"/>
            </w:tcBorders>
            <w:vAlign w:val="center"/>
          </w:tcPr>
          <w:p w14:paraId="6CF8154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pH调节+高效沉淀</w:t>
            </w:r>
          </w:p>
        </w:tc>
        <w:tc>
          <w:tcPr>
            <w:tcW w:w="1680" w:type="dxa"/>
            <w:tcBorders>
              <w:tl2br w:val="nil"/>
              <w:tr2bl w:val="nil"/>
            </w:tcBorders>
            <w:vAlign w:val="center"/>
          </w:tcPr>
          <w:p w14:paraId="19B8C92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1C521F0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50</w:t>
            </w:r>
          </w:p>
        </w:tc>
        <w:tc>
          <w:tcPr>
            <w:tcW w:w="1252" w:type="dxa"/>
            <w:tcBorders>
              <w:tl2br w:val="nil"/>
              <w:tr2bl w:val="nil"/>
            </w:tcBorders>
            <w:vAlign w:val="center"/>
          </w:tcPr>
          <w:p w14:paraId="6FCFC68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35000</w:t>
            </w:r>
          </w:p>
        </w:tc>
        <w:tc>
          <w:tcPr>
            <w:tcW w:w="952" w:type="dxa"/>
            <w:tcBorders>
              <w:tl2br w:val="nil"/>
              <w:tr2bl w:val="nil"/>
            </w:tcBorders>
            <w:vAlign w:val="center"/>
          </w:tcPr>
          <w:p w14:paraId="246B735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100</w:t>
            </w:r>
          </w:p>
        </w:tc>
        <w:tc>
          <w:tcPr>
            <w:tcW w:w="1103" w:type="dxa"/>
            <w:tcBorders>
              <w:tl2br w:val="nil"/>
              <w:tr2bl w:val="nil"/>
            </w:tcBorders>
            <w:vAlign w:val="center"/>
          </w:tcPr>
          <w:p w14:paraId="1E71FBC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w:t>
            </w:r>
          </w:p>
        </w:tc>
        <w:tc>
          <w:tcPr>
            <w:tcW w:w="917" w:type="dxa"/>
            <w:tcBorders>
              <w:tl2br w:val="nil"/>
              <w:tr2bl w:val="nil"/>
            </w:tcBorders>
            <w:vAlign w:val="center"/>
          </w:tcPr>
          <w:p w14:paraId="32271DAE">
            <w:pPr>
              <w:widowControl w:val="0"/>
              <w:spacing w:line="240" w:lineRule="auto"/>
              <w:jc w:val="center"/>
              <w:rPr>
                <w:rFonts w:hint="default" w:ascii="Times New Roman" w:hAnsi="Times New Roman" w:cs="Times New Roman" w:eastAsiaTheme="minorEastAsia"/>
                <w:caps w:val="0"/>
                <w:smallCaps w:val="0"/>
                <w:color w:val="auto"/>
                <w:spacing w:val="0"/>
                <w:sz w:val="21"/>
                <w:highlight w:val="none"/>
                <w:lang w:val="en-US" w:eastAsia="zh-CN"/>
              </w:rPr>
            </w:pPr>
            <w:r>
              <w:rPr>
                <w:rFonts w:hint="eastAsia" w:ascii="Times New Roman" w:hAnsi="Times New Roman" w:cs="Times New Roman" w:eastAsiaTheme="minorEastAsia"/>
                <w:caps w:val="0"/>
                <w:smallCaps w:val="0"/>
                <w:color w:val="auto"/>
                <w:spacing w:val="0"/>
                <w:sz w:val="21"/>
                <w:highlight w:val="none"/>
                <w:lang w:val="en-US" w:eastAsia="zh-CN"/>
              </w:rPr>
              <w:t>5.0</w:t>
            </w:r>
          </w:p>
        </w:tc>
      </w:tr>
      <w:tr w14:paraId="6DB1B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413F23C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1307917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454D850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0ED3A42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1252" w:type="dxa"/>
            <w:tcBorders>
              <w:tl2br w:val="nil"/>
              <w:tr2bl w:val="nil"/>
            </w:tcBorders>
            <w:vAlign w:val="center"/>
          </w:tcPr>
          <w:p w14:paraId="1A664CE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97.14</w:t>
            </w:r>
          </w:p>
        </w:tc>
        <w:tc>
          <w:tcPr>
            <w:tcW w:w="952" w:type="dxa"/>
            <w:tcBorders>
              <w:tl2br w:val="nil"/>
              <w:tr2bl w:val="nil"/>
            </w:tcBorders>
            <w:vAlign w:val="center"/>
          </w:tcPr>
          <w:p w14:paraId="7F04961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90</w:t>
            </w:r>
          </w:p>
        </w:tc>
        <w:tc>
          <w:tcPr>
            <w:tcW w:w="1103" w:type="dxa"/>
            <w:tcBorders>
              <w:tl2br w:val="nil"/>
              <w:tr2bl w:val="nil"/>
            </w:tcBorders>
            <w:vAlign w:val="center"/>
          </w:tcPr>
          <w:p w14:paraId="77F8584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17" w:type="dxa"/>
            <w:tcBorders>
              <w:tl2br w:val="nil"/>
              <w:tr2bl w:val="nil"/>
            </w:tcBorders>
            <w:vAlign w:val="center"/>
          </w:tcPr>
          <w:p w14:paraId="4FD0897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lang w:val="en-US" w:eastAsia="zh-CN"/>
              </w:rPr>
              <w:t>9</w:t>
            </w:r>
            <w:r>
              <w:rPr>
                <w:rFonts w:hint="eastAsia" w:ascii="Times New Roman" w:hAnsi="Times New Roman" w:cs="Times New Roman" w:eastAsiaTheme="minorEastAsia"/>
                <w:caps w:val="0"/>
                <w:smallCaps w:val="0"/>
                <w:color w:val="auto"/>
                <w:spacing w:val="0"/>
                <w:sz w:val="21"/>
                <w:highlight w:val="none"/>
              </w:rPr>
              <w:t>0</w:t>
            </w:r>
          </w:p>
        </w:tc>
      </w:tr>
      <w:tr w14:paraId="1625DB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06003FC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restart"/>
            <w:tcBorders>
              <w:tl2br w:val="nil"/>
              <w:tr2bl w:val="nil"/>
            </w:tcBorders>
            <w:vAlign w:val="center"/>
          </w:tcPr>
          <w:p w14:paraId="60D241F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三效蒸发</w:t>
            </w:r>
          </w:p>
        </w:tc>
        <w:tc>
          <w:tcPr>
            <w:tcW w:w="1680" w:type="dxa"/>
            <w:tcBorders>
              <w:tl2br w:val="nil"/>
              <w:tr2bl w:val="nil"/>
            </w:tcBorders>
            <w:vAlign w:val="center"/>
          </w:tcPr>
          <w:p w14:paraId="191609B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70D5847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50</w:t>
            </w:r>
          </w:p>
        </w:tc>
        <w:tc>
          <w:tcPr>
            <w:tcW w:w="1252" w:type="dxa"/>
            <w:tcBorders>
              <w:tl2br w:val="nil"/>
              <w:tr2bl w:val="nil"/>
            </w:tcBorders>
            <w:vAlign w:val="center"/>
          </w:tcPr>
          <w:p w14:paraId="50201B2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100</w:t>
            </w:r>
            <w:r>
              <w:rPr>
                <w:rFonts w:hint="eastAsia" w:ascii="Times New Roman" w:hAnsi="Times New Roman" w:cs="Times New Roman" w:eastAsiaTheme="minorEastAsia"/>
                <w:caps w:val="0"/>
                <w:smallCaps w:val="0"/>
                <w:color w:val="auto"/>
                <w:spacing w:val="0"/>
                <w:sz w:val="21"/>
                <w:highlight w:val="none"/>
              </w:rPr>
              <w:t>0</w:t>
            </w:r>
          </w:p>
        </w:tc>
        <w:tc>
          <w:tcPr>
            <w:tcW w:w="952" w:type="dxa"/>
            <w:tcBorders>
              <w:tl2br w:val="nil"/>
              <w:tr2bl w:val="nil"/>
            </w:tcBorders>
            <w:vAlign w:val="center"/>
          </w:tcPr>
          <w:p w14:paraId="4195D6F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w:t>
            </w:r>
          </w:p>
        </w:tc>
        <w:tc>
          <w:tcPr>
            <w:tcW w:w="1103" w:type="dxa"/>
            <w:tcBorders>
              <w:tl2br w:val="nil"/>
              <w:tr2bl w:val="nil"/>
            </w:tcBorders>
            <w:vAlign w:val="center"/>
          </w:tcPr>
          <w:p w14:paraId="375D378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10</w:t>
            </w:r>
          </w:p>
        </w:tc>
        <w:tc>
          <w:tcPr>
            <w:tcW w:w="917" w:type="dxa"/>
            <w:tcBorders>
              <w:tl2br w:val="nil"/>
              <w:tr2bl w:val="nil"/>
            </w:tcBorders>
            <w:vAlign w:val="center"/>
          </w:tcPr>
          <w:p w14:paraId="3F683D2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0</w:t>
            </w:r>
            <w:r>
              <w:rPr>
                <w:rFonts w:hint="eastAsia" w:ascii="Times New Roman" w:hAnsi="Times New Roman" w:cs="Times New Roman" w:eastAsiaTheme="minorEastAsia"/>
                <w:caps w:val="0"/>
                <w:smallCaps w:val="0"/>
                <w:color w:val="auto"/>
                <w:spacing w:val="0"/>
                <w:sz w:val="21"/>
                <w:highlight w:val="none"/>
              </w:rPr>
              <w:t>.5</w:t>
            </w:r>
          </w:p>
        </w:tc>
      </w:tr>
      <w:tr w14:paraId="2A849E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1ECA362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0517431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6211EDB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3D33E97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50</w:t>
            </w:r>
          </w:p>
        </w:tc>
        <w:tc>
          <w:tcPr>
            <w:tcW w:w="1252" w:type="dxa"/>
            <w:tcBorders>
              <w:tl2br w:val="nil"/>
              <w:tr2bl w:val="nil"/>
            </w:tcBorders>
            <w:vAlign w:val="center"/>
          </w:tcPr>
          <w:p w14:paraId="6F306FF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90</w:t>
            </w:r>
          </w:p>
        </w:tc>
        <w:tc>
          <w:tcPr>
            <w:tcW w:w="952" w:type="dxa"/>
            <w:tcBorders>
              <w:tl2br w:val="nil"/>
              <w:tr2bl w:val="nil"/>
            </w:tcBorders>
            <w:vAlign w:val="center"/>
          </w:tcPr>
          <w:p w14:paraId="1CD9BF0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1103" w:type="dxa"/>
            <w:tcBorders>
              <w:tl2br w:val="nil"/>
              <w:tr2bl w:val="nil"/>
            </w:tcBorders>
            <w:vAlign w:val="center"/>
          </w:tcPr>
          <w:p w14:paraId="50F1E23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17" w:type="dxa"/>
            <w:tcBorders>
              <w:tl2br w:val="nil"/>
              <w:tr2bl w:val="nil"/>
            </w:tcBorders>
            <w:vAlign w:val="center"/>
          </w:tcPr>
          <w:p w14:paraId="638F25E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100</w:t>
            </w:r>
          </w:p>
        </w:tc>
      </w:tr>
      <w:tr w14:paraId="5C7741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79A487D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544F168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76F3DBB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前处理后出水</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7F1E453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25</w:t>
            </w:r>
          </w:p>
        </w:tc>
        <w:tc>
          <w:tcPr>
            <w:tcW w:w="1252" w:type="dxa"/>
            <w:tcBorders>
              <w:tl2br w:val="nil"/>
              <w:tr2bl w:val="nil"/>
            </w:tcBorders>
            <w:vAlign w:val="center"/>
          </w:tcPr>
          <w:p w14:paraId="5CE28BA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100</w:t>
            </w:r>
          </w:p>
        </w:tc>
        <w:tc>
          <w:tcPr>
            <w:tcW w:w="952" w:type="dxa"/>
            <w:tcBorders>
              <w:tl2br w:val="nil"/>
              <w:tr2bl w:val="nil"/>
            </w:tcBorders>
            <w:vAlign w:val="center"/>
          </w:tcPr>
          <w:p w14:paraId="66F4B73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w:t>
            </w:r>
          </w:p>
        </w:tc>
        <w:tc>
          <w:tcPr>
            <w:tcW w:w="1103" w:type="dxa"/>
            <w:tcBorders>
              <w:tl2br w:val="nil"/>
              <w:tr2bl w:val="nil"/>
            </w:tcBorders>
            <w:vAlign w:val="center"/>
          </w:tcPr>
          <w:p w14:paraId="148BD0F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w:t>
            </w:r>
          </w:p>
        </w:tc>
        <w:tc>
          <w:tcPr>
            <w:tcW w:w="917" w:type="dxa"/>
            <w:tcBorders>
              <w:tl2br w:val="nil"/>
              <w:tr2bl w:val="nil"/>
            </w:tcBorders>
            <w:vAlign w:val="center"/>
          </w:tcPr>
          <w:p w14:paraId="7FA7017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r>
      <w:tr w14:paraId="1EDEDE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restart"/>
            <w:tcBorders>
              <w:tl2br w:val="nil"/>
              <w:tr2bl w:val="nil"/>
            </w:tcBorders>
            <w:vAlign w:val="center"/>
          </w:tcPr>
          <w:p w14:paraId="1F9E537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深度处理</w:t>
            </w:r>
          </w:p>
        </w:tc>
        <w:tc>
          <w:tcPr>
            <w:tcW w:w="1486" w:type="dxa"/>
            <w:vMerge w:val="restart"/>
            <w:tcBorders>
              <w:tl2br w:val="nil"/>
              <w:tr2bl w:val="nil"/>
            </w:tcBorders>
            <w:vAlign w:val="center"/>
          </w:tcPr>
          <w:p w14:paraId="3ABB460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活性炭过滤</w:t>
            </w:r>
          </w:p>
        </w:tc>
        <w:tc>
          <w:tcPr>
            <w:tcW w:w="1680" w:type="dxa"/>
            <w:tcBorders>
              <w:tl2br w:val="nil"/>
              <w:tr2bl w:val="nil"/>
            </w:tcBorders>
            <w:vAlign w:val="center"/>
          </w:tcPr>
          <w:p w14:paraId="519C804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1105081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40</w:t>
            </w:r>
          </w:p>
        </w:tc>
        <w:tc>
          <w:tcPr>
            <w:tcW w:w="1252" w:type="dxa"/>
            <w:tcBorders>
              <w:tl2br w:val="nil"/>
              <w:tr2bl w:val="nil"/>
            </w:tcBorders>
            <w:vAlign w:val="center"/>
          </w:tcPr>
          <w:p w14:paraId="45AC65C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300</w:t>
            </w:r>
          </w:p>
        </w:tc>
        <w:tc>
          <w:tcPr>
            <w:tcW w:w="952" w:type="dxa"/>
            <w:tcBorders>
              <w:tl2br w:val="nil"/>
              <w:tr2bl w:val="nil"/>
            </w:tcBorders>
            <w:vAlign w:val="center"/>
          </w:tcPr>
          <w:p w14:paraId="301D322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w:t>
            </w:r>
          </w:p>
        </w:tc>
        <w:tc>
          <w:tcPr>
            <w:tcW w:w="1103" w:type="dxa"/>
            <w:tcBorders>
              <w:tl2br w:val="nil"/>
              <w:tr2bl w:val="nil"/>
            </w:tcBorders>
            <w:vAlign w:val="center"/>
          </w:tcPr>
          <w:p w14:paraId="2E052CF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01896ED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62173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47FDED7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5D2F4B5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4DF9D21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7FD01F8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25</w:t>
            </w:r>
          </w:p>
        </w:tc>
        <w:tc>
          <w:tcPr>
            <w:tcW w:w="1252" w:type="dxa"/>
            <w:tcBorders>
              <w:tl2br w:val="nil"/>
              <w:tr2bl w:val="nil"/>
            </w:tcBorders>
            <w:vAlign w:val="center"/>
          </w:tcPr>
          <w:p w14:paraId="32A5DD8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0</w:t>
            </w:r>
          </w:p>
        </w:tc>
        <w:tc>
          <w:tcPr>
            <w:tcW w:w="952" w:type="dxa"/>
            <w:tcBorders>
              <w:tl2br w:val="nil"/>
              <w:tr2bl w:val="nil"/>
            </w:tcBorders>
            <w:vAlign w:val="center"/>
          </w:tcPr>
          <w:p w14:paraId="400792F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50</w:t>
            </w:r>
          </w:p>
        </w:tc>
        <w:tc>
          <w:tcPr>
            <w:tcW w:w="1103" w:type="dxa"/>
            <w:tcBorders>
              <w:tl2br w:val="nil"/>
              <w:tr2bl w:val="nil"/>
            </w:tcBorders>
            <w:vAlign w:val="center"/>
          </w:tcPr>
          <w:p w14:paraId="67376FF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42228C2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437CE7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2E452E0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restart"/>
            <w:tcBorders>
              <w:tl2br w:val="nil"/>
              <w:tr2bl w:val="nil"/>
            </w:tcBorders>
            <w:vAlign w:val="center"/>
          </w:tcPr>
          <w:p w14:paraId="4489697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初级RO系统</w:t>
            </w:r>
          </w:p>
        </w:tc>
        <w:tc>
          <w:tcPr>
            <w:tcW w:w="1680" w:type="dxa"/>
            <w:tcBorders>
              <w:tl2br w:val="nil"/>
              <w:tr2bl w:val="nil"/>
            </w:tcBorders>
            <w:vAlign w:val="center"/>
          </w:tcPr>
          <w:p w14:paraId="27632BB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559CD38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30</w:t>
            </w:r>
          </w:p>
        </w:tc>
        <w:tc>
          <w:tcPr>
            <w:tcW w:w="1252" w:type="dxa"/>
            <w:tcBorders>
              <w:tl2br w:val="nil"/>
              <w:tr2bl w:val="nil"/>
            </w:tcBorders>
            <w:vAlign w:val="center"/>
          </w:tcPr>
          <w:p w14:paraId="3B9F502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300</w:t>
            </w:r>
          </w:p>
        </w:tc>
        <w:tc>
          <w:tcPr>
            <w:tcW w:w="952" w:type="dxa"/>
            <w:tcBorders>
              <w:tl2br w:val="nil"/>
              <w:tr2bl w:val="nil"/>
            </w:tcBorders>
            <w:vAlign w:val="center"/>
          </w:tcPr>
          <w:p w14:paraId="32B1AB9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w:t>
            </w:r>
          </w:p>
        </w:tc>
        <w:tc>
          <w:tcPr>
            <w:tcW w:w="1103" w:type="dxa"/>
            <w:tcBorders>
              <w:tl2br w:val="nil"/>
              <w:tr2bl w:val="nil"/>
            </w:tcBorders>
            <w:vAlign w:val="center"/>
          </w:tcPr>
          <w:p w14:paraId="59047FE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28CF99C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5DE78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27820C9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3AF6AE1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03BA350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0D235A2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66.67</w:t>
            </w:r>
          </w:p>
        </w:tc>
        <w:tc>
          <w:tcPr>
            <w:tcW w:w="1252" w:type="dxa"/>
            <w:tcBorders>
              <w:tl2br w:val="nil"/>
              <w:tr2bl w:val="nil"/>
            </w:tcBorders>
            <w:vAlign w:val="center"/>
          </w:tcPr>
          <w:p w14:paraId="189688C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83.3</w:t>
            </w:r>
          </w:p>
        </w:tc>
        <w:tc>
          <w:tcPr>
            <w:tcW w:w="952" w:type="dxa"/>
            <w:tcBorders>
              <w:tl2br w:val="nil"/>
              <w:tr2bl w:val="nil"/>
            </w:tcBorders>
            <w:vAlign w:val="center"/>
          </w:tcPr>
          <w:p w14:paraId="0651945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103" w:type="dxa"/>
            <w:tcBorders>
              <w:tl2br w:val="nil"/>
              <w:tr2bl w:val="nil"/>
            </w:tcBorders>
            <w:vAlign w:val="center"/>
          </w:tcPr>
          <w:p w14:paraId="458493C0">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374D110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399310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1DB792A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restart"/>
            <w:tcBorders>
              <w:tl2br w:val="nil"/>
              <w:tr2bl w:val="nil"/>
            </w:tcBorders>
            <w:vAlign w:val="center"/>
          </w:tcPr>
          <w:p w14:paraId="3DB1BA1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初级淡水水箱</w:t>
            </w:r>
          </w:p>
        </w:tc>
        <w:tc>
          <w:tcPr>
            <w:tcW w:w="1680" w:type="dxa"/>
            <w:tcBorders>
              <w:tl2br w:val="nil"/>
              <w:tr2bl w:val="nil"/>
            </w:tcBorders>
            <w:vAlign w:val="center"/>
          </w:tcPr>
          <w:p w14:paraId="18EC666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7D85440D">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w:t>
            </w:r>
          </w:p>
        </w:tc>
        <w:tc>
          <w:tcPr>
            <w:tcW w:w="1252" w:type="dxa"/>
            <w:tcBorders>
              <w:tl2br w:val="nil"/>
              <w:tr2bl w:val="nil"/>
            </w:tcBorders>
            <w:vAlign w:val="center"/>
          </w:tcPr>
          <w:p w14:paraId="15308012">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50</w:t>
            </w:r>
          </w:p>
        </w:tc>
        <w:tc>
          <w:tcPr>
            <w:tcW w:w="952" w:type="dxa"/>
            <w:tcBorders>
              <w:tl2br w:val="nil"/>
              <w:tr2bl w:val="nil"/>
            </w:tcBorders>
            <w:vAlign w:val="center"/>
          </w:tcPr>
          <w:p w14:paraId="4FE5F9B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103" w:type="dxa"/>
            <w:tcBorders>
              <w:tl2br w:val="nil"/>
              <w:tr2bl w:val="nil"/>
            </w:tcBorders>
            <w:vAlign w:val="center"/>
          </w:tcPr>
          <w:p w14:paraId="293E8CD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354D442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10F323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06D5ECB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49484F8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5189103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3A3408A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252" w:type="dxa"/>
            <w:tcBorders>
              <w:tl2br w:val="nil"/>
              <w:tr2bl w:val="nil"/>
            </w:tcBorders>
            <w:vAlign w:val="center"/>
          </w:tcPr>
          <w:p w14:paraId="0B3C813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52" w:type="dxa"/>
            <w:tcBorders>
              <w:tl2br w:val="nil"/>
              <w:tr2bl w:val="nil"/>
            </w:tcBorders>
            <w:vAlign w:val="center"/>
          </w:tcPr>
          <w:p w14:paraId="38C14D1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103" w:type="dxa"/>
            <w:tcBorders>
              <w:tl2br w:val="nil"/>
              <w:tr2bl w:val="nil"/>
            </w:tcBorders>
            <w:vAlign w:val="center"/>
          </w:tcPr>
          <w:p w14:paraId="012116D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24A642A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35A6C9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6514FB6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restart"/>
            <w:tcBorders>
              <w:tl2br w:val="nil"/>
              <w:tr2bl w:val="nil"/>
            </w:tcBorders>
            <w:vAlign w:val="center"/>
          </w:tcPr>
          <w:p w14:paraId="6FEC20F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淡水RO系统</w:t>
            </w:r>
          </w:p>
        </w:tc>
        <w:tc>
          <w:tcPr>
            <w:tcW w:w="1680" w:type="dxa"/>
            <w:tcBorders>
              <w:tl2br w:val="nil"/>
              <w:tr2bl w:val="nil"/>
            </w:tcBorders>
            <w:vAlign w:val="center"/>
          </w:tcPr>
          <w:p w14:paraId="1EF63DF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进水浓度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3D8CD0D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15</w:t>
            </w:r>
          </w:p>
        </w:tc>
        <w:tc>
          <w:tcPr>
            <w:tcW w:w="1252" w:type="dxa"/>
            <w:tcBorders>
              <w:tl2br w:val="nil"/>
              <w:tr2bl w:val="nil"/>
            </w:tcBorders>
            <w:vAlign w:val="center"/>
          </w:tcPr>
          <w:p w14:paraId="5AA4830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110</w:t>
            </w:r>
          </w:p>
        </w:tc>
        <w:tc>
          <w:tcPr>
            <w:tcW w:w="952" w:type="dxa"/>
            <w:tcBorders>
              <w:tl2br w:val="nil"/>
              <w:tr2bl w:val="nil"/>
            </w:tcBorders>
            <w:vAlign w:val="center"/>
          </w:tcPr>
          <w:p w14:paraId="2F44F8F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103" w:type="dxa"/>
            <w:tcBorders>
              <w:tl2br w:val="nil"/>
              <w:tr2bl w:val="nil"/>
            </w:tcBorders>
            <w:vAlign w:val="center"/>
          </w:tcPr>
          <w:p w14:paraId="7BB5A20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63F9340C">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501C6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02BC9CE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7640C33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1DC4D99B">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ascii="Times New Roman" w:hAnsi="Times New Roman" w:cs="Times New Roman" w:eastAsiaTheme="minorEastAsia"/>
                <w:caps w:val="0"/>
                <w:smallCaps w:val="0"/>
                <w:color w:val="auto"/>
                <w:spacing w:val="0"/>
                <w:sz w:val="21"/>
                <w:highlight w:val="none"/>
              </w:rPr>
              <w:t>去除效率</w:t>
            </w:r>
            <w:r>
              <w:rPr>
                <w:rFonts w:hint="eastAsia" w:ascii="Times New Roman" w:hAnsi="Times New Roman" w:cs="Times New Roman" w:eastAsiaTheme="minorEastAsia"/>
                <w:caps w:val="0"/>
                <w:smallCaps w:val="0"/>
                <w:color w:val="auto"/>
                <w:spacing w:val="0"/>
                <w:sz w:val="21"/>
                <w:highlight w:val="none"/>
              </w:rPr>
              <w:t>（%）</w:t>
            </w:r>
          </w:p>
        </w:tc>
        <w:tc>
          <w:tcPr>
            <w:tcW w:w="1102" w:type="dxa"/>
            <w:tcBorders>
              <w:tl2br w:val="nil"/>
              <w:tr2bl w:val="nil"/>
            </w:tcBorders>
            <w:vAlign w:val="center"/>
          </w:tcPr>
          <w:p w14:paraId="0DD4E1D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33.33</w:t>
            </w:r>
          </w:p>
        </w:tc>
        <w:tc>
          <w:tcPr>
            <w:tcW w:w="1252" w:type="dxa"/>
            <w:tcBorders>
              <w:tl2br w:val="nil"/>
              <w:tr2bl w:val="nil"/>
            </w:tcBorders>
            <w:vAlign w:val="center"/>
          </w:tcPr>
          <w:p w14:paraId="6C356358">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54.55</w:t>
            </w:r>
          </w:p>
        </w:tc>
        <w:tc>
          <w:tcPr>
            <w:tcW w:w="952" w:type="dxa"/>
            <w:tcBorders>
              <w:tl2br w:val="nil"/>
              <w:tr2bl w:val="nil"/>
            </w:tcBorders>
            <w:vAlign w:val="center"/>
          </w:tcPr>
          <w:p w14:paraId="44468D3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103" w:type="dxa"/>
            <w:tcBorders>
              <w:tl2br w:val="nil"/>
              <w:tr2bl w:val="nil"/>
            </w:tcBorders>
            <w:vAlign w:val="center"/>
          </w:tcPr>
          <w:p w14:paraId="05D881A1">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08DCA815">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r w14:paraId="229B78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4" w:type="dxa"/>
            <w:vMerge w:val="continue"/>
            <w:tcBorders>
              <w:tl2br w:val="nil"/>
              <w:tr2bl w:val="nil"/>
            </w:tcBorders>
            <w:vAlign w:val="center"/>
          </w:tcPr>
          <w:p w14:paraId="70E9A979">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486" w:type="dxa"/>
            <w:vMerge w:val="continue"/>
            <w:tcBorders>
              <w:tl2br w:val="nil"/>
              <w:tr2bl w:val="nil"/>
            </w:tcBorders>
            <w:vAlign w:val="center"/>
          </w:tcPr>
          <w:p w14:paraId="0DE3C4D7">
            <w:pPr>
              <w:widowControl w:val="0"/>
              <w:spacing w:line="240" w:lineRule="auto"/>
              <w:jc w:val="center"/>
              <w:rPr>
                <w:rFonts w:ascii="Times New Roman" w:hAnsi="Times New Roman" w:cs="Times New Roman" w:eastAsiaTheme="minorEastAsia"/>
                <w:caps w:val="0"/>
                <w:smallCaps w:val="0"/>
                <w:color w:val="auto"/>
                <w:spacing w:val="0"/>
                <w:sz w:val="21"/>
                <w:highlight w:val="none"/>
              </w:rPr>
            </w:pPr>
          </w:p>
        </w:tc>
        <w:tc>
          <w:tcPr>
            <w:tcW w:w="1680" w:type="dxa"/>
            <w:tcBorders>
              <w:tl2br w:val="nil"/>
              <w:tr2bl w:val="nil"/>
            </w:tcBorders>
            <w:vAlign w:val="center"/>
          </w:tcPr>
          <w:p w14:paraId="7B4BB466">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进入纯水原水箱</w:t>
            </w:r>
            <w:r>
              <w:rPr>
                <w:rFonts w:ascii="Times New Roman" w:hAnsi="Times New Roman" w:cs="Times New Roman" w:eastAsiaTheme="minorEastAsia"/>
                <w:caps w:val="0"/>
                <w:smallCaps w:val="0"/>
                <w:color w:val="auto"/>
                <w:spacing w:val="0"/>
                <w:sz w:val="21"/>
                <w:highlight w:val="none"/>
              </w:rPr>
              <w:t>浓度</w:t>
            </w:r>
            <w:r>
              <w:rPr>
                <w:rFonts w:hint="eastAsia" w:ascii="Times New Roman" w:hAnsi="Times New Roman" w:cs="Times New Roman" w:eastAsiaTheme="minorEastAsia"/>
                <w:caps w:val="0"/>
                <w:smallCaps w:val="0"/>
                <w:color w:val="auto"/>
                <w:spacing w:val="0"/>
                <w:sz w:val="21"/>
                <w:highlight w:val="none"/>
              </w:rPr>
              <w:t>（mg/L）</w:t>
            </w:r>
          </w:p>
        </w:tc>
        <w:tc>
          <w:tcPr>
            <w:tcW w:w="1102" w:type="dxa"/>
            <w:tcBorders>
              <w:tl2br w:val="nil"/>
              <w:tr2bl w:val="nil"/>
            </w:tcBorders>
            <w:vAlign w:val="center"/>
          </w:tcPr>
          <w:p w14:paraId="16790743">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10</w:t>
            </w:r>
          </w:p>
        </w:tc>
        <w:tc>
          <w:tcPr>
            <w:tcW w:w="1252" w:type="dxa"/>
            <w:tcBorders>
              <w:tl2br w:val="nil"/>
              <w:tr2bl w:val="nil"/>
            </w:tcBorders>
            <w:vAlign w:val="center"/>
          </w:tcPr>
          <w:p w14:paraId="08960A6E">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50</w:t>
            </w:r>
          </w:p>
        </w:tc>
        <w:tc>
          <w:tcPr>
            <w:tcW w:w="952" w:type="dxa"/>
            <w:tcBorders>
              <w:tl2br w:val="nil"/>
              <w:tr2bl w:val="nil"/>
            </w:tcBorders>
            <w:vAlign w:val="center"/>
          </w:tcPr>
          <w:p w14:paraId="6A2A03C4">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1103" w:type="dxa"/>
            <w:tcBorders>
              <w:tl2br w:val="nil"/>
              <w:tr2bl w:val="nil"/>
            </w:tcBorders>
            <w:vAlign w:val="center"/>
          </w:tcPr>
          <w:p w14:paraId="61BE4DFA">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c>
          <w:tcPr>
            <w:tcW w:w="917" w:type="dxa"/>
            <w:tcBorders>
              <w:tl2br w:val="nil"/>
              <w:tr2bl w:val="nil"/>
            </w:tcBorders>
            <w:vAlign w:val="center"/>
          </w:tcPr>
          <w:p w14:paraId="63171E6F">
            <w:pPr>
              <w:widowControl w:val="0"/>
              <w:spacing w:line="240" w:lineRule="auto"/>
              <w:jc w:val="center"/>
              <w:rPr>
                <w:rFonts w:ascii="Times New Roman" w:hAnsi="Times New Roman" w:cs="Times New Roman" w:eastAsiaTheme="minorEastAsia"/>
                <w:caps w:val="0"/>
                <w:smallCaps w:val="0"/>
                <w:color w:val="auto"/>
                <w:spacing w:val="0"/>
                <w:sz w:val="21"/>
                <w:highlight w:val="none"/>
              </w:rPr>
            </w:pPr>
            <w:r>
              <w:rPr>
                <w:rFonts w:hint="eastAsia" w:ascii="Times New Roman" w:hAnsi="Times New Roman" w:cs="Times New Roman" w:eastAsiaTheme="minorEastAsia"/>
                <w:caps w:val="0"/>
                <w:smallCaps w:val="0"/>
                <w:color w:val="auto"/>
                <w:spacing w:val="0"/>
                <w:sz w:val="21"/>
                <w:highlight w:val="none"/>
              </w:rPr>
              <w:t>/</w:t>
            </w:r>
          </w:p>
        </w:tc>
      </w:tr>
    </w:tbl>
    <w:p w14:paraId="60BD956E">
      <w:pPr>
        <w:rPr>
          <w:caps w:val="0"/>
          <w:smallCaps w:val="0"/>
          <w:color w:val="auto"/>
          <w:spacing w:val="0"/>
          <w:highlight w:val="none"/>
        </w:rPr>
      </w:pPr>
    </w:p>
    <w:p w14:paraId="246D440F">
      <w:pPr>
        <w:pStyle w:val="13"/>
        <w:widowControl w:val="0"/>
        <w:spacing w:after="0" w:line="360" w:lineRule="auto"/>
        <w:jc w:val="center"/>
        <w:rPr>
          <w:rFonts w:ascii="Times New Roman" w:hAnsi="Times New Roman" w:eastAsia="宋体" w:cs="Times New Roman"/>
          <w:caps w:val="0"/>
          <w:smallCaps w:val="0"/>
          <w:color w:val="auto"/>
          <w:spacing w:val="0"/>
          <w:highlight w:val="none"/>
        </w:rPr>
      </w:pPr>
      <w:r>
        <w:rPr>
          <w:caps w:val="0"/>
          <w:smallCaps w:val="0"/>
          <w:color w:val="auto"/>
          <w:spacing w:val="0"/>
          <w:highlight w:val="none"/>
        </w:rPr>
        <w:drawing>
          <wp:inline distT="0" distB="0" distL="114300" distR="114300">
            <wp:extent cx="5758180" cy="2549525"/>
            <wp:effectExtent l="0" t="0" r="13970" b="3175"/>
            <wp:docPr id="10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1"/>
                    <pic:cNvPicPr>
                      <a:picLocks noChangeAspect="1"/>
                    </pic:cNvPicPr>
                  </pic:nvPicPr>
                  <pic:blipFill>
                    <a:blip r:embed="rId107"/>
                    <a:stretch>
                      <a:fillRect/>
                    </a:stretch>
                  </pic:blipFill>
                  <pic:spPr>
                    <a:xfrm>
                      <a:off x="0" y="0"/>
                      <a:ext cx="5758180" cy="2549525"/>
                    </a:xfrm>
                    <a:prstGeom prst="rect">
                      <a:avLst/>
                    </a:prstGeom>
                    <a:noFill/>
                    <a:ln>
                      <a:noFill/>
                    </a:ln>
                  </pic:spPr>
                </pic:pic>
              </a:graphicData>
            </a:graphic>
          </wp:inline>
        </w:drawing>
      </w:r>
    </w:p>
    <w:p w14:paraId="5209C440">
      <w:pPr>
        <w:widowControl w:val="0"/>
        <w:spacing w:line="360" w:lineRule="auto"/>
        <w:jc w:val="center"/>
        <w:rPr>
          <w:rFonts w:ascii="Times New Roman" w:hAnsi="Times New Roman" w:eastAsia="宋体" w:cs="Times New Roman"/>
          <w:b/>
          <w:caps w:val="0"/>
          <w:smallCaps w:val="0"/>
          <w:color w:val="auto"/>
          <w:spacing w:val="0"/>
          <w:highlight w:val="none"/>
          <w:lang w:val="zh-CN"/>
        </w:rPr>
      </w:pPr>
      <w:r>
        <w:rPr>
          <w:rFonts w:ascii="Times New Roman" w:hAnsi="Times New Roman" w:eastAsia="宋体" w:cs="Times New Roman"/>
          <w:b/>
          <w:caps w:val="0"/>
          <w:smallCaps w:val="0"/>
          <w:color w:val="auto"/>
          <w:spacing w:val="0"/>
          <w:highlight w:val="none"/>
          <w:lang w:val="zh-CN"/>
        </w:rPr>
        <w:t>图6.</w:t>
      </w:r>
      <w:r>
        <w:rPr>
          <w:rFonts w:ascii="Times New Roman" w:hAnsi="Times New Roman" w:eastAsia="宋体" w:cs="Times New Roman"/>
          <w:b/>
          <w:caps w:val="0"/>
          <w:smallCaps w:val="0"/>
          <w:color w:val="auto"/>
          <w:spacing w:val="0"/>
          <w:highlight w:val="none"/>
        </w:rPr>
        <w:t>2</w:t>
      </w:r>
      <w:r>
        <w:rPr>
          <w:rFonts w:ascii="Times New Roman" w:hAnsi="Times New Roman" w:eastAsia="宋体" w:cs="Times New Roman"/>
          <w:b/>
          <w:caps w:val="0"/>
          <w:smallCaps w:val="0"/>
          <w:color w:val="auto"/>
          <w:spacing w:val="0"/>
          <w:highlight w:val="none"/>
          <w:lang w:val="zh-CN"/>
        </w:rPr>
        <w:t>-</w:t>
      </w:r>
      <w:r>
        <w:rPr>
          <w:rFonts w:hint="eastAsia" w:ascii="Times New Roman" w:hAnsi="Times New Roman" w:eastAsia="宋体" w:cs="Times New Roman"/>
          <w:b/>
          <w:caps w:val="0"/>
          <w:smallCaps w:val="0"/>
          <w:color w:val="auto"/>
          <w:spacing w:val="0"/>
          <w:highlight w:val="none"/>
          <w:lang w:val="en-US" w:eastAsia="zh-CN"/>
        </w:rPr>
        <w:t>1</w:t>
      </w:r>
      <w:r>
        <w:rPr>
          <w:rFonts w:ascii="Times New Roman" w:hAnsi="Times New Roman" w:eastAsia="宋体" w:cs="Times New Roman"/>
          <w:b/>
          <w:caps w:val="0"/>
          <w:smallCaps w:val="0"/>
          <w:color w:val="auto"/>
          <w:spacing w:val="0"/>
          <w:highlight w:val="none"/>
          <w:lang w:val="zh-CN"/>
        </w:rPr>
        <w:t>含镉污水处理工艺流程图</w:t>
      </w:r>
    </w:p>
    <w:p w14:paraId="6D2E450C">
      <w:pPr>
        <w:widowControl w:val="0"/>
        <w:spacing w:line="360" w:lineRule="auto"/>
        <w:ind w:firstLine="480" w:firstLineChars="200"/>
        <w:jc w:val="both"/>
        <w:rPr>
          <w:rFonts w:hint="eastAsia" w:ascii="Times New Roman" w:hAnsi="Times New Roman" w:eastAsia="新宋体" w:cs="Times New Roman"/>
          <w:caps w:val="0"/>
          <w:smallCaps w:val="0"/>
          <w:color w:val="auto"/>
          <w:spacing w:val="0"/>
          <w:highlight w:val="none"/>
          <w:lang w:eastAsia="zh-CN"/>
        </w:rPr>
      </w:pPr>
      <w:r>
        <w:rPr>
          <w:rFonts w:hint="eastAsia" w:ascii="Times New Roman" w:hAnsi="Times New Roman" w:eastAsia="宋体" w:cs="Times New Roman"/>
          <w:caps w:val="0"/>
          <w:smallCaps w:val="0"/>
          <w:color w:val="auto"/>
          <w:spacing w:val="0"/>
          <w:highlight w:val="none"/>
        </w:rPr>
        <w:t>根据上述处理后，含镉废水经</w:t>
      </w:r>
      <w:r>
        <w:rPr>
          <w:rFonts w:hint="eastAsia" w:eastAsia="宋体"/>
          <w:caps w:val="0"/>
          <w:smallCaps w:val="0"/>
          <w:color w:val="auto"/>
          <w:spacing w:val="0"/>
          <w:kern w:val="0"/>
          <w:szCs w:val="24"/>
          <w:highlight w:val="none"/>
          <w:lang w:bidi="ar"/>
        </w:rPr>
        <w:t>污水处理站</w:t>
      </w:r>
      <w:r>
        <w:rPr>
          <w:caps w:val="0"/>
          <w:smallCaps w:val="0"/>
          <w:color w:val="auto"/>
          <w:spacing w:val="0"/>
          <w:kern w:val="0"/>
          <w:szCs w:val="24"/>
          <w:highlight w:val="none"/>
          <w:lang w:bidi="ar"/>
        </w:rPr>
        <w:t>处理后需满足《城市污水再生利用工业用水水质》</w:t>
      </w:r>
      <w:r>
        <w:rPr>
          <w:rFonts w:hint="default" w:ascii="Times New Roman" w:hAnsi="Times New Roman" w:cs="Times New Roman"/>
          <w:caps w:val="0"/>
          <w:smallCaps w:val="0"/>
          <w:color w:val="auto"/>
          <w:spacing w:val="0"/>
          <w:kern w:val="0"/>
          <w:szCs w:val="24"/>
          <w:highlight w:val="none"/>
          <w:lang w:bidi="ar"/>
        </w:rPr>
        <w:t>GBT19923-20</w:t>
      </w:r>
      <w:r>
        <w:rPr>
          <w:rFonts w:hint="eastAsia" w:ascii="Times New Roman" w:hAnsi="Times New Roman" w:cs="Times New Roman"/>
          <w:caps w:val="0"/>
          <w:smallCaps w:val="0"/>
          <w:color w:val="auto"/>
          <w:spacing w:val="0"/>
          <w:kern w:val="0"/>
          <w:szCs w:val="24"/>
          <w:highlight w:val="none"/>
          <w:lang w:val="en-US" w:eastAsia="zh-CN" w:bidi="ar"/>
        </w:rPr>
        <w:t>24</w:t>
      </w:r>
      <w:r>
        <w:rPr>
          <w:caps w:val="0"/>
          <w:smallCaps w:val="0"/>
          <w:color w:val="auto"/>
          <w:spacing w:val="0"/>
          <w:kern w:val="0"/>
          <w:szCs w:val="24"/>
          <w:highlight w:val="none"/>
          <w:lang w:bidi="ar"/>
        </w:rPr>
        <w:t>的循环水冷却水系统补充水标准</w:t>
      </w:r>
      <w:r>
        <w:rPr>
          <w:rFonts w:hint="eastAsia"/>
          <w:caps w:val="0"/>
          <w:smallCaps w:val="0"/>
          <w:color w:val="auto"/>
          <w:spacing w:val="0"/>
          <w:kern w:val="0"/>
          <w:szCs w:val="24"/>
          <w:highlight w:val="none"/>
          <w:lang w:bidi="ar"/>
        </w:rPr>
        <w:t>后，回用于生产线，回用水检测口设置在回用水纯水箱处</w:t>
      </w:r>
      <w:r>
        <w:rPr>
          <w:rFonts w:hint="eastAsia"/>
          <w:caps w:val="0"/>
          <w:smallCaps w:val="0"/>
          <w:color w:val="auto"/>
          <w:spacing w:val="0"/>
          <w:kern w:val="0"/>
          <w:szCs w:val="24"/>
          <w:highlight w:val="none"/>
          <w:lang w:eastAsia="zh-CN" w:bidi="ar"/>
        </w:rPr>
        <w:t>。</w:t>
      </w:r>
    </w:p>
    <w:p w14:paraId="54D36758">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6.2.1.2佳木斯高新区污水处理厂依托</w:t>
      </w:r>
      <w:r>
        <w:rPr>
          <w:rFonts w:ascii="Times New Roman" w:hAnsi="Times New Roman" w:cs="Times New Roman"/>
          <w:caps w:val="0"/>
          <w:smallCaps w:val="0"/>
          <w:color w:val="auto"/>
          <w:spacing w:val="0"/>
          <w:sz w:val="28"/>
          <w:szCs w:val="28"/>
          <w:highlight w:val="none"/>
          <w:lang w:val="zh-CN"/>
        </w:rPr>
        <w:t>可行性</w:t>
      </w:r>
      <w:r>
        <w:rPr>
          <w:rFonts w:ascii="Times New Roman" w:hAnsi="Times New Roman" w:cs="Times New Roman"/>
          <w:caps w:val="0"/>
          <w:smallCaps w:val="0"/>
          <w:color w:val="auto"/>
          <w:spacing w:val="0"/>
          <w:sz w:val="28"/>
          <w:szCs w:val="28"/>
          <w:highlight w:val="none"/>
        </w:rPr>
        <w:t>分析</w:t>
      </w:r>
    </w:p>
    <w:p w14:paraId="49232E1D">
      <w:pPr>
        <w:pStyle w:val="13"/>
        <w:widowControl w:val="0"/>
        <w:wordWrap w:val="0"/>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含镉污水经污水处理站处理后回用于生产工艺，不外排，其他生产废水经收集处理后与生活污水经管网排放至园区工业污水处理厂，经污水处理厂处理达到《城镇污水处理厂污染物排放标准（GB18918-2002）一级A标准后，排放至</w:t>
      </w:r>
      <w:r>
        <w:rPr>
          <w:rFonts w:hint="eastAsia" w:ascii="Times New Roman" w:hAnsi="Times New Roman" w:eastAsia="宋体" w:cs="Times New Roman"/>
          <w:caps w:val="0"/>
          <w:smallCaps w:val="0"/>
          <w:color w:val="auto"/>
          <w:spacing w:val="0"/>
          <w:highlight w:val="none"/>
          <w:lang w:val="en-US" w:eastAsia="zh-CN"/>
        </w:rPr>
        <w:t>铃铛麦河途经</w:t>
      </w:r>
      <w:r>
        <w:rPr>
          <w:rFonts w:ascii="Times New Roman" w:hAnsi="Times New Roman" w:eastAsia="宋体" w:cs="Times New Roman"/>
          <w:caps w:val="0"/>
          <w:smallCaps w:val="0"/>
          <w:color w:val="auto"/>
          <w:spacing w:val="0"/>
          <w:highlight w:val="none"/>
        </w:rPr>
        <w:t>音达木河最终进入松花江。</w:t>
      </w:r>
      <w:r>
        <w:rPr>
          <w:rFonts w:hint="eastAsia" w:ascii="Times New Roman" w:hAnsi="Times New Roman" w:eastAsia="宋体" w:cs="Times New Roman"/>
          <w:caps w:val="0"/>
          <w:smallCaps w:val="0"/>
          <w:color w:val="auto"/>
          <w:spacing w:val="0"/>
          <w:position w:val="2"/>
          <w:highlight w:val="none"/>
          <w:lang w:val="en-US" w:eastAsia="zh-CN"/>
        </w:rPr>
        <w:t>项目废水换算为基准排水量排放浓度满足《电池工业污染物排放标准》（</w:t>
      </w:r>
      <w:r>
        <w:rPr>
          <w:rFonts w:ascii="Times New Roman" w:hAnsi="Times New Roman" w:eastAsia="宋体" w:cs="Times New Roman"/>
          <w:caps w:val="0"/>
          <w:smallCaps w:val="0"/>
          <w:color w:val="auto"/>
          <w:spacing w:val="0"/>
          <w:position w:val="2"/>
          <w:highlight w:val="none"/>
          <w:lang w:val="en-US" w:eastAsia="zh-CN"/>
        </w:rPr>
        <w:t>GB30484-2013</w:t>
      </w:r>
      <w:r>
        <w:rPr>
          <w:rFonts w:hint="eastAsia" w:ascii="Times New Roman" w:hAnsi="Times New Roman" w:eastAsia="宋体" w:cs="Times New Roman"/>
          <w:caps w:val="0"/>
          <w:smallCaps w:val="0"/>
          <w:color w:val="auto"/>
          <w:spacing w:val="0"/>
          <w:position w:val="2"/>
          <w:highlight w:val="none"/>
          <w:lang w:val="en-US" w:eastAsia="zh-CN"/>
        </w:rPr>
        <w:t>）表</w:t>
      </w:r>
      <w:r>
        <w:rPr>
          <w:rFonts w:hint="default" w:ascii="Times New Roman" w:hAnsi="Times New Roman" w:eastAsia="宋体" w:cs="Times New Roman"/>
          <w:caps w:val="0"/>
          <w:smallCaps w:val="0"/>
          <w:color w:val="auto"/>
          <w:spacing w:val="0"/>
          <w:position w:val="2"/>
          <w:highlight w:val="none"/>
          <w:lang w:val="en-US" w:eastAsia="zh-CN"/>
        </w:rPr>
        <w:t>2</w:t>
      </w:r>
      <w:r>
        <w:rPr>
          <w:rFonts w:hint="eastAsia" w:ascii="Times New Roman" w:hAnsi="Times New Roman" w:eastAsia="宋体" w:cs="Times New Roman"/>
          <w:caps w:val="0"/>
          <w:smallCaps w:val="0"/>
          <w:color w:val="auto"/>
          <w:spacing w:val="0"/>
          <w:position w:val="2"/>
          <w:highlight w:val="none"/>
          <w:lang w:val="en-US" w:eastAsia="zh-CN"/>
        </w:rPr>
        <w:t>间接排放限值要求</w:t>
      </w:r>
      <w:r>
        <w:rPr>
          <w:rFonts w:ascii="Times New Roman" w:hAnsi="Times New Roman" w:eastAsia="宋体" w:cs="Times New Roman"/>
          <w:caps w:val="0"/>
          <w:smallCaps w:val="0"/>
          <w:color w:val="auto"/>
          <w:spacing w:val="0"/>
          <w:highlight w:val="none"/>
        </w:rPr>
        <w:t>。同时满足高新区污水处理厂进水水质指标要求，排放污水不含有第一类污染物和毒性物质，可排入开发区污水管网，最终进入开发区处理厂处理。</w:t>
      </w:r>
    </w:p>
    <w:p w14:paraId="59E53350">
      <w:pPr>
        <w:pStyle w:val="13"/>
        <w:widowControl w:val="0"/>
        <w:wordWrap w:val="0"/>
        <w:spacing w:after="0"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佳木斯高新区污水处理厂经园区内管网收集本项目污水处理达到（GB18918-2002）《城镇污水处理厂污染物排放标准》一级A标准后排入</w:t>
      </w:r>
      <w:r>
        <w:rPr>
          <w:rFonts w:hint="eastAsia" w:ascii="Times New Roman" w:hAnsi="Times New Roman" w:eastAsia="宋体" w:cs="Times New Roman"/>
          <w:caps w:val="0"/>
          <w:smallCaps w:val="0"/>
          <w:color w:val="auto"/>
          <w:spacing w:val="0"/>
          <w:highlight w:val="none"/>
          <w:lang w:eastAsia="zh-CN"/>
        </w:rPr>
        <w:t>铃铛麦河途经音达木河</w:t>
      </w:r>
      <w:r>
        <w:rPr>
          <w:rFonts w:ascii="Times New Roman" w:hAnsi="Times New Roman" w:eastAsia="宋体" w:cs="Times New Roman"/>
          <w:caps w:val="0"/>
          <w:smallCaps w:val="0"/>
          <w:color w:val="auto"/>
          <w:spacing w:val="0"/>
          <w:highlight w:val="none"/>
        </w:rPr>
        <w:t>最终汇入松花江。佳木斯高新区污水处理厂，近期建设规模为3.5万m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/d，远期总处理规模为7.5万m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d，配套新建污水管道8500m。主体采用“强化预处理工艺+主体生化处理工艺（生物脱氮除磷）+深度处理工艺”，消毒采用紫外线消毒，处理后水质可以达到《城镇污水处理厂污染物排放标准（GB18918-2002）一级A标准。本项目污水可以进入佳木斯高新区污水处理厂进行处理后达标外排。</w:t>
      </w:r>
    </w:p>
    <w:p w14:paraId="4880681D">
      <w:pPr>
        <w:pStyle w:val="114"/>
        <w:rPr>
          <w:rFonts w:ascii="Times New Roman" w:hAnsi="Times New Roman" w:cs="Times New Roman"/>
          <w:caps w:val="0"/>
          <w:smallCaps w:val="0"/>
          <w:color w:val="auto"/>
          <w:spacing w:val="0"/>
          <w:sz w:val="28"/>
          <w:szCs w:val="28"/>
          <w:highlight w:val="none"/>
          <w:lang w:val="zh-CN"/>
        </w:rPr>
      </w:pPr>
      <w:r>
        <w:rPr>
          <w:rFonts w:ascii="Times New Roman" w:hAnsi="Times New Roman" w:cs="Times New Roman"/>
          <w:caps w:val="0"/>
          <w:smallCaps w:val="0"/>
          <w:color w:val="auto"/>
          <w:spacing w:val="0"/>
          <w:sz w:val="28"/>
          <w:szCs w:val="28"/>
          <w:highlight w:val="none"/>
        </w:rPr>
        <w:t>6.2.1.3</w:t>
      </w:r>
      <w:r>
        <w:rPr>
          <w:rFonts w:ascii="Times New Roman" w:hAnsi="Times New Roman" w:cs="Times New Roman"/>
          <w:caps w:val="0"/>
          <w:smallCaps w:val="0"/>
          <w:color w:val="auto"/>
          <w:spacing w:val="0"/>
          <w:sz w:val="28"/>
          <w:szCs w:val="28"/>
          <w:highlight w:val="none"/>
          <w:lang w:val="zh-CN"/>
        </w:rPr>
        <w:t>污水防治措施小结</w:t>
      </w:r>
    </w:p>
    <w:p w14:paraId="4A6CC405">
      <w:pPr>
        <w:widowControl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通过以上分析，本项目产生的含镉污水经处理后回用，</w:t>
      </w:r>
      <w:r>
        <w:rPr>
          <w:rFonts w:ascii="Times New Roman" w:hAnsi="Times New Roman" w:eastAsia="宋体" w:cs="Times New Roman"/>
          <w:caps w:val="0"/>
          <w:smallCaps w:val="0"/>
          <w:color w:val="auto"/>
          <w:spacing w:val="0"/>
          <w:szCs w:val="28"/>
          <w:highlight w:val="none"/>
        </w:rPr>
        <w:t>碱性</w:t>
      </w:r>
      <w:r>
        <w:rPr>
          <w:rFonts w:hint="eastAsia" w:ascii="Times New Roman" w:hAnsi="Times New Roman" w:eastAsia="宋体" w:cs="Times New Roman"/>
          <w:caps w:val="0"/>
          <w:smallCaps w:val="0"/>
          <w:color w:val="auto"/>
          <w:spacing w:val="0"/>
          <w:szCs w:val="28"/>
          <w:highlight w:val="none"/>
          <w:lang w:eastAsia="zh-CN"/>
        </w:rPr>
        <w:t>废水</w:t>
      </w:r>
      <w:r>
        <w:rPr>
          <w:rFonts w:ascii="Times New Roman" w:hAnsi="Times New Roman" w:eastAsia="宋体" w:cs="Times New Roman"/>
          <w:caps w:val="0"/>
          <w:smallCaps w:val="0"/>
          <w:color w:val="auto"/>
          <w:spacing w:val="0"/>
          <w:szCs w:val="28"/>
          <w:highlight w:val="none"/>
        </w:rPr>
        <w:t>经处理达标后经管网排入</w:t>
      </w:r>
      <w:r>
        <w:rPr>
          <w:rFonts w:ascii="Times New Roman" w:hAnsi="Times New Roman" w:eastAsia="宋体" w:cs="Times New Roman"/>
          <w:caps w:val="0"/>
          <w:smallCaps w:val="0"/>
          <w:color w:val="auto"/>
          <w:spacing w:val="0"/>
          <w:highlight w:val="none"/>
        </w:rPr>
        <w:t>佳木斯高新区污水处理厂进一步</w:t>
      </w:r>
      <w:r>
        <w:rPr>
          <w:rFonts w:ascii="Times New Roman" w:hAnsi="Times New Roman" w:eastAsia="宋体" w:cs="Times New Roman"/>
          <w:caps w:val="0"/>
          <w:smallCaps w:val="0"/>
          <w:color w:val="auto"/>
          <w:spacing w:val="0"/>
          <w:szCs w:val="28"/>
          <w:highlight w:val="none"/>
          <w:lang w:val="zh-CN"/>
        </w:rPr>
        <w:t>处理后，污水排放满足《城镇污水处理厂污染物排放标准》（GB18918-2002）中表1一级A标准。对纳污水体</w:t>
      </w:r>
      <w:r>
        <w:rPr>
          <w:rFonts w:ascii="Times New Roman" w:hAnsi="Times New Roman" w:eastAsia="宋体" w:cs="Times New Roman"/>
          <w:caps w:val="0"/>
          <w:smallCaps w:val="0"/>
          <w:color w:val="auto"/>
          <w:spacing w:val="0"/>
          <w:highlight w:val="none"/>
        </w:rPr>
        <w:t>音达木河</w:t>
      </w:r>
      <w:r>
        <w:rPr>
          <w:rFonts w:ascii="Times New Roman" w:hAnsi="Times New Roman" w:eastAsia="宋体" w:cs="Times New Roman"/>
          <w:caps w:val="0"/>
          <w:smallCaps w:val="0"/>
          <w:color w:val="auto"/>
          <w:spacing w:val="0"/>
          <w:szCs w:val="28"/>
          <w:highlight w:val="none"/>
          <w:lang w:val="zh-CN"/>
        </w:rPr>
        <w:t>的影响不大。从本项目废水产生量和废水中污染物浓度与依托污水处理厂的剩余污水处理能力和污水进水设计指标分析，本项目采取的污水防治措施可行。</w:t>
      </w:r>
    </w:p>
    <w:p w14:paraId="04B6932E">
      <w:pPr>
        <w:pStyle w:val="5"/>
        <w:widowControl w:val="0"/>
        <w:rPr>
          <w:rFonts w:eastAsia="宋体"/>
          <w:caps w:val="0"/>
          <w:smallCaps w:val="0"/>
          <w:color w:val="auto"/>
          <w:spacing w:val="0"/>
          <w:sz w:val="30"/>
          <w:szCs w:val="30"/>
          <w:highlight w:val="none"/>
        </w:rPr>
      </w:pPr>
      <w:bookmarkStart w:id="213" w:name="_Toc477951996"/>
      <w:bookmarkStart w:id="214" w:name="_Toc21420"/>
      <w:r>
        <w:rPr>
          <w:rFonts w:eastAsia="宋体"/>
          <w:caps w:val="0"/>
          <w:smallCaps w:val="0"/>
          <w:color w:val="auto"/>
          <w:spacing w:val="0"/>
          <w:sz w:val="30"/>
          <w:szCs w:val="30"/>
          <w:highlight w:val="none"/>
        </w:rPr>
        <w:t>6.2.2废气污染防治措施</w:t>
      </w:r>
      <w:bookmarkEnd w:id="213"/>
      <w:bookmarkEnd w:id="214"/>
    </w:p>
    <w:p w14:paraId="5B429E9C">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6.2.2.1废气防治措施概况</w:t>
      </w:r>
    </w:p>
    <w:p w14:paraId="4AB339A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本工程废气污染防治措施情况详见下表。</w:t>
      </w:r>
    </w:p>
    <w:p w14:paraId="4527A69E">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表6.2-</w:t>
      </w:r>
      <w:r>
        <w:rPr>
          <w:rFonts w:hint="eastAsia" w:ascii="Times New Roman" w:hAnsi="Times New Roman" w:eastAsia="宋体" w:cs="Times New Roman"/>
          <w:b/>
          <w:bCs/>
          <w:caps w:val="0"/>
          <w:smallCaps w:val="0"/>
          <w:color w:val="auto"/>
          <w:spacing w:val="0"/>
          <w:szCs w:val="24"/>
          <w:highlight w:val="none"/>
        </w:rPr>
        <w:t>3</w:t>
      </w:r>
      <w:r>
        <w:rPr>
          <w:rFonts w:ascii="Times New Roman" w:hAnsi="Times New Roman" w:eastAsia="宋体" w:cs="Times New Roman"/>
          <w:b/>
          <w:bCs/>
          <w:caps w:val="0"/>
          <w:smallCaps w:val="0"/>
          <w:color w:val="auto"/>
          <w:spacing w:val="0"/>
          <w:szCs w:val="24"/>
          <w:highlight w:val="none"/>
        </w:rPr>
        <w:t>污染防治措施一览表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480"/>
        <w:gridCol w:w="2114"/>
        <w:gridCol w:w="4590"/>
      </w:tblGrid>
      <w:tr w14:paraId="4925D3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58" w:hRule="atLeast"/>
          <w:tblHeader/>
          <w:jc w:val="center"/>
        </w:trPr>
        <w:tc>
          <w:tcPr>
            <w:tcW w:w="2480" w:type="dxa"/>
            <w:tcBorders>
              <w:top w:val="single" w:color="auto" w:sz="8" w:space="0"/>
              <w:bottom w:val="single" w:color="auto" w:sz="8" w:space="0"/>
              <w:tl2br w:val="nil"/>
              <w:tr2bl w:val="nil"/>
            </w:tcBorders>
            <w:tcMar>
              <w:left w:w="57" w:type="dxa"/>
              <w:right w:w="57" w:type="dxa"/>
            </w:tcMar>
            <w:vAlign w:val="center"/>
          </w:tcPr>
          <w:p w14:paraId="645B2357">
            <w:pPr>
              <w:pStyle w:val="105"/>
              <w:widowControl w:val="0"/>
              <w:jc w:val="center"/>
              <w:rPr>
                <w:rFonts w:ascii="Times New Roman" w:hAnsi="Times New Roman" w:cs="Times New Roman"/>
                <w:b/>
                <w:bCs/>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产污环节</w:t>
            </w:r>
          </w:p>
        </w:tc>
        <w:tc>
          <w:tcPr>
            <w:tcW w:w="2114" w:type="dxa"/>
            <w:tcBorders>
              <w:top w:val="single" w:color="auto" w:sz="8" w:space="0"/>
              <w:bottom w:val="single" w:color="auto" w:sz="8" w:space="0"/>
              <w:tl2br w:val="nil"/>
              <w:tr2bl w:val="nil"/>
            </w:tcBorders>
            <w:tcMar>
              <w:left w:w="57" w:type="dxa"/>
              <w:right w:w="57" w:type="dxa"/>
            </w:tcMar>
            <w:vAlign w:val="center"/>
          </w:tcPr>
          <w:p w14:paraId="2A20E3EF">
            <w:pPr>
              <w:pStyle w:val="105"/>
              <w:widowControl w:val="0"/>
              <w:jc w:val="center"/>
              <w:rPr>
                <w:rFonts w:ascii="Times New Roman" w:hAnsi="Times New Roman" w:cs="Times New Roman"/>
                <w:b/>
                <w:bCs/>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主要污染物</w:t>
            </w:r>
          </w:p>
        </w:tc>
        <w:tc>
          <w:tcPr>
            <w:tcW w:w="4590" w:type="dxa"/>
            <w:tcBorders>
              <w:top w:val="single" w:color="auto" w:sz="8" w:space="0"/>
              <w:bottom w:val="single" w:color="auto" w:sz="8" w:space="0"/>
              <w:tl2br w:val="nil"/>
              <w:tr2bl w:val="nil"/>
            </w:tcBorders>
            <w:tcMar>
              <w:left w:w="57" w:type="dxa"/>
              <w:right w:w="57" w:type="dxa"/>
            </w:tcMar>
            <w:vAlign w:val="center"/>
          </w:tcPr>
          <w:p w14:paraId="5540FF80">
            <w:pPr>
              <w:pStyle w:val="105"/>
              <w:widowControl w:val="0"/>
              <w:jc w:val="center"/>
              <w:rPr>
                <w:rFonts w:ascii="Times New Roman" w:hAnsi="Times New Roman" w:cs="Times New Roman"/>
                <w:b/>
                <w:bCs/>
                <w:caps w:val="0"/>
                <w:smallCaps w:val="0"/>
                <w:color w:val="auto"/>
                <w:spacing w:val="0"/>
                <w:sz w:val="21"/>
                <w:highlight w:val="none"/>
              </w:rPr>
            </w:pPr>
            <w:r>
              <w:rPr>
                <w:rFonts w:ascii="Times New Roman" w:hAnsi="Times New Roman" w:cs="Times New Roman"/>
                <w:b/>
                <w:bCs/>
                <w:caps w:val="0"/>
                <w:smallCaps w:val="0"/>
                <w:color w:val="auto"/>
                <w:spacing w:val="0"/>
                <w:sz w:val="21"/>
                <w:szCs w:val="21"/>
                <w:highlight w:val="none"/>
                <w:lang w:eastAsia="en-US"/>
              </w:rPr>
              <w:t>处理措施</w:t>
            </w:r>
          </w:p>
        </w:tc>
      </w:tr>
      <w:tr w14:paraId="3CFBB7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2480" w:type="dxa"/>
            <w:tcBorders>
              <w:top w:val="single" w:color="auto" w:sz="8" w:space="0"/>
              <w:tl2br w:val="nil"/>
              <w:tr2bl w:val="nil"/>
            </w:tcBorders>
            <w:tcMar>
              <w:left w:w="57" w:type="dxa"/>
              <w:right w:w="57" w:type="dxa"/>
            </w:tcMar>
            <w:vAlign w:val="center"/>
          </w:tcPr>
          <w:p w14:paraId="357D898F">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CSS镀膜废气G1</w:t>
            </w:r>
          </w:p>
        </w:tc>
        <w:tc>
          <w:tcPr>
            <w:tcW w:w="2114" w:type="dxa"/>
            <w:tcBorders>
              <w:top w:val="single" w:color="auto" w:sz="8" w:space="0"/>
              <w:tl2br w:val="nil"/>
              <w:tr2bl w:val="nil"/>
            </w:tcBorders>
            <w:tcMar>
              <w:left w:w="57" w:type="dxa"/>
              <w:right w:w="57" w:type="dxa"/>
            </w:tcMar>
            <w:vAlign w:val="center"/>
          </w:tcPr>
          <w:p w14:paraId="116C94B5">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w:t>
            </w:r>
          </w:p>
        </w:tc>
        <w:tc>
          <w:tcPr>
            <w:tcW w:w="4590" w:type="dxa"/>
            <w:tcBorders>
              <w:top w:val="single" w:color="auto" w:sz="8" w:space="0"/>
              <w:tl2br w:val="nil"/>
              <w:tr2bl w:val="nil"/>
            </w:tcBorders>
            <w:tcMar>
              <w:left w:w="57" w:type="dxa"/>
              <w:right w:w="57" w:type="dxa"/>
            </w:tcMar>
            <w:vAlign w:val="center"/>
          </w:tcPr>
          <w:p w14:paraId="2928027E">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default" w:ascii="Times New Roman" w:hAnsi="Times New Roman" w:eastAsia="宋体" w:cs="Times New Roman"/>
                <w:caps w:val="0"/>
                <w:smallCaps w:val="0"/>
                <w:color w:val="auto"/>
                <w:spacing w:val="0"/>
                <w:kern w:val="0"/>
                <w:sz w:val="21"/>
                <w:szCs w:val="21"/>
                <w:highlight w:val="none"/>
                <w:lang w:val="en-US" w:eastAsia="zh-CN" w:bidi="ar"/>
              </w:rPr>
              <w:t>1</w:t>
            </w:r>
            <w:r>
              <w:rPr>
                <w:rFonts w:hint="eastAsia" w:ascii="Times New Roman" w:hAnsi="Times New Roman" w:eastAsia="宋体" w:cs="Times New Roman"/>
                <w:caps w:val="0"/>
                <w:smallCaps w:val="0"/>
                <w:color w:val="auto"/>
                <w:spacing w:val="0"/>
                <w:kern w:val="0"/>
                <w:sz w:val="21"/>
                <w:szCs w:val="21"/>
                <w:highlight w:val="none"/>
                <w:lang w:val="en-US" w:eastAsia="zh-CN" w:bidi="ar"/>
              </w:rPr>
              <w:t>套</w:t>
            </w:r>
            <w:r>
              <w:rPr>
                <w:rFonts w:hint="default" w:ascii="Times New Roman" w:hAnsi="Times New Roman" w:eastAsia="宋体" w:cs="Times New Roman"/>
                <w:caps w:val="0"/>
                <w:smallCaps w:val="0"/>
                <w:color w:val="auto"/>
                <w:spacing w:val="0"/>
                <w:kern w:val="0"/>
                <w:sz w:val="21"/>
                <w:szCs w:val="21"/>
                <w:highlight w:val="none"/>
                <w:lang w:val="en-US" w:eastAsia="zh-CN" w:bidi="ar"/>
              </w:rPr>
              <w:t>E12</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eastAsia="宋体" w:cs="Times New Roman"/>
                <w:caps w:val="0"/>
                <w:smallCaps w:val="0"/>
                <w:color w:val="auto"/>
                <w:spacing w:val="0"/>
                <w:sz w:val="21"/>
                <w:szCs w:val="21"/>
                <w:highlight w:val="none"/>
              </w:rPr>
              <w:t>+21m排气筒</w:t>
            </w:r>
            <w:r>
              <w:rPr>
                <w:rFonts w:ascii="Times New Roman" w:hAnsi="Times New Roman" w:eastAsia="宋体" w:cs="Times New Roman"/>
                <w:caps w:val="0"/>
                <w:smallCaps w:val="0"/>
                <w:color w:val="auto"/>
                <w:spacing w:val="0"/>
                <w:sz w:val="21"/>
                <w:highlight w:val="none"/>
              </w:rPr>
              <w:t>DA001</w:t>
            </w:r>
          </w:p>
        </w:tc>
      </w:tr>
      <w:tr w14:paraId="1E5CFB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541D5669">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活化层活化废气G2</w:t>
            </w:r>
          </w:p>
        </w:tc>
        <w:tc>
          <w:tcPr>
            <w:tcW w:w="2114" w:type="dxa"/>
            <w:tcBorders>
              <w:tl2br w:val="nil"/>
              <w:tr2bl w:val="nil"/>
            </w:tcBorders>
            <w:tcMar>
              <w:left w:w="57" w:type="dxa"/>
              <w:right w:w="57" w:type="dxa"/>
            </w:tcMar>
            <w:vAlign w:val="center"/>
          </w:tcPr>
          <w:p w14:paraId="3117C02E">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粉尘（CdCl</w:t>
            </w:r>
            <w:r>
              <w:rPr>
                <w:rFonts w:ascii="Times New Roman" w:hAnsi="Times New Roman" w:eastAsia="宋体" w:cs="Times New Roman"/>
                <w:bCs/>
                <w:caps w:val="0"/>
                <w:smallCaps w:val="0"/>
                <w:color w:val="auto"/>
                <w:spacing w:val="0"/>
                <w:sz w:val="21"/>
                <w:highlight w:val="none"/>
                <w:vertAlign w:val="subscript"/>
              </w:rPr>
              <w:t>2</w:t>
            </w:r>
            <w:r>
              <w:rPr>
                <w:rFonts w:ascii="Times New Roman" w:hAnsi="Times New Roman" w:eastAsia="宋体" w:cs="Times New Roman"/>
                <w:bCs/>
                <w:caps w:val="0"/>
                <w:smallCaps w:val="0"/>
                <w:color w:val="auto"/>
                <w:spacing w:val="0"/>
                <w:sz w:val="21"/>
                <w:highlight w:val="none"/>
              </w:rPr>
              <w:t>）</w:t>
            </w:r>
          </w:p>
        </w:tc>
        <w:tc>
          <w:tcPr>
            <w:tcW w:w="4590" w:type="dxa"/>
            <w:tcBorders>
              <w:tl2br w:val="nil"/>
              <w:tr2bl w:val="nil"/>
            </w:tcBorders>
            <w:tcMar>
              <w:left w:w="57" w:type="dxa"/>
              <w:right w:w="57" w:type="dxa"/>
            </w:tcMar>
            <w:vAlign w:val="center"/>
          </w:tcPr>
          <w:p w14:paraId="2E95AA47">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sz w:val="21"/>
                <w:szCs w:val="21"/>
                <w:highlight w:val="none"/>
                <w:lang w:val="en-US" w:eastAsia="zh-CN"/>
              </w:rPr>
              <w:t>+</w:t>
            </w:r>
            <w:r>
              <w:rPr>
                <w:rFonts w:hint="eastAsia" w:ascii="Times New Roman" w:hAnsi="Times New Roman" w:eastAsia="宋体" w:cs="Times New Roman"/>
                <w:caps w:val="0"/>
                <w:smallCaps w:val="0"/>
                <w:color w:val="auto"/>
                <w:spacing w:val="0"/>
                <w:sz w:val="21"/>
                <w:highlight w:val="none"/>
                <w:lang w:val="en-US" w:eastAsia="zh-CN"/>
              </w:rPr>
              <w:t>1套F7级过滤器+E10级高效离子过滤器+H14级高效过滤器</w:t>
            </w:r>
            <w:r>
              <w:rPr>
                <w:rFonts w:ascii="Times New Roman" w:hAnsi="Times New Roman" w:eastAsia="宋体" w:cs="Times New Roman"/>
                <w:caps w:val="0"/>
                <w:smallCaps w:val="0"/>
                <w:color w:val="auto"/>
                <w:spacing w:val="0"/>
                <w:sz w:val="21"/>
                <w:highlight w:val="none"/>
              </w:rPr>
              <w:t>+21m排气筒（DA001）</w:t>
            </w:r>
          </w:p>
        </w:tc>
      </w:tr>
      <w:tr w14:paraId="62449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6A50C0A3">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lang w:eastAsia="en-US"/>
              </w:rPr>
              <w:t>活化层清洗、蚀刻G</w:t>
            </w:r>
            <w:r>
              <w:rPr>
                <w:rFonts w:ascii="Times New Roman" w:hAnsi="Times New Roman" w:eastAsia="宋体" w:cs="Times New Roman"/>
                <w:caps w:val="0"/>
                <w:smallCaps w:val="0"/>
                <w:color w:val="auto"/>
                <w:spacing w:val="0"/>
                <w:sz w:val="21"/>
                <w:highlight w:val="none"/>
              </w:rPr>
              <w:t>3</w:t>
            </w:r>
          </w:p>
        </w:tc>
        <w:tc>
          <w:tcPr>
            <w:tcW w:w="2114" w:type="dxa"/>
            <w:tcBorders>
              <w:tl2br w:val="nil"/>
              <w:tr2bl w:val="nil"/>
            </w:tcBorders>
            <w:tcMar>
              <w:left w:w="57" w:type="dxa"/>
              <w:right w:w="57" w:type="dxa"/>
            </w:tcMar>
            <w:vAlign w:val="center"/>
          </w:tcPr>
          <w:p w14:paraId="1D4BFC9E">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硝酸雾、NO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、HCl</w:t>
            </w:r>
          </w:p>
        </w:tc>
        <w:tc>
          <w:tcPr>
            <w:tcW w:w="4590" w:type="dxa"/>
            <w:vMerge w:val="restart"/>
            <w:tcBorders>
              <w:tl2br w:val="nil"/>
              <w:tr2bl w:val="nil"/>
            </w:tcBorders>
            <w:tcMar>
              <w:left w:w="57" w:type="dxa"/>
              <w:right w:w="57" w:type="dxa"/>
            </w:tcMar>
            <w:vAlign w:val="center"/>
          </w:tcPr>
          <w:p w14:paraId="501809D5">
            <w:pPr>
              <w:widowControl w:val="0"/>
              <w:spacing w:line="320" w:lineRule="exact"/>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szCs w:val="21"/>
                <w:highlight w:val="none"/>
              </w:rPr>
              <w:t>二级碱液洗涤塔处理后+活性炭吸附+21m排气筒</w:t>
            </w:r>
            <w:r>
              <w:rPr>
                <w:rFonts w:ascii="Times New Roman" w:hAnsi="Times New Roman" w:eastAsia="宋体" w:cs="Times New Roman"/>
                <w:caps w:val="0"/>
                <w:smallCaps w:val="0"/>
                <w:color w:val="auto"/>
                <w:spacing w:val="0"/>
                <w:sz w:val="21"/>
                <w:szCs w:val="21"/>
                <w:highlight w:val="none"/>
              </w:rPr>
              <w:t>DA00</w:t>
            </w:r>
            <w:r>
              <w:rPr>
                <w:rFonts w:hint="eastAsia" w:ascii="Times New Roman" w:hAnsi="Times New Roman" w:eastAsia="宋体" w:cs="Times New Roman"/>
                <w:caps w:val="0"/>
                <w:smallCaps w:val="0"/>
                <w:color w:val="auto"/>
                <w:spacing w:val="0"/>
                <w:sz w:val="21"/>
                <w:szCs w:val="21"/>
                <w:highlight w:val="none"/>
                <w:lang w:val="en-US" w:eastAsia="zh-CN"/>
              </w:rPr>
              <w:t>8</w:t>
            </w:r>
          </w:p>
        </w:tc>
      </w:tr>
      <w:tr w14:paraId="1FA9F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2DBD5F6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污水处理站废气</w:t>
            </w:r>
          </w:p>
        </w:tc>
        <w:tc>
          <w:tcPr>
            <w:tcW w:w="2114" w:type="dxa"/>
            <w:tcBorders>
              <w:tl2br w:val="nil"/>
              <w:tr2bl w:val="nil"/>
            </w:tcBorders>
            <w:tcMar>
              <w:left w:w="57" w:type="dxa"/>
              <w:right w:w="57" w:type="dxa"/>
            </w:tcMar>
            <w:vAlign w:val="center"/>
          </w:tcPr>
          <w:p w14:paraId="15F1F41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硫化氢、氨气、臭气浓度</w:t>
            </w:r>
          </w:p>
        </w:tc>
        <w:tc>
          <w:tcPr>
            <w:tcW w:w="4590" w:type="dxa"/>
            <w:vMerge w:val="continue"/>
            <w:tcBorders>
              <w:tl2br w:val="nil"/>
              <w:tr2bl w:val="nil"/>
            </w:tcBorders>
            <w:tcMar>
              <w:left w:w="57" w:type="dxa"/>
              <w:right w:w="57" w:type="dxa"/>
            </w:tcMar>
            <w:vAlign w:val="center"/>
          </w:tcPr>
          <w:p w14:paraId="0EC0DBB7">
            <w:pPr>
              <w:widowControl w:val="0"/>
              <w:spacing w:line="320" w:lineRule="exact"/>
              <w:jc w:val="center"/>
              <w:rPr>
                <w:rFonts w:ascii="Times New Roman" w:hAnsi="Times New Roman" w:eastAsia="宋体" w:cs="Times New Roman"/>
                <w:caps w:val="0"/>
                <w:smallCaps w:val="0"/>
                <w:color w:val="auto"/>
                <w:spacing w:val="0"/>
                <w:sz w:val="21"/>
                <w:highlight w:val="none"/>
              </w:rPr>
            </w:pPr>
          </w:p>
        </w:tc>
      </w:tr>
      <w:tr w14:paraId="0A5CC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shd w:val="clear" w:color="auto" w:fill="auto"/>
            <w:tcMar>
              <w:left w:w="57" w:type="dxa"/>
              <w:right w:w="57" w:type="dxa"/>
            </w:tcMar>
            <w:vAlign w:val="center"/>
          </w:tcPr>
          <w:p w14:paraId="737068A0">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膜层溅射废气G4</w:t>
            </w:r>
          </w:p>
        </w:tc>
        <w:tc>
          <w:tcPr>
            <w:tcW w:w="2114" w:type="dxa"/>
            <w:tcBorders>
              <w:tl2br w:val="nil"/>
              <w:tr2bl w:val="nil"/>
            </w:tcBorders>
            <w:shd w:val="clear" w:color="auto" w:fill="auto"/>
            <w:tcMar>
              <w:left w:w="57" w:type="dxa"/>
              <w:right w:w="57" w:type="dxa"/>
            </w:tcMar>
            <w:vAlign w:val="center"/>
          </w:tcPr>
          <w:p w14:paraId="574382BB">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粉尘（ZnTe）</w:t>
            </w:r>
          </w:p>
        </w:tc>
        <w:tc>
          <w:tcPr>
            <w:tcW w:w="4590" w:type="dxa"/>
            <w:tcBorders>
              <w:tl2br w:val="nil"/>
              <w:tr2bl w:val="nil"/>
            </w:tcBorders>
            <w:tcMar>
              <w:left w:w="57" w:type="dxa"/>
              <w:right w:w="57" w:type="dxa"/>
            </w:tcMar>
            <w:vAlign w:val="center"/>
          </w:tcPr>
          <w:p w14:paraId="2D567285">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真空吸尘+H14级高效过滤器除尘+21m排气筒DA002</w:t>
            </w:r>
          </w:p>
        </w:tc>
      </w:tr>
      <w:tr w14:paraId="294B09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2E1A96DB">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激光刻划01废气</w:t>
            </w:r>
          </w:p>
          <w:p w14:paraId="7D71AF5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（P1刻线废气）G5</w:t>
            </w:r>
          </w:p>
        </w:tc>
        <w:tc>
          <w:tcPr>
            <w:tcW w:w="2114" w:type="dxa"/>
            <w:tcBorders>
              <w:tl2br w:val="nil"/>
              <w:tr2bl w:val="nil"/>
            </w:tcBorders>
            <w:tcMar>
              <w:left w:w="57" w:type="dxa"/>
              <w:right w:w="57" w:type="dxa"/>
            </w:tcMar>
            <w:vAlign w:val="center"/>
          </w:tcPr>
          <w:p w14:paraId="463CAA3B">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粉尘（CdSe、CdTe、SnO</w:t>
            </w:r>
            <w:r>
              <w:rPr>
                <w:rFonts w:ascii="Times New Roman" w:hAnsi="Times New Roman" w:eastAsia="宋体" w:cs="Times New Roman"/>
                <w:bCs/>
                <w:caps w:val="0"/>
                <w:smallCaps w:val="0"/>
                <w:color w:val="auto"/>
                <w:spacing w:val="0"/>
                <w:sz w:val="21"/>
                <w:highlight w:val="none"/>
                <w:vertAlign w:val="subscript"/>
              </w:rPr>
              <w:t>2</w:t>
            </w:r>
            <w:r>
              <w:rPr>
                <w:rFonts w:ascii="Times New Roman" w:hAnsi="Times New Roman" w:eastAsia="宋体" w:cs="Times New Roman"/>
                <w:bCs/>
                <w:caps w:val="0"/>
                <w:smallCaps w:val="0"/>
                <w:color w:val="auto"/>
                <w:spacing w:val="0"/>
                <w:sz w:val="21"/>
                <w:highlight w:val="none"/>
              </w:rPr>
              <w:t>、ZnTe）</w:t>
            </w:r>
          </w:p>
        </w:tc>
        <w:tc>
          <w:tcPr>
            <w:tcW w:w="4590" w:type="dxa"/>
            <w:tcBorders>
              <w:tl2br w:val="nil"/>
              <w:tr2bl w:val="nil"/>
            </w:tcBorders>
            <w:tcMar>
              <w:left w:w="57" w:type="dxa"/>
              <w:right w:w="57" w:type="dxa"/>
            </w:tcMar>
            <w:vAlign w:val="center"/>
          </w:tcPr>
          <w:p w14:paraId="6504F918">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ascii="Times New Roman" w:hAnsi="Times New Roman" w:eastAsia="宋体" w:cs="Times New Roman"/>
                <w:caps w:val="0"/>
                <w:smallCaps w:val="0"/>
                <w:color w:val="auto"/>
                <w:spacing w:val="0"/>
                <w:sz w:val="21"/>
                <w:szCs w:val="21"/>
                <w:highlight w:val="none"/>
              </w:rPr>
              <w:t>+21m排气筒DA001</w:t>
            </w:r>
          </w:p>
        </w:tc>
      </w:tr>
      <w:tr w14:paraId="267F42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5EFC2976">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光刻胶干燥曝光废气G6</w:t>
            </w:r>
          </w:p>
        </w:tc>
        <w:tc>
          <w:tcPr>
            <w:tcW w:w="2114" w:type="dxa"/>
            <w:tcBorders>
              <w:tl2br w:val="nil"/>
              <w:tr2bl w:val="nil"/>
            </w:tcBorders>
            <w:tcMar>
              <w:left w:w="57" w:type="dxa"/>
              <w:right w:w="57" w:type="dxa"/>
            </w:tcMar>
            <w:vAlign w:val="center"/>
          </w:tcPr>
          <w:p w14:paraId="5A022AD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非甲烷总烃</w:t>
            </w:r>
          </w:p>
        </w:tc>
        <w:tc>
          <w:tcPr>
            <w:tcW w:w="4590" w:type="dxa"/>
            <w:tcBorders>
              <w:tl2br w:val="nil"/>
              <w:tr2bl w:val="nil"/>
            </w:tcBorders>
            <w:tcMar>
              <w:left w:w="57" w:type="dxa"/>
              <w:right w:w="57" w:type="dxa"/>
            </w:tcMar>
            <w:vAlign w:val="center"/>
          </w:tcPr>
          <w:p w14:paraId="63E3B501">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全封闭设备负压收集+二级活性炭吸附+21m排气筒DA007</w:t>
            </w:r>
          </w:p>
        </w:tc>
      </w:tr>
      <w:tr w14:paraId="341B3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6E88CF4F">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激光刻划02废气</w:t>
            </w:r>
          </w:p>
          <w:p w14:paraId="00B38E5E">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（P2刻线废气）G7</w:t>
            </w:r>
          </w:p>
        </w:tc>
        <w:tc>
          <w:tcPr>
            <w:tcW w:w="2114" w:type="dxa"/>
            <w:tcBorders>
              <w:tl2br w:val="nil"/>
              <w:tr2bl w:val="nil"/>
            </w:tcBorders>
            <w:tcMar>
              <w:left w:w="57" w:type="dxa"/>
              <w:right w:w="57" w:type="dxa"/>
            </w:tcMar>
            <w:vAlign w:val="center"/>
          </w:tcPr>
          <w:p w14:paraId="0C0ED22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粉尘（CdSe、CdTe、ZnTe）</w:t>
            </w:r>
          </w:p>
        </w:tc>
        <w:tc>
          <w:tcPr>
            <w:tcW w:w="4590" w:type="dxa"/>
            <w:tcBorders>
              <w:tl2br w:val="nil"/>
              <w:tr2bl w:val="nil"/>
            </w:tcBorders>
            <w:tcMar>
              <w:left w:w="57" w:type="dxa"/>
              <w:right w:w="57" w:type="dxa"/>
            </w:tcMar>
            <w:vAlign w:val="center"/>
          </w:tcPr>
          <w:p w14:paraId="52918E6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ascii="Times New Roman" w:hAnsi="Times New Roman" w:eastAsia="宋体" w:cs="Times New Roman"/>
                <w:caps w:val="0"/>
                <w:smallCaps w:val="0"/>
                <w:color w:val="auto"/>
                <w:spacing w:val="0"/>
                <w:sz w:val="21"/>
                <w:szCs w:val="21"/>
                <w:highlight w:val="none"/>
              </w:rPr>
              <w:t>+21m排气筒DA003</w:t>
            </w:r>
          </w:p>
        </w:tc>
      </w:tr>
      <w:tr w14:paraId="5EE37A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shd w:val="clear" w:color="auto" w:fill="auto"/>
            <w:tcMar>
              <w:left w:w="57" w:type="dxa"/>
              <w:right w:w="57" w:type="dxa"/>
            </w:tcMar>
            <w:vAlign w:val="center"/>
          </w:tcPr>
          <w:p w14:paraId="4E681414">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背电极磁控溅射废气G8</w:t>
            </w:r>
          </w:p>
        </w:tc>
        <w:tc>
          <w:tcPr>
            <w:tcW w:w="2114" w:type="dxa"/>
            <w:tcBorders>
              <w:tl2br w:val="nil"/>
              <w:tr2bl w:val="nil"/>
            </w:tcBorders>
            <w:shd w:val="clear" w:color="auto" w:fill="auto"/>
            <w:tcMar>
              <w:left w:w="57" w:type="dxa"/>
              <w:right w:w="57" w:type="dxa"/>
            </w:tcMar>
            <w:vAlign w:val="center"/>
          </w:tcPr>
          <w:p w14:paraId="633827C4">
            <w:pPr>
              <w:widowControl w:val="0"/>
              <w:spacing w:line="320" w:lineRule="exact"/>
              <w:jc w:val="center"/>
              <w:rPr>
                <w:rFonts w:ascii="Times New Roman" w:hAnsi="Times New Roman" w:eastAsia="宋体" w:cs="Times New Roman"/>
                <w:bCs/>
                <w:caps w:val="0"/>
                <w:smallCaps w:val="0"/>
                <w:color w:val="auto"/>
                <w:spacing w:val="0"/>
                <w:sz w:val="21"/>
                <w:szCs w:val="24"/>
                <w:highlight w:val="none"/>
              </w:rPr>
            </w:pPr>
            <w:r>
              <w:rPr>
                <w:rFonts w:ascii="Times New Roman" w:hAnsi="Times New Roman" w:eastAsia="宋体" w:cs="Times New Roman"/>
                <w:bCs/>
                <w:caps w:val="0"/>
                <w:smallCaps w:val="0"/>
                <w:color w:val="auto"/>
                <w:spacing w:val="0"/>
                <w:sz w:val="21"/>
                <w:highlight w:val="none"/>
              </w:rPr>
              <w:t>粉尘（Mo</w:t>
            </w:r>
            <w:r>
              <w:rPr>
                <w:rFonts w:ascii="Times New Roman" w:hAnsi="Times New Roman" w:eastAsia="宋体" w:cs="Times New Roman"/>
                <w:caps w:val="0"/>
                <w:smallCaps w:val="0"/>
                <w:color w:val="auto"/>
                <w:spacing w:val="0"/>
                <w:sz w:val="21"/>
                <w:highlight w:val="none"/>
                <w:lang w:eastAsia="en-US"/>
              </w:rPr>
              <w:t>、Al、Cr</w:t>
            </w:r>
            <w:r>
              <w:rPr>
                <w:rFonts w:ascii="Times New Roman" w:hAnsi="Times New Roman" w:eastAsia="宋体" w:cs="Times New Roman"/>
                <w:bCs/>
                <w:caps w:val="0"/>
                <w:smallCaps w:val="0"/>
                <w:color w:val="auto"/>
                <w:spacing w:val="0"/>
                <w:sz w:val="21"/>
                <w:highlight w:val="none"/>
              </w:rPr>
              <w:t>）</w:t>
            </w:r>
          </w:p>
        </w:tc>
        <w:tc>
          <w:tcPr>
            <w:tcW w:w="4590" w:type="dxa"/>
            <w:tcBorders>
              <w:tl2br w:val="nil"/>
              <w:tr2bl w:val="nil"/>
            </w:tcBorders>
            <w:tcMar>
              <w:left w:w="57" w:type="dxa"/>
              <w:right w:w="57" w:type="dxa"/>
            </w:tcMar>
            <w:vAlign w:val="center"/>
          </w:tcPr>
          <w:p w14:paraId="13AC5A4A">
            <w:pPr>
              <w:widowControl w:val="0"/>
              <w:spacing w:line="320" w:lineRule="exact"/>
              <w:jc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1"/>
                <w:szCs w:val="21"/>
                <w:highlight w:val="none"/>
              </w:rPr>
              <w:t>真空吸尘+</w:t>
            </w:r>
            <w:r>
              <w:rPr>
                <w:rFonts w:ascii="Times New Roman" w:hAnsi="Times New Roman" w:eastAsia="宋体" w:cs="Times New Roman"/>
                <w:caps w:val="0"/>
                <w:smallCaps w:val="0"/>
                <w:color w:val="auto"/>
                <w:spacing w:val="0"/>
                <w:kern w:val="0"/>
                <w:sz w:val="21"/>
                <w:szCs w:val="21"/>
                <w:highlight w:val="none"/>
              </w:rPr>
              <w:t>1套H14级高效过滤器除尘器处理后</w:t>
            </w:r>
            <w:r>
              <w:rPr>
                <w:rFonts w:ascii="Times New Roman" w:hAnsi="Times New Roman" w:eastAsia="宋体" w:cs="Times New Roman"/>
                <w:caps w:val="0"/>
                <w:smallCaps w:val="0"/>
                <w:color w:val="auto"/>
                <w:spacing w:val="0"/>
                <w:sz w:val="21"/>
                <w:szCs w:val="21"/>
                <w:highlight w:val="none"/>
              </w:rPr>
              <w:t>+21m排气筒</w:t>
            </w:r>
            <w:r>
              <w:rPr>
                <w:rFonts w:ascii="Times New Roman" w:hAnsi="Times New Roman" w:eastAsia="宋体" w:cs="Times New Roman"/>
                <w:caps w:val="0"/>
                <w:smallCaps w:val="0"/>
                <w:color w:val="auto"/>
                <w:spacing w:val="0"/>
                <w:sz w:val="21"/>
                <w:szCs w:val="21"/>
                <w:highlight w:val="none"/>
              </w:rPr>
              <w:t>DA00</w:t>
            </w:r>
            <w:r>
              <w:rPr>
                <w:rFonts w:hint="eastAsia" w:ascii="Times New Roman" w:hAnsi="Times New Roman" w:eastAsia="宋体" w:cs="Times New Roman"/>
                <w:caps w:val="0"/>
                <w:smallCaps w:val="0"/>
                <w:color w:val="auto"/>
                <w:spacing w:val="0"/>
                <w:sz w:val="21"/>
                <w:szCs w:val="21"/>
                <w:highlight w:val="none"/>
                <w:lang w:val="en-US" w:eastAsia="zh-CN"/>
              </w:rPr>
              <w:t>5</w:t>
            </w:r>
          </w:p>
        </w:tc>
      </w:tr>
      <w:tr w14:paraId="00E4A0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bottom w:val="single" w:color="auto" w:sz="8" w:space="0"/>
              <w:tl2br w:val="nil"/>
              <w:tr2bl w:val="nil"/>
            </w:tcBorders>
            <w:tcMar>
              <w:left w:w="57" w:type="dxa"/>
              <w:right w:w="57" w:type="dxa"/>
            </w:tcMar>
            <w:vAlign w:val="center"/>
          </w:tcPr>
          <w:p w14:paraId="0193E0BC">
            <w:pPr>
              <w:widowControl w:val="0"/>
              <w:spacing w:line="320" w:lineRule="exact"/>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激光刻划03废气</w:t>
            </w:r>
          </w:p>
          <w:p w14:paraId="19CE8869">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（P3刻线废气）G9</w:t>
            </w:r>
          </w:p>
        </w:tc>
        <w:tc>
          <w:tcPr>
            <w:tcW w:w="2114" w:type="dxa"/>
            <w:tcBorders>
              <w:bottom w:val="single" w:color="auto" w:sz="8" w:space="0"/>
              <w:tl2br w:val="nil"/>
              <w:tr2bl w:val="nil"/>
            </w:tcBorders>
            <w:tcMar>
              <w:left w:w="57" w:type="dxa"/>
              <w:right w:w="57" w:type="dxa"/>
            </w:tcMar>
            <w:vAlign w:val="center"/>
          </w:tcPr>
          <w:p w14:paraId="30565392">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粉尘（CdSe、CdTe、ZnTe、</w:t>
            </w:r>
            <w:r>
              <w:rPr>
                <w:rFonts w:ascii="Times New Roman" w:hAnsi="Times New Roman" w:eastAsia="宋体" w:cs="Times New Roman"/>
                <w:caps w:val="0"/>
                <w:smallCaps w:val="0"/>
                <w:color w:val="auto"/>
                <w:spacing w:val="0"/>
                <w:sz w:val="21"/>
                <w:highlight w:val="none"/>
                <w:lang w:eastAsia="en-US"/>
              </w:rPr>
              <w:t>Mo、Al、Cr</w:t>
            </w:r>
            <w:r>
              <w:rPr>
                <w:rFonts w:ascii="Times New Roman" w:hAnsi="Times New Roman" w:eastAsia="宋体" w:cs="Times New Roman"/>
                <w:bCs/>
                <w:caps w:val="0"/>
                <w:smallCaps w:val="0"/>
                <w:color w:val="auto"/>
                <w:spacing w:val="0"/>
                <w:sz w:val="21"/>
                <w:highlight w:val="none"/>
              </w:rPr>
              <w:t>）</w:t>
            </w:r>
          </w:p>
        </w:tc>
        <w:tc>
          <w:tcPr>
            <w:tcW w:w="4590" w:type="dxa"/>
            <w:tcBorders>
              <w:bottom w:val="single" w:color="auto" w:sz="8" w:space="0"/>
              <w:tl2br w:val="nil"/>
              <w:tr2bl w:val="nil"/>
            </w:tcBorders>
            <w:tcMar>
              <w:left w:w="57" w:type="dxa"/>
              <w:right w:w="57" w:type="dxa"/>
            </w:tcMar>
            <w:vAlign w:val="center"/>
          </w:tcPr>
          <w:p w14:paraId="75B8F62C">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ascii="Times New Roman" w:hAnsi="Times New Roman" w:eastAsia="宋体" w:cs="Times New Roman"/>
                <w:caps w:val="0"/>
                <w:smallCaps w:val="0"/>
                <w:color w:val="auto"/>
                <w:spacing w:val="0"/>
                <w:sz w:val="21"/>
                <w:szCs w:val="21"/>
                <w:highlight w:val="none"/>
              </w:rPr>
              <w:t>+21m排气筒DA004</w:t>
            </w:r>
          </w:p>
        </w:tc>
      </w:tr>
      <w:tr w14:paraId="32A04D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op w:val="single" w:color="auto" w:sz="8" w:space="0"/>
              <w:tl2br w:val="nil"/>
              <w:tr2bl w:val="nil"/>
            </w:tcBorders>
            <w:tcMar>
              <w:left w:w="57" w:type="dxa"/>
              <w:right w:w="57" w:type="dxa"/>
            </w:tcMar>
            <w:vAlign w:val="center"/>
          </w:tcPr>
          <w:p w14:paraId="42AACDF4">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val="en-US" w:eastAsia="zh-CN"/>
              </w:rPr>
              <w:t>P4</w:t>
            </w:r>
            <w:r>
              <w:rPr>
                <w:rFonts w:ascii="Times New Roman" w:hAnsi="Times New Roman" w:eastAsia="宋体" w:cs="Times New Roman"/>
                <w:bCs/>
                <w:caps w:val="0"/>
                <w:smallCaps w:val="0"/>
                <w:color w:val="auto"/>
                <w:spacing w:val="0"/>
                <w:sz w:val="21"/>
                <w:highlight w:val="none"/>
              </w:rPr>
              <w:t>边缘处理废气G10</w:t>
            </w:r>
          </w:p>
        </w:tc>
        <w:tc>
          <w:tcPr>
            <w:tcW w:w="2114" w:type="dxa"/>
            <w:tcBorders>
              <w:top w:val="single" w:color="auto" w:sz="8" w:space="0"/>
              <w:tl2br w:val="nil"/>
              <w:tr2bl w:val="nil"/>
            </w:tcBorders>
            <w:tcMar>
              <w:left w:w="57" w:type="dxa"/>
              <w:right w:w="57" w:type="dxa"/>
            </w:tcMar>
            <w:vAlign w:val="center"/>
          </w:tcPr>
          <w:p w14:paraId="5C8B63FD">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粉尘（CdSe、CdTe、Mo、ZnTe、SnO</w:t>
            </w:r>
            <w:r>
              <w:rPr>
                <w:rFonts w:ascii="Times New Roman" w:hAnsi="Times New Roman" w:eastAsia="宋体" w:cs="Times New Roman"/>
                <w:bCs/>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lang w:eastAsia="en-US"/>
              </w:rPr>
              <w:t>Al、Cr</w:t>
            </w:r>
            <w:r>
              <w:rPr>
                <w:rFonts w:ascii="Times New Roman" w:hAnsi="Times New Roman" w:eastAsia="宋体" w:cs="Times New Roman"/>
                <w:bCs/>
                <w:caps w:val="0"/>
                <w:smallCaps w:val="0"/>
                <w:color w:val="auto"/>
                <w:spacing w:val="0"/>
                <w:sz w:val="21"/>
                <w:highlight w:val="none"/>
              </w:rPr>
              <w:t>）</w:t>
            </w:r>
          </w:p>
        </w:tc>
        <w:tc>
          <w:tcPr>
            <w:tcW w:w="4590" w:type="dxa"/>
            <w:tcBorders>
              <w:top w:val="single" w:color="auto" w:sz="8" w:space="0"/>
              <w:tl2br w:val="nil"/>
              <w:tr2bl w:val="nil"/>
            </w:tcBorders>
            <w:tcMar>
              <w:left w:w="57" w:type="dxa"/>
              <w:right w:w="57" w:type="dxa"/>
            </w:tcMar>
            <w:vAlign w:val="center"/>
          </w:tcPr>
          <w:p w14:paraId="30BC5A10">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真空吸尘+</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eastAsia="宋体" w:cs="Times New Roman"/>
                <w:caps w:val="0"/>
                <w:smallCaps w:val="0"/>
                <w:color w:val="auto"/>
                <w:spacing w:val="0"/>
                <w:sz w:val="21"/>
                <w:szCs w:val="21"/>
                <w:highlight w:val="none"/>
              </w:rPr>
              <w:t>+21m排气筒DA001</w:t>
            </w:r>
          </w:p>
        </w:tc>
      </w:tr>
      <w:tr w14:paraId="545827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368AB3CD">
            <w:pPr>
              <w:pStyle w:val="105"/>
              <w:widowControl w:val="0"/>
              <w:jc w:val="center"/>
              <w:rPr>
                <w:rFonts w:ascii="Times New Roman" w:hAnsi="Times New Roman" w:cs="Times New Roman"/>
                <w:bCs/>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P5激光工序（G1</w:t>
            </w:r>
            <w:r>
              <w:rPr>
                <w:rFonts w:ascii="Times New Roman" w:hAnsi="Times New Roman" w:cs="Times New Roman"/>
                <w:caps w:val="0"/>
                <w:smallCaps w:val="0"/>
                <w:color w:val="auto"/>
                <w:spacing w:val="0"/>
                <w:sz w:val="21"/>
                <w:szCs w:val="21"/>
                <w:highlight w:val="none"/>
              </w:rPr>
              <w:t>1</w:t>
            </w:r>
            <w:r>
              <w:rPr>
                <w:rFonts w:ascii="Times New Roman" w:hAnsi="Times New Roman" w:cs="Times New Roman"/>
                <w:caps w:val="0"/>
                <w:smallCaps w:val="0"/>
                <w:color w:val="auto"/>
                <w:spacing w:val="0"/>
                <w:sz w:val="21"/>
                <w:szCs w:val="21"/>
                <w:highlight w:val="none"/>
                <w:lang w:eastAsia="en-US"/>
              </w:rPr>
              <w:t>）</w:t>
            </w:r>
          </w:p>
        </w:tc>
        <w:tc>
          <w:tcPr>
            <w:tcW w:w="2114" w:type="dxa"/>
            <w:tcBorders>
              <w:tl2br w:val="nil"/>
              <w:tr2bl w:val="nil"/>
            </w:tcBorders>
            <w:tcMar>
              <w:left w:w="57" w:type="dxa"/>
              <w:right w:w="57" w:type="dxa"/>
            </w:tcMar>
            <w:vAlign w:val="center"/>
          </w:tcPr>
          <w:p w14:paraId="6F8907B8">
            <w:pPr>
              <w:widowControl w:val="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w:t>
            </w:r>
            <w:r>
              <w:rPr>
                <w:rFonts w:ascii="Times New Roman" w:hAnsi="Times New Roman" w:eastAsia="宋体" w:cs="Times New Roman"/>
                <w:caps w:val="0"/>
                <w:smallCaps w:val="0"/>
                <w:color w:val="auto"/>
                <w:spacing w:val="0"/>
                <w:sz w:val="21"/>
                <w:highlight w:val="none"/>
                <w:lang w:eastAsia="en-US"/>
              </w:rPr>
              <w:t>CdSe、CdTe、ZnTe、Mo、Al、Cr</w:t>
            </w:r>
            <w:r>
              <w:rPr>
                <w:rFonts w:ascii="Times New Roman" w:hAnsi="Times New Roman" w:eastAsia="宋体" w:cs="Times New Roman"/>
                <w:bCs/>
                <w:caps w:val="0"/>
                <w:smallCaps w:val="0"/>
                <w:color w:val="auto"/>
                <w:spacing w:val="0"/>
                <w:sz w:val="21"/>
                <w:highlight w:val="none"/>
              </w:rPr>
              <w:t>）</w:t>
            </w:r>
          </w:p>
        </w:tc>
        <w:tc>
          <w:tcPr>
            <w:tcW w:w="4590" w:type="dxa"/>
            <w:tcBorders>
              <w:tl2br w:val="nil"/>
              <w:tr2bl w:val="nil"/>
            </w:tcBorders>
            <w:tcMar>
              <w:left w:w="57" w:type="dxa"/>
              <w:right w:w="57" w:type="dxa"/>
            </w:tcMar>
            <w:vAlign w:val="center"/>
          </w:tcPr>
          <w:p w14:paraId="3B9A1D56">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cs="Times New Roman"/>
                <w:caps w:val="0"/>
                <w:smallCaps w:val="0"/>
                <w:color w:val="auto"/>
                <w:spacing w:val="0"/>
                <w:sz w:val="21"/>
                <w:szCs w:val="21"/>
                <w:highlight w:val="none"/>
              </w:rPr>
              <w:t>+21m排气筒DA006</w:t>
            </w:r>
          </w:p>
        </w:tc>
      </w:tr>
      <w:tr w14:paraId="06EB5D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tl2br w:val="nil"/>
              <w:tr2bl w:val="nil"/>
            </w:tcBorders>
            <w:tcMar>
              <w:left w:w="57" w:type="dxa"/>
              <w:right w:w="57" w:type="dxa"/>
            </w:tcMar>
            <w:vAlign w:val="center"/>
          </w:tcPr>
          <w:p w14:paraId="7DDF3545">
            <w:pPr>
              <w:pStyle w:val="105"/>
              <w:widowControl w:val="0"/>
              <w:jc w:val="center"/>
              <w:rPr>
                <w:rFonts w:ascii="Times New Roman" w:hAnsi="Times New Roman" w:cs="Times New Roman"/>
                <w:bCs/>
                <w:caps w:val="0"/>
                <w:smallCaps w:val="0"/>
                <w:color w:val="auto"/>
                <w:spacing w:val="0"/>
                <w:sz w:val="21"/>
                <w:highlight w:val="none"/>
              </w:rPr>
            </w:pPr>
            <w:r>
              <w:rPr>
                <w:rFonts w:ascii="Times New Roman" w:hAnsi="Times New Roman" w:cs="Times New Roman"/>
                <w:caps w:val="0"/>
                <w:smallCaps w:val="0"/>
                <w:color w:val="auto"/>
                <w:spacing w:val="0"/>
                <w:sz w:val="21"/>
                <w:szCs w:val="21"/>
                <w:highlight w:val="none"/>
                <w:lang w:eastAsia="en-US"/>
              </w:rPr>
              <w:t>P6激光工序（G1</w:t>
            </w:r>
            <w:r>
              <w:rPr>
                <w:rFonts w:ascii="Times New Roman" w:hAnsi="Times New Roman" w:cs="Times New Roman"/>
                <w:caps w:val="0"/>
                <w:smallCaps w:val="0"/>
                <w:color w:val="auto"/>
                <w:spacing w:val="0"/>
                <w:sz w:val="21"/>
                <w:szCs w:val="21"/>
                <w:highlight w:val="none"/>
              </w:rPr>
              <w:t>2</w:t>
            </w:r>
            <w:r>
              <w:rPr>
                <w:rFonts w:ascii="Times New Roman" w:hAnsi="Times New Roman" w:cs="Times New Roman"/>
                <w:caps w:val="0"/>
                <w:smallCaps w:val="0"/>
                <w:color w:val="auto"/>
                <w:spacing w:val="0"/>
                <w:sz w:val="21"/>
                <w:szCs w:val="21"/>
                <w:highlight w:val="none"/>
                <w:lang w:eastAsia="en-US"/>
              </w:rPr>
              <w:t>）</w:t>
            </w:r>
          </w:p>
        </w:tc>
        <w:tc>
          <w:tcPr>
            <w:tcW w:w="2114" w:type="dxa"/>
            <w:tcBorders>
              <w:tl2br w:val="nil"/>
              <w:tr2bl w:val="nil"/>
            </w:tcBorders>
            <w:tcMar>
              <w:left w:w="57" w:type="dxa"/>
              <w:right w:w="57" w:type="dxa"/>
            </w:tcMar>
            <w:vAlign w:val="center"/>
          </w:tcPr>
          <w:p w14:paraId="1642CC00">
            <w:pPr>
              <w:widowControl w:val="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粉尘（</w:t>
            </w:r>
            <w:r>
              <w:rPr>
                <w:rFonts w:ascii="Times New Roman" w:hAnsi="Times New Roman" w:eastAsia="宋体" w:cs="Times New Roman"/>
                <w:caps w:val="0"/>
                <w:smallCaps w:val="0"/>
                <w:color w:val="auto"/>
                <w:spacing w:val="0"/>
                <w:sz w:val="21"/>
                <w:highlight w:val="none"/>
                <w:lang w:eastAsia="en-US"/>
              </w:rPr>
              <w:t>CdSe、CdTe、ZnTe、Mo、Al、Cr</w:t>
            </w:r>
            <w:r>
              <w:rPr>
                <w:rFonts w:ascii="Times New Roman" w:hAnsi="Times New Roman" w:eastAsia="宋体" w:cs="Times New Roman"/>
                <w:bCs/>
                <w:caps w:val="0"/>
                <w:smallCaps w:val="0"/>
                <w:color w:val="auto"/>
                <w:spacing w:val="0"/>
                <w:sz w:val="21"/>
                <w:highlight w:val="none"/>
              </w:rPr>
              <w:t>）</w:t>
            </w:r>
          </w:p>
        </w:tc>
        <w:tc>
          <w:tcPr>
            <w:tcW w:w="4590" w:type="dxa"/>
            <w:tcBorders>
              <w:tl2br w:val="nil"/>
              <w:tr2bl w:val="nil"/>
            </w:tcBorders>
            <w:tcMar>
              <w:left w:w="57" w:type="dxa"/>
              <w:right w:w="57" w:type="dxa"/>
            </w:tcMar>
            <w:vAlign w:val="center"/>
          </w:tcPr>
          <w:p w14:paraId="68FCE9DF">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ascii="Times New Roman" w:hAnsi="Times New Roman" w:cs="Times New Roman"/>
                <w:caps w:val="0"/>
                <w:smallCaps w:val="0"/>
                <w:color w:val="auto"/>
                <w:spacing w:val="0"/>
                <w:sz w:val="21"/>
                <w:szCs w:val="21"/>
                <w:highlight w:val="none"/>
              </w:rPr>
              <w:t>+21m排气筒DA006</w:t>
            </w:r>
          </w:p>
        </w:tc>
      </w:tr>
      <w:tr w14:paraId="6D054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 w:hRule="atLeast"/>
          <w:jc w:val="center"/>
        </w:trPr>
        <w:tc>
          <w:tcPr>
            <w:tcW w:w="2480" w:type="dxa"/>
            <w:tcBorders>
              <w:bottom w:val="single" w:color="auto" w:sz="8" w:space="0"/>
              <w:tl2br w:val="nil"/>
              <w:tr2bl w:val="nil"/>
            </w:tcBorders>
            <w:tcMar>
              <w:left w:w="57" w:type="dxa"/>
              <w:right w:w="57" w:type="dxa"/>
            </w:tcMar>
            <w:vAlign w:val="center"/>
          </w:tcPr>
          <w:p w14:paraId="247B94B5">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实验室废气</w:t>
            </w:r>
          </w:p>
        </w:tc>
        <w:tc>
          <w:tcPr>
            <w:tcW w:w="2114" w:type="dxa"/>
            <w:tcBorders>
              <w:bottom w:val="single" w:color="auto" w:sz="8" w:space="0"/>
              <w:tl2br w:val="nil"/>
              <w:tr2bl w:val="nil"/>
            </w:tcBorders>
            <w:tcMar>
              <w:left w:w="57" w:type="dxa"/>
              <w:right w:w="57" w:type="dxa"/>
            </w:tcMar>
            <w:vAlign w:val="center"/>
          </w:tcPr>
          <w:p w14:paraId="74B9AA66">
            <w:pPr>
              <w:widowControl w:val="0"/>
              <w:jc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非甲烷总烃、二甲苯、氨气</w:t>
            </w:r>
          </w:p>
        </w:tc>
        <w:tc>
          <w:tcPr>
            <w:tcW w:w="4590" w:type="dxa"/>
            <w:tcBorders>
              <w:bottom w:val="single" w:color="auto" w:sz="8" w:space="0"/>
              <w:tl2br w:val="nil"/>
              <w:tr2bl w:val="nil"/>
            </w:tcBorders>
            <w:tcMar>
              <w:left w:w="57" w:type="dxa"/>
              <w:right w:w="57" w:type="dxa"/>
            </w:tcMar>
            <w:vAlign w:val="center"/>
          </w:tcPr>
          <w:p w14:paraId="550544A8">
            <w:pPr>
              <w:pStyle w:val="105"/>
              <w:widowControl w:val="0"/>
              <w:jc w:val="center"/>
              <w:rPr>
                <w:rFonts w:hint="eastAsia" w:ascii="Times New Roman" w:hAnsi="Times New Roman" w:eastAsia="宋体" w:cs="Times New Roman"/>
                <w:b/>
                <w:bCs/>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rPr>
              <w:t>通风柜+活性炭吸附+21m排气筒</w:t>
            </w:r>
            <w:r>
              <w:rPr>
                <w:rFonts w:ascii="Times New Roman" w:hAnsi="Times New Roman" w:cs="Times New Roman"/>
                <w:caps w:val="0"/>
                <w:smallCaps w:val="0"/>
                <w:color w:val="auto"/>
                <w:spacing w:val="0"/>
                <w:sz w:val="21"/>
                <w:szCs w:val="21"/>
                <w:highlight w:val="none"/>
              </w:rPr>
              <w:t>DA00</w:t>
            </w:r>
            <w:r>
              <w:rPr>
                <w:rFonts w:hint="eastAsia" w:ascii="Times New Roman" w:hAnsi="Times New Roman" w:cs="Times New Roman"/>
                <w:caps w:val="0"/>
                <w:smallCaps w:val="0"/>
                <w:color w:val="auto"/>
                <w:spacing w:val="0"/>
                <w:sz w:val="21"/>
                <w:szCs w:val="21"/>
                <w:highlight w:val="none"/>
                <w:lang w:val="en-US" w:eastAsia="zh-CN"/>
              </w:rPr>
              <w:t>9</w:t>
            </w:r>
          </w:p>
        </w:tc>
      </w:tr>
    </w:tbl>
    <w:p w14:paraId="64177BB9">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6.2.2.2废气治理措施可行性</w:t>
      </w:r>
    </w:p>
    <w:p w14:paraId="7CEEC368">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1、颗粒物处理措施</w:t>
      </w:r>
    </w:p>
    <w:p w14:paraId="7069EF1A">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本工程颗粒物</w:t>
      </w:r>
      <w:r>
        <w:rPr>
          <w:rFonts w:hint="eastAsia" w:ascii="Times New Roman" w:hAnsi="Times New Roman" w:eastAsia="宋体" w:cs="Times New Roman"/>
          <w:caps w:val="0"/>
          <w:smallCaps w:val="0"/>
          <w:color w:val="auto"/>
          <w:spacing w:val="0"/>
          <w:kern w:val="0"/>
          <w:szCs w:val="24"/>
          <w:highlight w:val="none"/>
          <w:lang w:val="en-US" w:eastAsia="zh-CN" w:bidi="ar"/>
        </w:rPr>
        <w:t>主要来自</w:t>
      </w:r>
      <w:r>
        <w:rPr>
          <w:rFonts w:hint="default" w:ascii="Times New Roman" w:hAnsi="Times New Roman" w:eastAsia="宋体" w:cs="Times New Roman"/>
          <w:caps w:val="0"/>
          <w:smallCaps w:val="0"/>
          <w:color w:val="auto"/>
          <w:spacing w:val="0"/>
          <w:kern w:val="0"/>
          <w:szCs w:val="24"/>
          <w:highlight w:val="none"/>
          <w:lang w:val="en-US" w:eastAsia="zh-CN" w:bidi="ar"/>
        </w:rPr>
        <w:t>CSS</w:t>
      </w:r>
      <w:r>
        <w:rPr>
          <w:rFonts w:hint="eastAsia" w:ascii="Times New Roman" w:hAnsi="Times New Roman" w:eastAsia="宋体" w:cs="Times New Roman"/>
          <w:caps w:val="0"/>
          <w:smallCaps w:val="0"/>
          <w:color w:val="auto"/>
          <w:spacing w:val="0"/>
          <w:kern w:val="0"/>
          <w:szCs w:val="24"/>
          <w:highlight w:val="none"/>
          <w:lang w:val="en-US" w:eastAsia="zh-CN" w:bidi="ar"/>
        </w:rPr>
        <w:t>镀膜废气、活化层退火废气、膜层溅射废气、激光刻线清边工序和背电极磁控溅射废气，</w:t>
      </w:r>
      <w:r>
        <w:rPr>
          <w:rFonts w:ascii="Times New Roman" w:hAnsi="Times New Roman" w:eastAsia="宋体" w:cs="Times New Roman"/>
          <w:caps w:val="0"/>
          <w:smallCaps w:val="0"/>
          <w:color w:val="auto"/>
          <w:spacing w:val="0"/>
          <w:kern w:val="0"/>
          <w:szCs w:val="24"/>
          <w:highlight w:val="none"/>
          <w:lang w:bidi="ar"/>
        </w:rPr>
        <w:t>主要为CdSe、CdTe、CdCl</w:t>
      </w:r>
      <w:r>
        <w:rPr>
          <w:rFonts w:ascii="Times New Roman" w:hAnsi="Times New Roman" w:eastAsia="宋体" w:cs="Times New Roman"/>
          <w:caps w:val="0"/>
          <w:smallCaps w:val="0"/>
          <w:color w:val="auto"/>
          <w:spacing w:val="0"/>
          <w:kern w:val="0"/>
          <w:sz w:val="15"/>
          <w:szCs w:val="15"/>
          <w:highlight w:val="none"/>
          <w:lang w:bidi="ar"/>
        </w:rPr>
        <w:t>2</w:t>
      </w:r>
      <w:r>
        <w:rPr>
          <w:rFonts w:ascii="Times New Roman" w:hAnsi="Times New Roman" w:eastAsia="宋体" w:cs="Times New Roman"/>
          <w:caps w:val="0"/>
          <w:smallCaps w:val="0"/>
          <w:color w:val="auto"/>
          <w:spacing w:val="0"/>
          <w:kern w:val="0"/>
          <w:szCs w:val="24"/>
          <w:highlight w:val="none"/>
          <w:lang w:bidi="ar"/>
        </w:rPr>
        <w:t>等含镉粉尘，这部分废气具有风量差异大、重金属浓度高等特点，如不经处理会对大气造成一定影响。根据工艺参数及相关文献资料，CdSe、CdTe、CdCl</w:t>
      </w:r>
      <w:r>
        <w:rPr>
          <w:rFonts w:ascii="Times New Roman" w:hAnsi="Times New Roman" w:eastAsia="宋体" w:cs="Times New Roman"/>
          <w:caps w:val="0"/>
          <w:smallCaps w:val="0"/>
          <w:color w:val="auto"/>
          <w:spacing w:val="0"/>
          <w:kern w:val="0"/>
          <w:sz w:val="15"/>
          <w:szCs w:val="15"/>
          <w:highlight w:val="none"/>
          <w:lang w:bidi="ar"/>
        </w:rPr>
        <w:t>2</w:t>
      </w:r>
      <w:r>
        <w:rPr>
          <w:rFonts w:ascii="Times New Roman" w:hAnsi="Times New Roman" w:eastAsia="宋体" w:cs="Times New Roman"/>
          <w:caps w:val="0"/>
          <w:smallCaps w:val="0"/>
          <w:color w:val="auto"/>
          <w:spacing w:val="0"/>
          <w:kern w:val="0"/>
          <w:szCs w:val="24"/>
          <w:highlight w:val="none"/>
          <w:lang w:bidi="ar"/>
        </w:rPr>
        <w:t>的颗粒物粒径范围如下图所示。</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2C5B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3150391C">
            <w:pPr>
              <w:pStyle w:val="13"/>
              <w:widowControl w:val="0"/>
              <w:spacing w:line="360" w:lineRule="auto"/>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2390775" cy="1809750"/>
                  <wp:effectExtent l="0" t="0" r="9525" b="6350"/>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108"/>
                          <a:stretch>
                            <a:fillRect/>
                          </a:stretch>
                        </pic:blipFill>
                        <pic:spPr>
                          <a:xfrm>
                            <a:off x="0" y="0"/>
                            <a:ext cx="2390775" cy="1809750"/>
                          </a:xfrm>
                          <a:prstGeom prst="rect">
                            <a:avLst/>
                          </a:prstGeom>
                          <a:noFill/>
                          <a:ln>
                            <a:noFill/>
                          </a:ln>
                        </pic:spPr>
                      </pic:pic>
                    </a:graphicData>
                  </a:graphic>
                </wp:inline>
              </w:drawing>
            </w:r>
          </w:p>
        </w:tc>
        <w:tc>
          <w:tcPr>
            <w:tcW w:w="4643" w:type="dxa"/>
          </w:tcPr>
          <w:p w14:paraId="2C60009D">
            <w:pPr>
              <w:pStyle w:val="13"/>
              <w:widowControl w:val="0"/>
              <w:spacing w:line="360" w:lineRule="auto"/>
              <w:jc w:val="cente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drawing>
                <wp:inline distT="0" distB="0" distL="114300" distR="114300">
                  <wp:extent cx="2599690" cy="1809750"/>
                  <wp:effectExtent l="0" t="0" r="3810" b="6350"/>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109"/>
                          <a:stretch>
                            <a:fillRect/>
                          </a:stretch>
                        </pic:blipFill>
                        <pic:spPr>
                          <a:xfrm>
                            <a:off x="0" y="0"/>
                            <a:ext cx="2599690" cy="1809750"/>
                          </a:xfrm>
                          <a:prstGeom prst="rect">
                            <a:avLst/>
                          </a:prstGeom>
                          <a:noFill/>
                          <a:ln>
                            <a:noFill/>
                          </a:ln>
                        </pic:spPr>
                      </pic:pic>
                    </a:graphicData>
                  </a:graphic>
                </wp:inline>
              </w:drawing>
            </w:r>
          </w:p>
        </w:tc>
      </w:tr>
      <w:tr w14:paraId="7A21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74C15027">
            <w:pPr>
              <w:pStyle w:val="226"/>
              <w:widowControl w:val="0"/>
              <w:spacing w:line="240" w:lineRule="auto"/>
              <w:ind w:firstLine="0"/>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b/>
                <w:caps w:val="0"/>
                <w:smallCaps w:val="0"/>
                <w:color w:val="auto"/>
                <w:spacing w:val="0"/>
                <w:sz w:val="22"/>
                <w:highlight w:val="none"/>
                <w:u w:val="single"/>
              </w:rPr>
              <w:t>图6.2-</w:t>
            </w:r>
            <w:r>
              <w:rPr>
                <w:rFonts w:hint="eastAsia" w:ascii="Times New Roman" w:hAnsi="Times New Roman" w:eastAsia="宋体" w:cs="Times New Roman"/>
                <w:b/>
                <w:caps w:val="0"/>
                <w:smallCaps w:val="0"/>
                <w:color w:val="auto"/>
                <w:spacing w:val="0"/>
                <w:sz w:val="22"/>
                <w:highlight w:val="none"/>
                <w:u w:val="single"/>
                <w:lang w:val="en-US" w:eastAsia="zh-CN"/>
              </w:rPr>
              <w:t>2</w:t>
            </w:r>
            <w:r>
              <w:rPr>
                <w:rFonts w:ascii="Times New Roman" w:hAnsi="Times New Roman" w:eastAsia="宋体" w:cs="Times New Roman"/>
                <w:b/>
                <w:caps w:val="0"/>
                <w:smallCaps w:val="0"/>
                <w:color w:val="auto"/>
                <w:spacing w:val="0"/>
                <w:sz w:val="22"/>
                <w:highlight w:val="none"/>
                <w:u w:val="single"/>
              </w:rPr>
              <w:t>碲化镉/硒化镉粒径分布</w:t>
            </w:r>
          </w:p>
        </w:tc>
        <w:tc>
          <w:tcPr>
            <w:tcW w:w="4643" w:type="dxa"/>
          </w:tcPr>
          <w:p w14:paraId="7E553BCB">
            <w:pPr>
              <w:pStyle w:val="226"/>
              <w:widowControl w:val="0"/>
              <w:spacing w:line="240" w:lineRule="auto"/>
              <w:ind w:firstLine="0"/>
              <w:jc w:val="center"/>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b/>
                <w:caps w:val="0"/>
                <w:smallCaps w:val="0"/>
                <w:color w:val="auto"/>
                <w:spacing w:val="0"/>
                <w:sz w:val="22"/>
                <w:highlight w:val="none"/>
                <w:u w:val="single"/>
              </w:rPr>
              <w:t>图6.2-</w:t>
            </w:r>
            <w:r>
              <w:rPr>
                <w:rFonts w:hint="eastAsia" w:ascii="Times New Roman" w:hAnsi="Times New Roman" w:eastAsia="宋体" w:cs="Times New Roman"/>
                <w:b/>
                <w:caps w:val="0"/>
                <w:smallCaps w:val="0"/>
                <w:color w:val="auto"/>
                <w:spacing w:val="0"/>
                <w:sz w:val="22"/>
                <w:highlight w:val="none"/>
                <w:u w:val="single"/>
                <w:lang w:val="en-US" w:eastAsia="zh-CN"/>
              </w:rPr>
              <w:t>3</w:t>
            </w:r>
            <w:r>
              <w:rPr>
                <w:rFonts w:ascii="Times New Roman" w:hAnsi="Times New Roman" w:eastAsia="宋体" w:cs="Times New Roman"/>
                <w:b/>
                <w:caps w:val="0"/>
                <w:smallCaps w:val="0"/>
                <w:color w:val="auto"/>
                <w:spacing w:val="0"/>
                <w:sz w:val="22"/>
                <w:highlight w:val="none"/>
                <w:u w:val="single"/>
              </w:rPr>
              <w:t>氯化镉粒径分布</w:t>
            </w:r>
          </w:p>
        </w:tc>
      </w:tr>
    </w:tbl>
    <w:p w14:paraId="6CAC45F9">
      <w:pPr>
        <w:keepNext w:val="0"/>
        <w:keepLines w:val="0"/>
        <w:widowControl/>
        <w:suppressLineNumbers w:val="0"/>
        <w:jc w:val="left"/>
        <w:rPr>
          <w:color w:val="auto"/>
          <w:highlight w:val="none"/>
        </w:rPr>
      </w:pPr>
    </w:p>
    <w:p w14:paraId="6DB35EB1">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hint="eastAsia" w:ascii="Times New Roman" w:hAnsi="Times New Roman" w:eastAsia="宋体" w:cs="Times New Roman"/>
          <w:caps w:val="0"/>
          <w:smallCaps w:val="0"/>
          <w:color w:val="auto"/>
          <w:spacing w:val="0"/>
          <w:kern w:val="0"/>
          <w:szCs w:val="24"/>
          <w:highlight w:val="none"/>
          <w:lang w:val="en-US" w:eastAsia="zh-CN" w:bidi="ar"/>
        </w:rPr>
        <w:t>本工程</w:t>
      </w:r>
      <w:r>
        <w:rPr>
          <w:rFonts w:ascii="Times New Roman" w:hAnsi="Times New Roman" w:eastAsia="宋体" w:cs="Times New Roman"/>
          <w:caps w:val="0"/>
          <w:smallCaps w:val="0"/>
          <w:color w:val="auto"/>
          <w:spacing w:val="0"/>
          <w:kern w:val="0"/>
          <w:szCs w:val="24"/>
          <w:highlight w:val="none"/>
          <w:lang w:bidi="ar"/>
        </w:rPr>
        <w:t>含镉等重金属粉尘</w:t>
      </w:r>
      <w:r>
        <w:rPr>
          <w:rFonts w:hint="eastAsia" w:ascii="Times New Roman" w:hAnsi="Times New Roman" w:eastAsia="宋体" w:cs="Times New Roman"/>
          <w:caps w:val="0"/>
          <w:smallCaps w:val="0"/>
          <w:color w:val="auto"/>
          <w:spacing w:val="0"/>
          <w:kern w:val="0"/>
          <w:szCs w:val="24"/>
          <w:highlight w:val="none"/>
          <w:lang w:val="en-US" w:eastAsia="zh-CN" w:bidi="ar"/>
        </w:rPr>
        <w:t>大部分</w:t>
      </w:r>
      <w:r>
        <w:rPr>
          <w:rFonts w:ascii="Times New Roman" w:hAnsi="Times New Roman" w:eastAsia="宋体" w:cs="Times New Roman"/>
          <w:caps w:val="0"/>
          <w:smallCaps w:val="0"/>
          <w:color w:val="auto"/>
          <w:spacing w:val="0"/>
          <w:kern w:val="0"/>
          <w:szCs w:val="24"/>
          <w:highlight w:val="none"/>
          <w:lang w:bidi="ar"/>
        </w:rPr>
        <w:t>采用</w:t>
      </w:r>
      <w:r>
        <w:rPr>
          <w:rFonts w:hint="default" w:ascii="Times New Roman" w:hAnsi="Times New Roman" w:eastAsia="宋体" w:cs="Times New Roman"/>
          <w:caps w:val="0"/>
          <w:smallCaps w:val="0"/>
          <w:color w:val="auto"/>
          <w:spacing w:val="0"/>
          <w:kern w:val="0"/>
          <w:szCs w:val="24"/>
          <w:highlight w:val="none"/>
          <w:lang w:val="en-US" w:eastAsia="zh-CN" w:bidi="ar"/>
        </w:rPr>
        <w:t>2</w:t>
      </w:r>
      <w:r>
        <w:rPr>
          <w:rFonts w:hint="eastAsia" w:ascii="Times New Roman" w:hAnsi="Times New Roman" w:eastAsia="宋体" w:cs="Times New Roman"/>
          <w:caps w:val="0"/>
          <w:smallCaps w:val="0"/>
          <w:color w:val="auto"/>
          <w:spacing w:val="0"/>
          <w:kern w:val="0"/>
          <w:szCs w:val="24"/>
          <w:highlight w:val="none"/>
          <w:lang w:val="en-US" w:eastAsia="zh-CN" w:bidi="ar"/>
        </w:rPr>
        <w:t>级过滤系统进行处理，第</w:t>
      </w:r>
      <w:r>
        <w:rPr>
          <w:rFonts w:hint="default" w:ascii="Times New Roman" w:hAnsi="Times New Roman" w:eastAsia="宋体" w:cs="Times New Roman"/>
          <w:caps w:val="0"/>
          <w:smallCaps w:val="0"/>
          <w:color w:val="auto"/>
          <w:spacing w:val="0"/>
          <w:kern w:val="0"/>
          <w:szCs w:val="24"/>
          <w:highlight w:val="none"/>
          <w:lang w:val="en-US" w:eastAsia="zh-CN" w:bidi="ar"/>
        </w:rPr>
        <w:t>1</w:t>
      </w:r>
      <w:r>
        <w:rPr>
          <w:rFonts w:hint="eastAsia" w:ascii="Times New Roman" w:hAnsi="Times New Roman" w:eastAsia="宋体" w:cs="Times New Roman"/>
          <w:caps w:val="0"/>
          <w:smallCaps w:val="0"/>
          <w:color w:val="auto"/>
          <w:spacing w:val="0"/>
          <w:kern w:val="0"/>
          <w:szCs w:val="24"/>
          <w:highlight w:val="none"/>
          <w:lang w:val="en-US" w:eastAsia="zh-CN" w:bidi="ar"/>
        </w:rPr>
        <w:t xml:space="preserve">级处理设施为 </w:t>
      </w:r>
      <w:r>
        <w:rPr>
          <w:rFonts w:hint="default" w:ascii="Times New Roman" w:hAnsi="Times New Roman" w:eastAsia="宋体" w:cs="Times New Roman"/>
          <w:caps w:val="0"/>
          <w:smallCaps w:val="0"/>
          <w:color w:val="auto"/>
          <w:spacing w:val="0"/>
          <w:kern w:val="0"/>
          <w:szCs w:val="24"/>
          <w:highlight w:val="none"/>
          <w:lang w:val="en-US" w:eastAsia="zh-CN" w:bidi="ar"/>
        </w:rPr>
        <w:t>E12/F</w:t>
      </w:r>
      <w:r>
        <w:rPr>
          <w:rFonts w:hint="eastAsia" w:ascii="Times New Roman" w:hAnsi="Times New Roman" w:eastAsia="宋体" w:cs="Times New Roman"/>
          <w:caps w:val="0"/>
          <w:smallCaps w:val="0"/>
          <w:color w:val="auto"/>
          <w:spacing w:val="0"/>
          <w:kern w:val="0"/>
          <w:szCs w:val="24"/>
          <w:highlight w:val="none"/>
          <w:lang w:val="en-US" w:eastAsia="zh-CN" w:bidi="ar"/>
        </w:rPr>
        <w:t>7/H13</w:t>
      </w:r>
      <w:r>
        <w:rPr>
          <w:rFonts w:hint="default" w:ascii="Times New Roman" w:hAnsi="Times New Roman" w:eastAsia="宋体" w:cs="Times New Roman"/>
          <w:caps w:val="0"/>
          <w:smallCaps w:val="0"/>
          <w:color w:val="auto"/>
          <w:spacing w:val="0"/>
          <w:kern w:val="0"/>
          <w:szCs w:val="24"/>
          <w:highlight w:val="none"/>
          <w:lang w:val="en-US" w:eastAsia="zh-CN" w:bidi="ar"/>
        </w:rPr>
        <w:t xml:space="preserve"> </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级高效离子过滤器，第</w:t>
      </w:r>
      <w:r>
        <w:rPr>
          <w:rFonts w:hint="default" w:ascii="Times New Roman" w:hAnsi="Times New Roman" w:eastAsia="宋体" w:cs="Times New Roman"/>
          <w:caps w:val="0"/>
          <w:smallCaps w:val="0"/>
          <w:color w:val="auto"/>
          <w:spacing w:val="0"/>
          <w:kern w:val="0"/>
          <w:szCs w:val="24"/>
          <w:highlight w:val="none"/>
          <w:lang w:val="en-US" w:eastAsia="zh-CN" w:bidi="ar"/>
        </w:rPr>
        <w:t>2</w:t>
      </w:r>
      <w:r>
        <w:rPr>
          <w:rFonts w:hint="eastAsia" w:ascii="Times New Roman" w:hAnsi="Times New Roman" w:eastAsia="宋体" w:cs="Times New Roman"/>
          <w:caps w:val="0"/>
          <w:smallCaps w:val="0"/>
          <w:color w:val="auto"/>
          <w:spacing w:val="0"/>
          <w:kern w:val="0"/>
          <w:szCs w:val="24"/>
          <w:highlight w:val="none"/>
          <w:lang w:val="en-US" w:eastAsia="zh-CN" w:bidi="ar"/>
        </w:rPr>
        <w:t xml:space="preserve">级处理措施为 </w:t>
      </w:r>
      <w:r>
        <w:rPr>
          <w:rFonts w:hint="default" w:ascii="Times New Roman" w:hAnsi="Times New Roman" w:eastAsia="宋体" w:cs="Times New Roman"/>
          <w:caps w:val="0"/>
          <w:smallCaps w:val="0"/>
          <w:color w:val="auto"/>
          <w:spacing w:val="0"/>
          <w:kern w:val="0"/>
          <w:szCs w:val="24"/>
          <w:highlight w:val="none"/>
          <w:lang w:val="en-US" w:eastAsia="zh-CN" w:bidi="ar"/>
        </w:rPr>
        <w:t xml:space="preserve">H14 </w:t>
      </w:r>
      <w:r>
        <w:rPr>
          <w:rFonts w:hint="eastAsia" w:ascii="Times New Roman" w:hAnsi="Times New Roman" w:eastAsia="宋体" w:cs="Times New Roman"/>
          <w:caps w:val="0"/>
          <w:smallCaps w:val="0"/>
          <w:color w:val="auto"/>
          <w:spacing w:val="0"/>
          <w:kern w:val="0"/>
          <w:szCs w:val="24"/>
          <w:highlight w:val="none"/>
          <w:lang w:val="en-US" w:eastAsia="zh-CN" w:bidi="ar"/>
        </w:rPr>
        <w:t>级高效离子过滤器，其中活化层活化废气为3级过滤系统，背电极磁控溅射废气和膜层溅射废气仅采用</w:t>
      </w:r>
      <w:r>
        <w:rPr>
          <w:rFonts w:ascii="Times New Roman" w:hAnsi="Times New Roman" w:eastAsia="宋体" w:cs="Times New Roman"/>
          <w:caps w:val="0"/>
          <w:smallCaps w:val="0"/>
          <w:color w:val="auto"/>
          <w:spacing w:val="0"/>
          <w:kern w:val="0"/>
          <w:szCs w:val="24"/>
          <w:highlight w:val="none"/>
          <w:lang w:bidi="ar"/>
        </w:rPr>
        <w:t>H14级高效离子过滤器，</w:t>
      </w:r>
      <w:r>
        <w:rPr>
          <w:rFonts w:hint="eastAsia" w:ascii="Times New Roman" w:hAnsi="Times New Roman" w:eastAsia="宋体" w:cs="Times New Roman"/>
          <w:caps w:val="0"/>
          <w:smallCaps w:val="0"/>
          <w:color w:val="auto"/>
          <w:spacing w:val="0"/>
          <w:kern w:val="0"/>
          <w:szCs w:val="24"/>
          <w:highlight w:val="none"/>
          <w:lang w:val="en-US" w:eastAsia="zh-CN" w:bidi="ar"/>
        </w:rPr>
        <w:t>P1-P3激光刻线采用2级初效过滤器+H14级高效离子过滤器，</w:t>
      </w:r>
      <w:r>
        <w:rPr>
          <w:rFonts w:ascii="Times New Roman" w:hAnsi="Times New Roman" w:eastAsia="宋体" w:cs="Times New Roman"/>
          <w:caps w:val="0"/>
          <w:smallCaps w:val="0"/>
          <w:color w:val="auto"/>
          <w:spacing w:val="0"/>
          <w:kern w:val="0"/>
          <w:szCs w:val="24"/>
          <w:highlight w:val="none"/>
          <w:lang w:bidi="ar"/>
        </w:rPr>
        <w:t>处理后颗粒物排放浓度满足《电池工业污染物标准》(GB30484-2013)表5新建企业大气污染物排放限值。</w:t>
      </w:r>
    </w:p>
    <w:p w14:paraId="62015DB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高效离子过滤器属于滤芯式除尘器，设备的过滤介质采用超细纤维或纳米纤维制成，具有纤维状结构，粉尘通过布朗扩散沉积在滤料表面。滤芯式除尘器的阻力随滤料表面粉尘层厚度的增加而增大，阻力达到规定值时进行清灰，首先将过滤气流截断，然后开启电磁脉冲阀，压缩空气在短时间内涌入滤筒，使滤筒膨胀变形产生振动，并在逆向气流冲刷的作用下，将附着在滤袋表面上的粉尘剥离，清灰完毕后关闭电磁脉冲阀，恢复过滤状态。</w:t>
      </w:r>
    </w:p>
    <w:p w14:paraId="0FB7D766">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高效离子过滤器与传统布袋除尘器相比，过滤面积更大，对超细粉尘净化效率更高，同时具有占地面积小、使用寿命长、维护检修简单、运行能耗低等诸多优点。根据欧盟EN799和EN1822标准，过滤器按照过滤效率进行分级，分级情况见下表。</w:t>
      </w:r>
    </w:p>
    <w:p w14:paraId="4A210841">
      <w:pPr>
        <w:widowControl w:val="0"/>
        <w:jc w:val="center"/>
        <w:rPr>
          <w:rFonts w:ascii="Times New Roman" w:hAnsi="Times New Roman" w:eastAsia="宋体" w:cs="Times New Roman"/>
          <w:b/>
          <w:bCs/>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表6.2-</w:t>
      </w:r>
      <w:r>
        <w:rPr>
          <w:rFonts w:hint="eastAsia" w:ascii="Times New Roman" w:hAnsi="Times New Roman" w:eastAsia="宋体" w:cs="Times New Roman"/>
          <w:b/>
          <w:bCs/>
          <w:caps w:val="0"/>
          <w:smallCaps w:val="0"/>
          <w:color w:val="auto"/>
          <w:spacing w:val="0"/>
          <w:szCs w:val="24"/>
          <w:highlight w:val="none"/>
        </w:rPr>
        <w:t>4</w:t>
      </w:r>
      <w:r>
        <w:rPr>
          <w:rFonts w:ascii="Times New Roman" w:hAnsi="Times New Roman" w:eastAsia="宋体" w:cs="Times New Roman"/>
          <w:b/>
          <w:bCs/>
          <w:caps w:val="0"/>
          <w:smallCaps w:val="0"/>
          <w:color w:val="auto"/>
          <w:spacing w:val="0"/>
          <w:szCs w:val="24"/>
          <w:highlight w:val="none"/>
        </w:rPr>
        <w:t>高效离子过滤器分级情况一览表</w:t>
      </w:r>
    </w:p>
    <w:tbl>
      <w:tblPr>
        <w:tblStyle w:val="176"/>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Layout w:type="fixed"/>
        <w:tblCellMar>
          <w:top w:w="0" w:type="dxa"/>
          <w:left w:w="0" w:type="dxa"/>
          <w:bottom w:w="0" w:type="dxa"/>
          <w:right w:w="0" w:type="dxa"/>
        </w:tblCellMar>
      </w:tblPr>
      <w:tblGrid>
        <w:gridCol w:w="980"/>
        <w:gridCol w:w="722"/>
        <w:gridCol w:w="865"/>
        <w:gridCol w:w="1297"/>
        <w:gridCol w:w="1008"/>
        <w:gridCol w:w="722"/>
        <w:gridCol w:w="1070"/>
        <w:gridCol w:w="2405"/>
      </w:tblGrid>
      <w:tr w14:paraId="302DE34D">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1672" w:type="dxa"/>
            <w:gridSpan w:val="2"/>
            <w:tcBorders>
              <w:tl2br w:val="nil"/>
              <w:tr2bl w:val="nil"/>
            </w:tcBorders>
            <w:vAlign w:val="center"/>
          </w:tcPr>
          <w:p w14:paraId="7D40F5E5">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等级</w:t>
            </w:r>
          </w:p>
        </w:tc>
        <w:tc>
          <w:tcPr>
            <w:tcW w:w="850" w:type="dxa"/>
            <w:tcBorders>
              <w:tl2br w:val="nil"/>
              <w:tr2bl w:val="nil"/>
            </w:tcBorders>
            <w:vAlign w:val="center"/>
          </w:tcPr>
          <w:p w14:paraId="411253FE">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效率测定方法</w:t>
            </w:r>
          </w:p>
        </w:tc>
        <w:tc>
          <w:tcPr>
            <w:tcW w:w="1275" w:type="dxa"/>
            <w:tcBorders>
              <w:tl2br w:val="nil"/>
              <w:tr2bl w:val="nil"/>
            </w:tcBorders>
            <w:vAlign w:val="center"/>
          </w:tcPr>
          <w:p w14:paraId="127A0342">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测定净化效率</w:t>
            </w:r>
          </w:p>
        </w:tc>
        <w:tc>
          <w:tcPr>
            <w:tcW w:w="1700" w:type="dxa"/>
            <w:gridSpan w:val="2"/>
            <w:tcBorders>
              <w:tl2br w:val="nil"/>
              <w:tr2bl w:val="nil"/>
            </w:tcBorders>
            <w:vAlign w:val="center"/>
          </w:tcPr>
          <w:p w14:paraId="11BCDBEB">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等级</w:t>
            </w:r>
          </w:p>
        </w:tc>
        <w:tc>
          <w:tcPr>
            <w:tcW w:w="1052" w:type="dxa"/>
            <w:tcBorders>
              <w:tl2br w:val="nil"/>
              <w:tr2bl w:val="nil"/>
            </w:tcBorders>
            <w:vAlign w:val="center"/>
          </w:tcPr>
          <w:p w14:paraId="4D7AC21C">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效率测定方法</w:t>
            </w:r>
          </w:p>
        </w:tc>
        <w:tc>
          <w:tcPr>
            <w:tcW w:w="2363" w:type="dxa"/>
            <w:tcBorders>
              <w:tl2br w:val="nil"/>
              <w:tr2bl w:val="nil"/>
            </w:tcBorders>
            <w:vAlign w:val="center"/>
          </w:tcPr>
          <w:p w14:paraId="33E05FD2">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测定净化效率</w:t>
            </w:r>
          </w:p>
        </w:tc>
      </w:tr>
      <w:tr w14:paraId="5D27799D">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restart"/>
            <w:tcBorders>
              <w:tl2br w:val="nil"/>
              <w:tr2bl w:val="nil"/>
            </w:tcBorders>
            <w:vAlign w:val="center"/>
          </w:tcPr>
          <w:p w14:paraId="24FD1CC8">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G粗效过滤器</w:t>
            </w:r>
          </w:p>
        </w:tc>
        <w:tc>
          <w:tcPr>
            <w:tcW w:w="709" w:type="dxa"/>
            <w:tcBorders>
              <w:tl2br w:val="nil"/>
              <w:tr2bl w:val="nil"/>
            </w:tcBorders>
            <w:vAlign w:val="center"/>
          </w:tcPr>
          <w:p w14:paraId="42F10E2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G1</w:t>
            </w:r>
          </w:p>
        </w:tc>
        <w:tc>
          <w:tcPr>
            <w:tcW w:w="850" w:type="dxa"/>
            <w:vMerge w:val="restart"/>
            <w:tcBorders>
              <w:tl2br w:val="nil"/>
              <w:tr2bl w:val="nil"/>
            </w:tcBorders>
            <w:vAlign w:val="center"/>
          </w:tcPr>
          <w:p w14:paraId="64F76F8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p w14:paraId="5A42D320">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计量法</w:t>
            </w:r>
          </w:p>
        </w:tc>
        <w:tc>
          <w:tcPr>
            <w:tcW w:w="1275" w:type="dxa"/>
            <w:tcBorders>
              <w:tl2br w:val="nil"/>
              <w:tr2bl w:val="nil"/>
            </w:tcBorders>
            <w:vAlign w:val="center"/>
          </w:tcPr>
          <w:p w14:paraId="1C787D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~65%</w:t>
            </w:r>
          </w:p>
        </w:tc>
        <w:tc>
          <w:tcPr>
            <w:tcW w:w="991" w:type="dxa"/>
            <w:vMerge w:val="restart"/>
            <w:tcBorders>
              <w:tl2br w:val="nil"/>
              <w:tr2bl w:val="nil"/>
            </w:tcBorders>
            <w:vAlign w:val="center"/>
          </w:tcPr>
          <w:p w14:paraId="5F5972B7">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E效率过滤器</w:t>
            </w:r>
          </w:p>
        </w:tc>
        <w:tc>
          <w:tcPr>
            <w:tcW w:w="709" w:type="dxa"/>
            <w:tcBorders>
              <w:tl2br w:val="nil"/>
              <w:tr2bl w:val="nil"/>
            </w:tcBorders>
            <w:vAlign w:val="center"/>
          </w:tcPr>
          <w:p w14:paraId="7769FE7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E10</w:t>
            </w:r>
          </w:p>
        </w:tc>
        <w:tc>
          <w:tcPr>
            <w:tcW w:w="1052" w:type="dxa"/>
            <w:vMerge w:val="restart"/>
            <w:tcBorders>
              <w:tl2br w:val="nil"/>
              <w:tr2bl w:val="nil"/>
            </w:tcBorders>
            <w:vAlign w:val="center"/>
          </w:tcPr>
          <w:p w14:paraId="02D1B6A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p w14:paraId="5041F1A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p w14:paraId="73B892E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p w14:paraId="1B0162A9">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最易穿透粒径</w:t>
            </w:r>
          </w:p>
        </w:tc>
        <w:tc>
          <w:tcPr>
            <w:tcW w:w="2363" w:type="dxa"/>
            <w:tcBorders>
              <w:tl2br w:val="nil"/>
              <w:tr2bl w:val="nil"/>
            </w:tcBorders>
            <w:vAlign w:val="center"/>
          </w:tcPr>
          <w:p w14:paraId="12CBB27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85%~95%</w:t>
            </w:r>
          </w:p>
        </w:tc>
      </w:tr>
      <w:tr w14:paraId="4E281D7D">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continue"/>
            <w:tcBorders>
              <w:tl2br w:val="nil"/>
              <w:tr2bl w:val="nil"/>
            </w:tcBorders>
            <w:vAlign w:val="center"/>
          </w:tcPr>
          <w:p w14:paraId="3727BC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5C91D40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G2</w:t>
            </w:r>
          </w:p>
        </w:tc>
        <w:tc>
          <w:tcPr>
            <w:tcW w:w="850" w:type="dxa"/>
            <w:vMerge w:val="continue"/>
            <w:tcBorders>
              <w:tl2br w:val="nil"/>
              <w:tr2bl w:val="nil"/>
            </w:tcBorders>
            <w:vAlign w:val="center"/>
          </w:tcPr>
          <w:p w14:paraId="7D31BC9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15C1D40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65%~80%</w:t>
            </w:r>
          </w:p>
        </w:tc>
        <w:tc>
          <w:tcPr>
            <w:tcW w:w="991" w:type="dxa"/>
            <w:vMerge w:val="continue"/>
            <w:tcBorders>
              <w:tl2br w:val="nil"/>
              <w:tr2bl w:val="nil"/>
            </w:tcBorders>
            <w:vAlign w:val="center"/>
          </w:tcPr>
          <w:p w14:paraId="6CB28F3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144DCC1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E11</w:t>
            </w:r>
          </w:p>
        </w:tc>
        <w:tc>
          <w:tcPr>
            <w:tcW w:w="1052" w:type="dxa"/>
            <w:vMerge w:val="continue"/>
            <w:tcBorders>
              <w:tl2br w:val="nil"/>
              <w:tr2bl w:val="nil"/>
            </w:tcBorders>
            <w:vAlign w:val="center"/>
          </w:tcPr>
          <w:p w14:paraId="690F65E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5309A66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95%~99.5%</w:t>
            </w:r>
          </w:p>
        </w:tc>
      </w:tr>
      <w:tr w14:paraId="0D8CEE5C">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continue"/>
            <w:tcBorders>
              <w:tl2br w:val="nil"/>
              <w:tr2bl w:val="nil"/>
            </w:tcBorders>
            <w:vAlign w:val="center"/>
          </w:tcPr>
          <w:p w14:paraId="2DD9D6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145FA31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G3</w:t>
            </w:r>
          </w:p>
        </w:tc>
        <w:tc>
          <w:tcPr>
            <w:tcW w:w="850" w:type="dxa"/>
            <w:vMerge w:val="continue"/>
            <w:tcBorders>
              <w:tl2br w:val="nil"/>
              <w:tr2bl w:val="nil"/>
            </w:tcBorders>
            <w:vAlign w:val="center"/>
          </w:tcPr>
          <w:p w14:paraId="7B9C20B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47392E6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80%~90%</w:t>
            </w:r>
          </w:p>
        </w:tc>
        <w:tc>
          <w:tcPr>
            <w:tcW w:w="991" w:type="dxa"/>
            <w:vMerge w:val="continue"/>
            <w:tcBorders>
              <w:tl2br w:val="nil"/>
              <w:tr2bl w:val="nil"/>
            </w:tcBorders>
            <w:vAlign w:val="center"/>
          </w:tcPr>
          <w:p w14:paraId="7F9DBFD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184DFF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E12</w:t>
            </w:r>
          </w:p>
        </w:tc>
        <w:tc>
          <w:tcPr>
            <w:tcW w:w="1052" w:type="dxa"/>
            <w:vMerge w:val="continue"/>
            <w:tcBorders>
              <w:tl2br w:val="nil"/>
              <w:tr2bl w:val="nil"/>
            </w:tcBorders>
            <w:vAlign w:val="center"/>
          </w:tcPr>
          <w:p w14:paraId="0BD16A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29C9CD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99.5%~99.95%</w:t>
            </w:r>
          </w:p>
        </w:tc>
      </w:tr>
      <w:tr w14:paraId="1DE71460">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continue"/>
            <w:tcBorders>
              <w:tl2br w:val="nil"/>
              <w:tr2bl w:val="nil"/>
            </w:tcBorders>
            <w:vAlign w:val="center"/>
          </w:tcPr>
          <w:p w14:paraId="7FC636C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1DD66DB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G4</w:t>
            </w:r>
          </w:p>
        </w:tc>
        <w:tc>
          <w:tcPr>
            <w:tcW w:w="850" w:type="dxa"/>
            <w:vMerge w:val="continue"/>
            <w:tcBorders>
              <w:tl2br w:val="nil"/>
              <w:tr2bl w:val="nil"/>
            </w:tcBorders>
            <w:vAlign w:val="center"/>
          </w:tcPr>
          <w:p w14:paraId="7CD5F85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6ED728F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≥90%</w:t>
            </w:r>
          </w:p>
        </w:tc>
        <w:tc>
          <w:tcPr>
            <w:tcW w:w="991" w:type="dxa"/>
            <w:vMerge w:val="restart"/>
            <w:tcBorders>
              <w:tl2br w:val="nil"/>
              <w:tr2bl w:val="nil"/>
            </w:tcBorders>
            <w:vAlign w:val="center"/>
          </w:tcPr>
          <w:p w14:paraId="0786C1EE">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H高效过滤器</w:t>
            </w:r>
          </w:p>
        </w:tc>
        <w:tc>
          <w:tcPr>
            <w:tcW w:w="709" w:type="dxa"/>
            <w:tcBorders>
              <w:tl2br w:val="nil"/>
              <w:tr2bl w:val="nil"/>
            </w:tcBorders>
            <w:vAlign w:val="center"/>
          </w:tcPr>
          <w:p w14:paraId="21C8AC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H13</w:t>
            </w:r>
          </w:p>
        </w:tc>
        <w:tc>
          <w:tcPr>
            <w:tcW w:w="1052" w:type="dxa"/>
            <w:vMerge w:val="continue"/>
            <w:tcBorders>
              <w:tl2br w:val="nil"/>
              <w:tr2bl w:val="nil"/>
            </w:tcBorders>
            <w:vAlign w:val="center"/>
          </w:tcPr>
          <w:p w14:paraId="22AB55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501F7FA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99.95%~99.995%</w:t>
            </w:r>
          </w:p>
        </w:tc>
      </w:tr>
      <w:tr w14:paraId="546A20F4">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restart"/>
            <w:tcBorders>
              <w:tl2br w:val="nil"/>
              <w:tr2bl w:val="nil"/>
            </w:tcBorders>
            <w:vAlign w:val="center"/>
          </w:tcPr>
          <w:p w14:paraId="6826A65F">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M中效过滤器</w:t>
            </w:r>
          </w:p>
        </w:tc>
        <w:tc>
          <w:tcPr>
            <w:tcW w:w="709" w:type="dxa"/>
            <w:tcBorders>
              <w:tl2br w:val="nil"/>
              <w:tr2bl w:val="nil"/>
            </w:tcBorders>
            <w:vAlign w:val="center"/>
          </w:tcPr>
          <w:p w14:paraId="4F9EEBA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M5</w:t>
            </w:r>
          </w:p>
        </w:tc>
        <w:tc>
          <w:tcPr>
            <w:tcW w:w="850" w:type="dxa"/>
            <w:vMerge w:val="restart"/>
            <w:tcBorders>
              <w:tl2br w:val="nil"/>
              <w:tr2bl w:val="nil"/>
            </w:tcBorders>
            <w:vAlign w:val="center"/>
          </w:tcPr>
          <w:p w14:paraId="41B45DF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p w14:paraId="267D8B2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p w14:paraId="64276853">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比色法</w:t>
            </w:r>
          </w:p>
        </w:tc>
        <w:tc>
          <w:tcPr>
            <w:tcW w:w="1275" w:type="dxa"/>
            <w:tcBorders>
              <w:tl2br w:val="nil"/>
              <w:tr2bl w:val="nil"/>
            </w:tcBorders>
            <w:vAlign w:val="center"/>
          </w:tcPr>
          <w:p w14:paraId="0C67713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2"/>
                <w:sz w:val="20"/>
                <w:szCs w:val="20"/>
                <w:highlight w:val="none"/>
                <w:lang w:eastAsia="en-US"/>
              </w:rPr>
              <w:t>40%~60%</w:t>
            </w:r>
          </w:p>
        </w:tc>
        <w:tc>
          <w:tcPr>
            <w:tcW w:w="991" w:type="dxa"/>
            <w:vMerge w:val="continue"/>
            <w:tcBorders>
              <w:tl2br w:val="nil"/>
              <w:tr2bl w:val="nil"/>
            </w:tcBorders>
            <w:vAlign w:val="center"/>
          </w:tcPr>
          <w:p w14:paraId="48FAF55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6C657B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H14</w:t>
            </w:r>
          </w:p>
        </w:tc>
        <w:tc>
          <w:tcPr>
            <w:tcW w:w="1052" w:type="dxa"/>
            <w:vMerge w:val="continue"/>
            <w:tcBorders>
              <w:tl2br w:val="nil"/>
              <w:tr2bl w:val="nil"/>
            </w:tcBorders>
            <w:vAlign w:val="center"/>
          </w:tcPr>
          <w:p w14:paraId="36DE34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59FD218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2"/>
                <w:sz w:val="20"/>
                <w:szCs w:val="20"/>
                <w:highlight w:val="none"/>
                <w:lang w:eastAsia="en-US"/>
              </w:rPr>
              <w:t>99.995%~99.9995%</w:t>
            </w:r>
          </w:p>
        </w:tc>
      </w:tr>
      <w:tr w14:paraId="7871404C">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continue"/>
            <w:tcBorders>
              <w:tl2br w:val="nil"/>
              <w:tr2bl w:val="nil"/>
            </w:tcBorders>
            <w:vAlign w:val="center"/>
          </w:tcPr>
          <w:p w14:paraId="3675122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5F2C35E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M6</w:t>
            </w:r>
          </w:p>
        </w:tc>
        <w:tc>
          <w:tcPr>
            <w:tcW w:w="850" w:type="dxa"/>
            <w:vMerge w:val="continue"/>
            <w:tcBorders>
              <w:tl2br w:val="nil"/>
              <w:tr2bl w:val="nil"/>
            </w:tcBorders>
            <w:vAlign w:val="center"/>
          </w:tcPr>
          <w:p w14:paraId="0BF4192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45B886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60%~80%</w:t>
            </w:r>
          </w:p>
        </w:tc>
        <w:tc>
          <w:tcPr>
            <w:tcW w:w="991" w:type="dxa"/>
            <w:vMerge w:val="restart"/>
            <w:tcBorders>
              <w:tl2br w:val="nil"/>
              <w:tr2bl w:val="nil"/>
            </w:tcBorders>
            <w:vAlign w:val="center"/>
          </w:tcPr>
          <w:p w14:paraId="35797A7B">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U超高</w:t>
            </w:r>
          </w:p>
          <w:p w14:paraId="05B1E74B">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效过滤</w:t>
            </w:r>
          </w:p>
          <w:p w14:paraId="55998812">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器</w:t>
            </w:r>
          </w:p>
        </w:tc>
        <w:tc>
          <w:tcPr>
            <w:tcW w:w="709" w:type="dxa"/>
            <w:tcBorders>
              <w:tl2br w:val="nil"/>
              <w:tr2bl w:val="nil"/>
            </w:tcBorders>
            <w:vAlign w:val="center"/>
          </w:tcPr>
          <w:p w14:paraId="445CE06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U15</w:t>
            </w:r>
          </w:p>
        </w:tc>
        <w:tc>
          <w:tcPr>
            <w:tcW w:w="1052" w:type="dxa"/>
            <w:vMerge w:val="continue"/>
            <w:tcBorders>
              <w:tl2br w:val="nil"/>
              <w:tr2bl w:val="nil"/>
            </w:tcBorders>
            <w:vAlign w:val="center"/>
          </w:tcPr>
          <w:p w14:paraId="62262CB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3736781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99.9995%~99.99995%</w:t>
            </w:r>
          </w:p>
        </w:tc>
      </w:tr>
      <w:tr w14:paraId="00892728">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restart"/>
            <w:tcBorders>
              <w:tl2br w:val="nil"/>
              <w:tr2bl w:val="nil"/>
            </w:tcBorders>
            <w:vAlign w:val="center"/>
          </w:tcPr>
          <w:p w14:paraId="46573D22">
            <w:pPr>
              <w:pStyle w:val="19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F精细过滤器</w:t>
            </w:r>
          </w:p>
        </w:tc>
        <w:tc>
          <w:tcPr>
            <w:tcW w:w="709" w:type="dxa"/>
            <w:tcBorders>
              <w:tl2br w:val="nil"/>
              <w:tr2bl w:val="nil"/>
            </w:tcBorders>
            <w:vAlign w:val="center"/>
          </w:tcPr>
          <w:p w14:paraId="0EB796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F7</w:t>
            </w:r>
          </w:p>
        </w:tc>
        <w:tc>
          <w:tcPr>
            <w:tcW w:w="850" w:type="dxa"/>
            <w:vMerge w:val="continue"/>
            <w:tcBorders>
              <w:tl2br w:val="nil"/>
              <w:tr2bl w:val="nil"/>
            </w:tcBorders>
            <w:vAlign w:val="center"/>
          </w:tcPr>
          <w:p w14:paraId="7417A40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52B4680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80%~90%</w:t>
            </w:r>
          </w:p>
        </w:tc>
        <w:tc>
          <w:tcPr>
            <w:tcW w:w="991" w:type="dxa"/>
            <w:vMerge w:val="continue"/>
            <w:tcBorders>
              <w:tl2br w:val="nil"/>
              <w:tr2bl w:val="nil"/>
            </w:tcBorders>
            <w:vAlign w:val="center"/>
          </w:tcPr>
          <w:p w14:paraId="51A9FB6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6D656BC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U16</w:t>
            </w:r>
          </w:p>
        </w:tc>
        <w:tc>
          <w:tcPr>
            <w:tcW w:w="1052" w:type="dxa"/>
            <w:vMerge w:val="continue"/>
            <w:tcBorders>
              <w:tl2br w:val="nil"/>
              <w:tr2bl w:val="nil"/>
            </w:tcBorders>
            <w:vAlign w:val="center"/>
          </w:tcPr>
          <w:p w14:paraId="08C37D9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74860F1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99.99995%~99.999995%</w:t>
            </w:r>
          </w:p>
        </w:tc>
      </w:tr>
      <w:tr w14:paraId="235E1E36">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continue"/>
            <w:tcBorders>
              <w:tl2br w:val="nil"/>
              <w:tr2bl w:val="nil"/>
            </w:tcBorders>
            <w:vAlign w:val="center"/>
          </w:tcPr>
          <w:p w14:paraId="02C45AB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0C8D5D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F8</w:t>
            </w:r>
          </w:p>
        </w:tc>
        <w:tc>
          <w:tcPr>
            <w:tcW w:w="850" w:type="dxa"/>
            <w:vMerge w:val="continue"/>
            <w:tcBorders>
              <w:tl2br w:val="nil"/>
              <w:tr2bl w:val="nil"/>
            </w:tcBorders>
            <w:vAlign w:val="center"/>
          </w:tcPr>
          <w:p w14:paraId="606DB8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0A99D55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2"/>
                <w:sz w:val="20"/>
                <w:szCs w:val="20"/>
                <w:highlight w:val="none"/>
                <w:lang w:eastAsia="en-US"/>
              </w:rPr>
              <w:t>90%~95%</w:t>
            </w:r>
          </w:p>
        </w:tc>
        <w:tc>
          <w:tcPr>
            <w:tcW w:w="991" w:type="dxa"/>
            <w:vMerge w:val="continue"/>
            <w:tcBorders>
              <w:tl2br w:val="nil"/>
              <w:tr2bl w:val="nil"/>
            </w:tcBorders>
            <w:vAlign w:val="center"/>
          </w:tcPr>
          <w:p w14:paraId="7553C0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0387066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U17</w:t>
            </w:r>
          </w:p>
        </w:tc>
        <w:tc>
          <w:tcPr>
            <w:tcW w:w="1052" w:type="dxa"/>
            <w:vMerge w:val="continue"/>
            <w:tcBorders>
              <w:tl2br w:val="nil"/>
              <w:tr2bl w:val="nil"/>
            </w:tcBorders>
            <w:vAlign w:val="center"/>
          </w:tcPr>
          <w:p w14:paraId="2706ECC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6C2350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2"/>
                <w:sz w:val="20"/>
                <w:szCs w:val="20"/>
                <w:highlight w:val="none"/>
                <w:lang w:eastAsia="en-US"/>
              </w:rPr>
              <w:t>≥99.999995%</w:t>
            </w:r>
          </w:p>
        </w:tc>
      </w:tr>
      <w:tr w14:paraId="19437307">
        <w:tblPrEx>
          <w:tblBorders>
            <w:top w:val="single" w:color="auto" w:sz="12" w:space="0"/>
            <w:left w:val="none" w:color="auto" w:sz="0" w:space="0"/>
            <w:bottom w:val="single" w:color="auto" w:sz="12" w:space="0"/>
            <w:right w:val="none" w:color="auto" w:sz="0" w:space="0"/>
            <w:insideH w:val="single" w:color="auto" w:sz="8" w:space="0"/>
            <w:insideV w:val="single" w:color="000000" w:sz="2" w:space="0"/>
          </w:tblBorders>
          <w:tblCellMar>
            <w:top w:w="0" w:type="dxa"/>
            <w:left w:w="0" w:type="dxa"/>
            <w:bottom w:w="0" w:type="dxa"/>
            <w:right w:w="0" w:type="dxa"/>
          </w:tblCellMar>
        </w:tblPrEx>
        <w:trPr>
          <w:trHeight w:val="397" w:hRule="atLeast"/>
          <w:jc w:val="center"/>
        </w:trPr>
        <w:tc>
          <w:tcPr>
            <w:tcW w:w="963" w:type="dxa"/>
            <w:vMerge w:val="continue"/>
            <w:tcBorders>
              <w:tl2br w:val="nil"/>
              <w:tr2bl w:val="nil"/>
            </w:tcBorders>
            <w:vAlign w:val="center"/>
          </w:tcPr>
          <w:p w14:paraId="3662B7A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5EFEC98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F9</w:t>
            </w:r>
          </w:p>
        </w:tc>
        <w:tc>
          <w:tcPr>
            <w:tcW w:w="850" w:type="dxa"/>
            <w:vMerge w:val="continue"/>
            <w:tcBorders>
              <w:tl2br w:val="nil"/>
              <w:tr2bl w:val="nil"/>
            </w:tcBorders>
            <w:vAlign w:val="center"/>
          </w:tcPr>
          <w:p w14:paraId="5373B3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275" w:type="dxa"/>
            <w:tcBorders>
              <w:tl2br w:val="nil"/>
              <w:tr2bl w:val="nil"/>
            </w:tcBorders>
            <w:vAlign w:val="center"/>
          </w:tcPr>
          <w:p w14:paraId="0488A71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≥95%</w:t>
            </w:r>
          </w:p>
        </w:tc>
        <w:tc>
          <w:tcPr>
            <w:tcW w:w="991" w:type="dxa"/>
            <w:tcBorders>
              <w:tl2br w:val="nil"/>
              <w:tr2bl w:val="nil"/>
            </w:tcBorders>
            <w:vAlign w:val="center"/>
          </w:tcPr>
          <w:p w14:paraId="1E4B1E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709" w:type="dxa"/>
            <w:tcBorders>
              <w:tl2br w:val="nil"/>
              <w:tr2bl w:val="nil"/>
            </w:tcBorders>
            <w:vAlign w:val="center"/>
          </w:tcPr>
          <w:p w14:paraId="15071C9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1052" w:type="dxa"/>
            <w:tcBorders>
              <w:tl2br w:val="nil"/>
              <w:tr2bl w:val="nil"/>
            </w:tcBorders>
            <w:vAlign w:val="center"/>
          </w:tcPr>
          <w:p w14:paraId="1BA01CD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c>
          <w:tcPr>
            <w:tcW w:w="2363" w:type="dxa"/>
            <w:tcBorders>
              <w:tl2br w:val="nil"/>
              <w:tr2bl w:val="nil"/>
            </w:tcBorders>
            <w:vAlign w:val="center"/>
          </w:tcPr>
          <w:p w14:paraId="7F08A8E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aps w:val="0"/>
                <w:smallCaps w:val="0"/>
                <w:color w:val="auto"/>
                <w:spacing w:val="0"/>
                <w:sz w:val="21"/>
                <w:highlight w:val="none"/>
                <w:lang w:eastAsia="en-US"/>
              </w:rPr>
            </w:pPr>
          </w:p>
        </w:tc>
      </w:tr>
    </w:tbl>
    <w:p w14:paraId="4658AC14">
      <w:pPr>
        <w:pStyle w:val="1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bCs/>
          <w:caps w:val="0"/>
          <w:smallCaps w:val="0"/>
          <w:color w:val="auto"/>
          <w:spacing w:val="0"/>
          <w:highlight w:val="none"/>
        </w:rPr>
      </w:pPr>
      <w:r>
        <w:rPr>
          <w:rFonts w:hint="eastAsia"/>
          <w:bCs/>
          <w:caps w:val="0"/>
          <w:smallCaps w:val="0"/>
          <w:color w:val="auto"/>
          <w:spacing w:val="0"/>
          <w:highlight w:val="none"/>
          <w:lang w:val="en-US" w:eastAsia="zh-CN"/>
        </w:rPr>
        <w:t>本工程含镉粉尘采用</w:t>
      </w:r>
      <w:r>
        <w:rPr>
          <w:rFonts w:hint="default"/>
          <w:bCs/>
          <w:caps w:val="0"/>
          <w:smallCaps w:val="0"/>
          <w:color w:val="auto"/>
          <w:spacing w:val="0"/>
          <w:highlight w:val="none"/>
          <w:lang w:val="en-US" w:eastAsia="zh-CN"/>
        </w:rPr>
        <w:t>E12/F</w:t>
      </w:r>
      <w:r>
        <w:rPr>
          <w:rFonts w:hint="eastAsia"/>
          <w:bCs/>
          <w:caps w:val="0"/>
          <w:smallCaps w:val="0"/>
          <w:color w:val="auto"/>
          <w:spacing w:val="0"/>
          <w:highlight w:val="none"/>
          <w:lang w:val="en-US" w:eastAsia="zh-CN"/>
        </w:rPr>
        <w:t>7+E10/H13级高效离子过滤器</w:t>
      </w:r>
      <w:r>
        <w:rPr>
          <w:rFonts w:hint="default"/>
          <w:bCs/>
          <w:caps w:val="0"/>
          <w:smallCaps w:val="0"/>
          <w:color w:val="auto"/>
          <w:spacing w:val="0"/>
          <w:highlight w:val="none"/>
          <w:lang w:val="en-US" w:eastAsia="zh-CN"/>
        </w:rPr>
        <w:t>+H14</w:t>
      </w:r>
      <w:r>
        <w:rPr>
          <w:rFonts w:hint="eastAsia"/>
          <w:bCs/>
          <w:caps w:val="0"/>
          <w:smallCaps w:val="0"/>
          <w:color w:val="auto"/>
          <w:spacing w:val="0"/>
          <w:highlight w:val="none"/>
          <w:lang w:val="en-US" w:eastAsia="zh-CN"/>
        </w:rPr>
        <w:t>级高效离子过滤器进行处理，能满足90.43</w:t>
      </w:r>
      <w:r>
        <w:rPr>
          <w:rFonts w:hint="default"/>
          <w:bCs/>
          <w:caps w:val="0"/>
          <w:smallCaps w:val="0"/>
          <w:color w:val="auto"/>
          <w:spacing w:val="0"/>
          <w:highlight w:val="none"/>
          <w:lang w:val="en-US" w:eastAsia="zh-CN"/>
        </w:rPr>
        <w:t>%</w:t>
      </w:r>
      <w:r>
        <w:rPr>
          <w:rFonts w:hint="eastAsia"/>
          <w:bCs/>
          <w:caps w:val="0"/>
          <w:smallCaps w:val="0"/>
          <w:color w:val="auto"/>
          <w:spacing w:val="0"/>
          <w:highlight w:val="none"/>
          <w:lang w:val="en-US" w:eastAsia="zh-CN"/>
        </w:rPr>
        <w:t>的总除尘效率和</w:t>
      </w:r>
      <w:r>
        <w:rPr>
          <w:rFonts w:hint="default"/>
          <w:bCs/>
          <w:caps w:val="0"/>
          <w:smallCaps w:val="0"/>
          <w:color w:val="auto"/>
          <w:spacing w:val="0"/>
          <w:highlight w:val="none"/>
          <w:lang w:val="en-US" w:eastAsia="zh-CN"/>
        </w:rPr>
        <w:t>99.9</w:t>
      </w:r>
      <w:r>
        <w:rPr>
          <w:rFonts w:hint="eastAsia"/>
          <w:bCs/>
          <w:caps w:val="0"/>
          <w:smallCaps w:val="0"/>
          <w:color w:val="auto"/>
          <w:spacing w:val="0"/>
          <w:highlight w:val="none"/>
          <w:lang w:val="en-US" w:eastAsia="zh-CN"/>
        </w:rPr>
        <w:t>9</w:t>
      </w:r>
      <w:r>
        <w:rPr>
          <w:rFonts w:hint="default"/>
          <w:bCs/>
          <w:caps w:val="0"/>
          <w:smallCaps w:val="0"/>
          <w:color w:val="auto"/>
          <w:spacing w:val="0"/>
          <w:highlight w:val="none"/>
          <w:lang w:val="en-US" w:eastAsia="zh-CN"/>
        </w:rPr>
        <w:t>%</w:t>
      </w:r>
      <w:r>
        <w:rPr>
          <w:rFonts w:hint="eastAsia"/>
          <w:bCs/>
          <w:caps w:val="0"/>
          <w:smallCaps w:val="0"/>
          <w:color w:val="auto"/>
          <w:spacing w:val="0"/>
          <w:highlight w:val="none"/>
          <w:lang w:val="en-US" w:eastAsia="zh-CN"/>
        </w:rPr>
        <w:t>的</w:t>
      </w:r>
      <w:r>
        <w:rPr>
          <w:rFonts w:hint="default"/>
          <w:bCs/>
          <w:caps w:val="0"/>
          <w:smallCaps w:val="0"/>
          <w:color w:val="auto"/>
          <w:spacing w:val="0"/>
          <w:highlight w:val="none"/>
          <w:lang w:val="en-US" w:eastAsia="zh-CN"/>
        </w:rPr>
        <w:t>Cd</w:t>
      </w:r>
      <w:r>
        <w:rPr>
          <w:rFonts w:hint="eastAsia"/>
          <w:bCs/>
          <w:caps w:val="0"/>
          <w:smallCaps w:val="0"/>
          <w:color w:val="auto"/>
          <w:spacing w:val="0"/>
          <w:highlight w:val="none"/>
          <w:lang w:val="en-US" w:eastAsia="zh-CN"/>
        </w:rPr>
        <w:t>净化效率，根据同类型生产企业</w:t>
      </w:r>
      <w:r>
        <w:rPr>
          <w:rFonts w:hint="default" w:ascii="Times New Roman" w:hAnsi="Times New Roman" w:eastAsia="宋体" w:cs="Times New Roman"/>
          <w:bCs/>
          <w:caps w:val="0"/>
          <w:smallCaps w:val="0"/>
          <w:color w:val="auto"/>
          <w:spacing w:val="0"/>
          <w:szCs w:val="21"/>
          <w:highlight w:val="none"/>
          <w:lang w:val="en-US" w:eastAsia="zh-CN"/>
        </w:rPr>
        <w:t>中建材（株洲）光电材料有限公司年产300兆瓦碲化镉薄膜发电玻璃生产线项目</w:t>
      </w:r>
      <w:r>
        <w:rPr>
          <w:rFonts w:hint="eastAsia" w:ascii="Times New Roman" w:hAnsi="Times New Roman" w:eastAsia="宋体" w:cs="Times New Roman"/>
          <w:bCs/>
          <w:caps w:val="0"/>
          <w:smallCaps w:val="0"/>
          <w:color w:val="auto"/>
          <w:spacing w:val="0"/>
          <w:szCs w:val="21"/>
          <w:highlight w:val="none"/>
          <w:lang w:val="en-US" w:eastAsia="zh-CN"/>
        </w:rPr>
        <w:t>与</w:t>
      </w:r>
      <w:r>
        <w:rPr>
          <w:rFonts w:hint="eastAsia" w:ascii="Times New Roman" w:hAnsi="Times New Roman" w:eastAsia="宋体" w:cs="Times New Roman"/>
          <w:bCs/>
          <w:caps w:val="0"/>
          <w:smallCaps w:val="0"/>
          <w:color w:val="auto"/>
          <w:spacing w:val="0"/>
          <w:szCs w:val="21"/>
          <w:highlight w:val="none"/>
        </w:rPr>
        <w:t>瑞昌中建材光电材料有限公司年产100兆瓦碲化镉薄膜发电玻璃生产线项目</w:t>
      </w:r>
      <w:r>
        <w:rPr>
          <w:rFonts w:hint="eastAsia"/>
          <w:bCs/>
          <w:caps w:val="0"/>
          <w:smallCaps w:val="0"/>
          <w:color w:val="auto"/>
          <w:spacing w:val="0"/>
          <w:highlight w:val="none"/>
          <w:lang w:val="en-US" w:eastAsia="zh-CN"/>
        </w:rPr>
        <w:t>相同净化设施实测数据，颗粒物排放浓度在1.1</w:t>
      </w:r>
      <w:r>
        <w:rPr>
          <w:rFonts w:hint="default"/>
          <w:bCs/>
          <w:caps w:val="0"/>
          <w:smallCaps w:val="0"/>
          <w:color w:val="auto"/>
          <w:spacing w:val="0"/>
          <w:highlight w:val="none"/>
          <w:lang w:val="en-US" w:eastAsia="zh-CN"/>
        </w:rPr>
        <w:t>~</w:t>
      </w:r>
      <w:r>
        <w:rPr>
          <w:rFonts w:hint="eastAsia"/>
          <w:bCs/>
          <w:caps w:val="0"/>
          <w:smallCaps w:val="0"/>
          <w:color w:val="auto"/>
          <w:spacing w:val="0"/>
          <w:highlight w:val="none"/>
          <w:lang w:val="en-US" w:eastAsia="zh-CN"/>
        </w:rPr>
        <w:t>4.8</w:t>
      </w:r>
      <w:r>
        <w:rPr>
          <w:rFonts w:hint="default"/>
          <w:bCs/>
          <w:caps w:val="0"/>
          <w:smallCaps w:val="0"/>
          <w:color w:val="auto"/>
          <w:spacing w:val="0"/>
          <w:highlight w:val="none"/>
          <w:lang w:val="en-US" w:eastAsia="zh-CN"/>
        </w:rPr>
        <w:t>mg/m</w:t>
      </w:r>
      <w:r>
        <w:rPr>
          <w:rFonts w:hint="default"/>
          <w:bCs/>
          <w:caps w:val="0"/>
          <w:smallCaps w:val="0"/>
          <w:color w:val="auto"/>
          <w:spacing w:val="0"/>
          <w:highlight w:val="none"/>
          <w:vertAlign w:val="superscript"/>
          <w:lang w:val="en-US" w:eastAsia="zh-CN"/>
        </w:rPr>
        <w:t>3</w:t>
      </w:r>
      <w:r>
        <w:rPr>
          <w:rFonts w:hint="eastAsia"/>
          <w:bCs/>
          <w:caps w:val="0"/>
          <w:smallCaps w:val="0"/>
          <w:color w:val="auto"/>
          <w:spacing w:val="0"/>
          <w:highlight w:val="none"/>
          <w:lang w:val="en-US" w:eastAsia="zh-CN"/>
        </w:rPr>
        <w:t>范围内，因此评价认为措施工艺可行。</w:t>
      </w:r>
    </w:p>
    <w:p w14:paraId="724A2BFF">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2、酸雾处理措施</w:t>
      </w:r>
    </w:p>
    <w:p w14:paraId="609F842C">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本工程活化层清洗过程产生酸雾（NO</w:t>
      </w:r>
      <w:r>
        <w:rPr>
          <w:rFonts w:ascii="Times New Roman" w:hAnsi="Times New Roman" w:eastAsia="宋体" w:cs="Times New Roman"/>
          <w:caps w:val="0"/>
          <w:smallCaps w:val="0"/>
          <w:color w:val="auto"/>
          <w:spacing w:val="0"/>
          <w:kern w:val="0"/>
          <w:szCs w:val="24"/>
          <w:highlight w:val="none"/>
          <w:vertAlign w:val="subscript"/>
          <w:lang w:bidi="ar"/>
        </w:rPr>
        <w:t>2</w:t>
      </w:r>
      <w:r>
        <w:rPr>
          <w:rFonts w:ascii="Times New Roman" w:hAnsi="Times New Roman" w:eastAsia="宋体" w:cs="Times New Roman"/>
          <w:caps w:val="0"/>
          <w:smallCaps w:val="0"/>
          <w:color w:val="auto"/>
          <w:spacing w:val="0"/>
          <w:kern w:val="0"/>
          <w:szCs w:val="24"/>
          <w:highlight w:val="none"/>
          <w:lang w:bidi="ar"/>
        </w:rPr>
        <w:t>、HCl），</w:t>
      </w:r>
      <w:r>
        <w:rPr>
          <w:rFonts w:hint="eastAsia" w:ascii="Times New Roman" w:hAnsi="Times New Roman" w:eastAsia="宋体" w:cs="Times New Roman"/>
          <w:caps w:val="0"/>
          <w:smallCaps w:val="0"/>
          <w:color w:val="auto"/>
          <w:spacing w:val="0"/>
          <w:kern w:val="0"/>
          <w:szCs w:val="24"/>
          <w:highlight w:val="none"/>
          <w:lang w:bidi="ar"/>
        </w:rPr>
        <w:t>及污水处理站产生的氨气、硫化氢以及臭气浓度</w:t>
      </w:r>
      <w:r>
        <w:rPr>
          <w:rFonts w:ascii="Times New Roman" w:hAnsi="Times New Roman" w:eastAsia="宋体" w:cs="Times New Roman"/>
          <w:caps w:val="0"/>
          <w:smallCaps w:val="0"/>
          <w:color w:val="auto"/>
          <w:spacing w:val="0"/>
          <w:kern w:val="0"/>
          <w:szCs w:val="24"/>
          <w:highlight w:val="none"/>
          <w:lang w:bidi="ar"/>
        </w:rPr>
        <w:t>经收集后</w:t>
      </w:r>
      <w:r>
        <w:rPr>
          <w:rFonts w:hint="eastAsia" w:ascii="Times New Roman" w:hAnsi="Times New Roman" w:eastAsia="宋体" w:cs="Times New Roman"/>
          <w:caps w:val="0"/>
          <w:smallCaps w:val="0"/>
          <w:color w:val="auto"/>
          <w:spacing w:val="0"/>
          <w:kern w:val="0"/>
          <w:szCs w:val="24"/>
          <w:highlight w:val="none"/>
          <w:lang w:bidi="ar"/>
        </w:rPr>
        <w:t>共同</w:t>
      </w:r>
      <w:r>
        <w:rPr>
          <w:rFonts w:ascii="Times New Roman" w:hAnsi="Times New Roman" w:eastAsia="宋体" w:cs="Times New Roman"/>
          <w:caps w:val="0"/>
          <w:smallCaps w:val="0"/>
          <w:color w:val="auto"/>
          <w:spacing w:val="0"/>
          <w:kern w:val="0"/>
          <w:szCs w:val="24"/>
          <w:highlight w:val="none"/>
          <w:lang w:bidi="ar"/>
        </w:rPr>
        <w:t>先通过1套二级碱液喷淋装置处理后再经过活性炭吸附处理达标排放，</w:t>
      </w:r>
      <w:r>
        <w:rPr>
          <w:rFonts w:hint="eastAsia" w:ascii="Times New Roman" w:hAnsi="Times New Roman" w:eastAsia="宋体" w:cs="Times New Roman"/>
          <w:caps w:val="0"/>
          <w:smallCaps w:val="0"/>
          <w:color w:val="auto"/>
          <w:spacing w:val="0"/>
          <w:kern w:val="0"/>
          <w:szCs w:val="24"/>
          <w:highlight w:val="none"/>
          <w:lang w:bidi="ar"/>
        </w:rPr>
        <w:t>碱液喷淋装置碱液浓度自动控制，pH</w:t>
      </w:r>
      <w:r>
        <w:rPr>
          <w:rFonts w:hint="eastAsia" w:ascii="Times New Roman" w:hAnsi="Times New Roman" w:eastAsia="宋体" w:cs="Times New Roman"/>
          <w:caps w:val="0"/>
          <w:smallCaps w:val="0"/>
          <w:color w:val="auto"/>
          <w:spacing w:val="0"/>
          <w:kern w:val="0"/>
          <w:szCs w:val="24"/>
          <w:highlight w:val="none"/>
          <w:lang w:bidi="ar"/>
        </w:rPr>
        <w:t>保持在10-12之间，碱液浓度过低时，设备自动补充碱液，以保证pH在正常范围内，</w:t>
      </w:r>
      <w:r>
        <w:rPr>
          <w:rFonts w:ascii="Times New Roman" w:hAnsi="Times New Roman" w:eastAsia="宋体" w:cs="Times New Roman"/>
          <w:caps w:val="0"/>
          <w:smallCaps w:val="0"/>
          <w:color w:val="auto"/>
          <w:spacing w:val="0"/>
          <w:kern w:val="0"/>
          <w:szCs w:val="24"/>
          <w:highlight w:val="none"/>
          <w:lang w:bidi="ar"/>
        </w:rPr>
        <w:t>净化后NOx、HCl</w:t>
      </w:r>
      <w:r>
        <w:rPr>
          <w:rFonts w:hint="eastAsia" w:ascii="Times New Roman" w:hAnsi="Times New Roman" w:eastAsia="宋体" w:cs="Times New Roman"/>
          <w:caps w:val="0"/>
          <w:smallCaps w:val="0"/>
          <w:color w:val="auto"/>
          <w:spacing w:val="0"/>
          <w:kern w:val="0"/>
          <w:szCs w:val="24"/>
          <w:highlight w:val="none"/>
          <w:lang w:val="en-US" w:eastAsia="zh-CN" w:bidi="ar"/>
        </w:rPr>
        <w:t>排放浓度较低，</w:t>
      </w:r>
      <w:r>
        <w:rPr>
          <w:rFonts w:hint="eastAsia" w:ascii="Times New Roman" w:hAnsi="Times New Roman" w:eastAsia="宋体" w:cs="Times New Roman"/>
          <w:caps w:val="0"/>
          <w:smallCaps w:val="0"/>
          <w:color w:val="auto"/>
          <w:spacing w:val="0"/>
          <w:kern w:val="0"/>
          <w:szCs w:val="24"/>
          <w:highlight w:val="none"/>
          <w:lang w:bidi="ar"/>
        </w:rPr>
        <w:t>氨气、硫化氢以及臭气浓度</w:t>
      </w:r>
      <w:r>
        <w:rPr>
          <w:rFonts w:ascii="Times New Roman" w:hAnsi="Times New Roman" w:eastAsia="宋体" w:cs="Times New Roman"/>
          <w:caps w:val="0"/>
          <w:smallCaps w:val="0"/>
          <w:color w:val="auto"/>
          <w:spacing w:val="0"/>
          <w:kern w:val="0"/>
          <w:szCs w:val="24"/>
          <w:highlight w:val="none"/>
          <w:lang w:bidi="ar"/>
        </w:rPr>
        <w:t>排放浓度满足</w:t>
      </w:r>
      <w:r>
        <w:rPr>
          <w:rFonts w:ascii="Times New Roman" w:hAnsi="Times New Roman" w:eastAsia="宋体" w:cs="Times New Roman"/>
          <w:caps w:val="0"/>
          <w:smallCaps w:val="0"/>
          <w:color w:val="auto"/>
          <w:spacing w:val="0"/>
          <w:szCs w:val="21"/>
          <w:highlight w:val="none"/>
        </w:rPr>
        <w:t>《恶臭污染物排放标准》（GB14554-93）表2</w:t>
      </w:r>
      <w:r>
        <w:rPr>
          <w:rFonts w:ascii="Times New Roman" w:hAnsi="Times New Roman" w:eastAsia="宋体" w:cs="Times New Roman"/>
          <w:caps w:val="0"/>
          <w:smallCaps w:val="0"/>
          <w:color w:val="auto"/>
          <w:spacing w:val="0"/>
          <w:kern w:val="0"/>
          <w:szCs w:val="24"/>
          <w:highlight w:val="none"/>
          <w:lang w:bidi="ar"/>
        </w:rPr>
        <w:t>排放限值要求。酸性废</w:t>
      </w:r>
      <w:r>
        <w:rPr>
          <w:rFonts w:ascii="Times New Roman" w:hAnsi="Times New Roman" w:eastAsia="宋体" w:cs="Times New Roman"/>
          <w:caps w:val="0"/>
          <w:smallCaps w:val="0"/>
          <w:color w:val="auto"/>
          <w:spacing w:val="0"/>
          <w:kern w:val="0"/>
          <w:szCs w:val="24"/>
          <w:highlight w:val="none"/>
          <w:lang w:bidi="ar"/>
        </w:rPr>
        <w:t>气处理主要为干法吸附和湿法吸收两种工艺，参考《</w:t>
      </w:r>
      <w:r>
        <w:rPr>
          <w:rFonts w:ascii="Times New Roman" w:hAnsi="Times New Roman" w:eastAsia="宋体" w:cs="Times New Roman"/>
          <w:caps w:val="0"/>
          <w:smallCaps w:val="0"/>
          <w:color w:val="auto"/>
          <w:spacing w:val="0"/>
          <w:szCs w:val="24"/>
          <w:highlight w:val="none"/>
        </w:rPr>
        <w:t>电镀污染防治可行技术指南</w:t>
      </w:r>
      <w:r>
        <w:rPr>
          <w:rFonts w:ascii="Times New Roman" w:hAnsi="Times New Roman" w:eastAsia="宋体" w:cs="Times New Roman"/>
          <w:caps w:val="0"/>
          <w:smallCaps w:val="0"/>
          <w:color w:val="auto"/>
          <w:spacing w:val="0"/>
          <w:kern w:val="0"/>
          <w:szCs w:val="24"/>
          <w:highlight w:val="none"/>
          <w:lang w:bidi="ar"/>
        </w:rPr>
        <w:t>》（HJ1306-2023）中酸雾处理方式，碱液吸收法为可行技术</w:t>
      </w:r>
      <w:r>
        <w:rPr>
          <w:rFonts w:ascii="Times New Roman" w:hAnsi="Times New Roman" w:eastAsia="宋体" w:cs="Times New Roman"/>
          <w:caps w:val="0"/>
          <w:smallCaps w:val="0"/>
          <w:color w:val="auto"/>
          <w:spacing w:val="0"/>
          <w:highlight w:val="none"/>
        </w:rPr>
        <w:t>，本项目酸雾采取</w:t>
      </w:r>
      <w:r>
        <w:rPr>
          <w:rFonts w:ascii="Times New Roman" w:hAnsi="Times New Roman" w:eastAsia="宋体" w:cs="Times New Roman"/>
          <w:caps w:val="0"/>
          <w:smallCaps w:val="0"/>
          <w:color w:val="auto"/>
          <w:spacing w:val="0"/>
          <w:kern w:val="0"/>
          <w:szCs w:val="24"/>
          <w:highlight w:val="none"/>
          <w:lang w:bidi="ar"/>
        </w:rPr>
        <w:t>干法吸附和湿法吸收两种工艺相结合的方式，先通过碱液喷淋装置对酸雾</w:t>
      </w:r>
      <w:r>
        <w:rPr>
          <w:rFonts w:hint="eastAsia" w:ascii="Times New Roman" w:hAnsi="Times New Roman" w:eastAsia="宋体" w:cs="Times New Roman"/>
          <w:caps w:val="0"/>
          <w:smallCaps w:val="0"/>
          <w:color w:val="auto"/>
          <w:spacing w:val="0"/>
          <w:kern w:val="0"/>
          <w:szCs w:val="24"/>
          <w:highlight w:val="none"/>
          <w:lang w:bidi="ar"/>
        </w:rPr>
        <w:t>、氨气及硫化氢</w:t>
      </w:r>
      <w:r>
        <w:rPr>
          <w:rFonts w:ascii="Times New Roman" w:hAnsi="Times New Roman" w:eastAsia="宋体" w:cs="Times New Roman"/>
          <w:caps w:val="0"/>
          <w:smallCaps w:val="0"/>
          <w:color w:val="auto"/>
          <w:spacing w:val="0"/>
          <w:kern w:val="0"/>
          <w:szCs w:val="24"/>
          <w:highlight w:val="none"/>
          <w:lang w:bidi="ar"/>
        </w:rPr>
        <w:t>进行吸收，处理后的废气</w:t>
      </w:r>
      <w:r>
        <w:rPr>
          <w:rFonts w:hint="eastAsia" w:ascii="Times New Roman" w:hAnsi="Times New Roman" w:eastAsia="宋体" w:cs="Times New Roman"/>
          <w:caps w:val="0"/>
          <w:smallCaps w:val="0"/>
          <w:color w:val="auto"/>
          <w:spacing w:val="0"/>
          <w:kern w:val="0"/>
          <w:szCs w:val="24"/>
          <w:highlight w:val="none"/>
          <w:lang w:bidi="ar"/>
        </w:rPr>
        <w:t>再</w:t>
      </w:r>
      <w:r>
        <w:rPr>
          <w:rFonts w:ascii="Times New Roman" w:hAnsi="Times New Roman" w:eastAsia="宋体" w:cs="Times New Roman"/>
          <w:caps w:val="0"/>
          <w:smallCaps w:val="0"/>
          <w:color w:val="auto"/>
          <w:spacing w:val="0"/>
          <w:kern w:val="0"/>
          <w:szCs w:val="24"/>
          <w:highlight w:val="none"/>
          <w:lang w:bidi="ar"/>
        </w:rPr>
        <w:t>进</w:t>
      </w:r>
      <w:r>
        <w:rPr>
          <w:rFonts w:ascii="Times New Roman" w:hAnsi="Times New Roman" w:eastAsia="宋体" w:cs="Times New Roman"/>
          <w:caps w:val="0"/>
          <w:smallCaps w:val="0"/>
          <w:color w:val="auto"/>
          <w:spacing w:val="0"/>
          <w:kern w:val="0"/>
          <w:szCs w:val="24"/>
          <w:highlight w:val="none"/>
          <w:lang w:bidi="ar"/>
        </w:rPr>
        <w:t>入活性炭进行干法吸附</w:t>
      </w:r>
      <w:r>
        <w:rPr>
          <w:rFonts w:hint="eastAsia" w:ascii="Times New Roman" w:hAnsi="Times New Roman" w:eastAsia="宋体" w:cs="Times New Roman"/>
          <w:caps w:val="0"/>
          <w:smallCaps w:val="0"/>
          <w:color w:val="auto"/>
          <w:spacing w:val="0"/>
          <w:kern w:val="0"/>
          <w:szCs w:val="24"/>
          <w:highlight w:val="none"/>
          <w:lang w:bidi="ar"/>
        </w:rPr>
        <w:t>去除臭气</w:t>
      </w:r>
      <w:r>
        <w:rPr>
          <w:rFonts w:ascii="Times New Roman" w:hAnsi="Times New Roman" w:eastAsia="宋体" w:cs="Times New Roman"/>
          <w:caps w:val="0"/>
          <w:smallCaps w:val="0"/>
          <w:color w:val="auto"/>
          <w:spacing w:val="0"/>
          <w:kern w:val="0"/>
          <w:szCs w:val="24"/>
          <w:highlight w:val="none"/>
          <w:lang w:bidi="ar"/>
        </w:rPr>
        <w:t>，提高处理效率。</w:t>
      </w:r>
    </w:p>
    <w:p w14:paraId="30BE4F07">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因此，本工程酸雾采用二级碱液喷淋+活性炭吸附处理，环评认为措施工艺可行。</w:t>
      </w:r>
    </w:p>
    <w:p w14:paraId="0142A7DD">
      <w:pPr>
        <w:widowControl w:val="0"/>
        <w:spacing w:line="360" w:lineRule="auto"/>
        <w:ind w:firstLine="482" w:firstLineChars="20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3、挥发性有机物处理措施</w:t>
      </w:r>
    </w:p>
    <w:p w14:paraId="69484164">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光刻胶干燥曝光及离线实验室运行过程产生挥发性有机物，根据《挥发性有机物(VOCs)污染防治技术政策》（公告2013年第31号）等相关文件中“对于低浓度VOCs的废气，不宜回收时，可采用吸附浓缩燃烧技术、生物技术、吸收技术、等离子体技术或紫外光高级氧化技术等净化后达标排放”、“鼓励企业采用多种技术的组合工艺，提高VOCs治理效率”的要求，本工程结合废气非甲烷总烃浓度较低，不宜回收等特点，采用活性炭吸附处理工艺。</w:t>
      </w:r>
    </w:p>
    <w:p w14:paraId="52E21097">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活性炭是一种优良的吸附剂，具有多孔结构、吸附容量大、速度快，可以有选择的吸附气相中的物质，因此广泛应用于有机废气净化处理，活性炭吸附技术在酸性环境的吸附效果优于碱性环境，适合于污染物浓度低于2000m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以下的有机废气处理。</w:t>
      </w:r>
    </w:p>
    <w:p w14:paraId="2157FC0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本工程采用活性炭吸附装置，按照《吸附法工业有机废气治理工程技术规范》（HJ2026-2013）要求，配套集气罩罩口呈微负压状态、采用的活性炭比表面积不低于350m</w:t>
      </w:r>
      <w:r>
        <w:rPr>
          <w:rFonts w:ascii="Times New Roman" w:hAnsi="Times New Roman" w:eastAsia="宋体" w:cs="Times New Roman"/>
          <w:caps w:val="0"/>
          <w:smallCaps w:val="0"/>
          <w:color w:val="auto"/>
          <w:spacing w:val="0"/>
          <w:highlight w:val="none"/>
          <w:vertAlign w:val="superscript"/>
        </w:rPr>
        <w:t>2</w:t>
      </w:r>
      <w:r>
        <w:rPr>
          <w:rFonts w:ascii="Times New Roman" w:hAnsi="Times New Roman" w:eastAsia="宋体" w:cs="Times New Roman"/>
          <w:caps w:val="0"/>
          <w:smallCaps w:val="0"/>
          <w:color w:val="auto"/>
          <w:spacing w:val="0"/>
          <w:highlight w:val="none"/>
        </w:rPr>
        <w:t>/g，并及时更换吸附剂，保证吸附装置的净化效率不低于90%。</w:t>
      </w:r>
    </w:p>
    <w:p w14:paraId="4D81548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本项目废气处理措施及组织框架图见图6.2-</w:t>
      </w:r>
      <w:r>
        <w:rPr>
          <w:rFonts w:hint="eastAsia" w:ascii="Times New Roman" w:hAnsi="Times New Roman" w:eastAsia="宋体" w:cs="Times New Roman"/>
          <w:caps w:val="0"/>
          <w:smallCaps w:val="0"/>
          <w:color w:val="auto"/>
          <w:spacing w:val="0"/>
          <w:highlight w:val="none"/>
          <w:lang w:val="en-US" w:eastAsia="zh-CN"/>
        </w:rPr>
        <w:t>4</w:t>
      </w:r>
      <w:r>
        <w:rPr>
          <w:rFonts w:hint="eastAsia" w:ascii="Times New Roman" w:hAnsi="Times New Roman" w:eastAsia="宋体" w:cs="Times New Roman"/>
          <w:caps w:val="0"/>
          <w:smallCaps w:val="0"/>
          <w:color w:val="auto"/>
          <w:spacing w:val="0"/>
          <w:highlight w:val="none"/>
        </w:rPr>
        <w:t>。</w:t>
      </w:r>
    </w:p>
    <w:p w14:paraId="7CDA43C5">
      <w:pPr>
        <w:widowControl w:val="0"/>
        <w:spacing w:line="360" w:lineRule="auto"/>
        <w:jc w:val="both"/>
        <w:rPr>
          <w:caps w:val="0"/>
          <w:smallCaps w:val="0"/>
          <w:color w:val="auto"/>
          <w:spacing w:val="0"/>
          <w:highlight w:val="none"/>
        </w:rPr>
      </w:pPr>
      <w:r>
        <w:rPr>
          <w:color w:val="auto"/>
          <w:highlight w:val="none"/>
        </w:rPr>
        <w:drawing>
          <wp:inline distT="0" distB="0" distL="114300" distR="114300">
            <wp:extent cx="5733415" cy="2698115"/>
            <wp:effectExtent l="0" t="0" r="6985" b="6985"/>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110"/>
                    <a:stretch>
                      <a:fillRect/>
                    </a:stretch>
                  </pic:blipFill>
                  <pic:spPr>
                    <a:xfrm>
                      <a:off x="0" y="0"/>
                      <a:ext cx="5733415" cy="2698115"/>
                    </a:xfrm>
                    <a:prstGeom prst="rect">
                      <a:avLst/>
                    </a:prstGeom>
                    <a:noFill/>
                    <a:ln>
                      <a:noFill/>
                    </a:ln>
                  </pic:spPr>
                </pic:pic>
              </a:graphicData>
            </a:graphic>
          </wp:inline>
        </w:drawing>
      </w:r>
    </w:p>
    <w:p w14:paraId="2E1CD288">
      <w:pPr>
        <w:widowControl w:val="0"/>
        <w:jc w:val="center"/>
        <w:rPr>
          <w:rFonts w:ascii="Times New Roman" w:hAnsi="Times New Roman" w:cs="Times New Roman" w:eastAsiaTheme="minorEastAsia"/>
          <w:b/>
          <w:bCs/>
          <w:caps w:val="0"/>
          <w:smallCaps w:val="0"/>
          <w:color w:val="auto"/>
          <w:spacing w:val="0"/>
          <w:highlight w:val="none"/>
        </w:rPr>
      </w:pPr>
      <w:r>
        <w:rPr>
          <w:rFonts w:ascii="Times New Roman" w:hAnsi="Times New Roman" w:cs="Times New Roman" w:eastAsiaTheme="minorEastAsia"/>
          <w:b/>
          <w:bCs/>
          <w:caps w:val="0"/>
          <w:smallCaps w:val="0"/>
          <w:color w:val="auto"/>
          <w:spacing w:val="0"/>
          <w:highlight w:val="none"/>
        </w:rPr>
        <w:t>图6.2-</w:t>
      </w:r>
      <w:r>
        <w:rPr>
          <w:rFonts w:hint="eastAsia" w:ascii="Times New Roman" w:hAnsi="Times New Roman" w:cs="Times New Roman" w:eastAsiaTheme="minorEastAsia"/>
          <w:b/>
          <w:bCs/>
          <w:caps w:val="0"/>
          <w:smallCaps w:val="0"/>
          <w:color w:val="auto"/>
          <w:spacing w:val="0"/>
          <w:highlight w:val="none"/>
          <w:lang w:val="en-US" w:eastAsia="zh-CN"/>
        </w:rPr>
        <w:t>4</w:t>
      </w:r>
      <w:r>
        <w:rPr>
          <w:rFonts w:ascii="Times New Roman" w:hAnsi="Times New Roman" w:cs="Times New Roman" w:eastAsiaTheme="minorEastAsia"/>
          <w:b/>
          <w:bCs/>
          <w:caps w:val="0"/>
          <w:smallCaps w:val="0"/>
          <w:color w:val="auto"/>
          <w:spacing w:val="0"/>
          <w:highlight w:val="none"/>
        </w:rPr>
        <w:t>本项目废气组织框架图</w:t>
      </w:r>
    </w:p>
    <w:p w14:paraId="317A84A5">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6.2.2.3排气筒设置合理性分析</w:t>
      </w:r>
    </w:p>
    <w:p w14:paraId="27861340">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项目排气筒设置在联合生产车间四周，所在车间高14m，根据《电池工业污染物排放标准》(GB30484-2013)中“4.2.6产生大气污染物的生产工艺和装置必须设立局部或整体气体收集系统及集中净化处理装置，净化后的气体由排气筒排放，所有排气筒高度应不低于15m(排放氯气的排气筒高度不得低于25m)。排气筒周围半径200m范围内有建筑物时，排气筒高度还应高出最高建筑物3m以上”。项目排气筒周围半径200m范围内最高建筑位于项目南侧园区内企业办公楼，高度为18m，本项目设置排气筒高度为21m高，满足标准要求。</w:t>
      </w:r>
    </w:p>
    <w:p w14:paraId="56586D58">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综上所述，本项目排气筒设置合理。</w:t>
      </w:r>
    </w:p>
    <w:p w14:paraId="2011A033">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6.2.2.4废气防治措施小结</w:t>
      </w:r>
    </w:p>
    <w:p w14:paraId="227C8CCE">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通过以上分析可知，项目采取了上述措施后项目排放污染物满足相关标准，建设单位应在以上环保措施上合理厂区布局并加强厂区绿化，可有效减少废气对外环境的影响。加强设备日常管理，定期巡检，发现问题，及时维修，保证大气治理设施的有效运转。项目排放大气污染物可以满足相关标准要求。</w:t>
      </w:r>
    </w:p>
    <w:p w14:paraId="79D9FC42">
      <w:pPr>
        <w:pStyle w:val="5"/>
        <w:widowControl w:val="0"/>
        <w:rPr>
          <w:rFonts w:eastAsia="宋体"/>
          <w:caps w:val="0"/>
          <w:smallCaps w:val="0"/>
          <w:color w:val="auto"/>
          <w:spacing w:val="0"/>
          <w:sz w:val="30"/>
          <w:szCs w:val="30"/>
          <w:highlight w:val="none"/>
        </w:rPr>
      </w:pPr>
      <w:bookmarkStart w:id="215" w:name="_Toc477951997"/>
      <w:bookmarkStart w:id="216" w:name="_Toc32441"/>
      <w:r>
        <w:rPr>
          <w:rFonts w:eastAsia="宋体"/>
          <w:caps w:val="0"/>
          <w:smallCaps w:val="0"/>
          <w:color w:val="auto"/>
          <w:spacing w:val="0"/>
          <w:sz w:val="30"/>
          <w:szCs w:val="30"/>
          <w:highlight w:val="none"/>
        </w:rPr>
        <w:t>6.2.3运营期噪声控制措施</w:t>
      </w:r>
      <w:bookmarkEnd w:id="215"/>
      <w:bookmarkEnd w:id="216"/>
    </w:p>
    <w:p w14:paraId="6001B07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本项目运营期噪声主要为生产装置区及环保工程等设备噪声。产噪设备包括CSS镀膜设备、磁控溅射设备、清洗机、激光器、退火炉、风机以及泵类等。设备噪声源强范围在70～90dB(A)之间。</w:t>
      </w:r>
      <w:r>
        <w:rPr>
          <w:rFonts w:ascii="Times New Roman" w:hAnsi="Times New Roman" w:eastAsia="宋体" w:cs="Times New Roman"/>
          <w:caps w:val="0"/>
          <w:smallCaps w:val="0"/>
          <w:color w:val="auto"/>
          <w:spacing w:val="0"/>
          <w:highlight w:val="none"/>
        </w:rPr>
        <w:t>其噪声控制对策主要考虑制定噪声控制规划、从声源上降低噪声和从噪声传播途径上阻挡噪声，并以搞好控制规划和声源降噪为主。</w:t>
      </w:r>
    </w:p>
    <w:p w14:paraId="656B355A">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（1）噪声治理的一般原则</w:t>
      </w:r>
    </w:p>
    <w:p w14:paraId="1FB7239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噪声治理的一般原则是按噪声的产生、传播和受体的三个重要环节划分，噪声治理主要有三大途径：</w:t>
      </w:r>
    </w:p>
    <w:p w14:paraId="2DF696E5">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①从噪声源着手，对其进行有效的治理，以降低源强，减轻对外环境的影响。如：采用低噪声设备、对其装设减振措施等。</w:t>
      </w:r>
    </w:p>
    <w:p w14:paraId="2025351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②从其传播途径着手，对其采取隔声、吸声、设置屏障、在厂区布置过程中将高噪</w:t>
      </w:r>
    </w:p>
    <w:p w14:paraId="2E6CB7F6">
      <w:pPr>
        <w:pStyle w:val="65"/>
        <w:widowControl w:val="0"/>
        <w:ind w:firstLine="0" w:firstLineChars="0"/>
        <w:jc w:val="both"/>
        <w:rPr>
          <w:rFonts w:eastAsia="宋体"/>
          <w:caps w:val="0"/>
          <w:smallCaps w:val="0"/>
          <w:color w:val="auto"/>
          <w:spacing w:val="0"/>
          <w:highlight w:val="none"/>
        </w:rPr>
      </w:pPr>
      <w:r>
        <w:rPr>
          <w:rFonts w:eastAsia="宋体"/>
          <w:caps w:val="0"/>
          <w:smallCaps w:val="0"/>
          <w:color w:val="auto"/>
          <w:spacing w:val="0"/>
          <w:highlight w:val="none"/>
        </w:rPr>
        <w:t>声设备尽可能设置在远离厂界和噪声敏感点的地方、以阻碍、降低其对外环境的传播，从而达到保护受体声学环境的目的。</w:t>
      </w:r>
    </w:p>
    <w:p w14:paraId="15DF037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③从受体出发，采取必要的防噪声措施，以减轻噪声对受体的危害。</w:t>
      </w:r>
    </w:p>
    <w:p w14:paraId="2AB38D8A">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（2）主要噪声治理措施</w:t>
      </w:r>
    </w:p>
    <w:p w14:paraId="7C073842">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根据噪声治理的一般原则，具体到生产装置区及各高噪声设备，拟采用如下治理措施：</w:t>
      </w:r>
    </w:p>
    <w:p w14:paraId="4A668007">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①降低声源噪声，在设备(包括泵类、风机等)选购时尽量采用低噪声设备；</w:t>
      </w:r>
    </w:p>
    <w:p w14:paraId="1634B7C0">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②提高机械设备装配精度，加强维护和检修，提高润滑度，减少机械振动和摩擦产</w:t>
      </w:r>
    </w:p>
    <w:p w14:paraId="51AE07B9">
      <w:pPr>
        <w:pStyle w:val="65"/>
        <w:widowControl w:val="0"/>
        <w:ind w:firstLine="0" w:firstLineChars="0"/>
        <w:jc w:val="both"/>
        <w:rPr>
          <w:rFonts w:eastAsia="宋体"/>
          <w:caps w:val="0"/>
          <w:smallCaps w:val="0"/>
          <w:color w:val="auto"/>
          <w:spacing w:val="0"/>
          <w:highlight w:val="none"/>
        </w:rPr>
      </w:pPr>
      <w:r>
        <w:rPr>
          <w:rFonts w:eastAsia="宋体"/>
          <w:caps w:val="0"/>
          <w:smallCaps w:val="0"/>
          <w:color w:val="auto"/>
          <w:spacing w:val="0"/>
          <w:highlight w:val="none"/>
        </w:rPr>
        <w:t>生的噪声，防止共振等。</w:t>
      </w:r>
    </w:p>
    <w:p w14:paraId="1D048360">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③对于空气动力性噪声，各种泵类等。将噪声设备尽量设置在厂区中央，采取隔声</w:t>
      </w:r>
    </w:p>
    <w:p w14:paraId="78A81843">
      <w:pPr>
        <w:pStyle w:val="65"/>
        <w:widowControl w:val="0"/>
        <w:ind w:firstLine="0" w:firstLineChars="0"/>
        <w:jc w:val="both"/>
        <w:rPr>
          <w:rFonts w:eastAsia="宋体"/>
          <w:caps w:val="0"/>
          <w:smallCaps w:val="0"/>
          <w:color w:val="auto"/>
          <w:spacing w:val="0"/>
          <w:highlight w:val="none"/>
        </w:rPr>
      </w:pPr>
      <w:r>
        <w:rPr>
          <w:rFonts w:eastAsia="宋体"/>
          <w:caps w:val="0"/>
          <w:smallCaps w:val="0"/>
          <w:color w:val="auto"/>
          <w:spacing w:val="0"/>
          <w:highlight w:val="none"/>
        </w:rPr>
        <w:t>等措施。</w:t>
      </w:r>
    </w:p>
    <w:p w14:paraId="5A50E2F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④对于机械性噪声：对生产设备等安装减振胶垫。</w:t>
      </w:r>
    </w:p>
    <w:p w14:paraId="4508CE2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⑤高噪声设备可置于单独隔声间内，并采取隔声、消声、减振、吸声等措施；</w:t>
      </w:r>
    </w:p>
    <w:p w14:paraId="41B6204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⑥对于噪声较大位置的操作工人实行个人防护，如配戴防护耳罩或设置隔声间等，尽量减少工人在高噪声环境中的工作时间。</w:t>
      </w:r>
    </w:p>
    <w:p w14:paraId="3642CF3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综上所述，采取上述处理方式对噪声进行控制后，项目产生的噪声可以实现达标排放，厂界噪声满足《工业企业厂界环境噪声排放标准》（GB12348-2008）3类噪声功能区噪声排放限值。</w:t>
      </w:r>
    </w:p>
    <w:p w14:paraId="31A50423">
      <w:pPr>
        <w:pStyle w:val="5"/>
        <w:widowControl w:val="0"/>
        <w:rPr>
          <w:rFonts w:eastAsia="宋体"/>
          <w:caps w:val="0"/>
          <w:smallCaps w:val="0"/>
          <w:color w:val="auto"/>
          <w:spacing w:val="0"/>
          <w:sz w:val="30"/>
          <w:szCs w:val="30"/>
          <w:highlight w:val="none"/>
        </w:rPr>
      </w:pPr>
      <w:bookmarkStart w:id="217" w:name="_Toc477951998"/>
      <w:bookmarkStart w:id="218" w:name="_Toc6200"/>
      <w:r>
        <w:rPr>
          <w:rFonts w:eastAsia="宋体"/>
          <w:caps w:val="0"/>
          <w:smallCaps w:val="0"/>
          <w:color w:val="auto"/>
          <w:spacing w:val="0"/>
          <w:sz w:val="30"/>
          <w:szCs w:val="30"/>
          <w:highlight w:val="none"/>
        </w:rPr>
        <w:t>6.2.4运营期固体废物污染防治措施</w:t>
      </w:r>
      <w:bookmarkEnd w:id="217"/>
      <w:bookmarkEnd w:id="218"/>
    </w:p>
    <w:p w14:paraId="5B312603">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6.2.4.1固体废物来源及其处置措施</w:t>
      </w:r>
    </w:p>
    <w:p w14:paraId="1DFF4D5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运营期固体废物主要为废靶材、废基板、废玻璃基板、废包装材料等一般固体废物，废真空罩、废石墨舟、破裂玻璃、废电池组件、废酸槽液、过滤收尘灰、废过滤器、废离子树脂、化学包装材料、废活性炭、废润滑油、废劳保手套、</w:t>
      </w:r>
      <w:r>
        <w:rPr>
          <w:rFonts w:eastAsia="宋体"/>
          <w:caps w:val="0"/>
          <w:smallCaps w:val="0"/>
          <w:color w:val="auto"/>
          <w:spacing w:val="0"/>
          <w:highlight w:val="none"/>
        </w:rPr>
        <w:t>废</w:t>
      </w:r>
      <w:r>
        <w:rPr>
          <w:rFonts w:hint="eastAsia" w:eastAsia="宋体"/>
          <w:caps w:val="0"/>
          <w:smallCaps w:val="0"/>
          <w:color w:val="auto"/>
          <w:spacing w:val="0"/>
          <w:highlight w:val="none"/>
        </w:rPr>
        <w:t>润滑</w:t>
      </w:r>
      <w:r>
        <w:rPr>
          <w:rFonts w:eastAsia="宋体"/>
          <w:caps w:val="0"/>
          <w:smallCaps w:val="0"/>
          <w:color w:val="auto"/>
          <w:spacing w:val="0"/>
          <w:highlight w:val="none"/>
        </w:rPr>
        <w:t>油</w:t>
      </w:r>
      <w:r>
        <w:rPr>
          <w:rFonts w:hint="eastAsia" w:eastAsia="宋体"/>
          <w:caps w:val="0"/>
          <w:smallCaps w:val="0"/>
          <w:color w:val="auto"/>
          <w:spacing w:val="0"/>
          <w:highlight w:val="none"/>
        </w:rPr>
        <w:t>油</w:t>
      </w:r>
      <w:r>
        <w:rPr>
          <w:rFonts w:eastAsia="宋体"/>
          <w:caps w:val="0"/>
          <w:smallCaps w:val="0"/>
          <w:color w:val="auto"/>
          <w:spacing w:val="0"/>
          <w:highlight w:val="none"/>
        </w:rPr>
        <w:t>桶、</w:t>
      </w:r>
      <w:r>
        <w:rPr>
          <w:rFonts w:hint="eastAsia" w:eastAsia="宋体"/>
          <w:caps w:val="0"/>
          <w:smallCaps w:val="0"/>
          <w:color w:val="auto"/>
          <w:spacing w:val="0"/>
          <w:highlight w:val="none"/>
        </w:rPr>
        <w:t>废胶桶、</w:t>
      </w:r>
      <w:r>
        <w:rPr>
          <w:rFonts w:eastAsia="宋体"/>
          <w:caps w:val="0"/>
          <w:smallCaps w:val="0"/>
          <w:color w:val="auto"/>
          <w:spacing w:val="0"/>
          <w:highlight w:val="none"/>
        </w:rPr>
        <w:t>实验室废液、污水处理设施产生的废过滤膜、废反渗透膜、实验废液、污泥、蒸发结晶盐等。</w:t>
      </w:r>
    </w:p>
    <w:p w14:paraId="5D82273C">
      <w:pPr>
        <w:widowControl w:val="0"/>
        <w:spacing w:before="2" w:line="345" w:lineRule="auto"/>
        <w:ind w:left="14" w:right="63" w:firstLine="478"/>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废靶材、废防溅射板、纯水制备废渗透膜定期由厂家进行回收，废玻璃基板、废背板玻璃、废包装材料定期外售回收单位。</w:t>
      </w:r>
    </w:p>
    <w:p w14:paraId="625C4B46">
      <w:pPr>
        <w:widowControl w:val="0"/>
        <w:spacing w:before="78" w:line="352" w:lineRule="auto"/>
        <w:ind w:right="81" w:firstLine="484"/>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项目生产过程产生的废真空罩、废石墨舟、破裂玻璃、废电池组件、废显影液、收尘灰、废活性炭、化学包装材料、废机油、</w:t>
      </w:r>
      <w:r>
        <w:rPr>
          <w:rFonts w:ascii="Times New Roman" w:hAnsi="Times New Roman" w:eastAsia="宋体" w:cs="Times New Roman"/>
          <w:caps w:val="0"/>
          <w:smallCaps w:val="0"/>
          <w:color w:val="auto"/>
          <w:spacing w:val="0"/>
          <w:highlight w:val="none"/>
        </w:rPr>
        <w:t>废</w:t>
      </w:r>
      <w:r>
        <w:rPr>
          <w:rFonts w:hint="eastAsia" w:eastAsia="宋体" w:cs="Times New Roman"/>
          <w:caps w:val="0"/>
          <w:smallCaps w:val="0"/>
          <w:color w:val="auto"/>
          <w:spacing w:val="0"/>
          <w:highlight w:val="none"/>
        </w:rPr>
        <w:t>润滑</w:t>
      </w:r>
      <w:r>
        <w:rPr>
          <w:rFonts w:ascii="Times New Roman" w:hAnsi="Times New Roman" w:eastAsia="宋体" w:cs="Times New Roman"/>
          <w:caps w:val="0"/>
          <w:smallCaps w:val="0"/>
          <w:color w:val="auto"/>
          <w:spacing w:val="0"/>
          <w:highlight w:val="none"/>
        </w:rPr>
        <w:t>油</w:t>
      </w:r>
      <w:r>
        <w:rPr>
          <w:rFonts w:hint="eastAsia" w:eastAsia="宋体" w:cs="Times New Roman"/>
          <w:caps w:val="0"/>
          <w:smallCaps w:val="0"/>
          <w:color w:val="auto"/>
          <w:spacing w:val="0"/>
          <w:highlight w:val="none"/>
        </w:rPr>
        <w:t>油</w:t>
      </w:r>
      <w:r>
        <w:rPr>
          <w:rFonts w:ascii="Times New Roman" w:hAnsi="Times New Roman" w:eastAsia="宋体" w:cs="Times New Roman"/>
          <w:caps w:val="0"/>
          <w:smallCaps w:val="0"/>
          <w:color w:val="auto"/>
          <w:spacing w:val="0"/>
          <w:highlight w:val="none"/>
        </w:rPr>
        <w:t>桶、</w:t>
      </w:r>
      <w:r>
        <w:rPr>
          <w:rFonts w:hint="eastAsia" w:eastAsia="宋体" w:cs="Times New Roman"/>
          <w:caps w:val="0"/>
          <w:smallCaps w:val="0"/>
          <w:color w:val="auto"/>
          <w:spacing w:val="0"/>
          <w:highlight w:val="none"/>
        </w:rPr>
        <w:t>废胶桶、</w:t>
      </w:r>
      <w:r>
        <w:rPr>
          <w:rFonts w:ascii="Times New Roman" w:hAnsi="Times New Roman" w:eastAsia="宋体" w:cs="Times New Roman"/>
          <w:caps w:val="0"/>
          <w:smallCaps w:val="0"/>
          <w:color w:val="auto"/>
          <w:spacing w:val="0"/>
          <w:szCs w:val="24"/>
          <w:highlight w:val="none"/>
        </w:rPr>
        <w:t>污水处理设施产生的废过滤膜、废反渗透膜、</w:t>
      </w:r>
      <w:r>
        <w:rPr>
          <w:rFonts w:ascii="Times New Roman" w:hAnsi="Times New Roman" w:eastAsia="宋体" w:cs="Times New Roman"/>
          <w:caps w:val="0"/>
          <w:smallCaps w:val="0"/>
          <w:color w:val="auto"/>
          <w:spacing w:val="0"/>
          <w:highlight w:val="none"/>
        </w:rPr>
        <w:t>废铅蓄电池、</w:t>
      </w:r>
      <w:r>
        <w:rPr>
          <w:rFonts w:ascii="Times New Roman" w:hAnsi="Times New Roman" w:eastAsia="宋体" w:cs="Times New Roman"/>
          <w:caps w:val="0"/>
          <w:smallCaps w:val="0"/>
          <w:color w:val="auto"/>
          <w:spacing w:val="0"/>
          <w:szCs w:val="24"/>
          <w:highlight w:val="none"/>
        </w:rPr>
        <w:t>污泥、蒸发结晶盐，以及实验室废液均属于危险废物，</w:t>
      </w:r>
      <w:r>
        <w:rPr>
          <w:rFonts w:ascii="Times New Roman" w:hAnsi="Times New Roman" w:eastAsia="宋体" w:cs="Times New Roman"/>
          <w:caps w:val="0"/>
          <w:smallCaps w:val="0"/>
          <w:color w:val="auto"/>
          <w:spacing w:val="0"/>
          <w:highlight w:val="none"/>
        </w:rPr>
        <w:t>废铅蓄电池换下后直接由厂家回收，不在厂区内暂存，其余危险废物均</w:t>
      </w:r>
      <w:r>
        <w:rPr>
          <w:rFonts w:ascii="Times New Roman" w:hAnsi="Times New Roman" w:eastAsia="宋体" w:cs="Times New Roman"/>
          <w:caps w:val="0"/>
          <w:smallCaps w:val="0"/>
          <w:color w:val="auto"/>
          <w:spacing w:val="0"/>
          <w:szCs w:val="24"/>
          <w:highlight w:val="none"/>
        </w:rPr>
        <w:t>于危险废物贮存库暂存后交</w:t>
      </w:r>
      <w:r>
        <w:rPr>
          <w:rFonts w:hint="eastAsia" w:ascii="Times New Roman" w:hAnsi="Times New Roman" w:eastAsia="宋体" w:cs="Times New Roman"/>
          <w:caps w:val="0"/>
          <w:smallCaps w:val="0"/>
          <w:color w:val="auto"/>
          <w:spacing w:val="0"/>
          <w:szCs w:val="24"/>
          <w:highlight w:val="none"/>
        </w:rPr>
        <w:t>由</w:t>
      </w:r>
      <w:r>
        <w:rPr>
          <w:rFonts w:ascii="Times New Roman" w:hAnsi="Times New Roman" w:eastAsia="宋体" w:cs="Times New Roman"/>
          <w:caps w:val="0"/>
          <w:smallCaps w:val="0"/>
          <w:color w:val="auto"/>
          <w:spacing w:val="0"/>
          <w:szCs w:val="24"/>
          <w:highlight w:val="none"/>
        </w:rPr>
        <w:t>有危废资质单位处理。</w:t>
      </w:r>
    </w:p>
    <w:p w14:paraId="5C1710B1">
      <w:pPr>
        <w:widowControl w:val="0"/>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建设单位采用如下固体废物处置方案见表6.2-</w:t>
      </w:r>
      <w:r>
        <w:rPr>
          <w:rFonts w:hint="eastAsia" w:ascii="Times New Roman" w:hAnsi="Times New Roman" w:eastAsia="宋体" w:cs="Times New Roman"/>
          <w:caps w:val="0"/>
          <w:smallCaps w:val="0"/>
          <w:color w:val="auto"/>
          <w:spacing w:val="0"/>
          <w:szCs w:val="24"/>
          <w:highlight w:val="none"/>
          <w:lang w:val="en-US" w:eastAsia="zh-CN"/>
        </w:rPr>
        <w:t>5</w:t>
      </w:r>
      <w:r>
        <w:rPr>
          <w:rFonts w:ascii="Times New Roman" w:hAnsi="Times New Roman" w:eastAsia="宋体" w:cs="Times New Roman"/>
          <w:caps w:val="0"/>
          <w:smallCaps w:val="0"/>
          <w:color w:val="auto"/>
          <w:spacing w:val="0"/>
          <w:szCs w:val="24"/>
          <w:highlight w:val="none"/>
        </w:rPr>
        <w:t>。</w:t>
      </w:r>
    </w:p>
    <w:p w14:paraId="24C36138">
      <w:pPr>
        <w:widowControl w:val="0"/>
        <w:jc w:val="center"/>
        <w:rPr>
          <w:rFonts w:ascii="Times New Roman" w:hAnsi="Times New Roman" w:eastAsia="宋体" w:cs="Times New Roman"/>
          <w:b/>
          <w:bCs/>
          <w:caps w:val="0"/>
          <w:smallCaps w:val="0"/>
          <w:color w:val="auto"/>
          <w:spacing w:val="0"/>
          <w:kern w:val="0"/>
          <w:szCs w:val="24"/>
          <w:highlight w:val="none"/>
          <w:lang w:bidi="ar"/>
        </w:rPr>
      </w:pPr>
      <w:r>
        <w:rPr>
          <w:rFonts w:ascii="Times New Roman" w:hAnsi="Times New Roman" w:eastAsia="宋体" w:cs="Times New Roman"/>
          <w:b/>
          <w:bCs/>
          <w:caps w:val="0"/>
          <w:smallCaps w:val="0"/>
          <w:color w:val="auto"/>
          <w:spacing w:val="0"/>
          <w:kern w:val="0"/>
          <w:szCs w:val="24"/>
          <w:highlight w:val="none"/>
          <w:lang w:bidi="ar"/>
        </w:rPr>
        <w:t>表6.2-</w:t>
      </w:r>
      <w:r>
        <w:rPr>
          <w:rFonts w:hint="eastAsia" w:ascii="Times New Roman" w:hAnsi="Times New Roman" w:eastAsia="宋体" w:cs="Times New Roman"/>
          <w:b/>
          <w:bCs/>
          <w:caps w:val="0"/>
          <w:smallCaps w:val="0"/>
          <w:color w:val="auto"/>
          <w:spacing w:val="0"/>
          <w:kern w:val="0"/>
          <w:szCs w:val="24"/>
          <w:highlight w:val="none"/>
          <w:lang w:val="en-US" w:eastAsia="zh-CN" w:bidi="ar"/>
        </w:rPr>
        <w:t>5</w:t>
      </w:r>
      <w:r>
        <w:rPr>
          <w:rFonts w:ascii="Times New Roman" w:hAnsi="Times New Roman" w:eastAsia="宋体" w:cs="Times New Roman"/>
          <w:b/>
          <w:bCs/>
          <w:caps w:val="0"/>
          <w:smallCaps w:val="0"/>
          <w:color w:val="auto"/>
          <w:spacing w:val="0"/>
          <w:kern w:val="0"/>
          <w:szCs w:val="24"/>
          <w:highlight w:val="none"/>
          <w:lang w:bidi="ar"/>
        </w:rPr>
        <w:t>固体废物处置及利用方案一览表</w:t>
      </w:r>
    </w:p>
    <w:tbl>
      <w:tblPr>
        <w:tblStyle w:val="176"/>
        <w:tblW w:w="4998"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14"/>
        <w:gridCol w:w="1277"/>
        <w:gridCol w:w="1122"/>
        <w:gridCol w:w="1500"/>
        <w:gridCol w:w="1105"/>
        <w:gridCol w:w="752"/>
        <w:gridCol w:w="1033"/>
        <w:gridCol w:w="1763"/>
      </w:tblGrid>
      <w:tr w14:paraId="1A991B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5" w:type="dxa"/>
            <w:tcBorders>
              <w:top w:val="single" w:color="auto" w:sz="8" w:space="0"/>
              <w:tl2br w:val="nil"/>
              <w:tr2bl w:val="nil"/>
            </w:tcBorders>
            <w:vAlign w:val="center"/>
          </w:tcPr>
          <w:p w14:paraId="7B413432">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工序</w:t>
            </w:r>
          </w:p>
        </w:tc>
        <w:tc>
          <w:tcPr>
            <w:tcW w:w="1277" w:type="dxa"/>
            <w:tcBorders>
              <w:top w:val="single" w:color="auto" w:sz="8" w:space="0"/>
              <w:tl2br w:val="nil"/>
              <w:tr2bl w:val="nil"/>
            </w:tcBorders>
            <w:vAlign w:val="center"/>
          </w:tcPr>
          <w:p w14:paraId="443EAC4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装置</w:t>
            </w:r>
          </w:p>
        </w:tc>
        <w:tc>
          <w:tcPr>
            <w:tcW w:w="1122" w:type="dxa"/>
            <w:tcBorders>
              <w:top w:val="single" w:color="auto" w:sz="8" w:space="0"/>
              <w:tl2br w:val="nil"/>
              <w:tr2bl w:val="nil"/>
            </w:tcBorders>
            <w:vAlign w:val="center"/>
          </w:tcPr>
          <w:p w14:paraId="15AA9C7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固体废物名称</w:t>
            </w:r>
          </w:p>
        </w:tc>
        <w:tc>
          <w:tcPr>
            <w:tcW w:w="1500" w:type="dxa"/>
            <w:tcBorders>
              <w:top w:val="single" w:color="auto" w:sz="8" w:space="0"/>
              <w:tl2br w:val="nil"/>
              <w:tr2bl w:val="nil"/>
            </w:tcBorders>
            <w:vAlign w:val="center"/>
          </w:tcPr>
          <w:p w14:paraId="23DCB38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主要成分</w:t>
            </w:r>
          </w:p>
        </w:tc>
        <w:tc>
          <w:tcPr>
            <w:tcW w:w="1105" w:type="dxa"/>
            <w:tcBorders>
              <w:top w:val="single" w:color="auto" w:sz="8" w:space="0"/>
              <w:tl2br w:val="nil"/>
              <w:tr2bl w:val="nil"/>
            </w:tcBorders>
            <w:vAlign w:val="center"/>
          </w:tcPr>
          <w:p w14:paraId="59CD86B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固废属性</w:t>
            </w:r>
          </w:p>
        </w:tc>
        <w:tc>
          <w:tcPr>
            <w:tcW w:w="752" w:type="dxa"/>
            <w:tcBorders>
              <w:top w:val="single" w:color="auto" w:sz="8" w:space="0"/>
              <w:tl2br w:val="nil"/>
              <w:tr2bl w:val="nil"/>
            </w:tcBorders>
            <w:vAlign w:val="center"/>
          </w:tcPr>
          <w:p w14:paraId="2BA6798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固废代码</w:t>
            </w:r>
          </w:p>
        </w:tc>
        <w:tc>
          <w:tcPr>
            <w:tcW w:w="1033" w:type="dxa"/>
            <w:tcBorders>
              <w:top w:val="single" w:color="auto" w:sz="8" w:space="0"/>
              <w:tl2br w:val="nil"/>
              <w:tr2bl w:val="nil"/>
            </w:tcBorders>
            <w:vAlign w:val="center"/>
          </w:tcPr>
          <w:p w14:paraId="006EC2E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产生量(t/a)</w:t>
            </w:r>
          </w:p>
        </w:tc>
        <w:tc>
          <w:tcPr>
            <w:tcW w:w="1763" w:type="dxa"/>
            <w:tcBorders>
              <w:top w:val="single" w:color="auto" w:sz="8" w:space="0"/>
              <w:tl2br w:val="nil"/>
              <w:tr2bl w:val="nil"/>
            </w:tcBorders>
            <w:vAlign w:val="center"/>
          </w:tcPr>
          <w:p w14:paraId="58C2605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处置措施</w:t>
            </w:r>
          </w:p>
        </w:tc>
      </w:tr>
      <w:tr w14:paraId="52A36F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restart"/>
            <w:tcBorders>
              <w:tl2br w:val="nil"/>
              <w:tr2bl w:val="nil"/>
            </w:tcBorders>
            <w:vAlign w:val="center"/>
          </w:tcPr>
          <w:p w14:paraId="7A2E6EF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生产工序</w:t>
            </w:r>
          </w:p>
        </w:tc>
        <w:tc>
          <w:tcPr>
            <w:tcW w:w="1277" w:type="dxa"/>
            <w:tcBorders>
              <w:tl2br w:val="nil"/>
              <w:tr2bl w:val="nil"/>
            </w:tcBorders>
            <w:vAlign w:val="center"/>
          </w:tcPr>
          <w:p w14:paraId="07D3764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玻璃基板检测</w:t>
            </w:r>
          </w:p>
        </w:tc>
        <w:tc>
          <w:tcPr>
            <w:tcW w:w="1122" w:type="dxa"/>
            <w:tcBorders>
              <w:tl2br w:val="nil"/>
              <w:tr2bl w:val="nil"/>
            </w:tcBorders>
            <w:vAlign w:val="center"/>
          </w:tcPr>
          <w:p w14:paraId="459A6CD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废玻璃基</w:t>
            </w:r>
          </w:p>
          <w:p w14:paraId="6123D20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板</w:t>
            </w:r>
          </w:p>
        </w:tc>
        <w:tc>
          <w:tcPr>
            <w:tcW w:w="1500" w:type="dxa"/>
            <w:tcBorders>
              <w:tl2br w:val="nil"/>
              <w:tr2bl w:val="nil"/>
            </w:tcBorders>
            <w:vAlign w:val="center"/>
          </w:tcPr>
          <w:p w14:paraId="0925D00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玻璃</w:t>
            </w:r>
          </w:p>
        </w:tc>
        <w:tc>
          <w:tcPr>
            <w:tcW w:w="1105" w:type="dxa"/>
            <w:tcBorders>
              <w:tl2br w:val="nil"/>
              <w:tr2bl w:val="nil"/>
            </w:tcBorders>
            <w:vAlign w:val="center"/>
          </w:tcPr>
          <w:p w14:paraId="0136192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752C64E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w:t>
            </w:r>
          </w:p>
        </w:tc>
        <w:tc>
          <w:tcPr>
            <w:tcW w:w="1033" w:type="dxa"/>
            <w:tcBorders>
              <w:tl2br w:val="nil"/>
              <w:tr2bl w:val="nil"/>
            </w:tcBorders>
            <w:vAlign w:val="center"/>
          </w:tcPr>
          <w:p w14:paraId="72D2AC1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213.19</w:t>
            </w:r>
          </w:p>
        </w:tc>
        <w:tc>
          <w:tcPr>
            <w:tcW w:w="1763" w:type="dxa"/>
            <w:tcBorders>
              <w:tl2br w:val="nil"/>
              <w:tr2bl w:val="nil"/>
            </w:tcBorders>
            <w:vAlign w:val="center"/>
          </w:tcPr>
          <w:p w14:paraId="13AEE08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外售回收单位</w:t>
            </w:r>
          </w:p>
        </w:tc>
      </w:tr>
      <w:tr w14:paraId="22CF4D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771974C5">
            <w:pPr>
              <w:pStyle w:val="195"/>
              <w:widowControl w:val="0"/>
              <w:jc w:val="center"/>
              <w:rPr>
                <w:rFonts w:ascii="Times New Roman" w:hAnsi="Times New Roman" w:cs="Times New Roman"/>
                <w:caps w:val="0"/>
                <w:smallCaps w:val="0"/>
                <w:color w:val="auto"/>
                <w:spacing w:val="0"/>
                <w:highlight w:val="none"/>
              </w:rPr>
            </w:pPr>
          </w:p>
        </w:tc>
        <w:tc>
          <w:tcPr>
            <w:tcW w:w="1277" w:type="dxa"/>
            <w:tcBorders>
              <w:tl2br w:val="nil"/>
              <w:tr2bl w:val="nil"/>
            </w:tcBorders>
            <w:vAlign w:val="center"/>
          </w:tcPr>
          <w:p w14:paraId="7570E35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ZnTe膜层溅射和背电极镀膜</w:t>
            </w:r>
          </w:p>
        </w:tc>
        <w:tc>
          <w:tcPr>
            <w:tcW w:w="1122" w:type="dxa"/>
            <w:tcBorders>
              <w:tl2br w:val="nil"/>
              <w:tr2bl w:val="nil"/>
            </w:tcBorders>
            <w:vAlign w:val="center"/>
          </w:tcPr>
          <w:p w14:paraId="6A65C0C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废靶材</w:t>
            </w:r>
          </w:p>
        </w:tc>
        <w:tc>
          <w:tcPr>
            <w:tcW w:w="1500" w:type="dxa"/>
            <w:tcBorders>
              <w:tl2br w:val="nil"/>
              <w:tr2bl w:val="nil"/>
            </w:tcBorders>
            <w:vAlign w:val="center"/>
          </w:tcPr>
          <w:p w14:paraId="367E5E8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废ZnTe</w:t>
            </w:r>
            <w:r>
              <w:rPr>
                <w:rFonts w:ascii="Times New Roman" w:hAnsi="Times New Roman" w:cs="Times New Roman"/>
                <w:caps w:val="0"/>
                <w:smallCaps w:val="0"/>
                <w:color w:val="auto"/>
                <w:spacing w:val="0"/>
                <w:highlight w:val="none"/>
                <w:lang w:eastAsia="zh-CN"/>
              </w:rPr>
              <w:t>、</w:t>
            </w:r>
            <w:r>
              <w:rPr>
                <w:rFonts w:ascii="Times New Roman" w:hAnsi="Times New Roman" w:cs="Times New Roman"/>
                <w:caps w:val="0"/>
                <w:smallCaps w:val="0"/>
                <w:color w:val="auto"/>
                <w:spacing w:val="0"/>
                <w:highlight w:val="none"/>
              </w:rPr>
              <w:t>Mo</w:t>
            </w:r>
            <w:r>
              <w:rPr>
                <w:rFonts w:ascii="Times New Roman" w:hAnsi="Times New Roman" w:cs="Times New Roman"/>
                <w:caps w:val="0"/>
                <w:smallCaps w:val="0"/>
                <w:color w:val="auto"/>
                <w:spacing w:val="0"/>
                <w:highlight w:val="none"/>
                <w:lang w:eastAsia="zh-CN"/>
              </w:rPr>
              <w:t>、Al、Cr</w:t>
            </w:r>
            <w:r>
              <w:rPr>
                <w:rFonts w:ascii="Times New Roman" w:hAnsi="Times New Roman" w:cs="Times New Roman"/>
                <w:caps w:val="0"/>
                <w:smallCaps w:val="0"/>
                <w:color w:val="auto"/>
                <w:spacing w:val="0"/>
                <w:highlight w:val="none"/>
              </w:rPr>
              <w:t>靶材</w:t>
            </w:r>
          </w:p>
        </w:tc>
        <w:tc>
          <w:tcPr>
            <w:tcW w:w="1105" w:type="dxa"/>
            <w:tcBorders>
              <w:tl2br w:val="nil"/>
              <w:tr2bl w:val="nil"/>
            </w:tcBorders>
            <w:vAlign w:val="center"/>
          </w:tcPr>
          <w:p w14:paraId="0BB500D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59738056">
            <w:pPr>
              <w:widowControl w:val="0"/>
              <w:jc w:val="center"/>
              <w:rPr>
                <w:rFonts w:ascii="Times New Roman" w:hAnsi="Times New Roman" w:eastAsia="宋体" w:cs="Times New Roman"/>
                <w:caps w:val="0"/>
                <w:smallCaps w:val="0"/>
                <w:color w:val="auto"/>
                <w:spacing w:val="0"/>
                <w:position w:val="1"/>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w:t>
            </w:r>
          </w:p>
        </w:tc>
        <w:tc>
          <w:tcPr>
            <w:tcW w:w="1033" w:type="dxa"/>
            <w:tcBorders>
              <w:tl2br w:val="nil"/>
              <w:tr2bl w:val="nil"/>
            </w:tcBorders>
            <w:vAlign w:val="center"/>
          </w:tcPr>
          <w:p w14:paraId="62F18D27">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0.50</w:t>
            </w:r>
          </w:p>
        </w:tc>
        <w:tc>
          <w:tcPr>
            <w:tcW w:w="1763" w:type="dxa"/>
            <w:tcBorders>
              <w:tl2br w:val="nil"/>
              <w:tr2bl w:val="nil"/>
            </w:tcBorders>
            <w:vAlign w:val="center"/>
          </w:tcPr>
          <w:p w14:paraId="36E2948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52D727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347F6815">
            <w:pPr>
              <w:pStyle w:val="195"/>
              <w:widowControl w:val="0"/>
              <w:jc w:val="center"/>
              <w:rPr>
                <w:rFonts w:ascii="Times New Roman" w:hAnsi="Times New Roman" w:cs="Times New Roman"/>
                <w:caps w:val="0"/>
                <w:smallCaps w:val="0"/>
                <w:color w:val="auto"/>
                <w:spacing w:val="0"/>
                <w:highlight w:val="none"/>
              </w:rPr>
            </w:pPr>
          </w:p>
        </w:tc>
        <w:tc>
          <w:tcPr>
            <w:tcW w:w="1277" w:type="dxa"/>
            <w:tcBorders>
              <w:tl2br w:val="nil"/>
              <w:tr2bl w:val="nil"/>
            </w:tcBorders>
            <w:vAlign w:val="center"/>
          </w:tcPr>
          <w:p w14:paraId="79DCB225">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ZnTe膜层溅射和背电极镀膜</w:t>
            </w:r>
          </w:p>
        </w:tc>
        <w:tc>
          <w:tcPr>
            <w:tcW w:w="1122" w:type="dxa"/>
            <w:tcBorders>
              <w:tl2br w:val="nil"/>
              <w:tr2bl w:val="nil"/>
            </w:tcBorders>
            <w:vAlign w:val="center"/>
          </w:tcPr>
          <w:p w14:paraId="00E16DD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废防溅射板</w:t>
            </w:r>
          </w:p>
        </w:tc>
        <w:tc>
          <w:tcPr>
            <w:tcW w:w="1500" w:type="dxa"/>
            <w:tcBorders>
              <w:tl2br w:val="nil"/>
              <w:tr2bl w:val="nil"/>
            </w:tcBorders>
            <w:vAlign w:val="center"/>
          </w:tcPr>
          <w:p w14:paraId="528BE2E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含</w:t>
            </w:r>
            <w:r>
              <w:rPr>
                <w:rFonts w:ascii="Times New Roman" w:hAnsi="Times New Roman" w:cs="Times New Roman"/>
                <w:caps w:val="0"/>
                <w:smallCaps w:val="0"/>
                <w:color w:val="auto"/>
                <w:spacing w:val="0"/>
                <w:highlight w:val="none"/>
              </w:rPr>
              <w:t>ZnTe</w:t>
            </w:r>
            <w:r>
              <w:rPr>
                <w:rFonts w:ascii="Times New Roman" w:hAnsi="Times New Roman" w:cs="Times New Roman"/>
                <w:caps w:val="0"/>
                <w:smallCaps w:val="0"/>
                <w:color w:val="auto"/>
                <w:spacing w:val="0"/>
                <w:highlight w:val="none"/>
                <w:lang w:eastAsia="zh-CN"/>
              </w:rPr>
              <w:t>、</w:t>
            </w:r>
            <w:r>
              <w:rPr>
                <w:rFonts w:ascii="Times New Roman" w:hAnsi="Times New Roman" w:cs="Times New Roman"/>
                <w:caps w:val="0"/>
                <w:smallCaps w:val="0"/>
                <w:color w:val="auto"/>
                <w:spacing w:val="0"/>
                <w:highlight w:val="none"/>
              </w:rPr>
              <w:t>Mo</w:t>
            </w:r>
            <w:r>
              <w:rPr>
                <w:rFonts w:ascii="Times New Roman" w:hAnsi="Times New Roman" w:cs="Times New Roman"/>
                <w:caps w:val="0"/>
                <w:smallCaps w:val="0"/>
                <w:color w:val="auto"/>
                <w:spacing w:val="0"/>
                <w:highlight w:val="none"/>
                <w:lang w:eastAsia="zh-CN"/>
              </w:rPr>
              <w:t>、Al、Cr</w:t>
            </w:r>
            <w:r>
              <w:rPr>
                <w:rFonts w:ascii="Times New Roman" w:hAnsi="Times New Roman" w:cs="Times New Roman"/>
                <w:caps w:val="0"/>
                <w:smallCaps w:val="0"/>
                <w:color w:val="auto"/>
                <w:spacing w:val="0"/>
                <w:highlight w:val="none"/>
              </w:rPr>
              <w:t>靶材</w:t>
            </w:r>
          </w:p>
        </w:tc>
        <w:tc>
          <w:tcPr>
            <w:tcW w:w="1105" w:type="dxa"/>
            <w:tcBorders>
              <w:tl2br w:val="nil"/>
              <w:tr2bl w:val="nil"/>
            </w:tcBorders>
            <w:vAlign w:val="center"/>
          </w:tcPr>
          <w:p w14:paraId="3E1705D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2EF156C7">
            <w:pPr>
              <w:widowControl w:val="0"/>
              <w:jc w:val="center"/>
              <w:rPr>
                <w:rFonts w:ascii="Times New Roman" w:hAnsi="Times New Roman" w:eastAsia="宋体" w:cs="Times New Roman"/>
                <w:caps w:val="0"/>
                <w:smallCaps w:val="0"/>
                <w:color w:val="auto"/>
                <w:spacing w:val="0"/>
                <w:position w:val="1"/>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w:t>
            </w:r>
          </w:p>
        </w:tc>
        <w:tc>
          <w:tcPr>
            <w:tcW w:w="1033" w:type="dxa"/>
            <w:tcBorders>
              <w:tl2br w:val="nil"/>
              <w:tr2bl w:val="nil"/>
            </w:tcBorders>
            <w:vAlign w:val="center"/>
          </w:tcPr>
          <w:p w14:paraId="3547BBA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3" w:type="dxa"/>
            <w:tcBorders>
              <w:tl2br w:val="nil"/>
              <w:tr2bl w:val="nil"/>
            </w:tcBorders>
            <w:vAlign w:val="center"/>
          </w:tcPr>
          <w:p w14:paraId="09B904A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1B9011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6C749A6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restart"/>
            <w:tcBorders>
              <w:tl2br w:val="nil"/>
              <w:tr2bl w:val="nil"/>
            </w:tcBorders>
            <w:vAlign w:val="center"/>
          </w:tcPr>
          <w:p w14:paraId="0770426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CdS/CdTe镀膜</w:t>
            </w:r>
          </w:p>
        </w:tc>
        <w:tc>
          <w:tcPr>
            <w:tcW w:w="1122" w:type="dxa"/>
            <w:tcBorders>
              <w:tl2br w:val="nil"/>
              <w:tr2bl w:val="nil"/>
            </w:tcBorders>
            <w:vAlign w:val="center"/>
          </w:tcPr>
          <w:p w14:paraId="0516C82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废真空罩</w:t>
            </w:r>
          </w:p>
        </w:tc>
        <w:tc>
          <w:tcPr>
            <w:tcW w:w="1500" w:type="dxa"/>
            <w:tcBorders>
              <w:tl2br w:val="nil"/>
              <w:tr2bl w:val="nil"/>
            </w:tcBorders>
            <w:vAlign w:val="center"/>
          </w:tcPr>
          <w:p w14:paraId="563C6396">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含镉真空罩</w:t>
            </w:r>
          </w:p>
        </w:tc>
        <w:tc>
          <w:tcPr>
            <w:tcW w:w="1105" w:type="dxa"/>
            <w:tcBorders>
              <w:tl2br w:val="nil"/>
              <w:tr2bl w:val="nil"/>
            </w:tcBorders>
            <w:vAlign w:val="center"/>
          </w:tcPr>
          <w:p w14:paraId="3A78ED2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223B471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4D69A06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602EB1E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3" w:type="dxa"/>
            <w:tcBorders>
              <w:tl2br w:val="nil"/>
              <w:tr2bl w:val="nil"/>
            </w:tcBorders>
            <w:vAlign w:val="center"/>
          </w:tcPr>
          <w:p w14:paraId="59140B1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5E1F8A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5D411AA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continue"/>
            <w:tcBorders>
              <w:tl2br w:val="nil"/>
              <w:tr2bl w:val="nil"/>
            </w:tcBorders>
            <w:vAlign w:val="center"/>
          </w:tcPr>
          <w:p w14:paraId="6CF0D9CF">
            <w:pPr>
              <w:widowControl w:val="0"/>
              <w:jc w:val="center"/>
              <w:rPr>
                <w:rFonts w:ascii="Times New Roman" w:hAnsi="Times New Roman" w:eastAsia="宋体" w:cs="Times New Roman"/>
                <w:caps w:val="0"/>
                <w:smallCaps w:val="0"/>
                <w:color w:val="auto"/>
                <w:spacing w:val="0"/>
                <w:sz w:val="21"/>
                <w:highlight w:val="none"/>
                <w:lang w:eastAsia="en-US"/>
              </w:rPr>
            </w:pPr>
          </w:p>
        </w:tc>
        <w:tc>
          <w:tcPr>
            <w:tcW w:w="1122" w:type="dxa"/>
            <w:tcBorders>
              <w:tl2br w:val="nil"/>
              <w:tr2bl w:val="nil"/>
            </w:tcBorders>
            <w:vAlign w:val="center"/>
          </w:tcPr>
          <w:p w14:paraId="4DDAC3A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废石墨舟</w:t>
            </w:r>
          </w:p>
        </w:tc>
        <w:tc>
          <w:tcPr>
            <w:tcW w:w="1500" w:type="dxa"/>
            <w:tcBorders>
              <w:tl2br w:val="nil"/>
              <w:tr2bl w:val="nil"/>
            </w:tcBorders>
            <w:vAlign w:val="center"/>
          </w:tcPr>
          <w:p w14:paraId="4383488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含镉石墨舟</w:t>
            </w:r>
          </w:p>
        </w:tc>
        <w:tc>
          <w:tcPr>
            <w:tcW w:w="1105" w:type="dxa"/>
            <w:tcBorders>
              <w:tl2br w:val="nil"/>
              <w:tr2bl w:val="nil"/>
            </w:tcBorders>
            <w:vAlign w:val="center"/>
          </w:tcPr>
          <w:p w14:paraId="77D7ECF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2D9A664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55F29D7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6F5E82A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0.05</w:t>
            </w:r>
          </w:p>
        </w:tc>
        <w:tc>
          <w:tcPr>
            <w:tcW w:w="1763" w:type="dxa"/>
            <w:tcBorders>
              <w:tl2br w:val="nil"/>
              <w:tr2bl w:val="nil"/>
            </w:tcBorders>
            <w:vAlign w:val="center"/>
          </w:tcPr>
          <w:p w14:paraId="1C940DC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39DD50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515" w:type="dxa"/>
            <w:vMerge w:val="continue"/>
            <w:tcBorders>
              <w:tl2br w:val="nil"/>
              <w:tr2bl w:val="nil"/>
            </w:tcBorders>
            <w:vAlign w:val="center"/>
          </w:tcPr>
          <w:p w14:paraId="496FC42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tcBorders>
              <w:tl2br w:val="nil"/>
              <w:tr2bl w:val="nil"/>
            </w:tcBorders>
            <w:vAlign w:val="center"/>
          </w:tcPr>
          <w:p w14:paraId="37B29CF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电池组件检测</w:t>
            </w:r>
          </w:p>
        </w:tc>
        <w:tc>
          <w:tcPr>
            <w:tcW w:w="1122" w:type="dxa"/>
            <w:tcBorders>
              <w:tl2br w:val="nil"/>
              <w:tr2bl w:val="nil"/>
            </w:tcBorders>
            <w:vAlign w:val="center"/>
          </w:tcPr>
          <w:p w14:paraId="6AC9AB4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废电池组件、破裂玻璃</w:t>
            </w:r>
          </w:p>
        </w:tc>
        <w:tc>
          <w:tcPr>
            <w:tcW w:w="1500" w:type="dxa"/>
            <w:tcBorders>
              <w:tl2br w:val="nil"/>
              <w:tr2bl w:val="nil"/>
            </w:tcBorders>
            <w:vAlign w:val="center"/>
          </w:tcPr>
          <w:p w14:paraId="3C2FA76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含镉电池组件、破裂玻璃</w:t>
            </w:r>
          </w:p>
        </w:tc>
        <w:tc>
          <w:tcPr>
            <w:tcW w:w="1105" w:type="dxa"/>
            <w:tcBorders>
              <w:tl2br w:val="nil"/>
              <w:tr2bl w:val="nil"/>
            </w:tcBorders>
            <w:vAlign w:val="center"/>
          </w:tcPr>
          <w:p w14:paraId="706C759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2045498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02E6200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306155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61.26</w:t>
            </w:r>
          </w:p>
        </w:tc>
        <w:tc>
          <w:tcPr>
            <w:tcW w:w="1763" w:type="dxa"/>
            <w:tcBorders>
              <w:tl2br w:val="nil"/>
              <w:tr2bl w:val="nil"/>
            </w:tcBorders>
            <w:vAlign w:val="center"/>
          </w:tcPr>
          <w:p w14:paraId="3CC5C0E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7B31E2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2FA8EC1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tcBorders>
              <w:tl2br w:val="nil"/>
              <w:tr2bl w:val="nil"/>
            </w:tcBorders>
            <w:vAlign w:val="center"/>
          </w:tcPr>
          <w:p w14:paraId="1FB948E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光刻胶涂覆曝光固化</w:t>
            </w:r>
          </w:p>
        </w:tc>
        <w:tc>
          <w:tcPr>
            <w:tcW w:w="1122" w:type="dxa"/>
            <w:tcBorders>
              <w:tl2br w:val="nil"/>
              <w:tr2bl w:val="nil"/>
            </w:tcBorders>
            <w:vAlign w:val="center"/>
          </w:tcPr>
          <w:p w14:paraId="7C127DD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废UV</w:t>
            </w:r>
          </w:p>
          <w:p w14:paraId="2C7FA3A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灯管</w:t>
            </w:r>
          </w:p>
        </w:tc>
        <w:tc>
          <w:tcPr>
            <w:tcW w:w="1500" w:type="dxa"/>
            <w:tcBorders>
              <w:tl2br w:val="nil"/>
              <w:tr2bl w:val="nil"/>
            </w:tcBorders>
            <w:vAlign w:val="center"/>
          </w:tcPr>
          <w:p w14:paraId="4ABAD8D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UV灯管（含汞）</w:t>
            </w:r>
          </w:p>
        </w:tc>
        <w:tc>
          <w:tcPr>
            <w:tcW w:w="1105" w:type="dxa"/>
            <w:tcBorders>
              <w:tl2br w:val="nil"/>
              <w:tr2bl w:val="nil"/>
            </w:tcBorders>
            <w:vAlign w:val="center"/>
          </w:tcPr>
          <w:p w14:paraId="7F23760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危险废物HW2</w:t>
            </w:r>
            <w:r>
              <w:rPr>
                <w:rFonts w:ascii="Times New Roman" w:hAnsi="Times New Roman" w:cs="Times New Roman"/>
                <w:caps w:val="0"/>
                <w:smallCaps w:val="0"/>
                <w:color w:val="auto"/>
                <w:spacing w:val="0"/>
                <w:highlight w:val="none"/>
                <w:lang w:eastAsia="zh-CN"/>
              </w:rPr>
              <w:t>9</w:t>
            </w:r>
          </w:p>
        </w:tc>
        <w:tc>
          <w:tcPr>
            <w:tcW w:w="752" w:type="dxa"/>
            <w:tcBorders>
              <w:tl2br w:val="nil"/>
              <w:tr2bl w:val="nil"/>
            </w:tcBorders>
            <w:vAlign w:val="center"/>
          </w:tcPr>
          <w:p w14:paraId="0B816BE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6A883BB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23-29</w:t>
            </w:r>
          </w:p>
        </w:tc>
        <w:tc>
          <w:tcPr>
            <w:tcW w:w="1033" w:type="dxa"/>
            <w:tcBorders>
              <w:tl2br w:val="nil"/>
              <w:tr2bl w:val="nil"/>
            </w:tcBorders>
            <w:vAlign w:val="center"/>
          </w:tcPr>
          <w:p w14:paraId="624C472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0.01（3a）</w:t>
            </w:r>
          </w:p>
        </w:tc>
        <w:tc>
          <w:tcPr>
            <w:tcW w:w="1763" w:type="dxa"/>
            <w:tcBorders>
              <w:tl2br w:val="nil"/>
              <w:tr2bl w:val="nil"/>
            </w:tcBorders>
            <w:vAlign w:val="center"/>
          </w:tcPr>
          <w:p w14:paraId="76ECB65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6F75DA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29963B7D">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tcBorders>
              <w:tl2br w:val="nil"/>
              <w:tr2bl w:val="nil"/>
            </w:tcBorders>
            <w:vAlign w:val="center"/>
          </w:tcPr>
          <w:p w14:paraId="223B348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产品包装</w:t>
            </w:r>
          </w:p>
        </w:tc>
        <w:tc>
          <w:tcPr>
            <w:tcW w:w="1122" w:type="dxa"/>
            <w:tcBorders>
              <w:tl2br w:val="nil"/>
              <w:tr2bl w:val="nil"/>
            </w:tcBorders>
            <w:vAlign w:val="center"/>
          </w:tcPr>
          <w:p w14:paraId="0426B5F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废弃包装物</w:t>
            </w:r>
          </w:p>
        </w:tc>
        <w:tc>
          <w:tcPr>
            <w:tcW w:w="1500" w:type="dxa"/>
            <w:tcBorders>
              <w:tl2br w:val="nil"/>
              <w:tr2bl w:val="nil"/>
            </w:tcBorders>
            <w:vAlign w:val="center"/>
          </w:tcPr>
          <w:p w14:paraId="1B417AD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包装物</w:t>
            </w:r>
          </w:p>
        </w:tc>
        <w:tc>
          <w:tcPr>
            <w:tcW w:w="1105" w:type="dxa"/>
            <w:tcBorders>
              <w:tl2br w:val="nil"/>
              <w:tr2bl w:val="nil"/>
            </w:tcBorders>
            <w:vAlign w:val="center"/>
          </w:tcPr>
          <w:p w14:paraId="2C9C956A">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3D0ECEC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w:t>
            </w:r>
          </w:p>
        </w:tc>
        <w:tc>
          <w:tcPr>
            <w:tcW w:w="1033" w:type="dxa"/>
            <w:tcBorders>
              <w:tl2br w:val="nil"/>
              <w:tr2bl w:val="nil"/>
            </w:tcBorders>
            <w:vAlign w:val="center"/>
          </w:tcPr>
          <w:p w14:paraId="615ED42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w:t>
            </w:r>
          </w:p>
        </w:tc>
        <w:tc>
          <w:tcPr>
            <w:tcW w:w="1763" w:type="dxa"/>
            <w:tcBorders>
              <w:tl2br w:val="nil"/>
              <w:tr2bl w:val="nil"/>
            </w:tcBorders>
            <w:vAlign w:val="center"/>
          </w:tcPr>
          <w:p w14:paraId="0536182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集中收集外售</w:t>
            </w:r>
          </w:p>
        </w:tc>
      </w:tr>
      <w:tr w14:paraId="3160DB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1B50D8E8">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restart"/>
            <w:tcBorders>
              <w:tl2br w:val="nil"/>
              <w:tr2bl w:val="nil"/>
            </w:tcBorders>
            <w:vAlign w:val="center"/>
          </w:tcPr>
          <w:p w14:paraId="04D3475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纯水制备</w:t>
            </w:r>
          </w:p>
        </w:tc>
        <w:tc>
          <w:tcPr>
            <w:tcW w:w="1122" w:type="dxa"/>
            <w:tcBorders>
              <w:tl2br w:val="nil"/>
              <w:tr2bl w:val="nil"/>
            </w:tcBorders>
            <w:vAlign w:val="center"/>
          </w:tcPr>
          <w:p w14:paraId="4A45D3C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废渗透膜</w:t>
            </w:r>
          </w:p>
        </w:tc>
        <w:tc>
          <w:tcPr>
            <w:tcW w:w="1500" w:type="dxa"/>
            <w:tcBorders>
              <w:tl2br w:val="nil"/>
              <w:tr2bl w:val="nil"/>
            </w:tcBorders>
            <w:vAlign w:val="center"/>
          </w:tcPr>
          <w:p w14:paraId="04A46DC0">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渗透膜</w:t>
            </w:r>
          </w:p>
        </w:tc>
        <w:tc>
          <w:tcPr>
            <w:tcW w:w="1105" w:type="dxa"/>
            <w:tcBorders>
              <w:tl2br w:val="nil"/>
              <w:tr2bl w:val="nil"/>
            </w:tcBorders>
            <w:vAlign w:val="center"/>
          </w:tcPr>
          <w:p w14:paraId="768C244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一般固废</w:t>
            </w:r>
          </w:p>
        </w:tc>
        <w:tc>
          <w:tcPr>
            <w:tcW w:w="752" w:type="dxa"/>
            <w:tcBorders>
              <w:tl2br w:val="nil"/>
              <w:tr2bl w:val="nil"/>
            </w:tcBorders>
            <w:vAlign w:val="center"/>
          </w:tcPr>
          <w:p w14:paraId="76EAE1D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w:t>
            </w:r>
          </w:p>
        </w:tc>
        <w:tc>
          <w:tcPr>
            <w:tcW w:w="1033" w:type="dxa"/>
            <w:tcBorders>
              <w:tl2br w:val="nil"/>
              <w:tr2bl w:val="nil"/>
            </w:tcBorders>
            <w:vAlign w:val="center"/>
          </w:tcPr>
          <w:p w14:paraId="303CFEC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w:t>
            </w:r>
          </w:p>
        </w:tc>
        <w:tc>
          <w:tcPr>
            <w:tcW w:w="1763" w:type="dxa"/>
            <w:tcBorders>
              <w:tl2br w:val="nil"/>
              <w:tr2bl w:val="nil"/>
            </w:tcBorders>
            <w:vAlign w:val="center"/>
          </w:tcPr>
          <w:p w14:paraId="6BBCDAF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r>
      <w:tr w14:paraId="17C817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15" w:type="dxa"/>
            <w:vMerge w:val="continue"/>
            <w:tcBorders>
              <w:tl2br w:val="nil"/>
              <w:tr2bl w:val="nil"/>
            </w:tcBorders>
            <w:vAlign w:val="center"/>
          </w:tcPr>
          <w:p w14:paraId="33254B25">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continue"/>
            <w:tcBorders>
              <w:tl2br w:val="nil"/>
              <w:tr2bl w:val="nil"/>
            </w:tcBorders>
            <w:vAlign w:val="center"/>
          </w:tcPr>
          <w:p w14:paraId="2C4B2B2B">
            <w:pPr>
              <w:pStyle w:val="195"/>
              <w:widowControl w:val="0"/>
              <w:jc w:val="center"/>
              <w:rPr>
                <w:rFonts w:ascii="Times New Roman" w:hAnsi="Times New Roman" w:cs="Times New Roman"/>
                <w:caps w:val="0"/>
                <w:smallCaps w:val="0"/>
                <w:color w:val="auto"/>
                <w:spacing w:val="0"/>
                <w:highlight w:val="none"/>
              </w:rPr>
            </w:pPr>
          </w:p>
        </w:tc>
        <w:tc>
          <w:tcPr>
            <w:tcW w:w="1122" w:type="dxa"/>
            <w:tcBorders>
              <w:tl2br w:val="nil"/>
              <w:tr2bl w:val="nil"/>
            </w:tcBorders>
            <w:vAlign w:val="center"/>
          </w:tcPr>
          <w:p w14:paraId="5DDB005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废离子交换树脂</w:t>
            </w:r>
          </w:p>
        </w:tc>
        <w:tc>
          <w:tcPr>
            <w:tcW w:w="1500" w:type="dxa"/>
            <w:tcBorders>
              <w:tl2br w:val="nil"/>
              <w:tr2bl w:val="nil"/>
            </w:tcBorders>
            <w:vAlign w:val="center"/>
          </w:tcPr>
          <w:p w14:paraId="55C75E9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离子交换树脂</w:t>
            </w:r>
          </w:p>
        </w:tc>
        <w:tc>
          <w:tcPr>
            <w:tcW w:w="1105" w:type="dxa"/>
            <w:tcBorders>
              <w:tl2br w:val="nil"/>
              <w:tr2bl w:val="nil"/>
            </w:tcBorders>
            <w:vAlign w:val="center"/>
          </w:tcPr>
          <w:p w14:paraId="4DCF7DB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一般固废</w:t>
            </w:r>
          </w:p>
        </w:tc>
        <w:tc>
          <w:tcPr>
            <w:tcW w:w="752" w:type="dxa"/>
            <w:tcBorders>
              <w:tl2br w:val="nil"/>
              <w:tr2bl w:val="nil"/>
            </w:tcBorders>
            <w:vAlign w:val="center"/>
          </w:tcPr>
          <w:p w14:paraId="47606E2B">
            <w:pPr>
              <w:widowControl w:val="0"/>
              <w:jc w:val="center"/>
              <w:rPr>
                <w:rFonts w:ascii="Times New Roman" w:hAnsi="Times New Roman" w:eastAsia="宋体" w:cs="Times New Roman"/>
                <w:caps w:val="0"/>
                <w:smallCaps w:val="0"/>
                <w:color w:val="auto"/>
                <w:spacing w:val="0"/>
                <w:position w:val="1"/>
                <w:sz w:val="20"/>
                <w:szCs w:val="20"/>
                <w:highlight w:val="none"/>
                <w:lang w:eastAsia="en-US"/>
              </w:rPr>
            </w:pPr>
            <w:r>
              <w:rPr>
                <w:rFonts w:ascii="Times New Roman" w:hAnsi="Times New Roman" w:eastAsia="宋体" w:cs="Times New Roman"/>
                <w:caps w:val="0"/>
                <w:smallCaps w:val="0"/>
                <w:color w:val="auto"/>
                <w:spacing w:val="0"/>
                <w:position w:val="1"/>
                <w:sz w:val="20"/>
                <w:szCs w:val="20"/>
                <w:highlight w:val="none"/>
                <w:lang w:eastAsia="en-US"/>
              </w:rPr>
              <w:t>/</w:t>
            </w:r>
          </w:p>
        </w:tc>
        <w:tc>
          <w:tcPr>
            <w:tcW w:w="1033" w:type="dxa"/>
            <w:tcBorders>
              <w:tl2br w:val="nil"/>
              <w:tr2bl w:val="nil"/>
            </w:tcBorders>
            <w:vAlign w:val="center"/>
          </w:tcPr>
          <w:p w14:paraId="7448F105">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3" w:type="dxa"/>
            <w:tcBorders>
              <w:tl2br w:val="nil"/>
              <w:tr2bl w:val="nil"/>
            </w:tcBorders>
            <w:vAlign w:val="center"/>
          </w:tcPr>
          <w:p w14:paraId="35CFF0C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由厂家回收处置</w:t>
            </w:r>
          </w:p>
        </w:tc>
      </w:tr>
      <w:tr w14:paraId="170FFA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restart"/>
            <w:tcBorders>
              <w:tl2br w:val="nil"/>
              <w:tr2bl w:val="nil"/>
            </w:tcBorders>
            <w:vAlign w:val="center"/>
          </w:tcPr>
          <w:p w14:paraId="403C061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辅助设施</w:t>
            </w:r>
          </w:p>
        </w:tc>
        <w:tc>
          <w:tcPr>
            <w:tcW w:w="1277" w:type="dxa"/>
            <w:tcBorders>
              <w:tl2br w:val="nil"/>
              <w:tr2bl w:val="nil"/>
            </w:tcBorders>
            <w:vAlign w:val="center"/>
          </w:tcPr>
          <w:p w14:paraId="0AA8824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设备维修</w:t>
            </w:r>
          </w:p>
        </w:tc>
        <w:tc>
          <w:tcPr>
            <w:tcW w:w="1122" w:type="dxa"/>
            <w:tcBorders>
              <w:tl2br w:val="nil"/>
              <w:tr2bl w:val="nil"/>
            </w:tcBorders>
            <w:vAlign w:val="center"/>
          </w:tcPr>
          <w:p w14:paraId="2C16ED3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1500" w:type="dxa"/>
            <w:tcBorders>
              <w:tl2br w:val="nil"/>
              <w:tr2bl w:val="nil"/>
            </w:tcBorders>
            <w:vAlign w:val="center"/>
          </w:tcPr>
          <w:p w14:paraId="095C9C0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矿物油</w:t>
            </w:r>
          </w:p>
        </w:tc>
        <w:tc>
          <w:tcPr>
            <w:tcW w:w="1105" w:type="dxa"/>
            <w:tcBorders>
              <w:tl2br w:val="nil"/>
              <w:tr2bl w:val="nil"/>
            </w:tcBorders>
            <w:vAlign w:val="center"/>
          </w:tcPr>
          <w:p w14:paraId="31DAA0A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危险废物HW08</w:t>
            </w:r>
          </w:p>
        </w:tc>
        <w:tc>
          <w:tcPr>
            <w:tcW w:w="752" w:type="dxa"/>
            <w:tcBorders>
              <w:tl2br w:val="nil"/>
              <w:tr2bl w:val="nil"/>
            </w:tcBorders>
            <w:vAlign w:val="center"/>
          </w:tcPr>
          <w:p w14:paraId="37F21980">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900-2</w:t>
            </w:r>
          </w:p>
          <w:p w14:paraId="394529F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49-08</w:t>
            </w:r>
          </w:p>
        </w:tc>
        <w:tc>
          <w:tcPr>
            <w:tcW w:w="1033" w:type="dxa"/>
            <w:tcBorders>
              <w:tl2br w:val="nil"/>
              <w:tr2bl w:val="nil"/>
            </w:tcBorders>
            <w:vAlign w:val="center"/>
          </w:tcPr>
          <w:p w14:paraId="7DC77F9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3" w:type="dxa"/>
            <w:vMerge w:val="restart"/>
            <w:tcBorders>
              <w:tl2br w:val="nil"/>
              <w:tr2bl w:val="nil"/>
            </w:tcBorders>
            <w:vAlign w:val="center"/>
          </w:tcPr>
          <w:p w14:paraId="55A9AE3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7FAC07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1684C2E2">
            <w:pPr>
              <w:pStyle w:val="195"/>
              <w:widowControl w:val="0"/>
              <w:jc w:val="center"/>
              <w:rPr>
                <w:rFonts w:ascii="Times New Roman" w:hAnsi="Times New Roman" w:cs="Times New Roman"/>
                <w:caps w:val="0"/>
                <w:smallCaps w:val="0"/>
                <w:color w:val="auto"/>
                <w:spacing w:val="0"/>
                <w:highlight w:val="none"/>
                <w:lang w:eastAsia="zh-CN"/>
              </w:rPr>
            </w:pPr>
          </w:p>
        </w:tc>
        <w:tc>
          <w:tcPr>
            <w:tcW w:w="1277" w:type="dxa"/>
            <w:tcBorders>
              <w:tl2br w:val="nil"/>
              <w:tr2bl w:val="nil"/>
            </w:tcBorders>
            <w:vAlign w:val="center"/>
          </w:tcPr>
          <w:p w14:paraId="7BA21C99">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日常使用</w:t>
            </w:r>
          </w:p>
        </w:tc>
        <w:tc>
          <w:tcPr>
            <w:tcW w:w="1122" w:type="dxa"/>
            <w:tcBorders>
              <w:tl2br w:val="nil"/>
              <w:tr2bl w:val="nil"/>
            </w:tcBorders>
            <w:vAlign w:val="center"/>
          </w:tcPr>
          <w:p w14:paraId="00B729C8">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废劳保用品</w:t>
            </w:r>
          </w:p>
        </w:tc>
        <w:tc>
          <w:tcPr>
            <w:tcW w:w="1500" w:type="dxa"/>
            <w:tcBorders>
              <w:tl2br w:val="nil"/>
              <w:tr2bl w:val="nil"/>
            </w:tcBorders>
            <w:vAlign w:val="center"/>
          </w:tcPr>
          <w:p w14:paraId="199B679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沾染危险废物的废手套</w:t>
            </w:r>
          </w:p>
        </w:tc>
        <w:tc>
          <w:tcPr>
            <w:tcW w:w="1105" w:type="dxa"/>
            <w:tcBorders>
              <w:tl2br w:val="nil"/>
              <w:tr2bl w:val="nil"/>
            </w:tcBorders>
            <w:vAlign w:val="center"/>
          </w:tcPr>
          <w:p w14:paraId="0C24FED9">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488EA11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66FED27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47-49</w:t>
            </w:r>
          </w:p>
        </w:tc>
        <w:tc>
          <w:tcPr>
            <w:tcW w:w="1033" w:type="dxa"/>
            <w:tcBorders>
              <w:tl2br w:val="nil"/>
              <w:tr2bl w:val="nil"/>
            </w:tcBorders>
            <w:vAlign w:val="center"/>
          </w:tcPr>
          <w:p w14:paraId="12C2DC7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w:t>
            </w:r>
          </w:p>
        </w:tc>
        <w:tc>
          <w:tcPr>
            <w:tcW w:w="1763" w:type="dxa"/>
            <w:vMerge w:val="continue"/>
            <w:tcBorders>
              <w:tl2br w:val="nil"/>
              <w:tr2bl w:val="nil"/>
            </w:tcBorders>
            <w:vAlign w:val="center"/>
          </w:tcPr>
          <w:p w14:paraId="614F3729">
            <w:pPr>
              <w:pStyle w:val="195"/>
              <w:widowControl w:val="0"/>
              <w:jc w:val="center"/>
              <w:rPr>
                <w:rFonts w:ascii="Times New Roman" w:hAnsi="Times New Roman" w:cs="Times New Roman"/>
                <w:caps w:val="0"/>
                <w:smallCaps w:val="0"/>
                <w:color w:val="auto"/>
                <w:spacing w:val="0"/>
                <w:highlight w:val="none"/>
                <w:lang w:eastAsia="zh-CN"/>
              </w:rPr>
            </w:pPr>
          </w:p>
        </w:tc>
      </w:tr>
      <w:tr w14:paraId="749ACD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40BCF9C1">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tcBorders>
              <w:tl2br w:val="nil"/>
              <w:tr2bl w:val="nil"/>
            </w:tcBorders>
            <w:vAlign w:val="center"/>
          </w:tcPr>
          <w:p w14:paraId="09E20A81">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原料包装</w:t>
            </w:r>
          </w:p>
        </w:tc>
        <w:tc>
          <w:tcPr>
            <w:tcW w:w="1122" w:type="dxa"/>
            <w:tcBorders>
              <w:tl2br w:val="nil"/>
              <w:tr2bl w:val="nil"/>
            </w:tcBorders>
            <w:vAlign w:val="center"/>
          </w:tcPr>
          <w:p w14:paraId="6F31DBC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1500" w:type="dxa"/>
            <w:tcBorders>
              <w:tl2br w:val="nil"/>
              <w:tr2bl w:val="nil"/>
            </w:tcBorders>
            <w:vAlign w:val="center"/>
          </w:tcPr>
          <w:p w14:paraId="23FE142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沾染危险废物的废包装</w:t>
            </w:r>
          </w:p>
        </w:tc>
        <w:tc>
          <w:tcPr>
            <w:tcW w:w="1105" w:type="dxa"/>
            <w:tcBorders>
              <w:tl2br w:val="nil"/>
              <w:tr2bl w:val="nil"/>
            </w:tcBorders>
            <w:vAlign w:val="center"/>
          </w:tcPr>
          <w:p w14:paraId="2F9CAE9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584DE21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7F08D01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47-49</w:t>
            </w:r>
          </w:p>
        </w:tc>
        <w:tc>
          <w:tcPr>
            <w:tcW w:w="1033" w:type="dxa"/>
            <w:tcBorders>
              <w:tl2br w:val="nil"/>
              <w:tr2bl w:val="nil"/>
            </w:tcBorders>
            <w:vAlign w:val="center"/>
          </w:tcPr>
          <w:p w14:paraId="2D6BC729">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0.4</w:t>
            </w:r>
          </w:p>
        </w:tc>
        <w:tc>
          <w:tcPr>
            <w:tcW w:w="1763" w:type="dxa"/>
            <w:vMerge w:val="continue"/>
            <w:tcBorders>
              <w:tl2br w:val="nil"/>
              <w:tr2bl w:val="nil"/>
            </w:tcBorders>
            <w:vAlign w:val="center"/>
          </w:tcPr>
          <w:p w14:paraId="720A6223">
            <w:pPr>
              <w:pStyle w:val="195"/>
              <w:widowControl w:val="0"/>
              <w:jc w:val="center"/>
              <w:rPr>
                <w:rFonts w:ascii="Times New Roman" w:hAnsi="Times New Roman" w:cs="Times New Roman"/>
                <w:caps w:val="0"/>
                <w:smallCaps w:val="0"/>
                <w:color w:val="auto"/>
                <w:spacing w:val="0"/>
                <w:highlight w:val="none"/>
              </w:rPr>
            </w:pPr>
          </w:p>
        </w:tc>
      </w:tr>
      <w:tr w14:paraId="1A4BFE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15" w:type="dxa"/>
            <w:vMerge w:val="continue"/>
            <w:tcBorders>
              <w:tl2br w:val="nil"/>
              <w:tr2bl w:val="nil"/>
            </w:tcBorders>
            <w:vAlign w:val="center"/>
          </w:tcPr>
          <w:p w14:paraId="788D15F2">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tcBorders>
              <w:tl2br w:val="nil"/>
              <w:tr2bl w:val="nil"/>
            </w:tcBorders>
            <w:vAlign w:val="center"/>
          </w:tcPr>
          <w:p w14:paraId="44E91EF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设备维护</w:t>
            </w:r>
          </w:p>
        </w:tc>
        <w:tc>
          <w:tcPr>
            <w:tcW w:w="1122" w:type="dxa"/>
            <w:tcBorders>
              <w:tl2br w:val="nil"/>
              <w:tr2bl w:val="nil"/>
            </w:tcBorders>
            <w:vAlign w:val="center"/>
          </w:tcPr>
          <w:p w14:paraId="4FB8DB1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500" w:type="dxa"/>
            <w:tcBorders>
              <w:tl2br w:val="nil"/>
              <w:tr2bl w:val="nil"/>
            </w:tcBorders>
            <w:vAlign w:val="center"/>
          </w:tcPr>
          <w:p w14:paraId="3A97A22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105" w:type="dxa"/>
            <w:tcBorders>
              <w:tl2br w:val="nil"/>
              <w:tr2bl w:val="nil"/>
            </w:tcBorders>
            <w:vAlign w:val="center"/>
          </w:tcPr>
          <w:p w14:paraId="60D785F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w:t>
            </w:r>
            <w:r>
              <w:rPr>
                <w:rFonts w:ascii="Times New Roman" w:hAnsi="Times New Roman" w:cs="Times New Roman"/>
                <w:caps w:val="0"/>
                <w:smallCaps w:val="0"/>
                <w:color w:val="auto"/>
                <w:spacing w:val="0"/>
                <w:highlight w:val="none"/>
                <w:lang w:eastAsia="zh-CN"/>
              </w:rPr>
              <w:t>31</w:t>
            </w:r>
          </w:p>
        </w:tc>
        <w:tc>
          <w:tcPr>
            <w:tcW w:w="752" w:type="dxa"/>
            <w:tcBorders>
              <w:tl2br w:val="nil"/>
              <w:tr2bl w:val="nil"/>
            </w:tcBorders>
            <w:vAlign w:val="center"/>
          </w:tcPr>
          <w:p w14:paraId="12CA08C2">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1F3D93BF">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52-31</w:t>
            </w:r>
          </w:p>
        </w:tc>
        <w:tc>
          <w:tcPr>
            <w:tcW w:w="1033" w:type="dxa"/>
            <w:tcBorders>
              <w:tl2br w:val="nil"/>
              <w:tr2bl w:val="nil"/>
            </w:tcBorders>
            <w:vAlign w:val="center"/>
          </w:tcPr>
          <w:p w14:paraId="7B811482">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0.1（3a）</w:t>
            </w:r>
          </w:p>
        </w:tc>
        <w:tc>
          <w:tcPr>
            <w:tcW w:w="1763" w:type="dxa"/>
            <w:tcBorders>
              <w:tl2br w:val="nil"/>
              <w:tr2bl w:val="nil"/>
            </w:tcBorders>
            <w:vAlign w:val="center"/>
          </w:tcPr>
          <w:p w14:paraId="1C5F37C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不在厂区暂存，直接由厂家回收</w:t>
            </w:r>
          </w:p>
        </w:tc>
      </w:tr>
      <w:tr w14:paraId="1683D0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515" w:type="dxa"/>
            <w:vMerge w:val="continue"/>
            <w:tcBorders>
              <w:tl2br w:val="nil"/>
              <w:tr2bl w:val="nil"/>
            </w:tcBorders>
            <w:vAlign w:val="center"/>
          </w:tcPr>
          <w:p w14:paraId="5F090B11">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tcBorders>
              <w:tl2br w:val="nil"/>
              <w:tr2bl w:val="nil"/>
            </w:tcBorders>
            <w:vAlign w:val="center"/>
          </w:tcPr>
          <w:p w14:paraId="26E6AB1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检测</w:t>
            </w:r>
          </w:p>
        </w:tc>
        <w:tc>
          <w:tcPr>
            <w:tcW w:w="1122" w:type="dxa"/>
            <w:tcBorders>
              <w:tl2br w:val="nil"/>
              <w:tr2bl w:val="nil"/>
            </w:tcBorders>
            <w:vAlign w:val="center"/>
          </w:tcPr>
          <w:p w14:paraId="7C66CE6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1500" w:type="dxa"/>
            <w:tcBorders>
              <w:tl2br w:val="nil"/>
              <w:tr2bl w:val="nil"/>
            </w:tcBorders>
            <w:vAlign w:val="center"/>
          </w:tcPr>
          <w:p w14:paraId="2EBD753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产生的含无机废液</w:t>
            </w:r>
          </w:p>
        </w:tc>
        <w:tc>
          <w:tcPr>
            <w:tcW w:w="1105" w:type="dxa"/>
            <w:tcBorders>
              <w:tl2br w:val="nil"/>
              <w:tr2bl w:val="nil"/>
            </w:tcBorders>
            <w:vAlign w:val="center"/>
          </w:tcPr>
          <w:p w14:paraId="565A7F1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危险废物HW49</w:t>
            </w:r>
          </w:p>
        </w:tc>
        <w:tc>
          <w:tcPr>
            <w:tcW w:w="752" w:type="dxa"/>
            <w:tcBorders>
              <w:tl2br w:val="nil"/>
              <w:tr2bl w:val="nil"/>
            </w:tcBorders>
            <w:vAlign w:val="center"/>
          </w:tcPr>
          <w:p w14:paraId="7CF2305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900-047-49</w:t>
            </w:r>
          </w:p>
        </w:tc>
        <w:tc>
          <w:tcPr>
            <w:tcW w:w="1033" w:type="dxa"/>
            <w:tcBorders>
              <w:tl2br w:val="nil"/>
              <w:tr2bl w:val="nil"/>
            </w:tcBorders>
            <w:vAlign w:val="center"/>
          </w:tcPr>
          <w:p w14:paraId="31299F73">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0.01</w:t>
            </w:r>
          </w:p>
        </w:tc>
        <w:tc>
          <w:tcPr>
            <w:tcW w:w="1763" w:type="dxa"/>
            <w:tcBorders>
              <w:tl2br w:val="nil"/>
              <w:tr2bl w:val="nil"/>
            </w:tcBorders>
            <w:vAlign w:val="center"/>
          </w:tcPr>
          <w:p w14:paraId="398A494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76B431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515" w:type="dxa"/>
            <w:vMerge w:val="restart"/>
            <w:tcBorders>
              <w:tl2br w:val="nil"/>
              <w:tr2bl w:val="nil"/>
            </w:tcBorders>
            <w:vAlign w:val="center"/>
          </w:tcPr>
          <w:p w14:paraId="30CA13DB">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环保工程</w:t>
            </w:r>
          </w:p>
        </w:tc>
        <w:tc>
          <w:tcPr>
            <w:tcW w:w="1277" w:type="dxa"/>
            <w:vMerge w:val="restart"/>
            <w:tcBorders>
              <w:tl2br w:val="nil"/>
              <w:tr2bl w:val="nil"/>
            </w:tcBorders>
            <w:vAlign w:val="center"/>
          </w:tcPr>
          <w:p w14:paraId="1F880ED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废水处理</w:t>
            </w:r>
          </w:p>
        </w:tc>
        <w:tc>
          <w:tcPr>
            <w:tcW w:w="1122" w:type="dxa"/>
            <w:tcBorders>
              <w:tl2br w:val="nil"/>
              <w:tr2bl w:val="nil"/>
            </w:tcBorders>
            <w:vAlign w:val="center"/>
          </w:tcPr>
          <w:p w14:paraId="05E429A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废过滤膜、废反渗透膜</w:t>
            </w:r>
          </w:p>
        </w:tc>
        <w:tc>
          <w:tcPr>
            <w:tcW w:w="1500" w:type="dxa"/>
            <w:tcBorders>
              <w:tl2br w:val="nil"/>
              <w:tr2bl w:val="nil"/>
            </w:tcBorders>
            <w:vAlign w:val="center"/>
          </w:tcPr>
          <w:p w14:paraId="27CE17F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废过滤膜、废反渗透膜</w:t>
            </w:r>
          </w:p>
        </w:tc>
        <w:tc>
          <w:tcPr>
            <w:tcW w:w="1105" w:type="dxa"/>
            <w:tcBorders>
              <w:tl2br w:val="nil"/>
              <w:tr2bl w:val="nil"/>
            </w:tcBorders>
            <w:vAlign w:val="center"/>
          </w:tcPr>
          <w:p w14:paraId="010278EE">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4248447E">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08C3951C">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3A91CE5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w:t>
            </w:r>
          </w:p>
        </w:tc>
        <w:tc>
          <w:tcPr>
            <w:tcW w:w="1763" w:type="dxa"/>
            <w:vMerge w:val="restart"/>
            <w:tcBorders>
              <w:tl2br w:val="nil"/>
              <w:tr2bl w:val="nil"/>
            </w:tcBorders>
            <w:vAlign w:val="center"/>
          </w:tcPr>
          <w:p w14:paraId="4437A2F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60DA23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5" w:type="dxa"/>
            <w:vMerge w:val="continue"/>
            <w:tcBorders>
              <w:tl2br w:val="nil"/>
              <w:tr2bl w:val="nil"/>
            </w:tcBorders>
            <w:vAlign w:val="center"/>
          </w:tcPr>
          <w:p w14:paraId="77F775B3">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continue"/>
            <w:tcBorders>
              <w:tl2br w:val="nil"/>
              <w:tr2bl w:val="nil"/>
            </w:tcBorders>
            <w:vAlign w:val="center"/>
          </w:tcPr>
          <w:p w14:paraId="764ABDA0">
            <w:pPr>
              <w:widowControl w:val="0"/>
              <w:jc w:val="center"/>
              <w:rPr>
                <w:rFonts w:ascii="Times New Roman" w:hAnsi="Times New Roman" w:eastAsia="宋体" w:cs="Times New Roman"/>
                <w:caps w:val="0"/>
                <w:smallCaps w:val="0"/>
                <w:color w:val="auto"/>
                <w:spacing w:val="0"/>
                <w:sz w:val="21"/>
                <w:highlight w:val="none"/>
                <w:lang w:eastAsia="en-US"/>
              </w:rPr>
            </w:pPr>
          </w:p>
        </w:tc>
        <w:tc>
          <w:tcPr>
            <w:tcW w:w="1122" w:type="dxa"/>
            <w:tcBorders>
              <w:tl2br w:val="nil"/>
              <w:tr2bl w:val="nil"/>
            </w:tcBorders>
            <w:vAlign w:val="center"/>
          </w:tcPr>
          <w:p w14:paraId="4BA1C39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污泥、蒸发结晶盐</w:t>
            </w:r>
          </w:p>
        </w:tc>
        <w:tc>
          <w:tcPr>
            <w:tcW w:w="1500" w:type="dxa"/>
            <w:tcBorders>
              <w:tl2br w:val="nil"/>
              <w:tr2bl w:val="nil"/>
            </w:tcBorders>
            <w:vAlign w:val="center"/>
          </w:tcPr>
          <w:p w14:paraId="0023E1DC">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含镉污泥、蒸发结晶盐</w:t>
            </w:r>
          </w:p>
        </w:tc>
        <w:tc>
          <w:tcPr>
            <w:tcW w:w="1105" w:type="dxa"/>
            <w:tcBorders>
              <w:tl2br w:val="nil"/>
              <w:tr2bl w:val="nil"/>
            </w:tcBorders>
            <w:vAlign w:val="center"/>
          </w:tcPr>
          <w:p w14:paraId="30719F84">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4F89FDCB">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56735354">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5F8453F1">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15</w:t>
            </w:r>
          </w:p>
        </w:tc>
        <w:tc>
          <w:tcPr>
            <w:tcW w:w="1763" w:type="dxa"/>
            <w:vMerge w:val="continue"/>
            <w:tcBorders>
              <w:tl2br w:val="nil"/>
              <w:tr2bl w:val="nil"/>
            </w:tcBorders>
            <w:vAlign w:val="center"/>
          </w:tcPr>
          <w:p w14:paraId="1FC92A02">
            <w:pPr>
              <w:widowControl w:val="0"/>
              <w:jc w:val="center"/>
              <w:rPr>
                <w:rFonts w:ascii="Times New Roman" w:hAnsi="Times New Roman" w:eastAsia="宋体" w:cs="Times New Roman"/>
                <w:caps w:val="0"/>
                <w:smallCaps w:val="0"/>
                <w:color w:val="auto"/>
                <w:spacing w:val="0"/>
                <w:sz w:val="21"/>
                <w:highlight w:val="none"/>
                <w:lang w:eastAsia="en-US"/>
              </w:rPr>
            </w:pPr>
          </w:p>
        </w:tc>
      </w:tr>
      <w:tr w14:paraId="0F2C0E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5616F99C">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restart"/>
            <w:tcBorders>
              <w:tl2br w:val="nil"/>
              <w:tr2bl w:val="nil"/>
            </w:tcBorders>
            <w:vAlign w:val="center"/>
          </w:tcPr>
          <w:p w14:paraId="22AC3C2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废气处理</w:t>
            </w:r>
          </w:p>
        </w:tc>
        <w:tc>
          <w:tcPr>
            <w:tcW w:w="1122" w:type="dxa"/>
            <w:tcBorders>
              <w:tl2br w:val="nil"/>
              <w:tr2bl w:val="nil"/>
            </w:tcBorders>
            <w:vAlign w:val="center"/>
          </w:tcPr>
          <w:p w14:paraId="0CDEF59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收尘灰</w:t>
            </w:r>
          </w:p>
        </w:tc>
        <w:tc>
          <w:tcPr>
            <w:tcW w:w="1500" w:type="dxa"/>
            <w:tcBorders>
              <w:tl2br w:val="nil"/>
              <w:tr2bl w:val="nil"/>
            </w:tcBorders>
            <w:vAlign w:val="center"/>
          </w:tcPr>
          <w:p w14:paraId="680FC94B">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颗粒物、镉及其化合物</w:t>
            </w:r>
          </w:p>
        </w:tc>
        <w:tc>
          <w:tcPr>
            <w:tcW w:w="1105" w:type="dxa"/>
            <w:tcBorders>
              <w:tl2br w:val="nil"/>
              <w:tr2bl w:val="nil"/>
            </w:tcBorders>
            <w:vAlign w:val="center"/>
          </w:tcPr>
          <w:p w14:paraId="3EDC763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484C239D">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2941DB9A">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7A6E5510">
            <w:pPr>
              <w:widowControl w:val="0"/>
              <w:jc w:val="center"/>
              <w:rPr>
                <w:rFonts w:hint="default" w:ascii="Times New Roman" w:hAnsi="Times New Roman" w:eastAsia="宋体" w:cs="Times New Roman"/>
                <w:caps w:val="0"/>
                <w:smallCaps w:val="0"/>
                <w:color w:val="auto"/>
                <w:spacing w:val="0"/>
                <w:sz w:val="20"/>
                <w:szCs w:val="20"/>
                <w:highlight w:val="none"/>
                <w:lang w:val="en-US" w:eastAsia="zh-CN"/>
              </w:rPr>
            </w:pPr>
            <w:r>
              <w:rPr>
                <w:rFonts w:hint="eastAsia" w:ascii="Times New Roman" w:hAnsi="Times New Roman" w:eastAsia="宋体" w:cs="Times New Roman"/>
                <w:caps w:val="0"/>
                <w:smallCaps w:val="0"/>
                <w:color w:val="auto"/>
                <w:spacing w:val="0"/>
                <w:sz w:val="20"/>
                <w:szCs w:val="20"/>
                <w:highlight w:val="none"/>
                <w:lang w:val="en-US" w:eastAsia="zh-CN"/>
              </w:rPr>
              <w:t>3.80</w:t>
            </w:r>
          </w:p>
        </w:tc>
        <w:tc>
          <w:tcPr>
            <w:tcW w:w="1763" w:type="dxa"/>
            <w:vMerge w:val="restart"/>
            <w:tcBorders>
              <w:bottom w:val="single" w:color="auto" w:sz="8" w:space="0"/>
              <w:tl2br w:val="nil"/>
              <w:tr2bl w:val="nil"/>
            </w:tcBorders>
            <w:vAlign w:val="center"/>
          </w:tcPr>
          <w:p w14:paraId="690225B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r>
      <w:tr w14:paraId="4D8522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tl2br w:val="nil"/>
              <w:tr2bl w:val="nil"/>
            </w:tcBorders>
            <w:vAlign w:val="center"/>
          </w:tcPr>
          <w:p w14:paraId="5689CB11">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continue"/>
            <w:tcBorders>
              <w:tl2br w:val="nil"/>
              <w:tr2bl w:val="nil"/>
            </w:tcBorders>
            <w:vAlign w:val="center"/>
          </w:tcPr>
          <w:p w14:paraId="7948E835">
            <w:pPr>
              <w:pStyle w:val="195"/>
              <w:widowControl w:val="0"/>
              <w:jc w:val="center"/>
              <w:rPr>
                <w:rFonts w:ascii="Times New Roman" w:hAnsi="Times New Roman" w:cs="Times New Roman"/>
                <w:caps w:val="0"/>
                <w:smallCaps w:val="0"/>
                <w:color w:val="auto"/>
                <w:spacing w:val="0"/>
                <w:highlight w:val="none"/>
                <w:lang w:eastAsia="zh-CN"/>
              </w:rPr>
            </w:pPr>
          </w:p>
        </w:tc>
        <w:tc>
          <w:tcPr>
            <w:tcW w:w="1122" w:type="dxa"/>
            <w:tcBorders>
              <w:tl2br w:val="nil"/>
              <w:tr2bl w:val="nil"/>
            </w:tcBorders>
            <w:vAlign w:val="center"/>
          </w:tcPr>
          <w:p w14:paraId="2B6666F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废过滤器</w:t>
            </w:r>
          </w:p>
        </w:tc>
        <w:tc>
          <w:tcPr>
            <w:tcW w:w="1500" w:type="dxa"/>
            <w:tcBorders>
              <w:tl2br w:val="nil"/>
              <w:tr2bl w:val="nil"/>
            </w:tcBorders>
            <w:vAlign w:val="center"/>
          </w:tcPr>
          <w:p w14:paraId="494FA531">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含镉过滤器</w:t>
            </w:r>
          </w:p>
        </w:tc>
        <w:tc>
          <w:tcPr>
            <w:tcW w:w="1105" w:type="dxa"/>
            <w:tcBorders>
              <w:tl2br w:val="nil"/>
              <w:tr2bl w:val="nil"/>
            </w:tcBorders>
            <w:vAlign w:val="center"/>
          </w:tcPr>
          <w:p w14:paraId="3BC8ADE7">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危险废物HW26</w:t>
            </w:r>
          </w:p>
        </w:tc>
        <w:tc>
          <w:tcPr>
            <w:tcW w:w="752" w:type="dxa"/>
            <w:tcBorders>
              <w:tl2br w:val="nil"/>
              <w:tr2bl w:val="nil"/>
            </w:tcBorders>
            <w:vAlign w:val="center"/>
          </w:tcPr>
          <w:p w14:paraId="71DDABF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384-0</w:t>
            </w:r>
          </w:p>
          <w:p w14:paraId="4F9A216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02-26</w:t>
            </w:r>
          </w:p>
        </w:tc>
        <w:tc>
          <w:tcPr>
            <w:tcW w:w="1033" w:type="dxa"/>
            <w:tcBorders>
              <w:tl2br w:val="nil"/>
              <w:tr2bl w:val="nil"/>
            </w:tcBorders>
            <w:vAlign w:val="center"/>
          </w:tcPr>
          <w:p w14:paraId="1F62D466">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0.5（3a）</w:t>
            </w:r>
          </w:p>
        </w:tc>
        <w:tc>
          <w:tcPr>
            <w:tcW w:w="1763" w:type="dxa"/>
            <w:vMerge w:val="continue"/>
            <w:tcBorders>
              <w:top w:val="single" w:color="auto" w:sz="8" w:space="0"/>
              <w:bottom w:val="single" w:color="auto" w:sz="8" w:space="0"/>
              <w:tl2br w:val="nil"/>
              <w:tr2bl w:val="nil"/>
            </w:tcBorders>
            <w:vAlign w:val="center"/>
          </w:tcPr>
          <w:p w14:paraId="329A4ED0">
            <w:pPr>
              <w:pStyle w:val="195"/>
              <w:widowControl w:val="0"/>
              <w:jc w:val="center"/>
              <w:rPr>
                <w:rFonts w:ascii="Times New Roman" w:hAnsi="Times New Roman" w:cs="Times New Roman"/>
                <w:caps w:val="0"/>
                <w:smallCaps w:val="0"/>
                <w:color w:val="auto"/>
                <w:spacing w:val="0"/>
                <w:highlight w:val="none"/>
                <w:lang w:eastAsia="zh-CN"/>
              </w:rPr>
            </w:pPr>
          </w:p>
        </w:tc>
      </w:tr>
      <w:tr w14:paraId="103623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5" w:type="dxa"/>
            <w:vMerge w:val="continue"/>
            <w:tcBorders>
              <w:bottom w:val="single" w:color="auto" w:sz="8" w:space="0"/>
              <w:tl2br w:val="nil"/>
              <w:tr2bl w:val="nil"/>
            </w:tcBorders>
            <w:vAlign w:val="center"/>
          </w:tcPr>
          <w:p w14:paraId="7A14B772">
            <w:pPr>
              <w:widowControl w:val="0"/>
              <w:jc w:val="center"/>
              <w:rPr>
                <w:rFonts w:ascii="Times New Roman" w:hAnsi="Times New Roman" w:eastAsia="宋体" w:cs="Times New Roman"/>
                <w:caps w:val="0"/>
                <w:smallCaps w:val="0"/>
                <w:color w:val="auto"/>
                <w:spacing w:val="0"/>
                <w:sz w:val="21"/>
                <w:highlight w:val="none"/>
                <w:lang w:eastAsia="en-US"/>
              </w:rPr>
            </w:pPr>
          </w:p>
        </w:tc>
        <w:tc>
          <w:tcPr>
            <w:tcW w:w="1277" w:type="dxa"/>
            <w:vMerge w:val="continue"/>
            <w:tcBorders>
              <w:bottom w:val="single" w:color="auto" w:sz="8" w:space="0"/>
              <w:tl2br w:val="nil"/>
              <w:tr2bl w:val="nil"/>
            </w:tcBorders>
            <w:vAlign w:val="center"/>
          </w:tcPr>
          <w:p w14:paraId="6BF3E6A5">
            <w:pPr>
              <w:pStyle w:val="195"/>
              <w:widowControl w:val="0"/>
              <w:jc w:val="center"/>
              <w:rPr>
                <w:rFonts w:ascii="Times New Roman" w:hAnsi="Times New Roman" w:cs="Times New Roman"/>
                <w:caps w:val="0"/>
                <w:smallCaps w:val="0"/>
                <w:color w:val="auto"/>
                <w:spacing w:val="0"/>
                <w:highlight w:val="none"/>
                <w:lang w:eastAsia="zh-CN"/>
              </w:rPr>
            </w:pPr>
          </w:p>
        </w:tc>
        <w:tc>
          <w:tcPr>
            <w:tcW w:w="1122" w:type="dxa"/>
            <w:tcBorders>
              <w:bottom w:val="single" w:color="auto" w:sz="8" w:space="0"/>
              <w:tl2br w:val="nil"/>
              <w:tr2bl w:val="nil"/>
            </w:tcBorders>
            <w:vAlign w:val="center"/>
          </w:tcPr>
          <w:p w14:paraId="25C1D47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1500" w:type="dxa"/>
            <w:tcBorders>
              <w:bottom w:val="single" w:color="auto" w:sz="8" w:space="0"/>
              <w:tl2br w:val="nil"/>
              <w:tr2bl w:val="nil"/>
            </w:tcBorders>
            <w:vAlign w:val="center"/>
          </w:tcPr>
          <w:p w14:paraId="3E3F719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饱和活性炭</w:t>
            </w:r>
          </w:p>
        </w:tc>
        <w:tc>
          <w:tcPr>
            <w:tcW w:w="1105" w:type="dxa"/>
            <w:tcBorders>
              <w:bottom w:val="single" w:color="auto" w:sz="8" w:space="0"/>
              <w:tl2br w:val="nil"/>
              <w:tr2bl w:val="nil"/>
            </w:tcBorders>
            <w:vAlign w:val="center"/>
          </w:tcPr>
          <w:p w14:paraId="4E041BC7">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危险废物HW</w:t>
            </w:r>
            <w:r>
              <w:rPr>
                <w:rFonts w:ascii="Times New Roman" w:hAnsi="Times New Roman" w:cs="Times New Roman"/>
                <w:caps w:val="0"/>
                <w:smallCaps w:val="0"/>
                <w:color w:val="auto"/>
                <w:spacing w:val="0"/>
                <w:highlight w:val="none"/>
                <w:lang w:eastAsia="zh-CN"/>
              </w:rPr>
              <w:t>49</w:t>
            </w:r>
          </w:p>
        </w:tc>
        <w:tc>
          <w:tcPr>
            <w:tcW w:w="752" w:type="dxa"/>
            <w:tcBorders>
              <w:bottom w:val="single" w:color="auto" w:sz="8" w:space="0"/>
              <w:tl2br w:val="nil"/>
              <w:tr2bl w:val="nil"/>
            </w:tcBorders>
            <w:vAlign w:val="center"/>
          </w:tcPr>
          <w:p w14:paraId="3562FB62">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900-0</w:t>
            </w:r>
          </w:p>
          <w:p w14:paraId="08A4E78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39-49</w:t>
            </w:r>
          </w:p>
        </w:tc>
        <w:tc>
          <w:tcPr>
            <w:tcW w:w="1033" w:type="dxa"/>
            <w:tcBorders>
              <w:bottom w:val="single" w:color="auto" w:sz="8" w:space="0"/>
              <w:tl2br w:val="nil"/>
              <w:tr2bl w:val="nil"/>
            </w:tcBorders>
            <w:vAlign w:val="center"/>
          </w:tcPr>
          <w:p w14:paraId="6DEFC8F8">
            <w:pPr>
              <w:widowControl w:val="0"/>
              <w:jc w:val="center"/>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1.5</w:t>
            </w:r>
          </w:p>
        </w:tc>
        <w:tc>
          <w:tcPr>
            <w:tcW w:w="1763" w:type="dxa"/>
            <w:vMerge w:val="continue"/>
            <w:tcBorders>
              <w:top w:val="single" w:color="auto" w:sz="8" w:space="0"/>
              <w:bottom w:val="single" w:color="auto" w:sz="8" w:space="0"/>
              <w:tl2br w:val="nil"/>
              <w:tr2bl w:val="nil"/>
            </w:tcBorders>
            <w:vAlign w:val="center"/>
          </w:tcPr>
          <w:p w14:paraId="13CA27E9">
            <w:pPr>
              <w:pStyle w:val="195"/>
              <w:widowControl w:val="0"/>
              <w:jc w:val="center"/>
              <w:rPr>
                <w:rFonts w:ascii="Times New Roman" w:hAnsi="Times New Roman" w:cs="Times New Roman"/>
                <w:caps w:val="0"/>
                <w:smallCaps w:val="0"/>
                <w:color w:val="auto"/>
                <w:spacing w:val="0"/>
                <w:highlight w:val="none"/>
                <w:lang w:eastAsia="zh-CN"/>
              </w:rPr>
            </w:pPr>
          </w:p>
        </w:tc>
      </w:tr>
    </w:tbl>
    <w:p w14:paraId="6176BC31">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6.2.4.2固体处置合理性分析</w:t>
      </w:r>
    </w:p>
    <w:p w14:paraId="67F01FB7">
      <w:pPr>
        <w:widowControl w:val="0"/>
        <w:spacing w:before="165" w:line="333" w:lineRule="exact"/>
        <w:ind w:left="493"/>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(1)一般固废处置合理性分析</w:t>
      </w:r>
    </w:p>
    <w:p w14:paraId="592913D9">
      <w:pPr>
        <w:widowControl w:val="0"/>
        <w:spacing w:before="170" w:line="359" w:lineRule="auto"/>
        <w:ind w:left="13" w:firstLine="48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本工程产生的一般工业固体废物有废靶材、废防溅射板、纯水制备废渗透膜、废玻璃基板、废背板玻璃、废包装材料等，一般固废堆存间暂存，一般固废堆存间占地面积20m</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，严格按照《一般工业固体废物贮存、处置场所污染控制标准》(GB18599-2001)要求进行执行。</w:t>
      </w:r>
    </w:p>
    <w:p w14:paraId="5B779BD6">
      <w:pPr>
        <w:widowControl w:val="0"/>
        <w:spacing w:before="2" w:line="345" w:lineRule="auto"/>
        <w:ind w:left="14" w:right="63" w:firstLine="478"/>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废靶材、废防溅射板、纯水制备废渗透膜定期由厂家进行回收，废玻璃基板、废背板玻璃、废包装材料定期外售回收单位。</w:t>
      </w:r>
    </w:p>
    <w:p w14:paraId="4D954D9F">
      <w:pPr>
        <w:widowControl w:val="0"/>
        <w:spacing w:line="333" w:lineRule="exact"/>
        <w:ind w:left="493"/>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(2)危废处置合理性</w:t>
      </w:r>
    </w:p>
    <w:p w14:paraId="0E266F5E">
      <w:pPr>
        <w:widowControl w:val="0"/>
        <w:spacing w:before="78" w:line="352" w:lineRule="auto"/>
        <w:ind w:right="81" w:firstLine="484"/>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项目生产过程产生的废真空罩、废石墨舟、破裂玻璃、废电池组件、废显影液、收尘灰、废活性炭、化学包装材料、废机油、</w:t>
      </w:r>
      <w:r>
        <w:rPr>
          <w:rFonts w:ascii="Times New Roman" w:hAnsi="Times New Roman" w:eastAsia="宋体" w:cs="Times New Roman"/>
          <w:caps w:val="0"/>
          <w:smallCaps w:val="0"/>
          <w:color w:val="auto"/>
          <w:spacing w:val="0"/>
          <w:highlight w:val="none"/>
        </w:rPr>
        <w:t>废</w:t>
      </w:r>
      <w:r>
        <w:rPr>
          <w:rFonts w:hint="eastAsia" w:eastAsia="宋体" w:cs="Times New Roman"/>
          <w:caps w:val="0"/>
          <w:smallCaps w:val="0"/>
          <w:color w:val="auto"/>
          <w:spacing w:val="0"/>
          <w:highlight w:val="none"/>
        </w:rPr>
        <w:t>润滑</w:t>
      </w:r>
      <w:r>
        <w:rPr>
          <w:rFonts w:ascii="Times New Roman" w:hAnsi="Times New Roman" w:eastAsia="宋体" w:cs="Times New Roman"/>
          <w:caps w:val="0"/>
          <w:smallCaps w:val="0"/>
          <w:color w:val="auto"/>
          <w:spacing w:val="0"/>
          <w:highlight w:val="none"/>
        </w:rPr>
        <w:t>油</w:t>
      </w:r>
      <w:r>
        <w:rPr>
          <w:rFonts w:hint="eastAsia" w:eastAsia="宋体" w:cs="Times New Roman"/>
          <w:caps w:val="0"/>
          <w:smallCaps w:val="0"/>
          <w:color w:val="auto"/>
          <w:spacing w:val="0"/>
          <w:highlight w:val="none"/>
        </w:rPr>
        <w:t>油</w:t>
      </w:r>
      <w:r>
        <w:rPr>
          <w:rFonts w:ascii="Times New Roman" w:hAnsi="Times New Roman" w:eastAsia="宋体" w:cs="Times New Roman"/>
          <w:caps w:val="0"/>
          <w:smallCaps w:val="0"/>
          <w:color w:val="auto"/>
          <w:spacing w:val="0"/>
          <w:highlight w:val="none"/>
        </w:rPr>
        <w:t>桶、</w:t>
      </w:r>
      <w:r>
        <w:rPr>
          <w:rFonts w:hint="eastAsia" w:eastAsia="宋体" w:cs="Times New Roman"/>
          <w:caps w:val="0"/>
          <w:smallCaps w:val="0"/>
          <w:color w:val="auto"/>
          <w:spacing w:val="0"/>
          <w:highlight w:val="none"/>
        </w:rPr>
        <w:t>废胶桶、</w:t>
      </w:r>
      <w:r>
        <w:rPr>
          <w:rFonts w:ascii="Times New Roman" w:hAnsi="Times New Roman" w:eastAsia="宋体" w:cs="Times New Roman"/>
          <w:caps w:val="0"/>
          <w:smallCaps w:val="0"/>
          <w:color w:val="auto"/>
          <w:spacing w:val="0"/>
          <w:szCs w:val="24"/>
          <w:highlight w:val="none"/>
        </w:rPr>
        <w:t>污水处理设施产生的废过滤膜、废反渗透膜、</w:t>
      </w:r>
      <w:r>
        <w:rPr>
          <w:rFonts w:ascii="Times New Roman" w:hAnsi="Times New Roman" w:eastAsia="宋体" w:cs="Times New Roman"/>
          <w:caps w:val="0"/>
          <w:smallCaps w:val="0"/>
          <w:color w:val="auto"/>
          <w:spacing w:val="0"/>
          <w:highlight w:val="none"/>
        </w:rPr>
        <w:t>废铅蓄电池、</w:t>
      </w:r>
      <w:r>
        <w:rPr>
          <w:rFonts w:ascii="Times New Roman" w:hAnsi="Times New Roman" w:eastAsia="宋体" w:cs="Times New Roman"/>
          <w:caps w:val="0"/>
          <w:smallCaps w:val="0"/>
          <w:color w:val="auto"/>
          <w:spacing w:val="0"/>
          <w:szCs w:val="24"/>
          <w:highlight w:val="none"/>
        </w:rPr>
        <w:t>污泥、蒸发结晶盐，以及实验室废液均属于危险废物，</w:t>
      </w:r>
      <w:r>
        <w:rPr>
          <w:rFonts w:ascii="Times New Roman" w:hAnsi="Times New Roman" w:eastAsia="宋体" w:cs="Times New Roman"/>
          <w:caps w:val="0"/>
          <w:smallCaps w:val="0"/>
          <w:color w:val="auto"/>
          <w:spacing w:val="0"/>
          <w:highlight w:val="none"/>
        </w:rPr>
        <w:t>废铅蓄电池换下后直接由厂家回收，定不在厂区内暂存，其余危险废物均</w:t>
      </w:r>
      <w:r>
        <w:rPr>
          <w:rFonts w:ascii="Times New Roman" w:hAnsi="Times New Roman" w:eastAsia="宋体" w:cs="Times New Roman"/>
          <w:caps w:val="0"/>
          <w:smallCaps w:val="0"/>
          <w:color w:val="auto"/>
          <w:spacing w:val="0"/>
          <w:szCs w:val="24"/>
          <w:highlight w:val="none"/>
        </w:rPr>
        <w:t>于危险废物贮存库暂存后交</w:t>
      </w:r>
      <w:r>
        <w:rPr>
          <w:rFonts w:hint="eastAsia" w:ascii="Times New Roman" w:hAnsi="Times New Roman" w:eastAsia="宋体" w:cs="Times New Roman"/>
          <w:caps w:val="0"/>
          <w:smallCaps w:val="0"/>
          <w:color w:val="auto"/>
          <w:spacing w:val="0"/>
          <w:szCs w:val="24"/>
          <w:highlight w:val="none"/>
          <w:lang w:val="en-US" w:eastAsia="zh-CN"/>
        </w:rPr>
        <w:t>由</w:t>
      </w:r>
      <w:r>
        <w:rPr>
          <w:rFonts w:ascii="Times New Roman" w:hAnsi="Times New Roman" w:eastAsia="宋体" w:cs="Times New Roman"/>
          <w:caps w:val="0"/>
          <w:smallCaps w:val="0"/>
          <w:color w:val="auto"/>
          <w:spacing w:val="0"/>
          <w:szCs w:val="24"/>
          <w:highlight w:val="none"/>
        </w:rPr>
        <w:t>有危废资质单位处理。</w:t>
      </w:r>
    </w:p>
    <w:p w14:paraId="18490029">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6.2.4.3固体废物临时储存设施建设及固体废物管理</w:t>
      </w:r>
    </w:p>
    <w:p w14:paraId="6ACC7AA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1、一般固废暂存管理要求</w:t>
      </w:r>
    </w:p>
    <w:p w14:paraId="7D753B24">
      <w:pPr>
        <w:widowControl w:val="0"/>
        <w:spacing w:line="360" w:lineRule="auto"/>
        <w:ind w:firstLine="476"/>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对项目产生固体废物的定性，属于一般工业固体废物的，应集中收集后堆放于一般固废存储间，按照每种固废的特点，不同类的固体废物分开存放，定期对其按照各自的处置方式进行处置。禁止企业随意露天堆放一般固废，对其储存场所做好防晒、防雨、防腐蚀等防治措施。</w:t>
      </w:r>
    </w:p>
    <w:p w14:paraId="128D44BE">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2、危险废物的收集</w:t>
      </w:r>
    </w:p>
    <w:p w14:paraId="6B80DBBF">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危险废物贮存库位于厂区西侧库房内，建筑面积270m</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主要</w:t>
      </w:r>
      <w:r>
        <w:rPr>
          <w:rFonts w:hint="eastAsia" w:ascii="Times New Roman" w:hAnsi="Times New Roman" w:eastAsia="宋体" w:cs="Times New Roman"/>
          <w:caps w:val="0"/>
          <w:smallCaps w:val="0"/>
          <w:color w:val="auto"/>
          <w:spacing w:val="0"/>
          <w:szCs w:val="24"/>
          <w:highlight w:val="none"/>
          <w:lang w:val="en-US" w:eastAsia="zh-CN"/>
        </w:rPr>
        <w:t>存储</w:t>
      </w:r>
      <w:r>
        <w:rPr>
          <w:rFonts w:ascii="Times New Roman" w:hAnsi="Times New Roman" w:eastAsia="宋体" w:cs="Times New Roman"/>
          <w:caps w:val="0"/>
          <w:smallCaps w:val="0"/>
          <w:color w:val="auto"/>
          <w:spacing w:val="0"/>
          <w:szCs w:val="24"/>
          <w:highlight w:val="none"/>
        </w:rPr>
        <w:t>不合格品</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危险废物代码384-002-26</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aps w:val="0"/>
          <w:smallCaps w:val="0"/>
          <w:color w:val="auto"/>
          <w:spacing w:val="0"/>
          <w:szCs w:val="24"/>
          <w:highlight w:val="none"/>
          <w:lang w:eastAsia="zh-CN"/>
        </w:rPr>
        <w:t>、破碎玻璃电池</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危险废物代码384-002-26</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及废胶桶</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危险废物代码900-047-49</w:t>
      </w:r>
      <w:r>
        <w:rPr>
          <w:rFonts w:hint="default" w:ascii="Times New Roman" w:hAnsi="Times New Roman" w:eastAsia="宋体" w:cs="Times New Roman"/>
          <w:color w:val="auto"/>
          <w:highlight w:val="none"/>
          <w:lang w:eastAsia="zh-CN"/>
        </w:rPr>
        <w:t>）</w:t>
      </w:r>
      <w:r>
        <w:rPr>
          <w:rFonts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现实际最大储存为2t，</w:t>
      </w:r>
      <w:r>
        <w:rPr>
          <w:rFonts w:hint="eastAsia" w:ascii="Times New Roman" w:hAnsi="Times New Roman" w:eastAsia="宋体" w:cs="Times New Roman"/>
          <w:caps w:val="0"/>
          <w:smallCaps w:val="0"/>
          <w:color w:val="auto"/>
          <w:spacing w:val="0"/>
          <w:szCs w:val="24"/>
          <w:highlight w:val="none"/>
          <w:lang w:val="en-US" w:eastAsia="zh-CN"/>
        </w:rPr>
        <w:t>危废库</w:t>
      </w:r>
      <w:r>
        <w:rPr>
          <w:rFonts w:ascii="Times New Roman" w:hAnsi="Times New Roman" w:eastAsia="宋体" w:cs="Times New Roman"/>
          <w:caps w:val="0"/>
          <w:smallCaps w:val="0"/>
          <w:color w:val="auto"/>
          <w:spacing w:val="0"/>
          <w:szCs w:val="24"/>
          <w:highlight w:val="none"/>
        </w:rPr>
        <w:t>最大储存能力为200t，本项目危险废物最大产生量为</w:t>
      </w:r>
      <w:r>
        <w:rPr>
          <w:rFonts w:hint="eastAsia" w:ascii="Times New Roman" w:hAnsi="Times New Roman" w:eastAsia="宋体" w:cs="Times New Roman"/>
          <w:caps w:val="0"/>
          <w:smallCaps w:val="0"/>
          <w:color w:val="auto"/>
          <w:spacing w:val="0"/>
          <w:szCs w:val="24"/>
          <w:highlight w:val="none"/>
        </w:rPr>
        <w:t>83.</w:t>
      </w:r>
      <w:r>
        <w:rPr>
          <w:rFonts w:hint="eastAsia" w:ascii="Times New Roman" w:hAnsi="Times New Roman" w:eastAsia="宋体" w:cs="Times New Roman"/>
          <w:caps w:val="0"/>
          <w:smallCaps w:val="0"/>
          <w:color w:val="auto"/>
          <w:spacing w:val="0"/>
          <w:szCs w:val="24"/>
          <w:highlight w:val="none"/>
          <w:lang w:val="en-US" w:eastAsia="zh-CN"/>
        </w:rPr>
        <w:t>43</w:t>
      </w:r>
      <w:r>
        <w:rPr>
          <w:rFonts w:ascii="Times New Roman" w:hAnsi="Times New Roman" w:eastAsia="宋体" w:cs="Times New Roman"/>
          <w:caps w:val="0"/>
          <w:smallCaps w:val="0"/>
          <w:color w:val="auto"/>
          <w:spacing w:val="0"/>
          <w:szCs w:val="24"/>
          <w:highlight w:val="none"/>
        </w:rPr>
        <w:t>t/a，剩余能力可满足本项目危险废物储存量。</w:t>
      </w:r>
      <w:r>
        <w:rPr>
          <w:rFonts w:ascii="Times New Roman" w:hAnsi="Times New Roman" w:eastAsia="宋体" w:cs="Times New Roman"/>
          <w:caps w:val="0"/>
          <w:smallCaps w:val="0"/>
          <w:color w:val="auto"/>
          <w:spacing w:val="0"/>
          <w:szCs w:val="24"/>
          <w:highlight w:val="none"/>
        </w:rPr>
        <w:t>危废贮存库按照《危险废物贮存污染控制标准》（GB18597-2023）相关规定进行设置，对危废贮存库贮存区进行坡度设计；贮存区地面用坚固、防渗的材料建造</w:t>
      </w:r>
      <w:r>
        <w:rPr>
          <w:rFonts w:hint="eastAsia" w:ascii="Times New Roman" w:hAnsi="Times New Roman" w:eastAsia="宋体" w:cs="Times New Roman"/>
          <w:caps w:val="0"/>
          <w:smallCaps w:val="0"/>
          <w:color w:val="auto"/>
          <w:spacing w:val="0"/>
          <w:szCs w:val="24"/>
          <w:highlight w:val="none"/>
          <w:lang w:eastAsia="zh-CN"/>
        </w:rPr>
        <w:t>，</w:t>
      </w:r>
      <w:r>
        <w:rPr>
          <w:rFonts w:ascii="Times New Roman" w:hAnsi="Times New Roman" w:eastAsia="宋体" w:cs="Times New Roman"/>
          <w:caps w:val="0"/>
          <w:smallCaps w:val="0"/>
          <w:color w:val="auto"/>
          <w:spacing w:val="0"/>
          <w:szCs w:val="24"/>
          <w:highlight w:val="none"/>
        </w:rPr>
        <w:t>贮存区有耐腐蚀的硬化地面，</w:t>
      </w:r>
      <w:r>
        <w:rPr>
          <w:rFonts w:hint="eastAsia" w:ascii="Times New Roman" w:hAnsi="Times New Roman" w:eastAsia="宋体" w:cs="Times New Roman"/>
          <w:caps w:val="0"/>
          <w:smallCaps w:val="0"/>
          <w:color w:val="auto"/>
          <w:spacing w:val="0"/>
          <w:szCs w:val="24"/>
          <w:highlight w:val="none"/>
          <w:lang w:val="en-US" w:eastAsia="zh-CN"/>
        </w:rPr>
        <w:t>危险废物贮存库</w:t>
      </w:r>
      <w:r>
        <w:rPr>
          <w:rFonts w:hint="eastAsia" w:ascii="Times New Roman" w:hAnsi="Times New Roman" w:eastAsia="宋体" w:cs="Times New Roman"/>
          <w:caps w:val="0"/>
          <w:smallCaps w:val="0"/>
          <w:color w:val="auto"/>
          <w:spacing w:val="0"/>
          <w:szCs w:val="24"/>
          <w:highlight w:val="none"/>
        </w:rPr>
        <w:t>整体加铺一层5mmPDHE膜抗渗层，沿墙上卷200mm，上部50mm厚C25细石混凝土保护层</w:t>
      </w:r>
      <w:r>
        <w:rPr>
          <w:rFonts w:hint="eastAsia" w:ascii="Times New Roman" w:hAnsi="Times New Roman" w:eastAsia="宋体" w:cs="Times New Roman"/>
          <w:caps w:val="0"/>
          <w:smallCaps w:val="0"/>
          <w:color w:val="auto"/>
          <w:spacing w:val="0"/>
          <w:szCs w:val="24"/>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贮存区设有围堰，</w:t>
      </w:r>
      <w:r>
        <w:rPr>
          <w:rFonts w:ascii="Times New Roman" w:hAnsi="Times New Roman" w:eastAsia="宋体" w:cs="Times New Roman"/>
          <w:caps w:val="0"/>
          <w:smallCaps w:val="0"/>
          <w:color w:val="auto"/>
          <w:spacing w:val="0"/>
          <w:szCs w:val="24"/>
          <w:highlight w:val="none"/>
        </w:rPr>
        <w:t>渗透系数≤10</w:t>
      </w:r>
      <w:r>
        <w:rPr>
          <w:rFonts w:ascii="Times New Roman" w:hAnsi="Times New Roman" w:eastAsia="宋体" w:cs="Times New Roman"/>
          <w:caps w:val="0"/>
          <w:smallCaps w:val="0"/>
          <w:color w:val="auto"/>
          <w:spacing w:val="0"/>
          <w:szCs w:val="24"/>
          <w:highlight w:val="none"/>
          <w:vertAlign w:val="superscript"/>
        </w:rPr>
        <w:t>-10</w:t>
      </w:r>
      <w:r>
        <w:rPr>
          <w:rFonts w:ascii="Times New Roman" w:hAnsi="Times New Roman" w:eastAsia="宋体" w:cs="Times New Roman"/>
          <w:caps w:val="0"/>
          <w:smallCaps w:val="0"/>
          <w:color w:val="auto"/>
          <w:spacing w:val="0"/>
          <w:szCs w:val="24"/>
          <w:highlight w:val="none"/>
        </w:rPr>
        <w:t>cm/s，</w:t>
      </w:r>
      <w:r>
        <w:rPr>
          <w:rFonts w:hint="eastAsia" w:ascii="Times New Roman" w:hAnsi="Times New Roman" w:eastAsia="宋体" w:cs="Times New Roman"/>
          <w:caps w:val="0"/>
          <w:smallCaps w:val="0"/>
          <w:color w:val="auto"/>
          <w:spacing w:val="0"/>
          <w:szCs w:val="24"/>
          <w:highlight w:val="none"/>
          <w:lang w:val="en-US" w:eastAsia="zh-CN"/>
        </w:rPr>
        <w:t>并已</w:t>
      </w:r>
      <w:r>
        <w:rPr>
          <w:rFonts w:ascii="Times New Roman" w:hAnsi="Times New Roman" w:eastAsia="宋体" w:cs="Times New Roman"/>
          <w:caps w:val="0"/>
          <w:smallCaps w:val="0"/>
          <w:color w:val="auto"/>
          <w:spacing w:val="0"/>
          <w:szCs w:val="24"/>
          <w:highlight w:val="none"/>
        </w:rPr>
        <w:t>按照GB15562的规定设置警示标志</w:t>
      </w:r>
      <w:r>
        <w:rPr>
          <w:rFonts w:hint="eastAsia" w:ascii="Times New Roman" w:hAnsi="Times New Roman" w:eastAsia="宋体" w:cs="Times New Roman"/>
          <w:caps w:val="0"/>
          <w:smallCaps w:val="0"/>
          <w:color w:val="auto"/>
          <w:spacing w:val="0"/>
          <w:szCs w:val="24"/>
          <w:highlight w:val="none"/>
          <w:lang w:eastAsia="zh-CN"/>
        </w:rPr>
        <w:t>，</w:t>
      </w:r>
      <w:r>
        <w:rPr>
          <w:rFonts w:hint="eastAsia" w:ascii="Times New Roman" w:hAnsi="Times New Roman" w:eastAsia="宋体" w:cs="Times New Roman"/>
          <w:caps w:val="0"/>
          <w:smallCaps w:val="0"/>
          <w:color w:val="auto"/>
          <w:spacing w:val="0"/>
          <w:szCs w:val="24"/>
          <w:highlight w:val="none"/>
          <w:lang w:val="en-US" w:eastAsia="zh-CN"/>
        </w:rPr>
        <w:t>危险废物贮存库照片见附件</w:t>
      </w:r>
      <w:r>
        <w:rPr>
          <w:rFonts w:ascii="Times New Roman" w:hAnsi="Times New Roman" w:eastAsia="宋体" w:cs="Times New Roman"/>
          <w:caps w:val="0"/>
          <w:smallCaps w:val="0"/>
          <w:color w:val="auto"/>
          <w:spacing w:val="0"/>
          <w:szCs w:val="24"/>
          <w:highlight w:val="none"/>
        </w:rPr>
        <w:t>。</w:t>
      </w:r>
    </w:p>
    <w:p w14:paraId="5380C99A">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3、危废暂存间建设要求</w:t>
      </w:r>
    </w:p>
    <w:p w14:paraId="3791B20B">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(1)危险废物贮存设施的设</w:t>
      </w:r>
      <w:r>
        <w:rPr>
          <w:rFonts w:ascii="Times New Roman" w:hAnsi="Times New Roman" w:eastAsia="宋体" w:cs="Times New Roman"/>
          <w:caps w:val="0"/>
          <w:smallCaps w:val="0"/>
          <w:color w:val="auto"/>
          <w:spacing w:val="0"/>
          <w:szCs w:val="24"/>
          <w:highlight w:val="none"/>
        </w:rPr>
        <w:t>计、建设除符合危险废物贮存设计原则外，还应符合有关</w:t>
      </w:r>
      <w:r>
        <w:rPr>
          <w:rFonts w:ascii="Times New Roman" w:hAnsi="Times New Roman" w:eastAsia="宋体" w:cs="Times New Roman"/>
          <w:caps w:val="0"/>
          <w:smallCaps w:val="0"/>
          <w:color w:val="auto"/>
          <w:spacing w:val="0"/>
          <w:szCs w:val="24"/>
          <w:highlight w:val="none"/>
        </w:rPr>
        <w:t>消防和危险品贮存设计规范。</w:t>
      </w:r>
    </w:p>
    <w:p w14:paraId="77441C2D">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(2)未能及时利用的危险废物，须进入危废暂存间储存，储存过程中应严格执行《危险废物贮存污染控制标准》(GB18597-2023)等相关规定。</w:t>
      </w:r>
    </w:p>
    <w:p w14:paraId="0003E79C">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(3)危险废物贮存场所必须有专用标志，危险废物存储容器上必须有明显标志。</w:t>
      </w:r>
    </w:p>
    <w:p w14:paraId="6C5B5316">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(4)废物储存容器应坚固结实，材质强度应满足贮存要求，材质不能与危险废物发生化学反应，定期检查危险废物盛装容器的破损、泄漏等情况。</w:t>
      </w:r>
    </w:p>
    <w:p w14:paraId="5F020658">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(5)所有危险废物贮存应严格按贮存工艺及技术要求进行，包括:</w:t>
      </w:r>
    </w:p>
    <w:p w14:paraId="7ABD1B95">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①所有的危险废物有专用的贮存设施;</w:t>
      </w:r>
    </w:p>
    <w:p w14:paraId="6551BB5D">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②在常温常压下易燃易爆的危险废物必须预处理;</w:t>
      </w:r>
    </w:p>
    <w:p w14:paraId="6437CB4F">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③常温常压下不水解、不挥发的固体废物分别堆放;</w:t>
      </w:r>
    </w:p>
    <w:p w14:paraId="1B349D00">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④禁止不相容的危险废物装入同一容器;</w:t>
      </w:r>
    </w:p>
    <w:p w14:paraId="1ADBB86B">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⑤无法装入常用容器内的危险废物可用防漏胶带盛装;</w:t>
      </w:r>
    </w:p>
    <w:p w14:paraId="504DFA1E">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⑥内装液体、半固体的容器内必须留有足够的空间。</w:t>
      </w:r>
    </w:p>
    <w:p w14:paraId="323D7DC7">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(6)贮存车间严格分区，危险废物暂存区应设计堵截泄漏的裙脚，地面与裙脚所围建的容积不低于堵截最大容器的最大储量或总储量的五分之一。</w:t>
      </w:r>
    </w:p>
    <w:p w14:paraId="007DD48C">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(7)危废贮存场所地面与裙脚应采用坚固、防渗材料建造，同时材料不能与危废发生反应。</w:t>
      </w:r>
    </w:p>
    <w:p w14:paraId="5300398A">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4、危废暂存间管理管控要求</w:t>
      </w:r>
    </w:p>
    <w:p w14:paraId="56E2B3A3">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根据《危险废物贮存污染控制标准》(GB18597-2023)及《危险废物转移管理办法》(2021年11月30日生态环境部、公安部、交通运输部令第23号公布)中的规定，环评对本工程中危险废物的收集、运输、转移及储存提出以下要求:</w:t>
      </w:r>
    </w:p>
    <w:p w14:paraId="10B1071C">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(1)厂内由专业人员负责将危险废物分类收集后，由专业人员负责运送。</w:t>
      </w:r>
    </w:p>
    <w:p w14:paraId="36E12B86">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(2)盛装危险废物的容器上必须粘贴符合《危险废物贮存污染控制标准》(GB18597-2023)附录A所示的标签，禁止将不相容(相互反应)的危险废物在同一容器内混装，装载液体、半固体危险废物的容器内须留足够空间，容器顶部与液体表面之间保留100mm以上的空间。</w:t>
      </w:r>
    </w:p>
    <w:p w14:paraId="2809CF16">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(3)必须做好危险废物记录，记录上须注明危险废物的名称、来源、数量、特性和包装容器的类别及接收单位名称。危险废物的记录和货单在危险废物回取后应继续保留三年。</w:t>
      </w:r>
    </w:p>
    <w:p w14:paraId="7A4130D7">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hint="eastAsia" w:ascii="Times New Roman" w:hAnsi="Times New Roman" w:eastAsia="宋体" w:cs="Times New Roman"/>
          <w:caps w:val="0"/>
          <w:smallCaps w:val="0"/>
          <w:color w:val="auto"/>
          <w:spacing w:val="0"/>
          <w:szCs w:val="24"/>
          <w:highlight w:val="none"/>
        </w:rPr>
        <w:t>(4)必须定期对所贮存的危险废物包装容器及贮存设施进行检查，发现破损，应及时采取措施清理更换。</w:t>
      </w:r>
    </w:p>
    <w:p w14:paraId="25A298CE">
      <w:pPr>
        <w:widowControl w:val="0"/>
        <w:adjustRightInd w:val="0"/>
        <w:snapToGrid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(5)在转移危险废物前，建设单位须按照国家有关规定报批危险废物转移计划;经批准后，产生单位应当向当地环境保护行政主管部门申请领取国务院环境保护行政主管部门统一制定的联单。并在危险废物转移前三日内报告当地环境保护行政主管部门，并同时将预期到达时间报告</w:t>
      </w:r>
      <w:r>
        <w:rPr>
          <w:rFonts w:hint="eastAsia" w:ascii="Times New Roman" w:hAnsi="Times New Roman" w:eastAsia="宋体" w:cs="Times New Roman"/>
          <w:caps w:val="0"/>
          <w:smallCaps w:val="0"/>
          <w:color w:val="auto"/>
          <w:spacing w:val="0"/>
          <w:szCs w:val="24"/>
          <w:highlight w:val="none"/>
        </w:rPr>
        <w:t>接收</w:t>
      </w:r>
      <w:r>
        <w:rPr>
          <w:rFonts w:ascii="Times New Roman" w:hAnsi="Times New Roman" w:eastAsia="宋体" w:cs="Times New Roman"/>
          <w:caps w:val="0"/>
          <w:smallCaps w:val="0"/>
          <w:color w:val="auto"/>
          <w:spacing w:val="0"/>
          <w:szCs w:val="24"/>
          <w:highlight w:val="none"/>
        </w:rPr>
        <w:t>地环境保护行政主管部门。建设单位必须如实填写联单中产生单位栏目，并加盖公章，经交付危险废物运输单位核实验收签字后，将联单第一联副联自留存档，将联单第二联交当地环境保护行政主管部门，联单第一联正联及其余各联交付运输单位随危险废物转移运行。</w:t>
      </w:r>
    </w:p>
    <w:p w14:paraId="75602B72">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5</w:t>
      </w:r>
      <w:r>
        <w:rPr>
          <w:rFonts w:ascii="Times New Roman" w:hAnsi="Times New Roman" w:eastAsia="宋体" w:cs="Times New Roman"/>
          <w:caps w:val="0"/>
          <w:smallCaps w:val="0"/>
          <w:color w:val="auto"/>
          <w:spacing w:val="0"/>
          <w:highlight w:val="none"/>
        </w:rPr>
        <w:t>、危险废物的运输</w:t>
      </w:r>
    </w:p>
    <w:p w14:paraId="3B94CCD2">
      <w:pPr>
        <w:widowControl w:val="0"/>
        <w:spacing w:line="360" w:lineRule="auto"/>
        <w:ind w:left="1" w:right="63" w:firstLine="482"/>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危险废物储运过程中应严格执行《危险废物转移管理办法》、《道路危险废物运输管理规定》、《危险品运输管理规范》、《道路运输危险货物车辆标志》以及《危险废物贮存污染控制标准》(GB18597-2023)和《危险废物收集贮存运输技术规范》(HJ2025-2012)等相关规定和要求。根据国家有关危险废物贮运法规要求，采取运输、储存全过程的安全和环保措施。对于危险固体废物，禁止将其在非收集、非暂时贮存地点倾倒、堆放；禁止将危险废物混入其它废物和生活垃圾；禁止在内部运送过程中丢弃危险废物。</w:t>
      </w:r>
    </w:p>
    <w:p w14:paraId="0DB5B49A">
      <w:pPr>
        <w:widowControl w:val="0"/>
        <w:spacing w:line="360" w:lineRule="auto"/>
        <w:ind w:left="484"/>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综上，项目危险废物贮存库采取以上措施后，可满足项目危废暂存要求。</w:t>
      </w:r>
    </w:p>
    <w:p w14:paraId="30D07463">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6.2.4.4其他要求与建议</w:t>
      </w:r>
    </w:p>
    <w:p w14:paraId="5E3C0B15">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落实固体废物处理处置途径，与相关有危险废物处理资质的单位签订收购协议，使环保措施落到实处。当危险废物贮存库的危废量较大时，应立即联系危废单位对危废进行处置，保证危险废物贮存库有余量存储危废。</w:t>
      </w:r>
    </w:p>
    <w:p w14:paraId="7CB177F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(2)本工程产生的危险废物的贮存必须符合《危险废物贮存污染控制标准》(GB18597-2023)中相关要求，贮存场所地面做好防渗，满足防风、防雨、防晒要求。</w:t>
      </w:r>
    </w:p>
    <w:p w14:paraId="51797D7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加强管理，禁止危险废物混入一般固体废物中处置，禁止各种固体废物乱堆乱放，防止对周围景观及随风起尘或随雨下渗对空气环境和地下水环境造成污染。同时对于易于反应的液态物质不能放置在一个危险废物贮存库内，需放置于不同危险废物贮存库内。</w:t>
      </w:r>
    </w:p>
    <w:p w14:paraId="73B3FCA1">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(4)做好危险废物情况的记录，注明危险废物名称、来源、数量、特性和包装容器的类别、入库日期、存放位置、出库日期及</w:t>
      </w:r>
      <w:r>
        <w:rPr>
          <w:rFonts w:hint="eastAsia" w:ascii="Times New Roman" w:hAnsi="Times New Roman" w:eastAsia="宋体" w:cs="Times New Roman"/>
          <w:caps w:val="0"/>
          <w:smallCaps w:val="0"/>
          <w:color w:val="auto"/>
          <w:spacing w:val="0"/>
          <w:szCs w:val="24"/>
          <w:highlight w:val="none"/>
        </w:rPr>
        <w:t>接收单位</w:t>
      </w:r>
      <w:r>
        <w:rPr>
          <w:rFonts w:ascii="Times New Roman" w:hAnsi="Times New Roman" w:eastAsia="宋体" w:cs="Times New Roman"/>
          <w:caps w:val="0"/>
          <w:smallCaps w:val="0"/>
          <w:color w:val="auto"/>
          <w:spacing w:val="0"/>
          <w:szCs w:val="24"/>
          <w:highlight w:val="none"/>
        </w:rPr>
        <w:t>名称等。</w:t>
      </w:r>
    </w:p>
    <w:p w14:paraId="5657ABF3">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(5)本环评建议在保证废气正常稳定达标排放的情况下，活性炭需定期更换，做好更换台账记录。</w:t>
      </w:r>
    </w:p>
    <w:p w14:paraId="6F6705FE">
      <w:pPr>
        <w:pStyle w:val="5"/>
        <w:widowControl w:val="0"/>
        <w:ind w:left="8433" w:hanging="8433" w:hangingChars="2800"/>
        <w:rPr>
          <w:rFonts w:eastAsia="宋体"/>
          <w:caps w:val="0"/>
          <w:smallCaps w:val="0"/>
          <w:color w:val="auto"/>
          <w:spacing w:val="0"/>
          <w:sz w:val="30"/>
          <w:szCs w:val="30"/>
          <w:highlight w:val="none"/>
        </w:rPr>
      </w:pPr>
      <w:bookmarkStart w:id="219" w:name="_Toc7095"/>
      <w:r>
        <w:rPr>
          <w:rFonts w:eastAsia="宋体"/>
          <w:caps w:val="0"/>
          <w:smallCaps w:val="0"/>
          <w:color w:val="auto"/>
          <w:spacing w:val="0"/>
          <w:sz w:val="30"/>
          <w:szCs w:val="30"/>
          <w:highlight w:val="none"/>
        </w:rPr>
        <w:t>6.2.5运营期地下水污染防治措施</w:t>
      </w:r>
      <w:bookmarkEnd w:id="219"/>
    </w:p>
    <w:p w14:paraId="690A3385">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地下水污染防治措施坚持“源头控制、分区防控、污染监控、应急响应”相结合的原则，即采取主动控制和被动控制相结合的措施。</w:t>
      </w:r>
    </w:p>
    <w:p w14:paraId="56E83B6E">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6.2.5.1污染源源头控制措施</w:t>
      </w:r>
    </w:p>
    <w:p w14:paraId="0515EF90">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应积极采用节能减排及清洁生产技术，不断改进生产工艺，降低污染物产生量和排放量，尽可能从源头上减少污染物的产生，防止环境污染；应对产生的废水进行合理的治理和综合利用，严格按照国家相关规范要求，对工艺、管道、设备、污水储存及处理构建物采取相应的措施，以防止和降低可能污染物的跑、冒、滴、漏，将废水泄漏的环境风险事故降低到最低程度。具体如下：</w:t>
      </w:r>
    </w:p>
    <w:p w14:paraId="0E9044F6">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(1)废水排放防治措施</w:t>
      </w:r>
    </w:p>
    <w:p w14:paraId="5B3E8B17">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污水排放是造成地表水污染从而造成地下水污染的重要原因。因此，防止地下水污染最根本的方法就是减少废水中污染物的排放量。采用节能减排及清洁生产技术，不断改进工艺，降低污染物产生量和排放量，防止环境污染。</w:t>
      </w:r>
    </w:p>
    <w:p w14:paraId="60F55B06">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(2)雨水、废水及事故水处理收集防治措施</w:t>
      </w:r>
    </w:p>
    <w:p w14:paraId="656D7D2D">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在项目运行过程中为了防止少量的轻度污染的雨水渗入地下造成污染，应加强初期雨水的收集及处理工作，并实现“清污分流”，减少污水的随意排放，将初期雨水集中送入雨水收集池后进入污水处理系统，统一处理；设置事故水池，以便于及时将事故水收集，防止事故水随意溢流，并对事故水池要求采取严格的防渗措施，防止污水渗入地下水。</w:t>
      </w:r>
    </w:p>
    <w:p w14:paraId="65BB479F">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(3)管网布置及维护防治措施</w:t>
      </w:r>
    </w:p>
    <w:p w14:paraId="518B3D00">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本项目废水管要确保质量，管接头处采取严格的防渗措施。建成后建设单位应定期、不定期对污水输送管线进行巡查，并做到污染物“早发现、早处理”，减少管道的跑、冒、滴、漏。</w:t>
      </w:r>
    </w:p>
    <w:p w14:paraId="4927BED8">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(4)固体废物厂内临时堆存防治措施</w:t>
      </w:r>
    </w:p>
    <w:p w14:paraId="67608DA6">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项目建设危险废物贮存库1座，位于生产制造车间内北侧，占地面积为270m</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。危险废物暂存于危险废物贮存库，危险废物暂存应符合《危险废物贮存污染控制标准》(GB18597-2023)的规定，采取防渗、防散失措施，危险废物贮存区设置危险废物贮存标志。防止对地下水造成污染。</w:t>
      </w:r>
    </w:p>
    <w:p w14:paraId="4E8FF0F8">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6.2.5.2分区防控措施</w:t>
      </w:r>
    </w:p>
    <w:p w14:paraId="70E480D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对于已经颁布污染控制国家标准或防渗技术规范的行业水平防渗技术要求，按照相应标准或规范执行，未颁布相关标准的行业，根据预测结果及天然包气带防污性能、污染控制难易程度和污染物特性提出防渗技术要求。污水处理系统各区域的防渗措施分区如表6.2-</w:t>
      </w:r>
      <w:r>
        <w:rPr>
          <w:rFonts w:hint="eastAsia" w:ascii="Times New Roman" w:hAnsi="Times New Roman" w:eastAsia="宋体" w:cs="Times New Roman"/>
          <w:caps w:val="0"/>
          <w:smallCaps w:val="0"/>
          <w:color w:val="auto"/>
          <w:spacing w:val="0"/>
          <w:highlight w:val="none"/>
          <w:lang w:val="en-US" w:eastAsia="zh-CN"/>
        </w:rPr>
        <w:t>6</w:t>
      </w:r>
      <w:r>
        <w:rPr>
          <w:rFonts w:ascii="Times New Roman" w:hAnsi="Times New Roman" w:eastAsia="宋体" w:cs="Times New Roman"/>
          <w:caps w:val="0"/>
          <w:smallCaps w:val="0"/>
          <w:color w:val="auto"/>
          <w:spacing w:val="0"/>
          <w:highlight w:val="none"/>
        </w:rPr>
        <w:t>。</w:t>
      </w:r>
    </w:p>
    <w:p w14:paraId="102BE1E3">
      <w:pPr>
        <w:widowControl w:val="0"/>
        <w:jc w:val="center"/>
        <w:rPr>
          <w:rFonts w:ascii="Times New Roman" w:hAnsi="Times New Roman" w:eastAsia="宋体" w:cs="Times New Roman"/>
          <w:b/>
          <w:caps w:val="0"/>
          <w:smallCaps w:val="0"/>
          <w:color w:val="auto"/>
          <w:spacing w:val="0"/>
          <w:highlight w:val="none"/>
          <w:lang w:val="zh-CN"/>
        </w:rPr>
      </w:pPr>
      <w:r>
        <w:rPr>
          <w:rFonts w:ascii="Times New Roman" w:hAnsi="Times New Roman" w:eastAsia="宋体" w:cs="Times New Roman"/>
          <w:b/>
          <w:caps w:val="0"/>
          <w:smallCaps w:val="0"/>
          <w:color w:val="auto"/>
          <w:spacing w:val="0"/>
          <w:highlight w:val="none"/>
          <w:lang w:val="zh-CN"/>
        </w:rPr>
        <w:t>表6.</w:t>
      </w:r>
      <w:r>
        <w:rPr>
          <w:rFonts w:ascii="Times New Roman" w:hAnsi="Times New Roman" w:eastAsia="宋体" w:cs="Times New Roman"/>
          <w:b/>
          <w:caps w:val="0"/>
          <w:smallCaps w:val="0"/>
          <w:color w:val="auto"/>
          <w:spacing w:val="0"/>
          <w:highlight w:val="none"/>
        </w:rPr>
        <w:t>2</w:t>
      </w:r>
      <w:r>
        <w:rPr>
          <w:rFonts w:ascii="Times New Roman" w:hAnsi="Times New Roman" w:eastAsia="宋体" w:cs="Times New Roman"/>
          <w:b/>
          <w:caps w:val="0"/>
          <w:smallCaps w:val="0"/>
          <w:color w:val="auto"/>
          <w:spacing w:val="0"/>
          <w:highlight w:val="none"/>
          <w:lang w:val="zh-CN"/>
        </w:rPr>
        <w:t>-</w:t>
      </w:r>
      <w:r>
        <w:rPr>
          <w:rFonts w:hint="eastAsia" w:ascii="Times New Roman" w:hAnsi="Times New Roman" w:eastAsia="宋体" w:cs="Times New Roman"/>
          <w:b/>
          <w:caps w:val="0"/>
          <w:smallCaps w:val="0"/>
          <w:color w:val="auto"/>
          <w:spacing w:val="0"/>
          <w:highlight w:val="none"/>
          <w:lang w:val="en-US" w:eastAsia="zh-CN"/>
        </w:rPr>
        <w:t>6</w:t>
      </w:r>
      <w:r>
        <w:rPr>
          <w:rFonts w:ascii="Times New Roman" w:hAnsi="Times New Roman" w:eastAsia="宋体" w:cs="Times New Roman"/>
          <w:b/>
          <w:caps w:val="0"/>
          <w:smallCaps w:val="0"/>
          <w:color w:val="auto"/>
          <w:spacing w:val="0"/>
          <w:highlight w:val="none"/>
          <w:lang w:val="zh-CN"/>
        </w:rPr>
        <w:t>天然包气带防污性能分级</w:t>
      </w:r>
    </w:p>
    <w:tbl>
      <w:tblPr>
        <w:tblStyle w:val="37"/>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86"/>
        <w:gridCol w:w="4472"/>
        <w:gridCol w:w="3928"/>
      </w:tblGrid>
      <w:tr w14:paraId="396105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418" w:hRule="atLeast"/>
          <w:jc w:val="center"/>
        </w:trPr>
        <w:tc>
          <w:tcPr>
            <w:tcW w:w="823" w:type="dxa"/>
            <w:tcBorders>
              <w:top w:val="single" w:color="auto" w:sz="8" w:space="0"/>
              <w:bottom w:val="single" w:color="auto" w:sz="8" w:space="0"/>
            </w:tcBorders>
            <w:vAlign w:val="center"/>
          </w:tcPr>
          <w:p w14:paraId="2A421537">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分级</w:t>
            </w:r>
          </w:p>
        </w:tc>
        <w:tc>
          <w:tcPr>
            <w:tcW w:w="4154" w:type="dxa"/>
            <w:tcBorders>
              <w:top w:val="single" w:color="auto" w:sz="8" w:space="0"/>
              <w:bottom w:val="single" w:color="auto" w:sz="8" w:space="0"/>
            </w:tcBorders>
            <w:vAlign w:val="center"/>
          </w:tcPr>
          <w:p w14:paraId="1170FF2E">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包气带岩土的渗透性能</w:t>
            </w:r>
          </w:p>
        </w:tc>
        <w:tc>
          <w:tcPr>
            <w:tcW w:w="3649" w:type="dxa"/>
            <w:tcBorders>
              <w:top w:val="single" w:color="auto" w:sz="8" w:space="0"/>
              <w:bottom w:val="single" w:color="auto" w:sz="8" w:space="0"/>
            </w:tcBorders>
            <w:vAlign w:val="center"/>
          </w:tcPr>
          <w:p w14:paraId="49D101D3">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本工程</w:t>
            </w:r>
          </w:p>
        </w:tc>
      </w:tr>
      <w:tr w14:paraId="28F159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78" w:hRule="atLeast"/>
          <w:jc w:val="center"/>
        </w:trPr>
        <w:tc>
          <w:tcPr>
            <w:tcW w:w="823" w:type="dxa"/>
            <w:tcBorders>
              <w:top w:val="single" w:color="auto" w:sz="8" w:space="0"/>
            </w:tcBorders>
            <w:vAlign w:val="center"/>
          </w:tcPr>
          <w:p w14:paraId="357771D7">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强</w:t>
            </w:r>
          </w:p>
        </w:tc>
        <w:tc>
          <w:tcPr>
            <w:tcW w:w="4154" w:type="dxa"/>
            <w:tcBorders>
              <w:top w:val="single" w:color="auto" w:sz="8" w:space="0"/>
            </w:tcBorders>
            <w:vAlign w:val="center"/>
          </w:tcPr>
          <w:p w14:paraId="08A54489">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岩（土）层单层厚度Mb≥1.0m，渗透系数K≤10</w:t>
            </w:r>
            <w:r>
              <w:rPr>
                <w:rFonts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cm/s，且分布连续、稳定。</w:t>
            </w:r>
          </w:p>
        </w:tc>
        <w:tc>
          <w:tcPr>
            <w:tcW w:w="3649" w:type="dxa"/>
            <w:vMerge w:val="restart"/>
            <w:tcBorders>
              <w:top w:val="single" w:color="auto" w:sz="8" w:space="0"/>
              <w:bottom w:val="single" w:color="auto" w:sz="8" w:space="0"/>
            </w:tcBorders>
            <w:vAlign w:val="center"/>
          </w:tcPr>
          <w:p w14:paraId="0A9EBC2A">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本项目评价区含水层主要为第四系砂砾石孔隙水，上覆2.0－4.0m的粉质黏土层，分布连续稳定，包气带</w:t>
            </w:r>
            <w:r>
              <w:rPr>
                <w:rFonts w:hint="eastAsia" w:ascii="Times New Roman" w:hAnsi="Times New Roman" w:eastAsia="宋体" w:cs="Times New Roman"/>
                <w:caps w:val="0"/>
                <w:smallCaps w:val="0"/>
                <w:color w:val="auto"/>
                <w:spacing w:val="0"/>
                <w:highlight w:val="none"/>
              </w:rPr>
              <w:t>渗透系数</w:t>
            </w:r>
            <w:r>
              <w:rPr>
                <w:rFonts w:ascii="Times New Roman" w:hAnsi="Times New Roman" w:eastAsia="宋体" w:cs="Times New Roman"/>
                <w:caps w:val="0"/>
                <w:smallCaps w:val="0"/>
                <w:color w:val="auto"/>
                <w:spacing w:val="0"/>
                <w:highlight w:val="none"/>
              </w:rPr>
              <w:t>介于10</w:t>
            </w:r>
            <w:r>
              <w:rPr>
                <w:rFonts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cm/s&lt;K≤10</w:t>
            </w:r>
            <w:r>
              <w:rPr>
                <w:rFonts w:ascii="Times New Roman" w:hAnsi="Times New Roman" w:eastAsia="宋体" w:cs="Times New Roman"/>
                <w:caps w:val="0"/>
                <w:smallCaps w:val="0"/>
                <w:color w:val="auto"/>
                <w:spacing w:val="0"/>
                <w:highlight w:val="none"/>
                <w:vertAlign w:val="superscript"/>
              </w:rPr>
              <w:t>-4</w:t>
            </w:r>
            <w:r>
              <w:rPr>
                <w:rFonts w:ascii="Times New Roman" w:hAnsi="Times New Roman" w:eastAsia="宋体" w:cs="Times New Roman"/>
                <w:caps w:val="0"/>
                <w:smallCaps w:val="0"/>
                <w:color w:val="auto"/>
                <w:spacing w:val="0"/>
                <w:highlight w:val="none"/>
              </w:rPr>
              <w:t>cm/s，综上确定包气带防污性能为“中”。</w:t>
            </w:r>
          </w:p>
        </w:tc>
      </w:tr>
      <w:tr w14:paraId="52F275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78" w:hRule="atLeast"/>
          <w:jc w:val="center"/>
        </w:trPr>
        <w:tc>
          <w:tcPr>
            <w:tcW w:w="823" w:type="dxa"/>
            <w:vAlign w:val="center"/>
          </w:tcPr>
          <w:p w14:paraId="31258382">
            <w:pPr>
              <w:pStyle w:val="127"/>
              <w:widowControl w:val="0"/>
              <w:rPr>
                <w:rFonts w:ascii="Times New Roman" w:hAnsi="Times New Roman" w:eastAsia="宋体" w:cs="Times New Roman"/>
                <w:b/>
                <w:bCs/>
                <w:caps w:val="0"/>
                <w:smallCaps w:val="0"/>
                <w:color w:val="auto"/>
                <w:spacing w:val="0"/>
                <w:highlight w:val="none"/>
                <w:shd w:val="clear" w:color="FFFFFF" w:fill="D9D9D9"/>
              </w:rPr>
            </w:pPr>
            <w:r>
              <w:rPr>
                <w:rFonts w:ascii="Times New Roman" w:hAnsi="Times New Roman" w:eastAsia="宋体" w:cs="Times New Roman"/>
                <w:b/>
                <w:bCs/>
                <w:caps w:val="0"/>
                <w:smallCaps w:val="0"/>
                <w:color w:val="auto"/>
                <w:spacing w:val="0"/>
                <w:highlight w:val="none"/>
                <w:shd w:val="clear" w:color="FFFFFF" w:fill="D9D9D9"/>
              </w:rPr>
              <w:t>中√</w:t>
            </w:r>
          </w:p>
        </w:tc>
        <w:tc>
          <w:tcPr>
            <w:tcW w:w="4154" w:type="dxa"/>
            <w:vAlign w:val="center"/>
          </w:tcPr>
          <w:p w14:paraId="1E8E3D08">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岩（土）层单层厚度0.5m≤Mb&lt;1.0m，渗透系数K≤10</w:t>
            </w:r>
            <w:r>
              <w:rPr>
                <w:rFonts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cm/s，且分布连续、稳定。</w:t>
            </w:r>
          </w:p>
          <w:p w14:paraId="5CC2C914">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岩（土）层单层厚度Mb≥1.0m，渗透系数10</w:t>
            </w:r>
            <w:r>
              <w:rPr>
                <w:rFonts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cm/s&lt;K≤10</w:t>
            </w:r>
            <w:r>
              <w:rPr>
                <w:rFonts w:ascii="Times New Roman" w:hAnsi="Times New Roman" w:eastAsia="宋体" w:cs="Times New Roman"/>
                <w:caps w:val="0"/>
                <w:smallCaps w:val="0"/>
                <w:color w:val="auto"/>
                <w:spacing w:val="0"/>
                <w:highlight w:val="none"/>
                <w:vertAlign w:val="superscript"/>
              </w:rPr>
              <w:t>-4</w:t>
            </w:r>
            <w:r>
              <w:rPr>
                <w:rFonts w:ascii="Times New Roman" w:hAnsi="Times New Roman" w:eastAsia="宋体" w:cs="Times New Roman"/>
                <w:caps w:val="0"/>
                <w:smallCaps w:val="0"/>
                <w:color w:val="auto"/>
                <w:spacing w:val="0"/>
                <w:highlight w:val="none"/>
              </w:rPr>
              <w:t>cm/s，且分布连续、稳定。</w:t>
            </w:r>
          </w:p>
        </w:tc>
        <w:tc>
          <w:tcPr>
            <w:tcW w:w="3649" w:type="dxa"/>
            <w:vMerge w:val="continue"/>
            <w:tcBorders>
              <w:top w:val="single" w:color="auto" w:sz="8" w:space="0"/>
              <w:bottom w:val="single" w:color="auto" w:sz="8" w:space="0"/>
            </w:tcBorders>
            <w:vAlign w:val="center"/>
          </w:tcPr>
          <w:p w14:paraId="33A25B86">
            <w:pPr>
              <w:pStyle w:val="127"/>
              <w:widowControl w:val="0"/>
              <w:rPr>
                <w:rFonts w:ascii="Times New Roman" w:hAnsi="Times New Roman" w:eastAsia="宋体" w:cs="Times New Roman"/>
                <w:caps w:val="0"/>
                <w:smallCaps w:val="0"/>
                <w:color w:val="auto"/>
                <w:spacing w:val="0"/>
                <w:highlight w:val="none"/>
              </w:rPr>
            </w:pPr>
          </w:p>
        </w:tc>
      </w:tr>
      <w:tr w14:paraId="6916C0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537" w:hRule="atLeast"/>
          <w:jc w:val="center"/>
        </w:trPr>
        <w:tc>
          <w:tcPr>
            <w:tcW w:w="823" w:type="dxa"/>
            <w:tcBorders>
              <w:bottom w:val="single" w:color="auto" w:sz="8" w:space="0"/>
            </w:tcBorders>
            <w:vAlign w:val="center"/>
          </w:tcPr>
          <w:p w14:paraId="664D7185">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弱</w:t>
            </w:r>
          </w:p>
        </w:tc>
        <w:tc>
          <w:tcPr>
            <w:tcW w:w="4154" w:type="dxa"/>
            <w:tcBorders>
              <w:bottom w:val="single" w:color="auto" w:sz="8" w:space="0"/>
            </w:tcBorders>
            <w:vAlign w:val="center"/>
          </w:tcPr>
          <w:p w14:paraId="420B0716">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岩（土）层不满足上述“强”和“中”条件。</w:t>
            </w:r>
          </w:p>
        </w:tc>
        <w:tc>
          <w:tcPr>
            <w:tcW w:w="3649" w:type="dxa"/>
            <w:vMerge w:val="continue"/>
            <w:tcBorders>
              <w:top w:val="single" w:color="auto" w:sz="8" w:space="0"/>
              <w:bottom w:val="single" w:color="auto" w:sz="8" w:space="0"/>
            </w:tcBorders>
            <w:vAlign w:val="center"/>
          </w:tcPr>
          <w:p w14:paraId="7B12709E">
            <w:pPr>
              <w:pStyle w:val="127"/>
              <w:widowControl w:val="0"/>
              <w:rPr>
                <w:rFonts w:ascii="Times New Roman" w:hAnsi="Times New Roman" w:eastAsia="宋体" w:cs="Times New Roman"/>
                <w:caps w:val="0"/>
                <w:smallCaps w:val="0"/>
                <w:color w:val="auto"/>
                <w:spacing w:val="0"/>
                <w:highlight w:val="none"/>
              </w:rPr>
            </w:pPr>
          </w:p>
        </w:tc>
      </w:tr>
    </w:tbl>
    <w:p w14:paraId="003A5DEA">
      <w:pPr>
        <w:widowControl w:val="0"/>
        <w:jc w:val="center"/>
        <w:rPr>
          <w:rFonts w:ascii="Times New Roman" w:hAnsi="Times New Roman" w:eastAsia="宋体" w:cs="Times New Roman"/>
          <w:b/>
          <w:caps w:val="0"/>
          <w:smallCaps w:val="0"/>
          <w:color w:val="auto"/>
          <w:spacing w:val="0"/>
          <w:highlight w:val="none"/>
          <w:lang w:val="zh-CN"/>
        </w:rPr>
      </w:pPr>
      <w:r>
        <w:rPr>
          <w:rFonts w:ascii="Times New Roman" w:hAnsi="Times New Roman" w:eastAsia="宋体" w:cs="Times New Roman"/>
          <w:b/>
          <w:caps w:val="0"/>
          <w:smallCaps w:val="0"/>
          <w:color w:val="auto"/>
          <w:spacing w:val="0"/>
          <w:highlight w:val="none"/>
          <w:lang w:val="zh-CN"/>
        </w:rPr>
        <w:t>表6.</w:t>
      </w:r>
      <w:r>
        <w:rPr>
          <w:rFonts w:ascii="Times New Roman" w:hAnsi="Times New Roman" w:eastAsia="宋体" w:cs="Times New Roman"/>
          <w:b/>
          <w:caps w:val="0"/>
          <w:smallCaps w:val="0"/>
          <w:color w:val="auto"/>
          <w:spacing w:val="0"/>
          <w:highlight w:val="none"/>
        </w:rPr>
        <w:t>2</w:t>
      </w:r>
      <w:r>
        <w:rPr>
          <w:rFonts w:ascii="Times New Roman" w:hAnsi="Times New Roman" w:eastAsia="宋体" w:cs="Times New Roman"/>
          <w:b/>
          <w:caps w:val="0"/>
          <w:smallCaps w:val="0"/>
          <w:color w:val="auto"/>
          <w:spacing w:val="0"/>
          <w:highlight w:val="none"/>
          <w:lang w:val="zh-CN"/>
        </w:rPr>
        <w:t>-</w:t>
      </w:r>
      <w:r>
        <w:rPr>
          <w:rFonts w:hint="eastAsia" w:ascii="Times New Roman" w:hAnsi="Times New Roman" w:eastAsia="宋体" w:cs="Times New Roman"/>
          <w:b/>
          <w:caps w:val="0"/>
          <w:smallCaps w:val="0"/>
          <w:color w:val="auto"/>
          <w:spacing w:val="0"/>
          <w:highlight w:val="none"/>
          <w:lang w:val="en-US" w:eastAsia="zh-CN"/>
        </w:rPr>
        <w:t>7</w:t>
      </w:r>
      <w:r>
        <w:rPr>
          <w:rFonts w:ascii="Times New Roman" w:hAnsi="Times New Roman" w:eastAsia="宋体" w:cs="Times New Roman"/>
          <w:b/>
          <w:caps w:val="0"/>
          <w:smallCaps w:val="0"/>
          <w:color w:val="auto"/>
          <w:spacing w:val="0"/>
          <w:highlight w:val="none"/>
          <w:lang w:val="zh-CN"/>
        </w:rPr>
        <w:t>地下水污染防渗分区</w:t>
      </w:r>
    </w:p>
    <w:tbl>
      <w:tblPr>
        <w:tblStyle w:val="37"/>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86"/>
        <w:gridCol w:w="1234"/>
        <w:gridCol w:w="1082"/>
        <w:gridCol w:w="1083"/>
        <w:gridCol w:w="1700"/>
        <w:gridCol w:w="2199"/>
        <w:gridCol w:w="1102"/>
      </w:tblGrid>
      <w:tr w14:paraId="48B171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813" w:type="dxa"/>
            <w:tcBorders>
              <w:top w:val="single" w:color="auto" w:sz="8" w:space="0"/>
              <w:bottom w:val="single" w:color="auto" w:sz="8" w:space="0"/>
            </w:tcBorders>
            <w:vAlign w:val="center"/>
          </w:tcPr>
          <w:p w14:paraId="36919F74">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防渗分区</w:t>
            </w:r>
          </w:p>
        </w:tc>
        <w:tc>
          <w:tcPr>
            <w:tcW w:w="1131" w:type="dxa"/>
            <w:tcBorders>
              <w:top w:val="single" w:color="auto" w:sz="8" w:space="0"/>
              <w:bottom w:val="single" w:color="auto" w:sz="8" w:space="0"/>
            </w:tcBorders>
            <w:vAlign w:val="center"/>
          </w:tcPr>
          <w:p w14:paraId="7021504D">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天然包气带防污性能</w:t>
            </w:r>
          </w:p>
        </w:tc>
        <w:tc>
          <w:tcPr>
            <w:tcW w:w="992" w:type="dxa"/>
            <w:tcBorders>
              <w:top w:val="single" w:color="auto" w:sz="8" w:space="0"/>
              <w:bottom w:val="single" w:color="auto" w:sz="8" w:space="0"/>
            </w:tcBorders>
            <w:vAlign w:val="center"/>
          </w:tcPr>
          <w:p w14:paraId="604C808C">
            <w:pPr>
              <w:pStyle w:val="127"/>
              <w:widowControl w:val="0"/>
              <w:ind w:left="-122" w:leftChars="-51"/>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污染控制难易程度</w:t>
            </w:r>
          </w:p>
        </w:tc>
        <w:tc>
          <w:tcPr>
            <w:tcW w:w="993" w:type="dxa"/>
            <w:tcBorders>
              <w:top w:val="single" w:color="auto" w:sz="8" w:space="0"/>
              <w:bottom w:val="single" w:color="auto" w:sz="8" w:space="0"/>
            </w:tcBorders>
            <w:vAlign w:val="center"/>
          </w:tcPr>
          <w:p w14:paraId="3EF5168B">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污染物</w:t>
            </w:r>
          </w:p>
          <w:p w14:paraId="79502A4E">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类型</w:t>
            </w:r>
          </w:p>
        </w:tc>
        <w:tc>
          <w:tcPr>
            <w:tcW w:w="1559" w:type="dxa"/>
            <w:tcBorders>
              <w:top w:val="single" w:color="auto" w:sz="8" w:space="0"/>
              <w:bottom w:val="single" w:color="auto" w:sz="8" w:space="0"/>
            </w:tcBorders>
            <w:vAlign w:val="center"/>
          </w:tcPr>
          <w:p w14:paraId="2ACD6C06">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防渗技术要求</w:t>
            </w:r>
          </w:p>
        </w:tc>
        <w:tc>
          <w:tcPr>
            <w:tcW w:w="2016" w:type="dxa"/>
            <w:tcBorders>
              <w:top w:val="single" w:color="auto" w:sz="8" w:space="0"/>
              <w:bottom w:val="single" w:color="auto" w:sz="8" w:space="0"/>
            </w:tcBorders>
            <w:vAlign w:val="center"/>
          </w:tcPr>
          <w:p w14:paraId="65025898">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本项目</w:t>
            </w:r>
          </w:p>
          <w:p w14:paraId="2D49E48A">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构筑物</w:t>
            </w:r>
          </w:p>
        </w:tc>
        <w:tc>
          <w:tcPr>
            <w:tcW w:w="1010" w:type="dxa"/>
            <w:tcBorders>
              <w:top w:val="single" w:color="auto" w:sz="8" w:space="0"/>
              <w:bottom w:val="single" w:color="auto" w:sz="8" w:space="0"/>
            </w:tcBorders>
            <w:vAlign w:val="center"/>
          </w:tcPr>
          <w:p w14:paraId="25583CDC">
            <w:pPr>
              <w:pStyle w:val="127"/>
              <w:widowControl w:val="0"/>
              <w:rPr>
                <w:rFonts w:ascii="Times New Roman" w:hAnsi="Times New Roman" w:eastAsia="宋体" w:cs="Times New Roman"/>
                <w:b/>
                <w:bCs/>
                <w:caps w:val="0"/>
                <w:smallCaps w:val="0"/>
                <w:color w:val="auto"/>
                <w:spacing w:val="0"/>
                <w:highlight w:val="none"/>
              </w:rPr>
            </w:pPr>
            <w:r>
              <w:rPr>
                <w:rFonts w:ascii="Times New Roman" w:hAnsi="Times New Roman" w:eastAsia="宋体" w:cs="Times New Roman"/>
                <w:b/>
                <w:bCs/>
                <w:caps w:val="0"/>
                <w:smallCaps w:val="0"/>
                <w:color w:val="auto"/>
                <w:spacing w:val="0"/>
                <w:highlight w:val="none"/>
              </w:rPr>
              <w:t>备注</w:t>
            </w:r>
          </w:p>
        </w:tc>
      </w:tr>
      <w:tr w14:paraId="3F4907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3" w:type="dxa"/>
            <w:vMerge w:val="restart"/>
            <w:tcBorders>
              <w:top w:val="single" w:color="auto" w:sz="8" w:space="0"/>
            </w:tcBorders>
            <w:vAlign w:val="center"/>
          </w:tcPr>
          <w:p w14:paraId="5951579F">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重点防渗区</w:t>
            </w:r>
          </w:p>
        </w:tc>
        <w:tc>
          <w:tcPr>
            <w:tcW w:w="1131" w:type="dxa"/>
            <w:tcBorders>
              <w:top w:val="single" w:color="auto" w:sz="8" w:space="0"/>
            </w:tcBorders>
            <w:vAlign w:val="center"/>
          </w:tcPr>
          <w:p w14:paraId="69FED8CE">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弱</w:t>
            </w:r>
          </w:p>
        </w:tc>
        <w:tc>
          <w:tcPr>
            <w:tcW w:w="992" w:type="dxa"/>
            <w:tcBorders>
              <w:top w:val="single" w:color="auto" w:sz="8" w:space="0"/>
            </w:tcBorders>
            <w:vAlign w:val="center"/>
          </w:tcPr>
          <w:p w14:paraId="6D1A4CA3">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难</w:t>
            </w:r>
          </w:p>
        </w:tc>
        <w:tc>
          <w:tcPr>
            <w:tcW w:w="993" w:type="dxa"/>
            <w:vMerge w:val="restart"/>
            <w:tcBorders>
              <w:top w:val="single" w:color="auto" w:sz="8" w:space="0"/>
            </w:tcBorders>
            <w:vAlign w:val="center"/>
          </w:tcPr>
          <w:p w14:paraId="30720A77">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重金属、持久性有机污染物</w:t>
            </w:r>
          </w:p>
        </w:tc>
        <w:tc>
          <w:tcPr>
            <w:tcW w:w="1559" w:type="dxa"/>
            <w:vMerge w:val="restart"/>
            <w:tcBorders>
              <w:top w:val="single" w:color="auto" w:sz="8" w:space="0"/>
            </w:tcBorders>
            <w:vAlign w:val="center"/>
          </w:tcPr>
          <w:p w14:paraId="71006F10">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等效黏土防渗层Mb≥6.0m，K≤1×10-7cm/s；或参照GB18598执行</w:t>
            </w:r>
          </w:p>
        </w:tc>
        <w:tc>
          <w:tcPr>
            <w:tcW w:w="2016" w:type="dxa"/>
            <w:vMerge w:val="restart"/>
            <w:tcBorders>
              <w:top w:val="single" w:color="auto" w:sz="8" w:space="0"/>
            </w:tcBorders>
            <w:vAlign w:val="center"/>
          </w:tcPr>
          <w:p w14:paraId="7DC61E44">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危险废物贮存库，污水处理间，应急事故池</w:t>
            </w:r>
          </w:p>
        </w:tc>
        <w:tc>
          <w:tcPr>
            <w:tcW w:w="1010" w:type="dxa"/>
            <w:vMerge w:val="restart"/>
            <w:tcBorders>
              <w:top w:val="single" w:color="auto" w:sz="8" w:space="0"/>
            </w:tcBorders>
            <w:vAlign w:val="center"/>
          </w:tcPr>
          <w:p w14:paraId="47336CF0">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镉</w:t>
            </w:r>
          </w:p>
        </w:tc>
      </w:tr>
      <w:tr w14:paraId="35EC04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3" w:type="dxa"/>
            <w:vMerge w:val="continue"/>
            <w:vAlign w:val="center"/>
          </w:tcPr>
          <w:p w14:paraId="499981AE">
            <w:pPr>
              <w:pStyle w:val="127"/>
              <w:widowControl w:val="0"/>
              <w:rPr>
                <w:rFonts w:ascii="Times New Roman" w:hAnsi="Times New Roman" w:eastAsia="宋体" w:cs="Times New Roman"/>
                <w:caps w:val="0"/>
                <w:smallCaps w:val="0"/>
                <w:color w:val="auto"/>
                <w:spacing w:val="0"/>
                <w:highlight w:val="none"/>
              </w:rPr>
            </w:pPr>
          </w:p>
        </w:tc>
        <w:tc>
          <w:tcPr>
            <w:tcW w:w="1131" w:type="dxa"/>
            <w:vAlign w:val="center"/>
          </w:tcPr>
          <w:p w14:paraId="3D0E213C">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中－强</w:t>
            </w:r>
          </w:p>
        </w:tc>
        <w:tc>
          <w:tcPr>
            <w:tcW w:w="992" w:type="dxa"/>
            <w:vAlign w:val="center"/>
          </w:tcPr>
          <w:p w14:paraId="10613E6C">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难</w:t>
            </w:r>
          </w:p>
        </w:tc>
        <w:tc>
          <w:tcPr>
            <w:tcW w:w="993" w:type="dxa"/>
            <w:vMerge w:val="continue"/>
            <w:vAlign w:val="center"/>
          </w:tcPr>
          <w:p w14:paraId="613CFFB4">
            <w:pPr>
              <w:pStyle w:val="127"/>
              <w:widowControl w:val="0"/>
              <w:rPr>
                <w:rFonts w:ascii="Times New Roman" w:hAnsi="Times New Roman" w:eastAsia="宋体" w:cs="Times New Roman"/>
                <w:caps w:val="0"/>
                <w:smallCaps w:val="0"/>
                <w:color w:val="auto"/>
                <w:spacing w:val="0"/>
                <w:highlight w:val="none"/>
              </w:rPr>
            </w:pPr>
          </w:p>
        </w:tc>
        <w:tc>
          <w:tcPr>
            <w:tcW w:w="1559" w:type="dxa"/>
            <w:vMerge w:val="continue"/>
            <w:vAlign w:val="center"/>
          </w:tcPr>
          <w:p w14:paraId="24A6F795">
            <w:pPr>
              <w:pStyle w:val="127"/>
              <w:widowControl w:val="0"/>
              <w:rPr>
                <w:rFonts w:ascii="Times New Roman" w:hAnsi="Times New Roman" w:eastAsia="宋体" w:cs="Times New Roman"/>
                <w:caps w:val="0"/>
                <w:smallCaps w:val="0"/>
                <w:color w:val="auto"/>
                <w:spacing w:val="0"/>
                <w:highlight w:val="none"/>
              </w:rPr>
            </w:pPr>
          </w:p>
        </w:tc>
        <w:tc>
          <w:tcPr>
            <w:tcW w:w="2016" w:type="dxa"/>
            <w:vMerge w:val="continue"/>
            <w:vAlign w:val="center"/>
          </w:tcPr>
          <w:p w14:paraId="0CC208B6">
            <w:pPr>
              <w:pStyle w:val="127"/>
              <w:widowControl w:val="0"/>
              <w:rPr>
                <w:rFonts w:ascii="Times New Roman" w:hAnsi="Times New Roman" w:eastAsia="宋体" w:cs="Times New Roman"/>
                <w:caps w:val="0"/>
                <w:smallCaps w:val="0"/>
                <w:color w:val="auto"/>
                <w:spacing w:val="0"/>
                <w:highlight w:val="none"/>
              </w:rPr>
            </w:pPr>
          </w:p>
        </w:tc>
        <w:tc>
          <w:tcPr>
            <w:tcW w:w="1010" w:type="dxa"/>
            <w:vMerge w:val="continue"/>
            <w:vAlign w:val="center"/>
          </w:tcPr>
          <w:p w14:paraId="03FDEF66">
            <w:pPr>
              <w:pStyle w:val="127"/>
              <w:widowControl w:val="0"/>
              <w:rPr>
                <w:rFonts w:ascii="Times New Roman" w:hAnsi="Times New Roman" w:eastAsia="宋体" w:cs="Times New Roman"/>
                <w:caps w:val="0"/>
                <w:smallCaps w:val="0"/>
                <w:color w:val="auto"/>
                <w:spacing w:val="0"/>
                <w:highlight w:val="none"/>
              </w:rPr>
            </w:pPr>
          </w:p>
        </w:tc>
      </w:tr>
      <w:tr w14:paraId="3FCAD3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813" w:type="dxa"/>
            <w:vMerge w:val="continue"/>
            <w:tcBorders>
              <w:bottom w:val="single" w:color="auto" w:sz="2" w:space="0"/>
            </w:tcBorders>
            <w:vAlign w:val="center"/>
          </w:tcPr>
          <w:p w14:paraId="658268B7">
            <w:pPr>
              <w:pStyle w:val="127"/>
              <w:widowControl w:val="0"/>
              <w:rPr>
                <w:rFonts w:ascii="Times New Roman" w:hAnsi="Times New Roman" w:eastAsia="宋体" w:cs="Times New Roman"/>
                <w:caps w:val="0"/>
                <w:smallCaps w:val="0"/>
                <w:color w:val="auto"/>
                <w:spacing w:val="0"/>
                <w:highlight w:val="none"/>
              </w:rPr>
            </w:pPr>
          </w:p>
        </w:tc>
        <w:tc>
          <w:tcPr>
            <w:tcW w:w="1131" w:type="dxa"/>
            <w:tcBorders>
              <w:bottom w:val="single" w:color="auto" w:sz="2" w:space="0"/>
            </w:tcBorders>
            <w:vAlign w:val="center"/>
          </w:tcPr>
          <w:p w14:paraId="6DB6CE7E">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弱</w:t>
            </w:r>
          </w:p>
        </w:tc>
        <w:tc>
          <w:tcPr>
            <w:tcW w:w="992" w:type="dxa"/>
            <w:tcBorders>
              <w:bottom w:val="single" w:color="auto" w:sz="2" w:space="0"/>
            </w:tcBorders>
            <w:vAlign w:val="center"/>
          </w:tcPr>
          <w:p w14:paraId="2F492052">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易</w:t>
            </w:r>
          </w:p>
        </w:tc>
        <w:tc>
          <w:tcPr>
            <w:tcW w:w="993" w:type="dxa"/>
            <w:vMerge w:val="continue"/>
            <w:tcBorders>
              <w:bottom w:val="single" w:color="auto" w:sz="2" w:space="0"/>
            </w:tcBorders>
            <w:vAlign w:val="center"/>
          </w:tcPr>
          <w:p w14:paraId="02BD0D9C">
            <w:pPr>
              <w:pStyle w:val="127"/>
              <w:widowControl w:val="0"/>
              <w:rPr>
                <w:rFonts w:ascii="Times New Roman" w:hAnsi="Times New Roman" w:eastAsia="宋体" w:cs="Times New Roman"/>
                <w:caps w:val="0"/>
                <w:smallCaps w:val="0"/>
                <w:color w:val="auto"/>
                <w:spacing w:val="0"/>
                <w:highlight w:val="none"/>
              </w:rPr>
            </w:pPr>
          </w:p>
        </w:tc>
        <w:tc>
          <w:tcPr>
            <w:tcW w:w="1559" w:type="dxa"/>
            <w:vMerge w:val="continue"/>
            <w:tcBorders>
              <w:bottom w:val="single" w:color="auto" w:sz="2" w:space="0"/>
            </w:tcBorders>
            <w:vAlign w:val="center"/>
          </w:tcPr>
          <w:p w14:paraId="389024BB">
            <w:pPr>
              <w:pStyle w:val="127"/>
              <w:widowControl w:val="0"/>
              <w:rPr>
                <w:rFonts w:ascii="Times New Roman" w:hAnsi="Times New Roman" w:eastAsia="宋体" w:cs="Times New Roman"/>
                <w:caps w:val="0"/>
                <w:smallCaps w:val="0"/>
                <w:color w:val="auto"/>
                <w:spacing w:val="0"/>
                <w:highlight w:val="none"/>
              </w:rPr>
            </w:pPr>
          </w:p>
        </w:tc>
        <w:tc>
          <w:tcPr>
            <w:tcW w:w="2016" w:type="dxa"/>
            <w:vMerge w:val="continue"/>
            <w:tcBorders>
              <w:bottom w:val="single" w:color="auto" w:sz="2" w:space="0"/>
            </w:tcBorders>
            <w:vAlign w:val="center"/>
          </w:tcPr>
          <w:p w14:paraId="5303EEB2">
            <w:pPr>
              <w:pStyle w:val="127"/>
              <w:widowControl w:val="0"/>
              <w:rPr>
                <w:rFonts w:ascii="Times New Roman" w:hAnsi="Times New Roman" w:eastAsia="宋体" w:cs="Times New Roman"/>
                <w:caps w:val="0"/>
                <w:smallCaps w:val="0"/>
                <w:color w:val="auto"/>
                <w:spacing w:val="0"/>
                <w:highlight w:val="none"/>
              </w:rPr>
            </w:pPr>
          </w:p>
        </w:tc>
        <w:tc>
          <w:tcPr>
            <w:tcW w:w="1010" w:type="dxa"/>
            <w:vMerge w:val="continue"/>
            <w:tcBorders>
              <w:bottom w:val="single" w:color="auto" w:sz="2" w:space="0"/>
            </w:tcBorders>
            <w:vAlign w:val="center"/>
          </w:tcPr>
          <w:p w14:paraId="6915080A">
            <w:pPr>
              <w:pStyle w:val="127"/>
              <w:widowControl w:val="0"/>
              <w:rPr>
                <w:rFonts w:ascii="Times New Roman" w:hAnsi="Times New Roman" w:eastAsia="宋体" w:cs="Times New Roman"/>
                <w:caps w:val="0"/>
                <w:smallCaps w:val="0"/>
                <w:color w:val="auto"/>
                <w:spacing w:val="0"/>
                <w:highlight w:val="none"/>
              </w:rPr>
            </w:pPr>
          </w:p>
        </w:tc>
      </w:tr>
      <w:tr w14:paraId="59F1A8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7" w:hRule="atLeast"/>
          <w:jc w:val="center"/>
        </w:trPr>
        <w:tc>
          <w:tcPr>
            <w:tcW w:w="813" w:type="dxa"/>
            <w:vMerge w:val="restart"/>
            <w:tcBorders>
              <w:top w:val="single" w:color="auto" w:sz="2" w:space="0"/>
            </w:tcBorders>
            <w:vAlign w:val="center"/>
          </w:tcPr>
          <w:p w14:paraId="2638B2A4">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一般防渗区√</w:t>
            </w:r>
          </w:p>
        </w:tc>
        <w:tc>
          <w:tcPr>
            <w:tcW w:w="1131" w:type="dxa"/>
            <w:tcBorders>
              <w:top w:val="single" w:color="auto" w:sz="2" w:space="0"/>
            </w:tcBorders>
            <w:vAlign w:val="center"/>
          </w:tcPr>
          <w:p w14:paraId="34CA3F52">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弱</w:t>
            </w:r>
          </w:p>
        </w:tc>
        <w:tc>
          <w:tcPr>
            <w:tcW w:w="992" w:type="dxa"/>
            <w:tcBorders>
              <w:top w:val="single" w:color="auto" w:sz="2" w:space="0"/>
            </w:tcBorders>
            <w:vAlign w:val="center"/>
          </w:tcPr>
          <w:p w14:paraId="0CD69D50">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易－难</w:t>
            </w:r>
          </w:p>
        </w:tc>
        <w:tc>
          <w:tcPr>
            <w:tcW w:w="993" w:type="dxa"/>
            <w:vMerge w:val="restart"/>
            <w:tcBorders>
              <w:top w:val="single" w:color="auto" w:sz="2" w:space="0"/>
            </w:tcBorders>
            <w:vAlign w:val="center"/>
          </w:tcPr>
          <w:p w14:paraId="594880B6">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其它类型</w:t>
            </w:r>
          </w:p>
        </w:tc>
        <w:tc>
          <w:tcPr>
            <w:tcW w:w="1559" w:type="dxa"/>
            <w:vMerge w:val="restart"/>
            <w:tcBorders>
              <w:top w:val="single" w:color="auto" w:sz="2" w:space="0"/>
            </w:tcBorders>
            <w:vAlign w:val="center"/>
          </w:tcPr>
          <w:p w14:paraId="16D6244C">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等效黏土防渗</w:t>
            </w:r>
          </w:p>
          <w:p w14:paraId="537098E2">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层Mb≥1.5m，K≤1×10-7cm/s</w:t>
            </w:r>
          </w:p>
        </w:tc>
        <w:tc>
          <w:tcPr>
            <w:tcW w:w="2016" w:type="dxa"/>
            <w:vMerge w:val="restart"/>
            <w:tcBorders>
              <w:top w:val="single" w:color="auto" w:sz="2" w:space="0"/>
            </w:tcBorders>
            <w:vAlign w:val="center"/>
          </w:tcPr>
          <w:p w14:paraId="3705D072">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项目生产车间、离线实验室。</w:t>
            </w:r>
          </w:p>
        </w:tc>
        <w:tc>
          <w:tcPr>
            <w:tcW w:w="1010" w:type="dxa"/>
            <w:vMerge w:val="restart"/>
            <w:tcBorders>
              <w:top w:val="single" w:color="auto" w:sz="2" w:space="0"/>
            </w:tcBorders>
            <w:vAlign w:val="center"/>
          </w:tcPr>
          <w:p w14:paraId="3CC59864">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镉、COD、BOD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、氨氮、动植物油等</w:t>
            </w:r>
          </w:p>
        </w:tc>
      </w:tr>
      <w:tr w14:paraId="53C7CA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813" w:type="dxa"/>
            <w:vMerge w:val="continue"/>
            <w:vAlign w:val="center"/>
          </w:tcPr>
          <w:p w14:paraId="6FC9A73E">
            <w:pPr>
              <w:pStyle w:val="127"/>
              <w:widowControl w:val="0"/>
              <w:rPr>
                <w:rFonts w:ascii="Times New Roman" w:hAnsi="Times New Roman" w:eastAsia="宋体" w:cs="Times New Roman"/>
                <w:caps w:val="0"/>
                <w:smallCaps w:val="0"/>
                <w:color w:val="auto"/>
                <w:spacing w:val="0"/>
                <w:highlight w:val="none"/>
              </w:rPr>
            </w:pPr>
          </w:p>
        </w:tc>
        <w:tc>
          <w:tcPr>
            <w:tcW w:w="1131" w:type="dxa"/>
            <w:vAlign w:val="center"/>
          </w:tcPr>
          <w:p w14:paraId="0147F900">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中－强√</w:t>
            </w:r>
          </w:p>
        </w:tc>
        <w:tc>
          <w:tcPr>
            <w:tcW w:w="992" w:type="dxa"/>
            <w:vAlign w:val="center"/>
          </w:tcPr>
          <w:p w14:paraId="29D0E4DE">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难√</w:t>
            </w:r>
          </w:p>
        </w:tc>
        <w:tc>
          <w:tcPr>
            <w:tcW w:w="993" w:type="dxa"/>
            <w:vMerge w:val="continue"/>
            <w:vAlign w:val="center"/>
          </w:tcPr>
          <w:p w14:paraId="4EE0640F">
            <w:pPr>
              <w:pStyle w:val="127"/>
              <w:widowControl w:val="0"/>
              <w:rPr>
                <w:rFonts w:ascii="Times New Roman" w:hAnsi="Times New Roman" w:eastAsia="宋体" w:cs="Times New Roman"/>
                <w:caps w:val="0"/>
                <w:smallCaps w:val="0"/>
                <w:color w:val="auto"/>
                <w:spacing w:val="0"/>
                <w:highlight w:val="none"/>
              </w:rPr>
            </w:pPr>
          </w:p>
        </w:tc>
        <w:tc>
          <w:tcPr>
            <w:tcW w:w="1559" w:type="dxa"/>
            <w:vMerge w:val="continue"/>
            <w:vAlign w:val="center"/>
          </w:tcPr>
          <w:p w14:paraId="66FE14A7">
            <w:pPr>
              <w:pStyle w:val="127"/>
              <w:widowControl w:val="0"/>
              <w:rPr>
                <w:rFonts w:ascii="Times New Roman" w:hAnsi="Times New Roman" w:eastAsia="宋体" w:cs="Times New Roman"/>
                <w:caps w:val="0"/>
                <w:smallCaps w:val="0"/>
                <w:color w:val="auto"/>
                <w:spacing w:val="0"/>
                <w:highlight w:val="none"/>
              </w:rPr>
            </w:pPr>
          </w:p>
        </w:tc>
        <w:tc>
          <w:tcPr>
            <w:tcW w:w="2016" w:type="dxa"/>
            <w:vMerge w:val="continue"/>
            <w:vAlign w:val="center"/>
          </w:tcPr>
          <w:p w14:paraId="75546F77">
            <w:pPr>
              <w:pStyle w:val="127"/>
              <w:widowControl w:val="0"/>
              <w:rPr>
                <w:rFonts w:ascii="Times New Roman" w:hAnsi="Times New Roman" w:eastAsia="宋体" w:cs="Times New Roman"/>
                <w:caps w:val="0"/>
                <w:smallCaps w:val="0"/>
                <w:color w:val="auto"/>
                <w:spacing w:val="0"/>
                <w:highlight w:val="none"/>
              </w:rPr>
            </w:pPr>
          </w:p>
        </w:tc>
        <w:tc>
          <w:tcPr>
            <w:tcW w:w="1010" w:type="dxa"/>
            <w:vMerge w:val="continue"/>
            <w:vAlign w:val="center"/>
          </w:tcPr>
          <w:p w14:paraId="1582E900">
            <w:pPr>
              <w:pStyle w:val="127"/>
              <w:widowControl w:val="0"/>
              <w:rPr>
                <w:rFonts w:ascii="Times New Roman" w:hAnsi="Times New Roman" w:eastAsia="宋体" w:cs="Times New Roman"/>
                <w:caps w:val="0"/>
                <w:smallCaps w:val="0"/>
                <w:color w:val="auto"/>
                <w:spacing w:val="0"/>
                <w:highlight w:val="none"/>
              </w:rPr>
            </w:pPr>
          </w:p>
        </w:tc>
      </w:tr>
      <w:tr w14:paraId="33B6EE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813" w:type="dxa"/>
            <w:vMerge w:val="continue"/>
            <w:vAlign w:val="center"/>
          </w:tcPr>
          <w:p w14:paraId="78E7FCAB">
            <w:pPr>
              <w:pStyle w:val="127"/>
              <w:widowControl w:val="0"/>
              <w:rPr>
                <w:rFonts w:ascii="Times New Roman" w:hAnsi="Times New Roman" w:eastAsia="宋体" w:cs="Times New Roman"/>
                <w:caps w:val="0"/>
                <w:smallCaps w:val="0"/>
                <w:color w:val="auto"/>
                <w:spacing w:val="0"/>
                <w:highlight w:val="none"/>
              </w:rPr>
            </w:pPr>
          </w:p>
        </w:tc>
        <w:tc>
          <w:tcPr>
            <w:tcW w:w="1131" w:type="dxa"/>
            <w:vAlign w:val="center"/>
          </w:tcPr>
          <w:p w14:paraId="4B975959">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中√</w:t>
            </w:r>
          </w:p>
        </w:tc>
        <w:tc>
          <w:tcPr>
            <w:tcW w:w="992" w:type="dxa"/>
            <w:vAlign w:val="center"/>
          </w:tcPr>
          <w:p w14:paraId="2037BFF4">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易√</w:t>
            </w:r>
          </w:p>
        </w:tc>
        <w:tc>
          <w:tcPr>
            <w:tcW w:w="993" w:type="dxa"/>
            <w:vMerge w:val="restart"/>
            <w:vAlign w:val="center"/>
          </w:tcPr>
          <w:p w14:paraId="5A3FE688">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重金属、持久性有机污染物√</w:t>
            </w:r>
          </w:p>
        </w:tc>
        <w:tc>
          <w:tcPr>
            <w:tcW w:w="1559" w:type="dxa"/>
            <w:vMerge w:val="continue"/>
            <w:vAlign w:val="center"/>
          </w:tcPr>
          <w:p w14:paraId="09B63544">
            <w:pPr>
              <w:pStyle w:val="127"/>
              <w:widowControl w:val="0"/>
              <w:rPr>
                <w:rFonts w:ascii="Times New Roman" w:hAnsi="Times New Roman" w:eastAsia="宋体" w:cs="Times New Roman"/>
                <w:caps w:val="0"/>
                <w:smallCaps w:val="0"/>
                <w:color w:val="auto"/>
                <w:spacing w:val="0"/>
                <w:highlight w:val="none"/>
              </w:rPr>
            </w:pPr>
          </w:p>
        </w:tc>
        <w:tc>
          <w:tcPr>
            <w:tcW w:w="2016" w:type="dxa"/>
            <w:vMerge w:val="continue"/>
            <w:vAlign w:val="center"/>
          </w:tcPr>
          <w:p w14:paraId="6C97DE7C">
            <w:pPr>
              <w:pStyle w:val="127"/>
              <w:widowControl w:val="0"/>
              <w:rPr>
                <w:rFonts w:ascii="Times New Roman" w:hAnsi="Times New Roman" w:eastAsia="宋体" w:cs="Times New Roman"/>
                <w:caps w:val="0"/>
                <w:smallCaps w:val="0"/>
                <w:color w:val="auto"/>
                <w:spacing w:val="0"/>
                <w:highlight w:val="none"/>
              </w:rPr>
            </w:pPr>
          </w:p>
        </w:tc>
        <w:tc>
          <w:tcPr>
            <w:tcW w:w="1010" w:type="dxa"/>
            <w:vMerge w:val="continue"/>
            <w:vAlign w:val="center"/>
          </w:tcPr>
          <w:p w14:paraId="6217A872">
            <w:pPr>
              <w:pStyle w:val="127"/>
              <w:widowControl w:val="0"/>
              <w:rPr>
                <w:rFonts w:ascii="Times New Roman" w:hAnsi="Times New Roman" w:eastAsia="宋体" w:cs="Times New Roman"/>
                <w:caps w:val="0"/>
                <w:smallCaps w:val="0"/>
                <w:color w:val="auto"/>
                <w:spacing w:val="0"/>
                <w:highlight w:val="none"/>
              </w:rPr>
            </w:pPr>
          </w:p>
        </w:tc>
      </w:tr>
      <w:tr w14:paraId="790570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73" w:hRule="atLeast"/>
          <w:jc w:val="center"/>
        </w:trPr>
        <w:tc>
          <w:tcPr>
            <w:tcW w:w="813" w:type="dxa"/>
            <w:vMerge w:val="continue"/>
            <w:vAlign w:val="center"/>
          </w:tcPr>
          <w:p w14:paraId="030583E7">
            <w:pPr>
              <w:pStyle w:val="127"/>
              <w:widowControl w:val="0"/>
              <w:rPr>
                <w:rFonts w:ascii="Times New Roman" w:hAnsi="Times New Roman" w:eastAsia="宋体" w:cs="Times New Roman"/>
                <w:caps w:val="0"/>
                <w:smallCaps w:val="0"/>
                <w:color w:val="auto"/>
                <w:spacing w:val="0"/>
                <w:highlight w:val="none"/>
              </w:rPr>
            </w:pPr>
          </w:p>
        </w:tc>
        <w:tc>
          <w:tcPr>
            <w:tcW w:w="1131" w:type="dxa"/>
            <w:vAlign w:val="center"/>
          </w:tcPr>
          <w:p w14:paraId="71A2B604">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强</w:t>
            </w:r>
          </w:p>
        </w:tc>
        <w:tc>
          <w:tcPr>
            <w:tcW w:w="992" w:type="dxa"/>
            <w:vAlign w:val="center"/>
          </w:tcPr>
          <w:p w14:paraId="68CB60F1">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易</w:t>
            </w:r>
          </w:p>
        </w:tc>
        <w:tc>
          <w:tcPr>
            <w:tcW w:w="993" w:type="dxa"/>
            <w:vMerge w:val="continue"/>
            <w:vAlign w:val="center"/>
          </w:tcPr>
          <w:p w14:paraId="0BC240D4">
            <w:pPr>
              <w:pStyle w:val="127"/>
              <w:widowControl w:val="0"/>
              <w:rPr>
                <w:rFonts w:ascii="Times New Roman" w:hAnsi="Times New Roman" w:eastAsia="宋体" w:cs="Times New Roman"/>
                <w:caps w:val="0"/>
                <w:smallCaps w:val="0"/>
                <w:color w:val="auto"/>
                <w:spacing w:val="0"/>
                <w:highlight w:val="none"/>
              </w:rPr>
            </w:pPr>
          </w:p>
        </w:tc>
        <w:tc>
          <w:tcPr>
            <w:tcW w:w="1559" w:type="dxa"/>
            <w:vMerge w:val="continue"/>
            <w:vAlign w:val="center"/>
          </w:tcPr>
          <w:p w14:paraId="07D430B8">
            <w:pPr>
              <w:pStyle w:val="127"/>
              <w:widowControl w:val="0"/>
              <w:rPr>
                <w:rFonts w:ascii="Times New Roman" w:hAnsi="Times New Roman" w:eastAsia="宋体" w:cs="Times New Roman"/>
                <w:caps w:val="0"/>
                <w:smallCaps w:val="0"/>
                <w:color w:val="auto"/>
                <w:spacing w:val="0"/>
                <w:highlight w:val="none"/>
              </w:rPr>
            </w:pPr>
          </w:p>
        </w:tc>
        <w:tc>
          <w:tcPr>
            <w:tcW w:w="2016" w:type="dxa"/>
            <w:vMerge w:val="continue"/>
            <w:vAlign w:val="center"/>
          </w:tcPr>
          <w:p w14:paraId="5426C624">
            <w:pPr>
              <w:pStyle w:val="127"/>
              <w:widowControl w:val="0"/>
              <w:rPr>
                <w:rFonts w:ascii="Times New Roman" w:hAnsi="Times New Roman" w:eastAsia="宋体" w:cs="Times New Roman"/>
                <w:caps w:val="0"/>
                <w:smallCaps w:val="0"/>
                <w:color w:val="auto"/>
                <w:spacing w:val="0"/>
                <w:highlight w:val="none"/>
              </w:rPr>
            </w:pPr>
          </w:p>
        </w:tc>
        <w:tc>
          <w:tcPr>
            <w:tcW w:w="1010" w:type="dxa"/>
            <w:vMerge w:val="continue"/>
            <w:vAlign w:val="center"/>
          </w:tcPr>
          <w:p w14:paraId="7C350ADA">
            <w:pPr>
              <w:pStyle w:val="127"/>
              <w:widowControl w:val="0"/>
              <w:rPr>
                <w:rFonts w:ascii="Times New Roman" w:hAnsi="Times New Roman" w:eastAsia="宋体" w:cs="Times New Roman"/>
                <w:caps w:val="0"/>
                <w:smallCaps w:val="0"/>
                <w:color w:val="auto"/>
                <w:spacing w:val="0"/>
                <w:highlight w:val="none"/>
              </w:rPr>
            </w:pPr>
          </w:p>
        </w:tc>
      </w:tr>
      <w:tr w14:paraId="3BFD2A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813" w:type="dxa"/>
            <w:tcBorders>
              <w:bottom w:val="single" w:color="auto" w:sz="8" w:space="0"/>
            </w:tcBorders>
            <w:vAlign w:val="center"/>
          </w:tcPr>
          <w:p w14:paraId="600C4F33">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简单防渗区√</w:t>
            </w:r>
          </w:p>
        </w:tc>
        <w:tc>
          <w:tcPr>
            <w:tcW w:w="1131" w:type="dxa"/>
            <w:tcBorders>
              <w:bottom w:val="single" w:color="auto" w:sz="8" w:space="0"/>
            </w:tcBorders>
            <w:vAlign w:val="center"/>
          </w:tcPr>
          <w:p w14:paraId="4D59CAAD">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中－强√</w:t>
            </w:r>
          </w:p>
        </w:tc>
        <w:tc>
          <w:tcPr>
            <w:tcW w:w="992" w:type="dxa"/>
            <w:tcBorders>
              <w:bottom w:val="single" w:color="auto" w:sz="8" w:space="0"/>
            </w:tcBorders>
            <w:vAlign w:val="center"/>
          </w:tcPr>
          <w:p w14:paraId="661BCFFF">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易√</w:t>
            </w:r>
          </w:p>
        </w:tc>
        <w:tc>
          <w:tcPr>
            <w:tcW w:w="993" w:type="dxa"/>
            <w:tcBorders>
              <w:bottom w:val="single" w:color="auto" w:sz="8" w:space="0"/>
            </w:tcBorders>
            <w:vAlign w:val="center"/>
          </w:tcPr>
          <w:p w14:paraId="261E517B">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其它类型√</w:t>
            </w:r>
          </w:p>
        </w:tc>
        <w:tc>
          <w:tcPr>
            <w:tcW w:w="1559" w:type="dxa"/>
            <w:tcBorders>
              <w:bottom w:val="single" w:color="auto" w:sz="8" w:space="0"/>
            </w:tcBorders>
            <w:vAlign w:val="center"/>
          </w:tcPr>
          <w:p w14:paraId="3DB70E55">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一般地面硬化</w:t>
            </w:r>
          </w:p>
        </w:tc>
        <w:tc>
          <w:tcPr>
            <w:tcW w:w="2016" w:type="dxa"/>
            <w:tcBorders>
              <w:bottom w:val="single" w:color="auto" w:sz="8" w:space="0"/>
            </w:tcBorders>
            <w:vAlign w:val="center"/>
          </w:tcPr>
          <w:p w14:paraId="7F69681E">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其他区域</w:t>
            </w:r>
          </w:p>
        </w:tc>
        <w:tc>
          <w:tcPr>
            <w:tcW w:w="1010" w:type="dxa"/>
            <w:tcBorders>
              <w:bottom w:val="single" w:color="auto" w:sz="8" w:space="0"/>
            </w:tcBorders>
            <w:vAlign w:val="center"/>
          </w:tcPr>
          <w:p w14:paraId="272EB55C">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w:t>
            </w:r>
          </w:p>
        </w:tc>
      </w:tr>
    </w:tbl>
    <w:p w14:paraId="36AF0E4B">
      <w:pPr>
        <w:pStyle w:val="130"/>
        <w:widowControl w:val="0"/>
        <w:ind w:firstLine="480" w:firstLineChars="200"/>
        <w:jc w:val="both"/>
        <w:rPr>
          <w:rFonts w:ascii="Times New Roman" w:hAnsi="Times New Roman" w:eastAsia="宋体" w:cs="Times New Roman"/>
          <w:b w:val="0"/>
          <w:bCs/>
          <w:caps w:val="0"/>
          <w:smallCaps w:val="0"/>
          <w:snapToGrid w:val="0"/>
          <w:color w:val="auto"/>
          <w:spacing w:val="0"/>
          <w:kern w:val="0"/>
          <w:sz w:val="24"/>
          <w:szCs w:val="24"/>
          <w:highlight w:val="none"/>
        </w:rPr>
      </w:pPr>
      <w:r>
        <w:rPr>
          <w:rFonts w:ascii="Times New Roman" w:hAnsi="Times New Roman" w:eastAsia="宋体" w:cs="Times New Roman"/>
          <w:b w:val="0"/>
          <w:bCs/>
          <w:caps w:val="0"/>
          <w:smallCaps w:val="0"/>
          <w:snapToGrid w:val="0"/>
          <w:color w:val="auto"/>
          <w:spacing w:val="0"/>
          <w:kern w:val="0"/>
          <w:sz w:val="24"/>
          <w:szCs w:val="24"/>
          <w:highlight w:val="none"/>
        </w:rPr>
        <w:t>（1）重点防渗区</w:t>
      </w:r>
    </w:p>
    <w:p w14:paraId="41049E20">
      <w:pPr>
        <w:pStyle w:val="130"/>
        <w:widowControl w:val="0"/>
        <w:ind w:firstLine="480" w:firstLineChars="200"/>
        <w:jc w:val="both"/>
        <w:rPr>
          <w:rFonts w:ascii="Times New Roman" w:hAnsi="Times New Roman" w:eastAsia="宋体" w:cs="Times New Roman"/>
          <w:b w:val="0"/>
          <w:bCs/>
          <w:caps w:val="0"/>
          <w:smallCaps w:val="0"/>
          <w:snapToGrid w:val="0"/>
          <w:color w:val="auto"/>
          <w:spacing w:val="0"/>
          <w:kern w:val="0"/>
          <w:sz w:val="24"/>
          <w:szCs w:val="24"/>
          <w:highlight w:val="none"/>
        </w:rPr>
      </w:pPr>
      <w:r>
        <w:rPr>
          <w:rFonts w:ascii="Times New Roman" w:hAnsi="Times New Roman" w:eastAsia="宋体" w:cs="Times New Roman"/>
          <w:b w:val="0"/>
          <w:bCs/>
          <w:caps w:val="0"/>
          <w:smallCaps w:val="0"/>
          <w:color w:val="auto"/>
          <w:spacing w:val="0"/>
          <w:sz w:val="24"/>
          <w:szCs w:val="24"/>
          <w:highlight w:val="none"/>
        </w:rPr>
        <w:t>现有危险废物贮存库已达到重点防渗要求，污水处理站</w:t>
      </w:r>
      <w:r>
        <w:rPr>
          <w:rFonts w:hint="eastAsia" w:ascii="Times New Roman" w:hAnsi="Times New Roman" w:eastAsia="宋体" w:cs="Times New Roman"/>
          <w:b w:val="0"/>
          <w:bCs/>
          <w:caps w:val="0"/>
          <w:smallCaps w:val="0"/>
          <w:color w:val="auto"/>
          <w:spacing w:val="0"/>
          <w:sz w:val="24"/>
          <w:szCs w:val="24"/>
          <w:highlight w:val="none"/>
        </w:rPr>
        <w:t>及</w:t>
      </w:r>
      <w:r>
        <w:rPr>
          <w:rFonts w:ascii="Times New Roman" w:hAnsi="Times New Roman" w:eastAsia="宋体" w:cs="Times New Roman"/>
          <w:b w:val="0"/>
          <w:bCs/>
          <w:caps w:val="0"/>
          <w:smallCaps w:val="0"/>
          <w:color w:val="auto"/>
          <w:spacing w:val="0"/>
          <w:sz w:val="24"/>
          <w:szCs w:val="24"/>
          <w:highlight w:val="none"/>
        </w:rPr>
        <w:t>应急事故池按照《环境影响评价导则-地下水环境》(HJ610-2016)进行设计，防渗技术达到等效粘土防渗层Mb≥6.0m、渗透系数K≤10</w:t>
      </w:r>
      <w:r>
        <w:rPr>
          <w:rFonts w:ascii="Times New Roman" w:hAnsi="Times New Roman" w:eastAsia="宋体" w:cs="Times New Roman"/>
          <w:b w:val="0"/>
          <w:bCs/>
          <w:caps w:val="0"/>
          <w:smallCaps w:val="0"/>
          <w:color w:val="auto"/>
          <w:spacing w:val="0"/>
          <w:sz w:val="24"/>
          <w:szCs w:val="24"/>
          <w:highlight w:val="none"/>
          <w:vertAlign w:val="superscript"/>
        </w:rPr>
        <w:t>-7</w:t>
      </w:r>
      <w:r>
        <w:rPr>
          <w:rFonts w:ascii="Times New Roman" w:hAnsi="Times New Roman" w:eastAsia="宋体" w:cs="Times New Roman"/>
          <w:b w:val="0"/>
          <w:bCs/>
          <w:caps w:val="0"/>
          <w:smallCaps w:val="0"/>
          <w:color w:val="auto"/>
          <w:spacing w:val="0"/>
          <w:sz w:val="24"/>
          <w:szCs w:val="24"/>
          <w:highlight w:val="none"/>
        </w:rPr>
        <w:t>m/s。</w:t>
      </w:r>
    </w:p>
    <w:p w14:paraId="7E9247B2">
      <w:pPr>
        <w:pStyle w:val="130"/>
        <w:widowControl w:val="0"/>
        <w:ind w:firstLine="480" w:firstLineChars="200"/>
        <w:jc w:val="both"/>
        <w:rPr>
          <w:rFonts w:ascii="Times New Roman" w:hAnsi="Times New Roman" w:eastAsia="宋体" w:cs="Times New Roman"/>
          <w:b w:val="0"/>
          <w:bCs/>
          <w:caps w:val="0"/>
          <w:smallCaps w:val="0"/>
          <w:snapToGrid w:val="0"/>
          <w:color w:val="auto"/>
          <w:spacing w:val="0"/>
          <w:kern w:val="0"/>
          <w:sz w:val="24"/>
          <w:szCs w:val="24"/>
          <w:highlight w:val="none"/>
        </w:rPr>
      </w:pPr>
      <w:r>
        <w:rPr>
          <w:rFonts w:ascii="Times New Roman" w:hAnsi="Times New Roman" w:eastAsia="宋体" w:cs="Times New Roman"/>
          <w:b w:val="0"/>
          <w:bCs/>
          <w:caps w:val="0"/>
          <w:smallCaps w:val="0"/>
          <w:snapToGrid w:val="0"/>
          <w:color w:val="auto"/>
          <w:spacing w:val="0"/>
          <w:kern w:val="0"/>
          <w:sz w:val="24"/>
          <w:szCs w:val="24"/>
          <w:highlight w:val="none"/>
        </w:rPr>
        <w:t>（2）一般防渗区</w:t>
      </w:r>
    </w:p>
    <w:p w14:paraId="3F8B35CC">
      <w:pPr>
        <w:pStyle w:val="13"/>
        <w:widowControl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bCs/>
          <w:caps w:val="0"/>
          <w:smallCaps w:val="0"/>
          <w:color w:val="auto"/>
          <w:spacing w:val="0"/>
          <w:szCs w:val="24"/>
          <w:highlight w:val="none"/>
        </w:rPr>
        <w:t>项目生产车间</w:t>
      </w:r>
      <w:r>
        <w:rPr>
          <w:rFonts w:ascii="Times New Roman" w:hAnsi="Times New Roman" w:eastAsia="宋体" w:cs="Times New Roman"/>
          <w:bCs/>
          <w:caps w:val="0"/>
          <w:smallCaps w:val="0"/>
          <w:snapToGrid w:val="0"/>
          <w:color w:val="auto"/>
          <w:spacing w:val="0"/>
          <w:kern w:val="0"/>
          <w:szCs w:val="24"/>
          <w:highlight w:val="none"/>
        </w:rPr>
        <w:t>为一般防渗区，按照导则要求，一般污染防治区防渗层的防渗性能应不低于1.5m厚渗透系数为1.0×10</w:t>
      </w:r>
      <w:r>
        <w:rPr>
          <w:rFonts w:ascii="Times New Roman" w:hAnsi="Times New Roman" w:eastAsia="宋体" w:cs="Times New Roman"/>
          <w:bCs/>
          <w:caps w:val="0"/>
          <w:smallCaps w:val="0"/>
          <w:snapToGrid w:val="0"/>
          <w:color w:val="auto"/>
          <w:spacing w:val="0"/>
          <w:kern w:val="0"/>
          <w:szCs w:val="24"/>
          <w:highlight w:val="none"/>
          <w:vertAlign w:val="superscript"/>
        </w:rPr>
        <w:t>-7</w:t>
      </w:r>
      <w:r>
        <w:rPr>
          <w:rFonts w:ascii="Times New Roman" w:hAnsi="Times New Roman" w:eastAsia="宋体" w:cs="Times New Roman"/>
          <w:bCs/>
          <w:caps w:val="0"/>
          <w:smallCaps w:val="0"/>
          <w:snapToGrid w:val="0"/>
          <w:color w:val="auto"/>
          <w:spacing w:val="0"/>
          <w:kern w:val="0"/>
          <w:szCs w:val="24"/>
          <w:highlight w:val="none"/>
        </w:rPr>
        <w:t>cm/s的</w:t>
      </w:r>
      <w:r>
        <w:rPr>
          <w:rFonts w:ascii="Times New Roman" w:hAnsi="Times New Roman" w:eastAsia="宋体" w:cs="Times New Roman"/>
          <w:bCs/>
          <w:caps w:val="0"/>
          <w:smallCaps w:val="0"/>
          <w:color w:val="auto"/>
          <w:spacing w:val="0"/>
          <w:szCs w:val="24"/>
          <w:highlight w:val="none"/>
        </w:rPr>
        <w:t>黏土层的防渗性能本项目生产车间依托原有，现有生产车间防渗已达到要求</w:t>
      </w:r>
      <w:r>
        <w:rPr>
          <w:rFonts w:ascii="Times New Roman" w:hAnsi="Times New Roman" w:eastAsia="宋体" w:cs="Times New Roman"/>
          <w:caps w:val="0"/>
          <w:smallCaps w:val="0"/>
          <w:snapToGrid w:val="0"/>
          <w:color w:val="auto"/>
          <w:spacing w:val="0"/>
          <w:kern w:val="0"/>
          <w:szCs w:val="24"/>
          <w:highlight w:val="none"/>
        </w:rPr>
        <w:t>。</w:t>
      </w:r>
    </w:p>
    <w:p w14:paraId="302B705D">
      <w:pPr>
        <w:pStyle w:val="130"/>
        <w:widowControl w:val="0"/>
        <w:ind w:firstLine="480" w:firstLineChars="200"/>
        <w:jc w:val="both"/>
        <w:rPr>
          <w:rFonts w:ascii="Times New Roman" w:hAnsi="Times New Roman" w:eastAsia="宋体" w:cs="Times New Roman"/>
          <w:b w:val="0"/>
          <w:bCs/>
          <w:caps w:val="0"/>
          <w:smallCaps w:val="0"/>
          <w:snapToGrid w:val="0"/>
          <w:color w:val="auto"/>
          <w:spacing w:val="0"/>
          <w:kern w:val="0"/>
          <w:sz w:val="24"/>
          <w:szCs w:val="24"/>
          <w:highlight w:val="none"/>
        </w:rPr>
      </w:pPr>
      <w:r>
        <w:rPr>
          <w:rFonts w:ascii="Times New Roman" w:hAnsi="Times New Roman" w:eastAsia="宋体" w:cs="Times New Roman"/>
          <w:b w:val="0"/>
          <w:bCs/>
          <w:caps w:val="0"/>
          <w:smallCaps w:val="0"/>
          <w:snapToGrid w:val="0"/>
          <w:color w:val="auto"/>
          <w:spacing w:val="0"/>
          <w:kern w:val="0"/>
          <w:sz w:val="24"/>
          <w:szCs w:val="24"/>
          <w:highlight w:val="none"/>
        </w:rPr>
        <w:t>（2）简单防渗区</w:t>
      </w:r>
    </w:p>
    <w:p w14:paraId="495769B5">
      <w:pPr>
        <w:pStyle w:val="13"/>
        <w:widowControl w:val="0"/>
        <w:spacing w:after="0"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其他区域划定为简单防渗区，进行一般地面硬化处理，道路为沥青混凝土路面，除道路外其余为水泥地面和绿化。</w:t>
      </w:r>
    </w:p>
    <w:p w14:paraId="478CBCE8">
      <w:pPr>
        <w:pStyle w:val="13"/>
        <w:widowControl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通过上述分区防渗措施可有效防止污染土壤及地下水。</w:t>
      </w:r>
    </w:p>
    <w:p w14:paraId="7CBBA59D">
      <w:pPr>
        <w:pStyle w:val="13"/>
        <w:widowControl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项目防渗分区图见图6.2-</w:t>
      </w:r>
      <w:r>
        <w:rPr>
          <w:rFonts w:hint="eastAsia" w:ascii="Times New Roman" w:hAnsi="Times New Roman" w:eastAsia="宋体" w:cs="Times New Roman"/>
          <w:caps w:val="0"/>
          <w:smallCaps w:val="0"/>
          <w:snapToGrid w:val="0"/>
          <w:color w:val="auto"/>
          <w:spacing w:val="0"/>
          <w:kern w:val="0"/>
          <w:szCs w:val="24"/>
          <w:highlight w:val="none"/>
          <w:lang w:val="en-US" w:eastAsia="zh-CN"/>
        </w:rPr>
        <w:t>5</w:t>
      </w:r>
      <w:r>
        <w:rPr>
          <w:rFonts w:ascii="Times New Roman" w:hAnsi="Times New Roman" w:eastAsia="宋体" w:cs="Times New Roman"/>
          <w:caps w:val="0"/>
          <w:smallCaps w:val="0"/>
          <w:snapToGrid w:val="0"/>
          <w:color w:val="auto"/>
          <w:spacing w:val="0"/>
          <w:kern w:val="0"/>
          <w:szCs w:val="24"/>
          <w:highlight w:val="none"/>
        </w:rPr>
        <w:t>。</w:t>
      </w:r>
    </w:p>
    <w:p w14:paraId="0086EB46">
      <w:pPr>
        <w:pStyle w:val="13"/>
        <w:widowControl w:val="0"/>
        <w:adjustRightInd w:val="0"/>
        <w:snapToGrid w:val="0"/>
        <w:spacing w:after="0" w:line="360" w:lineRule="auto"/>
        <w:jc w:val="center"/>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color w:val="auto"/>
          <w:spacing w:val="0"/>
          <w:highlight w:val="none"/>
        </w:rPr>
        <w:drawing>
          <wp:inline distT="0" distB="0" distL="114300" distR="114300">
            <wp:extent cx="5755005" cy="3425825"/>
            <wp:effectExtent l="0" t="0" r="17145" b="3175"/>
            <wp:docPr id="7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0"/>
                    <pic:cNvPicPr>
                      <a:picLocks noChangeAspect="1"/>
                    </pic:cNvPicPr>
                  </pic:nvPicPr>
                  <pic:blipFill>
                    <a:blip r:embed="rId111"/>
                    <a:stretch>
                      <a:fillRect/>
                    </a:stretch>
                  </pic:blipFill>
                  <pic:spPr>
                    <a:xfrm>
                      <a:off x="0" y="0"/>
                      <a:ext cx="5755005" cy="3425825"/>
                    </a:xfrm>
                    <a:prstGeom prst="rect">
                      <a:avLst/>
                    </a:prstGeom>
                    <a:noFill/>
                    <a:ln>
                      <a:noFill/>
                    </a:ln>
                  </pic:spPr>
                </pic:pic>
              </a:graphicData>
            </a:graphic>
          </wp:inline>
        </w:drawing>
      </w:r>
    </w:p>
    <w:p w14:paraId="61A32DE8">
      <w:pPr>
        <w:widowControl w:val="0"/>
        <w:spacing w:line="360" w:lineRule="auto"/>
        <w:jc w:val="center"/>
        <w:rPr>
          <w:rFonts w:ascii="Times New Roman" w:hAnsi="Times New Roman" w:eastAsia="宋体" w:cs="Times New Roman"/>
          <w:b/>
          <w:caps w:val="0"/>
          <w:smallCaps w:val="0"/>
          <w:color w:val="auto"/>
          <w:spacing w:val="0"/>
          <w:highlight w:val="none"/>
          <w:lang w:val="zh-CN"/>
        </w:rPr>
      </w:pPr>
      <w:r>
        <w:rPr>
          <w:rFonts w:ascii="Times New Roman" w:hAnsi="Times New Roman" w:eastAsia="宋体" w:cs="Times New Roman"/>
          <w:b/>
          <w:caps w:val="0"/>
          <w:smallCaps w:val="0"/>
          <w:color w:val="auto"/>
          <w:spacing w:val="0"/>
          <w:highlight w:val="none"/>
          <w:lang w:val="zh-CN"/>
        </w:rPr>
        <w:t>图6.</w:t>
      </w:r>
      <w:r>
        <w:rPr>
          <w:rFonts w:ascii="Times New Roman" w:hAnsi="Times New Roman" w:eastAsia="宋体" w:cs="Times New Roman"/>
          <w:b/>
          <w:caps w:val="0"/>
          <w:smallCaps w:val="0"/>
          <w:color w:val="auto"/>
          <w:spacing w:val="0"/>
          <w:highlight w:val="none"/>
        </w:rPr>
        <w:t>2</w:t>
      </w:r>
      <w:r>
        <w:rPr>
          <w:rFonts w:ascii="Times New Roman" w:hAnsi="Times New Roman" w:eastAsia="宋体" w:cs="Times New Roman"/>
          <w:b/>
          <w:caps w:val="0"/>
          <w:smallCaps w:val="0"/>
          <w:color w:val="auto"/>
          <w:spacing w:val="0"/>
          <w:highlight w:val="none"/>
          <w:lang w:val="zh-CN"/>
        </w:rPr>
        <w:t>-</w:t>
      </w:r>
      <w:r>
        <w:rPr>
          <w:rFonts w:hint="eastAsia" w:ascii="Times New Roman" w:hAnsi="Times New Roman" w:eastAsia="宋体" w:cs="Times New Roman"/>
          <w:b/>
          <w:caps w:val="0"/>
          <w:smallCaps w:val="0"/>
          <w:color w:val="auto"/>
          <w:spacing w:val="0"/>
          <w:highlight w:val="none"/>
          <w:lang w:val="en-US" w:eastAsia="zh-CN"/>
        </w:rPr>
        <w:t>5</w:t>
      </w:r>
      <w:r>
        <w:rPr>
          <w:rFonts w:ascii="Times New Roman" w:hAnsi="Times New Roman" w:eastAsia="宋体" w:cs="Times New Roman"/>
          <w:b/>
          <w:caps w:val="0"/>
          <w:smallCaps w:val="0"/>
          <w:color w:val="auto"/>
          <w:spacing w:val="0"/>
          <w:highlight w:val="none"/>
          <w:lang w:val="zh-CN"/>
        </w:rPr>
        <w:t>项目防渗分区图</w:t>
      </w:r>
    </w:p>
    <w:p w14:paraId="60A4A299">
      <w:pPr>
        <w:pStyle w:val="114"/>
        <w:rPr>
          <w:rFonts w:ascii="Times New Roman" w:hAnsi="Times New Roman" w:cs="Times New Roman"/>
          <w:caps w:val="0"/>
          <w:smallCaps w:val="0"/>
          <w:color w:val="auto"/>
          <w:spacing w:val="0"/>
          <w:sz w:val="28"/>
          <w:szCs w:val="28"/>
          <w:highlight w:val="none"/>
        </w:rPr>
      </w:pPr>
      <w:r>
        <w:rPr>
          <w:rFonts w:ascii="Times New Roman" w:hAnsi="Times New Roman" w:cs="Times New Roman"/>
          <w:caps w:val="0"/>
          <w:smallCaps w:val="0"/>
          <w:color w:val="auto"/>
          <w:spacing w:val="0"/>
          <w:sz w:val="28"/>
          <w:szCs w:val="28"/>
          <w:highlight w:val="none"/>
        </w:rPr>
        <w:t>6.2.5.3地下水环境监测与管理</w:t>
      </w:r>
    </w:p>
    <w:p w14:paraId="79F95927">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建立地下水环境监测管理体系，包括制定地下水环境影响跟踪监测计划、建立地下水环境影响跟踪监测制度、配备先进的监测仪器和设备，以便及时发现问题，采取措施。</w:t>
      </w:r>
    </w:p>
    <w:p w14:paraId="6B9CA0A9">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1、地下水环境监测</w:t>
      </w:r>
    </w:p>
    <w:p w14:paraId="72965E70">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（1）跟踪监测点位置</w:t>
      </w:r>
    </w:p>
    <w:p w14:paraId="4269E6C3">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评价等级要求，本项目应设1个跟踪监测点，监测点位置为污水处理设施地下水流向下游，该地下水监测点为污染扩散监测点。地下水跟踪监测井的建设、运行、维护和管理要求均按照《地下水环境监测技术规范》(HJ/T164-2020)执行。</w:t>
      </w:r>
    </w:p>
    <w:p w14:paraId="1CA14824">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②监测因子</w:t>
      </w:r>
    </w:p>
    <w:p w14:paraId="64FCF21F">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地下水跟踪监测因子为镉。</w:t>
      </w:r>
    </w:p>
    <w:p w14:paraId="0A8C0C62">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③监测频率</w:t>
      </w:r>
    </w:p>
    <w:p w14:paraId="6FF4729B">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每年监测一次，发现异常时，加密到每月甚至每周一次，直至水质恢复正常。异常具体包括三种情况：一是检出组分或常规组分浓度明显升高或超标；二是未检出组分连续检出；三是污染组分出现超标情况。</w:t>
      </w:r>
    </w:p>
    <w:p w14:paraId="146E48F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根据以上，给出地下水跟踪监测计划表如下：</w:t>
      </w:r>
    </w:p>
    <w:p w14:paraId="299FDEFC">
      <w:pPr>
        <w:widowControl w:val="0"/>
        <w:jc w:val="center"/>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b/>
          <w:bCs/>
          <w:caps w:val="0"/>
          <w:smallCaps w:val="0"/>
          <w:color w:val="auto"/>
          <w:spacing w:val="0"/>
          <w:szCs w:val="24"/>
          <w:highlight w:val="none"/>
        </w:rPr>
        <w:t>表6.2-</w:t>
      </w:r>
      <w:r>
        <w:rPr>
          <w:rFonts w:hint="eastAsia" w:ascii="Times New Roman" w:hAnsi="Times New Roman" w:eastAsia="宋体" w:cs="Times New Roman"/>
          <w:b/>
          <w:bCs/>
          <w:caps w:val="0"/>
          <w:smallCaps w:val="0"/>
          <w:color w:val="auto"/>
          <w:spacing w:val="0"/>
          <w:szCs w:val="24"/>
          <w:highlight w:val="none"/>
          <w:lang w:val="en-US" w:eastAsia="zh-CN"/>
        </w:rPr>
        <w:t>8</w:t>
      </w:r>
      <w:r>
        <w:rPr>
          <w:rFonts w:ascii="Times New Roman" w:hAnsi="Times New Roman" w:eastAsia="宋体" w:cs="Times New Roman"/>
          <w:b/>
          <w:bCs/>
          <w:caps w:val="0"/>
          <w:smallCaps w:val="0"/>
          <w:color w:val="auto"/>
          <w:spacing w:val="0"/>
          <w:szCs w:val="24"/>
          <w:highlight w:val="none"/>
        </w:rPr>
        <w:t>地下水监测计划</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820"/>
        <w:gridCol w:w="947"/>
        <w:gridCol w:w="874"/>
        <w:gridCol w:w="1257"/>
        <w:gridCol w:w="2366"/>
        <w:gridCol w:w="1359"/>
      </w:tblGrid>
      <w:tr w14:paraId="78793E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4" w:type="dxa"/>
            <w:tcBorders>
              <w:tl2br w:val="nil"/>
              <w:tr2bl w:val="nil"/>
            </w:tcBorders>
            <w:vAlign w:val="center"/>
          </w:tcPr>
          <w:p w14:paraId="77C0C7C0">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序号</w:t>
            </w:r>
          </w:p>
        </w:tc>
        <w:tc>
          <w:tcPr>
            <w:tcW w:w="1820" w:type="dxa"/>
            <w:tcBorders>
              <w:tl2br w:val="nil"/>
              <w:tr2bl w:val="nil"/>
            </w:tcBorders>
            <w:vAlign w:val="center"/>
          </w:tcPr>
          <w:p w14:paraId="0C483117">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位置</w:t>
            </w:r>
          </w:p>
        </w:tc>
        <w:tc>
          <w:tcPr>
            <w:tcW w:w="947" w:type="dxa"/>
            <w:tcBorders>
              <w:tl2br w:val="nil"/>
              <w:tr2bl w:val="nil"/>
            </w:tcBorders>
            <w:vAlign w:val="center"/>
          </w:tcPr>
          <w:p w14:paraId="196356B3">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功能</w:t>
            </w:r>
          </w:p>
        </w:tc>
        <w:tc>
          <w:tcPr>
            <w:tcW w:w="874" w:type="dxa"/>
            <w:tcBorders>
              <w:tl2br w:val="nil"/>
              <w:tr2bl w:val="nil"/>
            </w:tcBorders>
            <w:vAlign w:val="center"/>
          </w:tcPr>
          <w:p w14:paraId="3567A924">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井深</w:t>
            </w:r>
          </w:p>
        </w:tc>
        <w:tc>
          <w:tcPr>
            <w:tcW w:w="1256" w:type="dxa"/>
            <w:tcBorders>
              <w:tl2br w:val="nil"/>
              <w:tr2bl w:val="nil"/>
            </w:tcBorders>
            <w:vAlign w:val="center"/>
          </w:tcPr>
          <w:p w14:paraId="2E85E294">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监测层位</w:t>
            </w:r>
          </w:p>
        </w:tc>
        <w:tc>
          <w:tcPr>
            <w:tcW w:w="2366" w:type="dxa"/>
            <w:tcBorders>
              <w:tl2br w:val="nil"/>
              <w:tr2bl w:val="nil"/>
            </w:tcBorders>
            <w:vAlign w:val="center"/>
          </w:tcPr>
          <w:p w14:paraId="15FF130B">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监测频率</w:t>
            </w:r>
          </w:p>
        </w:tc>
        <w:tc>
          <w:tcPr>
            <w:tcW w:w="1359" w:type="dxa"/>
            <w:tcBorders>
              <w:tl2br w:val="nil"/>
              <w:tr2bl w:val="nil"/>
            </w:tcBorders>
            <w:vAlign w:val="center"/>
          </w:tcPr>
          <w:p w14:paraId="30B23579">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监测项目</w:t>
            </w:r>
          </w:p>
        </w:tc>
      </w:tr>
      <w:tr w14:paraId="420E3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4" w:type="dxa"/>
            <w:tcBorders>
              <w:tl2br w:val="nil"/>
              <w:tr2bl w:val="nil"/>
            </w:tcBorders>
            <w:vAlign w:val="center"/>
          </w:tcPr>
          <w:p w14:paraId="1537A291">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1</w:t>
            </w:r>
          </w:p>
        </w:tc>
        <w:tc>
          <w:tcPr>
            <w:tcW w:w="1820" w:type="dxa"/>
            <w:tcBorders>
              <w:tl2br w:val="nil"/>
              <w:tr2bl w:val="nil"/>
            </w:tcBorders>
            <w:vAlign w:val="center"/>
          </w:tcPr>
          <w:p w14:paraId="572EF306">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厂区现有监测井（130.46725964，46.81778654）</w:t>
            </w:r>
          </w:p>
        </w:tc>
        <w:tc>
          <w:tcPr>
            <w:tcW w:w="947" w:type="dxa"/>
            <w:tcBorders>
              <w:tl2br w:val="nil"/>
              <w:tr2bl w:val="nil"/>
            </w:tcBorders>
            <w:vAlign w:val="center"/>
          </w:tcPr>
          <w:p w14:paraId="0BB28C6A">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监测井</w:t>
            </w:r>
          </w:p>
        </w:tc>
        <w:tc>
          <w:tcPr>
            <w:tcW w:w="874" w:type="dxa"/>
            <w:tcBorders>
              <w:tl2br w:val="nil"/>
              <w:tr2bl w:val="nil"/>
            </w:tcBorders>
            <w:vAlign w:val="center"/>
          </w:tcPr>
          <w:p w14:paraId="0E29C168">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25</w:t>
            </w:r>
          </w:p>
        </w:tc>
        <w:tc>
          <w:tcPr>
            <w:tcW w:w="1256" w:type="dxa"/>
            <w:tcBorders>
              <w:tl2br w:val="nil"/>
              <w:tr2bl w:val="nil"/>
            </w:tcBorders>
            <w:vAlign w:val="center"/>
          </w:tcPr>
          <w:p w14:paraId="0A16EF12">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潜水</w:t>
            </w:r>
          </w:p>
        </w:tc>
        <w:tc>
          <w:tcPr>
            <w:tcW w:w="2366" w:type="dxa"/>
            <w:tcBorders>
              <w:tl2br w:val="nil"/>
              <w:tr2bl w:val="nil"/>
            </w:tcBorders>
            <w:vAlign w:val="center"/>
          </w:tcPr>
          <w:p w14:paraId="35318209">
            <w:pPr>
              <w:pStyle w:val="195"/>
              <w:widowControl w:val="0"/>
              <w:spacing w:line="240" w:lineRule="auto"/>
              <w:jc w:val="center"/>
              <w:rPr>
                <w:rFonts w:ascii="Times New Roman" w:hAnsi="Times New Roman" w:cs="Times New Roman"/>
                <w:caps w:val="0"/>
                <w:smallCaps w:val="0"/>
                <w:color w:val="auto"/>
                <w:spacing w:val="0"/>
                <w:sz w:val="21"/>
                <w:szCs w:val="21"/>
                <w:highlight w:val="none"/>
                <w:lang w:eastAsia="zh-CN"/>
              </w:rPr>
            </w:pPr>
            <w:r>
              <w:rPr>
                <w:rFonts w:hint="eastAsia" w:ascii="Times New Roman" w:hAnsi="Times New Roman" w:cs="Times New Roman"/>
                <w:caps w:val="0"/>
                <w:smallCaps w:val="0"/>
                <w:color w:val="auto"/>
                <w:spacing w:val="0"/>
                <w:sz w:val="21"/>
                <w:szCs w:val="21"/>
                <w:highlight w:val="none"/>
                <w:lang w:eastAsia="zh-CN"/>
              </w:rPr>
              <w:t>1次/年（</w:t>
            </w:r>
            <w:r>
              <w:rPr>
                <w:rFonts w:ascii="Times New Roman" w:hAnsi="Times New Roman" w:cs="Times New Roman"/>
                <w:caps w:val="0"/>
                <w:smallCaps w:val="0"/>
                <w:color w:val="auto"/>
                <w:spacing w:val="0"/>
                <w:sz w:val="21"/>
                <w:szCs w:val="21"/>
                <w:highlight w:val="none"/>
                <w:lang w:eastAsia="zh-CN"/>
              </w:rPr>
              <w:t>事发现异常时，加密到每月甚至每周一次，直至水质恢复正常</w:t>
            </w:r>
            <w:r>
              <w:rPr>
                <w:rFonts w:hint="eastAsia" w:ascii="Times New Roman" w:hAnsi="Times New Roman" w:cs="Times New Roman"/>
                <w:caps w:val="0"/>
                <w:smallCaps w:val="0"/>
                <w:color w:val="auto"/>
                <w:spacing w:val="0"/>
                <w:sz w:val="21"/>
                <w:szCs w:val="21"/>
                <w:highlight w:val="none"/>
                <w:lang w:eastAsia="zh-CN"/>
              </w:rPr>
              <w:t>）</w:t>
            </w:r>
          </w:p>
        </w:tc>
        <w:tc>
          <w:tcPr>
            <w:tcW w:w="1359" w:type="dxa"/>
            <w:tcBorders>
              <w:tl2br w:val="nil"/>
              <w:tr2bl w:val="nil"/>
            </w:tcBorders>
            <w:vAlign w:val="center"/>
          </w:tcPr>
          <w:p w14:paraId="4DC35ED1">
            <w:pPr>
              <w:pStyle w:val="195"/>
              <w:widowControl w:val="0"/>
              <w:spacing w:line="240" w:lineRule="auto"/>
              <w:jc w:val="center"/>
              <w:rPr>
                <w:rFonts w:hint="default" w:ascii="Times New Roman" w:hAnsi="Times New Roman" w:cs="Times New Roman"/>
                <w:caps w:val="0"/>
                <w:smallCaps w:val="0"/>
                <w:color w:val="auto"/>
                <w:spacing w:val="0"/>
                <w:sz w:val="21"/>
                <w:szCs w:val="21"/>
                <w:highlight w:val="none"/>
                <w:lang w:val="en-US" w:eastAsia="zh-CN"/>
              </w:rPr>
            </w:pPr>
            <w:r>
              <w:rPr>
                <w:rFonts w:hint="eastAsia" w:ascii="Times New Roman" w:hAnsi="Times New Roman" w:cs="Times New Roman"/>
                <w:caps w:val="0"/>
                <w:smallCaps w:val="0"/>
                <w:color w:val="auto"/>
                <w:spacing w:val="0"/>
                <w:sz w:val="21"/>
                <w:szCs w:val="21"/>
                <w:highlight w:val="none"/>
                <w:lang w:val="en-US" w:eastAsia="zh-CN"/>
              </w:rPr>
              <w:t>pH，</w:t>
            </w:r>
            <w:r>
              <w:rPr>
                <w:rFonts w:hint="eastAsia" w:ascii="Times New Roman" w:hAnsi="Times New Roman" w:cs="Times New Roman"/>
                <w:caps w:val="0"/>
                <w:smallCaps w:val="0"/>
                <w:color w:val="auto"/>
                <w:spacing w:val="0"/>
                <w:sz w:val="21"/>
                <w:szCs w:val="21"/>
                <w:highlight w:val="none"/>
                <w:lang w:eastAsia="zh-CN"/>
              </w:rPr>
              <w:t>镉，</w:t>
            </w:r>
            <w:r>
              <w:rPr>
                <w:rFonts w:hint="eastAsia" w:ascii="Times New Roman" w:hAnsi="Times New Roman" w:cs="Times New Roman"/>
                <w:caps w:val="0"/>
                <w:smallCaps w:val="0"/>
                <w:color w:val="auto"/>
                <w:spacing w:val="0"/>
                <w:sz w:val="21"/>
                <w:szCs w:val="21"/>
                <w:highlight w:val="none"/>
                <w:lang w:val="en-US" w:eastAsia="zh-CN"/>
              </w:rPr>
              <w:t>氯化物，氨氮，耗氧量，溶解性总固体，总硬度</w:t>
            </w:r>
          </w:p>
        </w:tc>
      </w:tr>
    </w:tbl>
    <w:p w14:paraId="3F853F24">
      <w:pPr>
        <w:widowControl w:val="0"/>
        <w:kinsoku w:val="0"/>
        <w:autoSpaceDE w:val="0"/>
        <w:autoSpaceDN w:val="0"/>
        <w:adjustRightIn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2、地下水环境管理</w:t>
      </w:r>
    </w:p>
    <w:p w14:paraId="36BB50A9">
      <w:pPr>
        <w:widowControl w:val="0"/>
        <w:kinsoku w:val="0"/>
        <w:autoSpaceDE w:val="0"/>
        <w:autoSpaceDN w:val="0"/>
        <w:adjustRightInd w:val="0"/>
        <w:spacing w:line="360" w:lineRule="auto"/>
        <w:ind w:left="30" w:right="95"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建设单位应建立地下水污染监控制度和环境管理体系、制订监测计划，同时配备先进的检测仪器和设备，以便及时采取相应的措施。</w:t>
      </w:r>
    </w:p>
    <w:p w14:paraId="4FBC033A">
      <w:pPr>
        <w:widowControl w:val="0"/>
        <w:kinsoku w:val="0"/>
        <w:autoSpaceDE w:val="0"/>
        <w:autoSpaceDN w:val="0"/>
        <w:adjustRightInd w:val="0"/>
        <w:spacing w:line="360" w:lineRule="auto"/>
        <w:ind w:left="11" w:right="95" w:firstLine="480" w:firstLineChars="200"/>
        <w:jc w:val="both"/>
        <w:textAlignment w:val="baseline"/>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color w:val="auto"/>
          <w:spacing w:val="0"/>
          <w:szCs w:val="24"/>
          <w:highlight w:val="none"/>
        </w:rPr>
        <w:t>上述监测结果应按项目有关规定及时建立档案，并定期向有关部门汇报，对于常规监测数据应该进行公开。若发现水质异常，特别是特征因子上升时，加密监测频次，改为每周监测一次，并立即启动应急响应，上报环境保护部门，同时监测相应地下水风险源的防渗措施是否失效或遭受破坏，及时处理被污染的地下水，确保影响程度降到最低。</w:t>
      </w:r>
    </w:p>
    <w:p w14:paraId="203D461F">
      <w:pPr>
        <w:pStyle w:val="114"/>
        <w:rPr>
          <w:rFonts w:ascii="Times New Roman" w:hAnsi="Times New Roman" w:cs="Times New Roman"/>
          <w:caps w:val="0"/>
          <w:smallCaps w:val="0"/>
          <w:color w:val="auto"/>
          <w:spacing w:val="0"/>
          <w:sz w:val="28"/>
          <w:szCs w:val="28"/>
          <w:highlight w:val="none"/>
        </w:rPr>
      </w:pPr>
      <w:bookmarkStart w:id="220" w:name="_Toc534823937"/>
      <w:r>
        <w:rPr>
          <w:rFonts w:ascii="Times New Roman" w:hAnsi="Times New Roman" w:cs="Times New Roman"/>
          <w:caps w:val="0"/>
          <w:smallCaps w:val="0"/>
          <w:color w:val="auto"/>
          <w:spacing w:val="0"/>
          <w:sz w:val="28"/>
          <w:szCs w:val="28"/>
          <w:highlight w:val="none"/>
        </w:rPr>
        <w:t>6.2.5.4风险事故应急响应措施</w:t>
      </w:r>
      <w:bookmarkEnd w:id="220"/>
    </w:p>
    <w:p w14:paraId="1E762321">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1、地下水污染风险快速评估及决策</w:t>
      </w:r>
    </w:p>
    <w:p w14:paraId="05C0F198">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地下水污染风险快速评估方法与决策由连续的3个阶段组成，见下图：</w:t>
      </w:r>
    </w:p>
    <w:p w14:paraId="61CFD39F">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第1阶段为事故与场地调查：主要任务为搜集事故与污染物信息及场地水文地质资料等一些基本信息；</w:t>
      </w:r>
    </w:p>
    <w:p w14:paraId="24754598">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第2阶段为计算和评价：采用简单的数学模型判断事故对地下水影响的紧迫程度，以及对下游敏感点的影响，以快速获取所需要的信息；</w:t>
      </w:r>
    </w:p>
    <w:p w14:paraId="0CD44B50">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第3阶段为分析与决策：综合分析前两阶段的结果制定场地应急控制措施。</w:t>
      </w:r>
    </w:p>
    <w:p w14:paraId="44ED6662">
      <w:pPr>
        <w:pStyle w:val="127"/>
        <w:widowControl w:val="0"/>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highlight w:val="none"/>
        </w:rPr>
        <w:drawing>
          <wp:inline distT="0" distB="0" distL="114300" distR="114300">
            <wp:extent cx="3429000" cy="3780790"/>
            <wp:effectExtent l="0" t="0" r="0" b="0"/>
            <wp:docPr id="96" name="图片 49" descr="说明: 地下水污染应急措施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9" descr="说明: 地下水污染应急措施图"/>
                    <pic:cNvPicPr>
                      <a:picLocks noChangeAspect="1"/>
                    </pic:cNvPicPr>
                  </pic:nvPicPr>
                  <pic:blipFill>
                    <a:blip r:embed="rId112"/>
                    <a:stretch>
                      <a:fillRect/>
                    </a:stretch>
                  </pic:blipFill>
                  <pic:spPr>
                    <a:xfrm>
                      <a:off x="0" y="0"/>
                      <a:ext cx="3431841" cy="3784079"/>
                    </a:xfrm>
                    <a:prstGeom prst="rect">
                      <a:avLst/>
                    </a:prstGeom>
                    <a:noFill/>
                    <a:ln w="9525">
                      <a:noFill/>
                      <a:miter/>
                    </a:ln>
                  </pic:spPr>
                </pic:pic>
              </a:graphicData>
            </a:graphic>
          </wp:inline>
        </w:drawing>
      </w:r>
    </w:p>
    <w:p w14:paraId="647A6694">
      <w:pPr>
        <w:pStyle w:val="130"/>
        <w:widowControl w:val="0"/>
        <w:adjustRightInd w:val="0"/>
        <w:snapToGrid w:val="0"/>
        <w:spacing w:line="240" w:lineRule="auto"/>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图6.2-</w:t>
      </w:r>
      <w:r>
        <w:rPr>
          <w:rFonts w:hint="eastAsia" w:ascii="Times New Roman" w:hAnsi="Times New Roman" w:eastAsia="宋体" w:cs="Times New Roman"/>
          <w:caps w:val="0"/>
          <w:smallCaps w:val="0"/>
          <w:color w:val="auto"/>
          <w:spacing w:val="0"/>
          <w:sz w:val="24"/>
          <w:szCs w:val="24"/>
          <w:highlight w:val="none"/>
          <w:lang w:val="en-US" w:eastAsia="zh-CN"/>
        </w:rPr>
        <w:t>6</w:t>
      </w:r>
      <w:r>
        <w:rPr>
          <w:rFonts w:ascii="Times New Roman" w:hAnsi="Times New Roman" w:eastAsia="宋体" w:cs="Times New Roman"/>
          <w:caps w:val="0"/>
          <w:smallCaps w:val="0"/>
          <w:color w:val="auto"/>
          <w:spacing w:val="0"/>
          <w:sz w:val="24"/>
          <w:szCs w:val="24"/>
          <w:highlight w:val="none"/>
        </w:rPr>
        <w:t>地下水污染风险快速评估与决策过程</w:t>
      </w:r>
    </w:p>
    <w:p w14:paraId="761A797D">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2、风险事故应急程序</w:t>
      </w:r>
    </w:p>
    <w:p w14:paraId="268B3241">
      <w:pPr>
        <w:pStyle w:val="13"/>
        <w:widowControl w:val="0"/>
        <w:adjustRightInd w:val="0"/>
        <w:snapToGrid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建设单位应根据《中华人民共和国水污染防治法》编制相应的应急方案，并按照《关于印发&lt;企业突发环境事件风险评估指南(试行)&gt;的通知》(环办</w:t>
      </w:r>
      <w:r>
        <w:rPr>
          <w:rFonts w:hint="eastAsia" w:ascii="Times New Roman" w:hAnsi="Times New Roman" w:eastAsia="宋体" w:cs="Times New Roman"/>
          <w:caps w:val="0"/>
          <w:smallCaps w:val="0"/>
          <w:snapToGrid w:val="0"/>
          <w:color w:val="auto"/>
          <w:spacing w:val="0"/>
          <w:kern w:val="0"/>
          <w:szCs w:val="24"/>
          <w:highlight w:val="none"/>
          <w:lang w:eastAsia="zh-CN"/>
        </w:rPr>
        <w:t>〔2014〕34号</w:t>
      </w:r>
      <w:r>
        <w:rPr>
          <w:rFonts w:ascii="Times New Roman" w:hAnsi="Times New Roman" w:eastAsia="宋体" w:cs="Times New Roman"/>
          <w:caps w:val="0"/>
          <w:smallCaps w:val="0"/>
          <w:snapToGrid w:val="0"/>
          <w:color w:val="auto"/>
          <w:spacing w:val="0"/>
          <w:kern w:val="0"/>
          <w:szCs w:val="24"/>
          <w:highlight w:val="none"/>
        </w:rPr>
        <w:t>)，将地下水风险纳入建设单位环境风险事故评估中，防止对周围地下水环境造成污染。针对应急工作需要，参照相关技术导则，结合地下水污染治理的技术特点，制定地下水污染应急治理程序见下图。</w:t>
      </w:r>
    </w:p>
    <w:p w14:paraId="7D37EDD1">
      <w:pPr>
        <w:pStyle w:val="127"/>
        <w:widowControl w:val="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mc:AlternateContent>
          <mc:Choice Requires="wpg">
            <w:drawing>
              <wp:inline distT="0" distB="0" distL="114300" distR="114300">
                <wp:extent cx="5135245" cy="3891280"/>
                <wp:effectExtent l="0" t="0" r="0" b="0"/>
                <wp:docPr id="52" name="画布 342"/>
                <wp:cNvGraphicFramePr/>
                <a:graphic xmlns:a="http://schemas.openxmlformats.org/drawingml/2006/main">
                  <a:graphicData uri="http://schemas.microsoft.com/office/word/2010/wordprocessingGroup">
                    <wpg:wgp>
                      <wpg:cNvGrpSpPr>
                        <a:grpSpLocks noRot="1"/>
                      </wpg:cNvGrpSpPr>
                      <wpg:grpSpPr>
                        <a:xfrm>
                          <a:off x="0" y="0"/>
                          <a:ext cx="5135245" cy="3891280"/>
                          <a:chOff x="0" y="0"/>
                          <a:chExt cx="8304" cy="6262"/>
                        </a:xfrm>
                        <a:effectLst/>
                      </wpg:grpSpPr>
                      <wps:wsp>
                        <wps:cNvPr id="53" name="画布 342"/>
                        <wps:cNvSpPr>
                          <a:spLocks noChangeAspect="1"/>
                        </wps:cNvSpPr>
                        <wps:spPr>
                          <a:xfrm>
                            <a:off x="0" y="0"/>
                            <a:ext cx="8304" cy="6262"/>
                          </a:xfrm>
                          <a:prstGeom prst="rect">
                            <a:avLst/>
                          </a:prstGeom>
                          <a:noFill/>
                          <a:ln w="9525">
                            <a:noFill/>
                            <a:miter/>
                          </a:ln>
                          <a:effectLst/>
                        </wps:spPr>
                        <wps:bodyPr upright="1"/>
                      </wps:wsp>
                      <wps:wsp>
                        <wps:cNvPr id="54" name="矩形 349"/>
                        <wps:cNvSpPr/>
                        <wps:spPr>
                          <a:xfrm>
                            <a:off x="3096" y="20"/>
                            <a:ext cx="2264" cy="468"/>
                          </a:xfrm>
                          <a:prstGeom prst="rect">
                            <a:avLst/>
                          </a:prstGeom>
                          <a:noFill/>
                          <a:ln w="12700" cap="flat" cmpd="sng">
                            <a:solidFill>
                              <a:srgbClr val="000000"/>
                            </a:solidFill>
                            <a:prstDash val="solid"/>
                            <a:miter/>
                            <a:headEnd type="none" w="med" len="med"/>
                            <a:tailEnd type="none" w="med" len="med"/>
                          </a:ln>
                          <a:effectLst/>
                        </wps:spPr>
                        <wps:txbx>
                          <w:txbxContent>
                            <w:p w14:paraId="02DA5514">
                              <w:pPr>
                                <w:ind w:firstLine="120" w:firstLineChars="50"/>
                                <w:rPr>
                                  <w:color w:val="000000"/>
                                </w:rPr>
                              </w:pPr>
                              <w:r>
                                <w:rPr>
                                  <w:rFonts w:hint="eastAsia"/>
                                  <w:color w:val="000000"/>
                                </w:rPr>
                                <w:t>地下水污染事故</w:t>
                              </w:r>
                            </w:p>
                          </w:txbxContent>
                        </wps:txbx>
                        <wps:bodyPr lIns="36000" tIns="18000" rIns="36000" bIns="18000" anchor="ctr" upright="1"/>
                      </wps:wsp>
                      <wps:wsp>
                        <wps:cNvPr id="57" name="矩形 190"/>
                        <wps:cNvSpPr/>
                        <wps:spPr>
                          <a:xfrm>
                            <a:off x="559" y="966"/>
                            <a:ext cx="1932" cy="676"/>
                          </a:xfrm>
                          <a:prstGeom prst="rect">
                            <a:avLst/>
                          </a:prstGeom>
                          <a:noFill/>
                          <a:ln w="12700" cap="flat" cmpd="sng">
                            <a:solidFill>
                              <a:srgbClr val="000000"/>
                            </a:solidFill>
                            <a:prstDash val="solid"/>
                            <a:miter/>
                            <a:headEnd type="none" w="med" len="med"/>
                            <a:tailEnd type="none" w="med" len="med"/>
                          </a:ln>
                          <a:effectLst/>
                        </wps:spPr>
                        <wps:txbx>
                          <w:txbxContent>
                            <w:p w14:paraId="0A057FCA">
                              <w:pPr>
                                <w:pStyle w:val="34"/>
                              </w:pPr>
                              <w:r>
                                <w:rPr>
                                  <w:rFonts w:hint="eastAsia"/>
                                  <w:color w:val="000000"/>
                                  <w:sz w:val="21"/>
                                  <w:szCs w:val="21"/>
                                </w:rPr>
                                <w:t>控制事故现场，及时切断污染源</w:t>
                              </w:r>
                            </w:p>
                          </w:txbxContent>
                        </wps:txbx>
                        <wps:bodyPr lIns="36000" tIns="0" rIns="36000" bIns="36000" anchor="ctr" upright="1"/>
                      </wps:wsp>
                      <wps:wsp>
                        <wps:cNvPr id="59" name="矩形 192"/>
                        <wps:cNvSpPr/>
                        <wps:spPr>
                          <a:xfrm>
                            <a:off x="3204" y="966"/>
                            <a:ext cx="1932" cy="468"/>
                          </a:xfrm>
                          <a:prstGeom prst="rect">
                            <a:avLst/>
                          </a:prstGeom>
                          <a:noFill/>
                          <a:ln w="12700" cap="flat" cmpd="sng">
                            <a:solidFill>
                              <a:srgbClr val="000000"/>
                            </a:solidFill>
                            <a:prstDash val="solid"/>
                            <a:miter/>
                            <a:headEnd type="none" w="med" len="med"/>
                            <a:tailEnd type="none" w="med" len="med"/>
                          </a:ln>
                          <a:effectLst/>
                        </wps:spPr>
                        <wps:txbx>
                          <w:txbxContent>
                            <w:p w14:paraId="4678A422">
                              <w:pPr>
                                <w:pStyle w:val="34"/>
                              </w:pPr>
                              <w:r>
                                <w:rPr>
                                  <w:rFonts w:hint="eastAsia"/>
                                  <w:color w:val="000000"/>
                                  <w:sz w:val="21"/>
                                  <w:szCs w:val="21"/>
                                </w:rPr>
                                <w:t>上报相关主管部门</w:t>
                              </w:r>
                            </w:p>
                          </w:txbxContent>
                        </wps:txbx>
                        <wps:bodyPr lIns="36000" tIns="18000" rIns="36000" bIns="18000" anchor="ctr" upright="1"/>
                      </wps:wsp>
                      <wps:wsp>
                        <wps:cNvPr id="60" name="矩形 193"/>
                        <wps:cNvSpPr/>
                        <wps:spPr>
                          <a:xfrm>
                            <a:off x="5815" y="1002"/>
                            <a:ext cx="1932" cy="468"/>
                          </a:xfrm>
                          <a:prstGeom prst="rect">
                            <a:avLst/>
                          </a:prstGeom>
                          <a:noFill/>
                          <a:ln w="12700" cap="flat" cmpd="sng">
                            <a:solidFill>
                              <a:srgbClr val="000000"/>
                            </a:solidFill>
                            <a:prstDash val="solid"/>
                            <a:miter/>
                            <a:headEnd type="none" w="med" len="med"/>
                            <a:tailEnd type="none" w="med" len="med"/>
                          </a:ln>
                          <a:effectLst/>
                        </wps:spPr>
                        <wps:txbx>
                          <w:txbxContent>
                            <w:p w14:paraId="5DEB09C2">
                              <w:pPr>
                                <w:pStyle w:val="34"/>
                                <w:ind w:firstLine="210" w:firstLineChars="100"/>
                              </w:pPr>
                              <w:r>
                                <w:rPr>
                                  <w:rFonts w:hint="eastAsia"/>
                                  <w:color w:val="000000"/>
                                  <w:sz w:val="21"/>
                                  <w:szCs w:val="21"/>
                                </w:rPr>
                                <w:t>准备相关资料</w:t>
                              </w:r>
                            </w:p>
                          </w:txbxContent>
                        </wps:txbx>
                        <wps:bodyPr lIns="36000" tIns="18000" rIns="36000" bIns="18000" anchor="ctr" upright="1"/>
                      </wps:wsp>
                      <wps:wsp>
                        <wps:cNvPr id="61" name="矩形 194"/>
                        <wps:cNvSpPr/>
                        <wps:spPr>
                          <a:xfrm>
                            <a:off x="3204" y="1992"/>
                            <a:ext cx="1932" cy="468"/>
                          </a:xfrm>
                          <a:prstGeom prst="rect">
                            <a:avLst/>
                          </a:prstGeom>
                          <a:noFill/>
                          <a:ln w="12700" cap="flat" cmpd="sng">
                            <a:solidFill>
                              <a:srgbClr val="000000"/>
                            </a:solidFill>
                            <a:prstDash val="solid"/>
                            <a:miter/>
                            <a:headEnd type="none" w="med" len="med"/>
                            <a:tailEnd type="none" w="med" len="med"/>
                          </a:ln>
                          <a:effectLst/>
                        </wps:spPr>
                        <wps:txbx>
                          <w:txbxContent>
                            <w:p w14:paraId="2C74B09F">
                              <w:pPr>
                                <w:pStyle w:val="34"/>
                                <w:ind w:firstLine="210" w:firstLineChars="100"/>
                              </w:pPr>
                              <w:r>
                                <w:rPr>
                                  <w:rFonts w:hint="eastAsia"/>
                                  <w:color w:val="000000"/>
                                  <w:sz w:val="21"/>
                                  <w:szCs w:val="21"/>
                                </w:rPr>
                                <w:t>环境监测取样</w:t>
                              </w:r>
                            </w:p>
                          </w:txbxContent>
                        </wps:txbx>
                        <wps:bodyPr lIns="36000" tIns="18000" rIns="36000" bIns="18000" anchor="ctr" upright="1"/>
                      </wps:wsp>
                      <wps:wsp>
                        <wps:cNvPr id="62" name="矩形 195"/>
                        <wps:cNvSpPr/>
                        <wps:spPr>
                          <a:xfrm>
                            <a:off x="2412" y="2785"/>
                            <a:ext cx="3511" cy="444"/>
                          </a:xfrm>
                          <a:prstGeom prst="rect">
                            <a:avLst/>
                          </a:prstGeom>
                          <a:noFill/>
                          <a:ln w="12700" cap="flat" cmpd="sng">
                            <a:solidFill>
                              <a:srgbClr val="000000"/>
                            </a:solidFill>
                            <a:prstDash val="solid"/>
                            <a:miter/>
                            <a:headEnd type="none" w="med" len="med"/>
                            <a:tailEnd type="none" w="med" len="med"/>
                          </a:ln>
                          <a:effectLst/>
                        </wps:spPr>
                        <wps:txbx>
                          <w:txbxContent>
                            <w:p w14:paraId="783F61EC">
                              <w:pPr>
                                <w:pStyle w:val="34"/>
                                <w:ind w:firstLine="105" w:firstLineChars="50"/>
                              </w:pPr>
                              <w:r>
                                <w:rPr>
                                  <w:rFonts w:hint="eastAsia"/>
                                  <w:color w:val="000000"/>
                                  <w:sz w:val="21"/>
                                  <w:szCs w:val="21"/>
                                </w:rPr>
                                <w:t>进行详细调查方案确定污染范围</w:t>
                              </w:r>
                            </w:p>
                          </w:txbxContent>
                        </wps:txbx>
                        <wps:bodyPr lIns="36000" tIns="18000" rIns="36000" bIns="18000" anchor="ctr" upright="1"/>
                      </wps:wsp>
                      <wps:wsp>
                        <wps:cNvPr id="63" name="矩形 196"/>
                        <wps:cNvSpPr/>
                        <wps:spPr>
                          <a:xfrm>
                            <a:off x="2734" y="3567"/>
                            <a:ext cx="3189" cy="712"/>
                          </a:xfrm>
                          <a:prstGeom prst="rect">
                            <a:avLst/>
                          </a:prstGeom>
                          <a:noFill/>
                          <a:ln w="12700" cap="flat" cmpd="sng">
                            <a:solidFill>
                              <a:srgbClr val="000000"/>
                            </a:solidFill>
                            <a:prstDash val="solid"/>
                            <a:miter/>
                            <a:headEnd type="none" w="med" len="med"/>
                            <a:tailEnd type="none" w="med" len="med"/>
                          </a:ln>
                          <a:effectLst/>
                        </wps:spPr>
                        <wps:txbx>
                          <w:txbxContent>
                            <w:p w14:paraId="533E2285">
                              <w:pPr>
                                <w:pStyle w:val="34"/>
                                <w:ind w:firstLine="105" w:firstLineChars="50"/>
                                <w:rPr>
                                  <w:sz w:val="21"/>
                                  <w:szCs w:val="21"/>
                                </w:rPr>
                              </w:pPr>
                              <w:r>
                                <w:rPr>
                                  <w:rFonts w:hint="eastAsia"/>
                                  <w:color w:val="000000"/>
                                  <w:sz w:val="21"/>
                                  <w:szCs w:val="21"/>
                                </w:rPr>
                                <w:t>制定修复方案，进行方案审查</w:t>
                              </w:r>
                            </w:p>
                          </w:txbxContent>
                        </wps:txbx>
                        <wps:bodyPr lIns="36000" tIns="18000" rIns="36000" bIns="18000" anchor="ctr" upright="1"/>
                      </wps:wsp>
                      <wps:wsp>
                        <wps:cNvPr id="975" name="矩形 197"/>
                        <wps:cNvSpPr/>
                        <wps:spPr>
                          <a:xfrm>
                            <a:off x="559" y="4745"/>
                            <a:ext cx="1932" cy="468"/>
                          </a:xfrm>
                          <a:prstGeom prst="rect">
                            <a:avLst/>
                          </a:prstGeom>
                          <a:noFill/>
                          <a:ln w="12700" cap="flat" cmpd="sng">
                            <a:solidFill>
                              <a:srgbClr val="000000"/>
                            </a:solidFill>
                            <a:prstDash val="solid"/>
                            <a:miter/>
                            <a:headEnd type="none" w="med" len="med"/>
                            <a:tailEnd type="none" w="med" len="med"/>
                          </a:ln>
                          <a:effectLst/>
                        </wps:spPr>
                        <wps:txbx>
                          <w:txbxContent>
                            <w:p w14:paraId="58386537">
                              <w:pPr>
                                <w:pStyle w:val="34"/>
                                <w:ind w:firstLine="105" w:firstLineChars="50"/>
                              </w:pPr>
                              <w:r>
                                <w:rPr>
                                  <w:rFonts w:hint="eastAsia"/>
                                  <w:color w:val="000000"/>
                                  <w:sz w:val="21"/>
                                  <w:szCs w:val="21"/>
                                </w:rPr>
                                <w:t>实施修复方案</w:t>
                              </w:r>
                            </w:p>
                          </w:txbxContent>
                        </wps:txbx>
                        <wps:bodyPr lIns="36000" tIns="18000" rIns="36000" bIns="18000" anchor="ctr" upright="1"/>
                      </wps:wsp>
                      <wps:wsp>
                        <wps:cNvPr id="977" name="矩形 198"/>
                        <wps:cNvSpPr/>
                        <wps:spPr>
                          <a:xfrm>
                            <a:off x="3204" y="4745"/>
                            <a:ext cx="1932" cy="468"/>
                          </a:xfrm>
                          <a:prstGeom prst="rect">
                            <a:avLst/>
                          </a:prstGeom>
                          <a:noFill/>
                          <a:ln w="12700" cap="flat" cmpd="sng">
                            <a:solidFill>
                              <a:srgbClr val="000000"/>
                            </a:solidFill>
                            <a:prstDash val="solid"/>
                            <a:miter/>
                            <a:headEnd type="none" w="med" len="med"/>
                            <a:tailEnd type="none" w="med" len="med"/>
                          </a:ln>
                          <a:effectLst/>
                        </wps:spPr>
                        <wps:txbx>
                          <w:txbxContent>
                            <w:p w14:paraId="6C102769">
                              <w:pPr>
                                <w:pStyle w:val="34"/>
                                <w:ind w:firstLine="105" w:firstLineChars="50"/>
                              </w:pPr>
                              <w:r>
                                <w:rPr>
                                  <w:rFonts w:hint="eastAsia"/>
                                  <w:color w:val="000000"/>
                                  <w:sz w:val="21"/>
                                  <w:szCs w:val="21"/>
                                </w:rPr>
                                <w:t>进行跟踪监测</w:t>
                              </w:r>
                            </w:p>
                          </w:txbxContent>
                        </wps:txbx>
                        <wps:bodyPr lIns="36000" tIns="18000" rIns="36000" bIns="18000" anchor="ctr" upright="1"/>
                      </wps:wsp>
                      <wps:wsp>
                        <wps:cNvPr id="979" name="矩形 199"/>
                        <wps:cNvSpPr/>
                        <wps:spPr>
                          <a:xfrm>
                            <a:off x="5815" y="4731"/>
                            <a:ext cx="1932" cy="468"/>
                          </a:xfrm>
                          <a:prstGeom prst="rect">
                            <a:avLst/>
                          </a:prstGeom>
                          <a:noFill/>
                          <a:ln w="12700" cap="flat" cmpd="sng">
                            <a:solidFill>
                              <a:srgbClr val="000000"/>
                            </a:solidFill>
                            <a:prstDash val="solid"/>
                            <a:miter/>
                            <a:headEnd type="none" w="med" len="med"/>
                            <a:tailEnd type="none" w="med" len="med"/>
                          </a:ln>
                          <a:effectLst/>
                        </wps:spPr>
                        <wps:txbx>
                          <w:txbxContent>
                            <w:p w14:paraId="7509E374">
                              <w:pPr>
                                <w:pStyle w:val="34"/>
                                <w:ind w:firstLine="105" w:firstLineChars="50"/>
                              </w:pPr>
                              <w:r>
                                <w:rPr>
                                  <w:rFonts w:hint="eastAsia"/>
                                  <w:color w:val="000000"/>
                                  <w:sz w:val="21"/>
                                  <w:szCs w:val="21"/>
                                </w:rPr>
                                <w:t>修复达到目标</w:t>
                              </w:r>
                            </w:p>
                          </w:txbxContent>
                        </wps:txbx>
                        <wps:bodyPr lIns="36000" tIns="18000" rIns="36000" bIns="18000" anchor="ctr" upright="1"/>
                      </wps:wsp>
                      <wps:wsp>
                        <wps:cNvPr id="980" name="矩形 200"/>
                        <wps:cNvSpPr/>
                        <wps:spPr>
                          <a:xfrm>
                            <a:off x="3204" y="5725"/>
                            <a:ext cx="1932" cy="468"/>
                          </a:xfrm>
                          <a:prstGeom prst="rect">
                            <a:avLst/>
                          </a:prstGeom>
                          <a:noFill/>
                          <a:ln w="12700" cap="flat" cmpd="sng">
                            <a:solidFill>
                              <a:srgbClr val="000000"/>
                            </a:solidFill>
                            <a:prstDash val="solid"/>
                            <a:miter/>
                            <a:headEnd type="none" w="med" len="med"/>
                            <a:tailEnd type="none" w="med" len="med"/>
                          </a:ln>
                          <a:effectLst/>
                        </wps:spPr>
                        <wps:txbx>
                          <w:txbxContent>
                            <w:p w14:paraId="11FBDB7D">
                              <w:pPr>
                                <w:pStyle w:val="34"/>
                                <w:ind w:firstLine="105" w:firstLineChars="50"/>
                              </w:pPr>
                              <w:r>
                                <w:rPr>
                                  <w:rFonts w:hint="eastAsia"/>
                                  <w:color w:val="000000"/>
                                  <w:sz w:val="21"/>
                                  <w:szCs w:val="21"/>
                                </w:rPr>
                                <w:t>修复工程验收</w:t>
                              </w:r>
                            </w:p>
                          </w:txbxContent>
                        </wps:txbx>
                        <wps:bodyPr lIns="36000" tIns="18000" rIns="36000" bIns="18000" anchor="ctr" upright="1"/>
                      </wps:wsp>
                      <wpg:grpSp>
                        <wpg:cNvPr id="64" name="Group 167"/>
                        <wpg:cNvGrpSpPr/>
                        <wpg:grpSpPr>
                          <a:xfrm>
                            <a:off x="1525" y="534"/>
                            <a:ext cx="5256" cy="468"/>
                            <a:chOff x="0" y="0"/>
                            <a:chExt cx="5256" cy="468"/>
                          </a:xfrm>
                          <a:effectLst/>
                        </wpg:grpSpPr>
                        <wps:wsp>
                          <wps:cNvPr id="66" name="直接箭头连接符 350"/>
                          <wps:cNvCnPr/>
                          <wps:spPr>
                            <a:xfrm>
                              <a:off x="2645" y="0"/>
                              <a:ext cx="0" cy="432"/>
                            </a:xfrm>
                            <a:prstGeom prst="straightConnector1">
                              <a:avLst/>
                            </a:prstGeom>
                            <a:ln w="12700" cap="flat" cmpd="sng">
                              <a:solidFill>
                                <a:srgbClr val="000000"/>
                              </a:solidFill>
                              <a:prstDash val="solid"/>
                              <a:headEnd type="none" w="med" len="med"/>
                              <a:tailEnd type="stealth" w="med" len="med"/>
                            </a:ln>
                            <a:effectLst/>
                          </wps:spPr>
                          <wps:bodyPr/>
                        </wps:wsp>
                        <wps:wsp>
                          <wps:cNvPr id="67" name="肘形连接符 351"/>
                          <wps:cNvCnPr/>
                          <wps:spPr>
                            <a:xfrm rot="5400000" flipV="1">
                              <a:off x="2610" y="-2178"/>
                              <a:ext cx="36" cy="5256"/>
                            </a:xfrm>
                            <a:prstGeom prst="bentConnector3">
                              <a:avLst>
                                <a:gd name="adj1" fmla="val -700000"/>
                              </a:avLst>
                            </a:prstGeom>
                            <a:ln w="12700" cap="flat" cmpd="sng">
                              <a:solidFill>
                                <a:srgbClr val="000000"/>
                              </a:solidFill>
                              <a:prstDash val="solid"/>
                              <a:miter/>
                              <a:headEnd type="stealth" w="med" len="med"/>
                              <a:tailEnd type="stealth" w="med" len="med"/>
                            </a:ln>
                            <a:effectLst/>
                          </wps:spPr>
                          <wps:bodyPr/>
                        </wps:wsp>
                      </wpg:grpSp>
                      <wpg:grpSp>
                        <wpg:cNvPr id="68" name="Group 168"/>
                        <wpg:cNvGrpSpPr/>
                        <wpg:grpSpPr>
                          <a:xfrm>
                            <a:off x="1525" y="1434"/>
                            <a:ext cx="5256" cy="558"/>
                            <a:chOff x="0" y="0"/>
                            <a:chExt cx="5256" cy="558"/>
                          </a:xfrm>
                          <a:effectLst/>
                        </wpg:grpSpPr>
                        <wps:wsp>
                          <wps:cNvPr id="69" name="肘形连接符 108"/>
                          <wps:cNvCnPr/>
                          <wps:spPr>
                            <a:xfrm rot="5400000" flipH="1" flipV="1">
                              <a:off x="2542" y="-2506"/>
                              <a:ext cx="172" cy="5256"/>
                            </a:xfrm>
                            <a:prstGeom prst="bentConnector3">
                              <a:avLst>
                                <a:gd name="adj1" fmla="val -62213"/>
                              </a:avLst>
                            </a:prstGeom>
                            <a:ln w="12700" cap="flat" cmpd="sng">
                              <a:solidFill>
                                <a:srgbClr val="000000"/>
                              </a:solidFill>
                              <a:prstDash val="solid"/>
                              <a:miter/>
                              <a:headEnd type="none" w="med" len="med"/>
                              <a:tailEnd type="none" w="med" len="med"/>
                            </a:ln>
                            <a:effectLst/>
                          </wps:spPr>
                          <wps:bodyPr/>
                        </wps:wsp>
                        <wps:wsp>
                          <wps:cNvPr id="70" name="直接箭头连接符 203"/>
                          <wps:cNvCnPr/>
                          <wps:spPr>
                            <a:xfrm>
                              <a:off x="2645" y="0"/>
                              <a:ext cx="0" cy="558"/>
                            </a:xfrm>
                            <a:prstGeom prst="straightConnector1">
                              <a:avLst/>
                            </a:prstGeom>
                            <a:ln w="12700" cap="flat" cmpd="sng">
                              <a:solidFill>
                                <a:srgbClr val="000000"/>
                              </a:solidFill>
                              <a:prstDash val="solid"/>
                              <a:headEnd type="none" w="med" len="med"/>
                              <a:tailEnd type="stealth" w="med" len="med"/>
                            </a:ln>
                            <a:effectLst/>
                          </wps:spPr>
                          <wps:bodyPr/>
                        </wps:wsp>
                      </wpg:grpSp>
                      <wps:wsp>
                        <wps:cNvPr id="71" name="直接箭头连接符 204"/>
                        <wps:cNvCnPr/>
                        <wps:spPr>
                          <a:xfrm flipH="1">
                            <a:off x="4168" y="2460"/>
                            <a:ext cx="2" cy="325"/>
                          </a:xfrm>
                          <a:prstGeom prst="straightConnector1">
                            <a:avLst/>
                          </a:prstGeom>
                          <a:ln w="12700" cap="flat" cmpd="sng">
                            <a:solidFill>
                              <a:srgbClr val="000000"/>
                            </a:solidFill>
                            <a:prstDash val="solid"/>
                            <a:headEnd type="none" w="med" len="med"/>
                            <a:tailEnd type="stealth" w="med" len="med"/>
                          </a:ln>
                          <a:effectLst/>
                        </wps:spPr>
                        <wps:bodyPr/>
                      </wps:wsp>
                      <wps:wsp>
                        <wps:cNvPr id="72" name="直接箭头连接符 205"/>
                        <wps:cNvCnPr/>
                        <wps:spPr>
                          <a:xfrm>
                            <a:off x="4168" y="3229"/>
                            <a:ext cx="2" cy="338"/>
                          </a:xfrm>
                          <a:prstGeom prst="straightConnector1">
                            <a:avLst/>
                          </a:prstGeom>
                          <a:ln w="12700" cap="flat" cmpd="sng">
                            <a:solidFill>
                              <a:srgbClr val="000000"/>
                            </a:solidFill>
                            <a:prstDash val="solid"/>
                            <a:headEnd type="none" w="med" len="med"/>
                            <a:tailEnd type="stealth" w="med" len="med"/>
                          </a:ln>
                          <a:effectLst/>
                        </wps:spPr>
                        <wps:bodyPr/>
                      </wps:wsp>
                      <wps:wsp>
                        <wps:cNvPr id="76" name="直接箭头连接符 206"/>
                        <wps:cNvCnPr/>
                        <wps:spPr>
                          <a:xfrm flipH="1">
                            <a:off x="4170" y="4290"/>
                            <a:ext cx="1" cy="455"/>
                          </a:xfrm>
                          <a:prstGeom prst="straightConnector1">
                            <a:avLst/>
                          </a:prstGeom>
                          <a:ln w="12700" cap="flat" cmpd="sng">
                            <a:solidFill>
                              <a:srgbClr val="000000"/>
                            </a:solidFill>
                            <a:prstDash val="solid"/>
                            <a:headEnd type="none" w="med" len="med"/>
                            <a:tailEnd type="stealth" w="med" len="med"/>
                          </a:ln>
                          <a:effectLst/>
                        </wps:spPr>
                        <wps:bodyPr/>
                      </wps:wsp>
                      <wps:wsp>
                        <wps:cNvPr id="77" name="肘形连接符 207"/>
                        <wps:cNvCnPr/>
                        <wps:spPr>
                          <a:xfrm rot="5400000" flipH="1" flipV="1">
                            <a:off x="4153" y="2107"/>
                            <a:ext cx="20" cy="5256"/>
                          </a:xfrm>
                          <a:prstGeom prst="bentConnector3">
                            <a:avLst>
                              <a:gd name="adj1" fmla="val 1140000"/>
                            </a:avLst>
                          </a:prstGeom>
                          <a:ln w="12700" cap="flat" cmpd="sng">
                            <a:solidFill>
                              <a:srgbClr val="000000"/>
                            </a:solidFill>
                            <a:prstDash val="solid"/>
                            <a:miter/>
                            <a:headEnd type="stealth" w="med" len="med"/>
                            <a:tailEnd type="stealth" w="med" len="med"/>
                          </a:ln>
                          <a:effectLst/>
                        </wps:spPr>
                        <wps:bodyPr/>
                      </wps:wsp>
                      <wps:wsp>
                        <wps:cNvPr id="78" name="直接箭头连接符 209"/>
                        <wps:cNvCnPr/>
                        <wps:spPr>
                          <a:xfrm>
                            <a:off x="4170" y="5213"/>
                            <a:ext cx="1" cy="512"/>
                          </a:xfrm>
                          <a:prstGeom prst="straightConnector1">
                            <a:avLst/>
                          </a:prstGeom>
                          <a:ln w="12700" cap="flat" cmpd="sng">
                            <a:solidFill>
                              <a:srgbClr val="000000"/>
                            </a:solidFill>
                            <a:prstDash val="solid"/>
                            <a:headEnd type="none" w="med" len="med"/>
                            <a:tailEnd type="stealth" w="med" len="med"/>
                          </a:ln>
                          <a:effectLst/>
                        </wps:spPr>
                        <wps:bodyPr/>
                      </wps:wsp>
                      <wps:wsp>
                        <wps:cNvPr id="79" name="肘形连接符 109"/>
                        <wps:cNvCnPr/>
                        <wps:spPr>
                          <a:xfrm rot="5400000" flipH="1" flipV="1">
                            <a:off x="4146" y="2578"/>
                            <a:ext cx="14" cy="5256"/>
                          </a:xfrm>
                          <a:prstGeom prst="bentConnector3">
                            <a:avLst>
                              <a:gd name="adj1" fmla="val -2571431"/>
                            </a:avLst>
                          </a:prstGeom>
                          <a:ln w="12700" cap="flat" cmpd="sng">
                            <a:solidFill>
                              <a:srgbClr val="000000"/>
                            </a:solidFill>
                            <a:prstDash val="solid"/>
                            <a:miter/>
                            <a:headEnd type="none" w="med" len="med"/>
                            <a:tailEnd type="none" w="med" len="med"/>
                          </a:ln>
                          <a:effectLst/>
                        </wps:spPr>
                        <wps:bodyPr/>
                      </wps:wsp>
                    </wpg:wgp>
                  </a:graphicData>
                </a:graphic>
              </wp:inline>
            </w:drawing>
          </mc:Choice>
          <mc:Fallback>
            <w:pict>
              <v:group id="画布 342" o:spid="_x0000_s1026" o:spt="203" style="height:306.4pt;width:404.35pt;" coordsize="8304,6262" o:gfxdata="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">
                <o:lock v:ext="edit" rotation="t" aspectratio="f"/>
                <v:rect id="画布 342" o:spid="_x0000_s1026" o:spt="1" style="position:absolute;left:0;top:0;height:6262;width:8304;" filled="f" stroked="f" coordsize="21600,21600" o:gfxdata="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oeDp74A&#10;AADbAAAADwAAAAAAAAABACAAAAAiAAAAZHJzL2Rvd25yZXYueG1sUEsBAhQAFAAAAAgAh07iQDMv&#10;BZ47AAAAOQAAABAAAAAAAAAAAQAgAAAADQEAAGRycy9zaGFwZXhtbC54bWxQSwUGAAAAAAYABgBb&#10;AQAAtwMAAAAA&#10;">
                  <v:fill on="f" focussize="0,0"/>
                  <v:stroke on="f" joinstyle="miter"/>
                  <v:imagedata o:title=""/>
                  <o:lock v:ext="edit" aspectratio="t"/>
                </v:rect>
                <v:rect id="矩形 349" o:spid="_x0000_s1026" o:spt="1" style="position:absolute;left:3096;top:20;height:468;width:2264;v-text-anchor:middle;" filled="f" stroked="t" coordsize="21600,21600" o:gfxdata="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5Tnw74A&#10;AADbAAAADwAAAAAAAAABACAAAAAiAAAAZHJzL2Rvd25yZXYueG1sUEsBAhQAFAAAAAgAh07iQDMv&#10;BZ47AAAAOQAAABAAAAAAAAAAAQAgAAAADQEAAGRycy9zaGFwZXhtbC54bWxQSwUGAAAAAAYABgBb&#10;AQAAtwMAAAAA&#10;">
                  <v:fill on="f" focussize="0,0"/>
                  <v:stroke weight="1pt" color="#000000" joinstyle="miter"/>
                  <v:imagedata o:title=""/>
                  <o:lock v:ext="edit" aspectratio="f"/>
                  <v:textbox inset="1mm,0.5mm,1mm,0.5mm">
                    <w:txbxContent>
                      <w:p w14:paraId="02DA5514">
                        <w:pPr>
                          <w:ind w:firstLine="120" w:firstLineChars="50"/>
                          <w:rPr>
                            <w:color w:val="000000"/>
                          </w:rPr>
                        </w:pPr>
                        <w:r>
                          <w:rPr>
                            <w:rFonts w:hint="eastAsia"/>
                            <w:color w:val="000000"/>
                          </w:rPr>
                          <w:t>地下水污染事故</w:t>
                        </w:r>
                      </w:p>
                    </w:txbxContent>
                  </v:textbox>
                </v:rect>
                <v:rect id="矩形 190" o:spid="_x0000_s1026" o:spt="1" style="position:absolute;left:559;top:966;height:676;width:1932;v-text-anchor:middle;" filled="f" stroked="t" coordsize="21600,21600" o:gfxdata="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fSH68AAAA&#10;2wAAAA8AAAAAAAAAAQAgAAAAIgAAAGRycy9kb3ducmV2LnhtbFBLAQIUABQAAAAIAIdO4kAzLwWe&#10;OwAAADkAAAAQAAAAAAAAAAEAIAAAAAsBAABkcnMvc2hhcGV4bWwueG1sUEsFBgAAAAAGAAYAWwEA&#10;ALUDAAAAAA==&#10;">
                  <v:fill on="f" focussize="0,0"/>
                  <v:stroke weight="1pt" color="#000000" joinstyle="miter"/>
                  <v:imagedata o:title=""/>
                  <o:lock v:ext="edit" aspectratio="f"/>
                  <v:textbox inset="1mm,0mm,1mm,1mm">
                    <w:txbxContent>
                      <w:p w14:paraId="0A057FCA">
                        <w:pPr>
                          <w:pStyle w:val="34"/>
                        </w:pPr>
                        <w:r>
                          <w:rPr>
                            <w:rFonts w:hint="eastAsia"/>
                            <w:color w:val="000000"/>
                            <w:sz w:val="21"/>
                            <w:szCs w:val="21"/>
                          </w:rPr>
                          <w:t>控制事故现场，及时切断污染源</w:t>
                        </w:r>
                      </w:p>
                    </w:txbxContent>
                  </v:textbox>
                </v:rect>
                <v:rect id="矩形 192" o:spid="_x0000_s1026" o:spt="1" style="position:absolute;left:3204;top:966;height:468;width:1932;v-text-anchor:middle;" filled="f" stroked="t" coordsize="21600,21600" o:gfxdata="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ZVIXb4A&#10;AADbAAAADwAAAAAAAAABACAAAAAiAAAAZHJzL2Rvd25yZXYueG1sUEsBAhQAFAAAAAgAh07iQDMv&#10;BZ47AAAAOQAAABAAAAAAAAAAAQAgAAAADQEAAGRycy9zaGFwZXhtbC54bWxQSwUGAAAAAAYABgBb&#10;AQAAtwMAAAAA&#10;">
                  <v:fill on="f" focussize="0,0"/>
                  <v:stroke weight="1pt" color="#000000" joinstyle="miter"/>
                  <v:imagedata o:title=""/>
                  <o:lock v:ext="edit" aspectratio="f"/>
                  <v:textbox inset="1mm,0.5mm,1mm,0.5mm">
                    <w:txbxContent>
                      <w:p w14:paraId="4678A422">
                        <w:pPr>
                          <w:pStyle w:val="34"/>
                        </w:pPr>
                        <w:r>
                          <w:rPr>
                            <w:rFonts w:hint="eastAsia"/>
                            <w:color w:val="000000"/>
                            <w:sz w:val="21"/>
                            <w:szCs w:val="21"/>
                          </w:rPr>
                          <w:t>上报相关主管部门</w:t>
                        </w:r>
                      </w:p>
                    </w:txbxContent>
                  </v:textbox>
                </v:rect>
                <v:rect id="矩形 193" o:spid="_x0000_s1026" o:spt="1" style="position:absolute;left:5815;top:1002;height:468;width:1932;v-text-anchor:middle;" filled="f" stroked="t" coordsize="21600,21600" o:gfxdata="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MrfbsAAADb&#10;AAAADwAAAAAAAAABACAAAAAiAAAAZHJzL2Rvd25yZXYueG1sUEsBAhQAFAAAAAgAh07iQDMvBZ47&#10;AAAAOQAAABAAAAAAAAAAAQAgAAAACgEAAGRycy9zaGFwZXhtbC54bWxQSwUGAAAAAAYABgBbAQAA&#10;tAMAAAAA&#10;">
                  <v:fill on="f" focussize="0,0"/>
                  <v:stroke weight="1pt" color="#000000" joinstyle="miter"/>
                  <v:imagedata o:title=""/>
                  <o:lock v:ext="edit" aspectratio="f"/>
                  <v:textbox inset="1mm,0.5mm,1mm,0.5mm">
                    <w:txbxContent>
                      <w:p w14:paraId="5DEB09C2">
                        <w:pPr>
                          <w:pStyle w:val="34"/>
                          <w:ind w:firstLine="210" w:firstLineChars="100"/>
                        </w:pPr>
                        <w:r>
                          <w:rPr>
                            <w:rFonts w:hint="eastAsia"/>
                            <w:color w:val="000000"/>
                            <w:sz w:val="21"/>
                            <w:szCs w:val="21"/>
                          </w:rPr>
                          <w:t>准备相关资料</w:t>
                        </w:r>
                      </w:p>
                    </w:txbxContent>
                  </v:textbox>
                </v:rect>
                <v:rect id="矩形 194" o:spid="_x0000_s1026" o:spt="1" style="position:absolute;left:3204;top:1992;height:468;width:1932;v-text-anchor:middle;" filled="f" stroked="t" coordsize="21600,21600" o:gfxdata="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Y+O5r4A&#10;AADbAAAADwAAAAAAAAABACAAAAAiAAAAZHJzL2Rvd25yZXYueG1sUEsBAhQAFAAAAAgAh07iQDMv&#10;BZ47AAAAOQAAABAAAAAAAAAAAQAgAAAADQEAAGRycy9zaGFwZXhtbC54bWxQSwUGAAAAAAYABgBb&#10;AQAAtwMAAAAA&#10;">
                  <v:fill on="f" focussize="0,0"/>
                  <v:stroke weight="1pt" color="#000000" joinstyle="miter"/>
                  <v:imagedata o:title=""/>
                  <o:lock v:ext="edit" aspectratio="f"/>
                  <v:textbox inset="1mm,0.5mm,1mm,0.5mm">
                    <w:txbxContent>
                      <w:p w14:paraId="2C74B09F">
                        <w:pPr>
                          <w:pStyle w:val="34"/>
                          <w:ind w:firstLine="210" w:firstLineChars="100"/>
                        </w:pPr>
                        <w:r>
                          <w:rPr>
                            <w:rFonts w:hint="eastAsia"/>
                            <w:color w:val="000000"/>
                            <w:sz w:val="21"/>
                            <w:szCs w:val="21"/>
                          </w:rPr>
                          <w:t>环境监测取样</w:t>
                        </w:r>
                      </w:p>
                    </w:txbxContent>
                  </v:textbox>
                </v:rect>
                <v:rect id="矩形 195" o:spid="_x0000_s1026" o:spt="1" style="position:absolute;left:2412;top:2785;height:444;width:3511;v-text-anchor:middle;" filled="f" stroked="t" coordsize="21600,21600" o:gfxdata="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dEJG8AAAA&#10;2wAAAA8AAAAAAAAAAQAgAAAAIgAAAGRycy9kb3ducmV2LnhtbFBLAQIUABQAAAAIAIdO4kAzLwWe&#10;OwAAADkAAAAQAAAAAAAAAAEAIAAAAAsBAABkcnMvc2hhcGV4bWwueG1sUEsFBgAAAAAGAAYAWwEA&#10;ALUDAAAAAA==&#10;">
                  <v:fill on="f" focussize="0,0"/>
                  <v:stroke weight="1pt" color="#000000" joinstyle="miter"/>
                  <v:imagedata o:title=""/>
                  <o:lock v:ext="edit" aspectratio="f"/>
                  <v:textbox inset="1mm,0.5mm,1mm,0.5mm">
                    <w:txbxContent>
                      <w:p w14:paraId="783F61EC">
                        <w:pPr>
                          <w:pStyle w:val="34"/>
                          <w:ind w:firstLine="105" w:firstLineChars="50"/>
                        </w:pPr>
                        <w:r>
                          <w:rPr>
                            <w:rFonts w:hint="eastAsia"/>
                            <w:color w:val="000000"/>
                            <w:sz w:val="21"/>
                            <w:szCs w:val="21"/>
                          </w:rPr>
                          <w:t>进行详细调查方案确定污染范围</w:t>
                        </w:r>
                      </w:p>
                    </w:txbxContent>
                  </v:textbox>
                </v:rect>
                <v:rect id="矩形 196" o:spid="_x0000_s1026" o:spt="1" style="position:absolute;left:2734;top:3567;height:712;width:3189;v-text-anchor:middle;" filled="f" stroked="t" coordsize="21600,21600" o:gfxdata="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YRtQq8AAAA&#10;2wAAAA8AAAAAAAAAAQAgAAAAIgAAAGRycy9kb3ducmV2LnhtbFBLAQIUABQAAAAIAIdO4kAzLwWe&#10;OwAAADkAAAAQAAAAAAAAAAEAIAAAAAsBAABkcnMvc2hhcGV4bWwueG1sUEsFBgAAAAAGAAYAWwEA&#10;ALUDAAAAAA==&#10;">
                  <v:fill on="f" focussize="0,0"/>
                  <v:stroke weight="1pt" color="#000000" joinstyle="miter"/>
                  <v:imagedata o:title=""/>
                  <o:lock v:ext="edit" aspectratio="f"/>
                  <v:textbox inset="1mm,0.5mm,1mm,0.5mm">
                    <w:txbxContent>
                      <w:p w14:paraId="533E2285">
                        <w:pPr>
                          <w:pStyle w:val="34"/>
                          <w:ind w:firstLine="105" w:firstLineChars="50"/>
                          <w:rPr>
                            <w:sz w:val="21"/>
                            <w:szCs w:val="21"/>
                          </w:rPr>
                        </w:pPr>
                        <w:r>
                          <w:rPr>
                            <w:rFonts w:hint="eastAsia"/>
                            <w:color w:val="000000"/>
                            <w:sz w:val="21"/>
                            <w:szCs w:val="21"/>
                          </w:rPr>
                          <w:t>制定修复方案，进行方案审查</w:t>
                        </w:r>
                      </w:p>
                    </w:txbxContent>
                  </v:textbox>
                </v:rect>
                <v:rect id="矩形 197" o:spid="_x0000_s1026" o:spt="1" style="position:absolute;left:559;top:4745;height:468;width:1932;v-text-anchor:middle;" filled="f" stroked="t" coordsize="21600,21600" o:gfxdata="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1DZNb4A&#10;AADcAAAADwAAAAAAAAABACAAAAAiAAAAZHJzL2Rvd25yZXYueG1sUEsBAhQAFAAAAAgAh07iQDMv&#10;BZ47AAAAOQAAABAAAAAAAAAAAQAgAAAADQEAAGRycy9zaGFwZXhtbC54bWxQSwUGAAAAAAYABgBb&#10;AQAAtwMAAAAA&#10;">
                  <v:fill on="f" focussize="0,0"/>
                  <v:stroke weight="1pt" color="#000000" joinstyle="miter"/>
                  <v:imagedata o:title=""/>
                  <o:lock v:ext="edit" aspectratio="f"/>
                  <v:textbox inset="1mm,0.5mm,1mm,0.5mm">
                    <w:txbxContent>
                      <w:p w14:paraId="58386537">
                        <w:pPr>
                          <w:pStyle w:val="34"/>
                          <w:ind w:firstLine="105" w:firstLineChars="50"/>
                        </w:pPr>
                        <w:r>
                          <w:rPr>
                            <w:rFonts w:hint="eastAsia"/>
                            <w:color w:val="000000"/>
                            <w:sz w:val="21"/>
                            <w:szCs w:val="21"/>
                          </w:rPr>
                          <w:t>实施修复方案</w:t>
                        </w:r>
                      </w:p>
                    </w:txbxContent>
                  </v:textbox>
                </v:rect>
                <v:rect id="矩形 198" o:spid="_x0000_s1026" o:spt="1" style="position:absolute;left:3204;top:4745;height:468;width:1932;v-text-anchor:middle;" filled="f" stroked="t" coordsize="21600,21600" o:gfxdata="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M7i2b4A&#10;AADcAAAADwAAAAAAAAABACAAAAAiAAAAZHJzL2Rvd25yZXYueG1sUEsBAhQAFAAAAAgAh07iQDMv&#10;BZ47AAAAOQAAABAAAAAAAAAAAQAgAAAADQEAAGRycy9zaGFwZXhtbC54bWxQSwUGAAAAAAYABgBb&#10;AQAAtwMAAAAA&#10;">
                  <v:fill on="f" focussize="0,0"/>
                  <v:stroke weight="1pt" color="#000000" joinstyle="miter"/>
                  <v:imagedata o:title=""/>
                  <o:lock v:ext="edit" aspectratio="f"/>
                  <v:textbox inset="1mm,0.5mm,1mm,0.5mm">
                    <w:txbxContent>
                      <w:p w14:paraId="6C102769">
                        <w:pPr>
                          <w:pStyle w:val="34"/>
                          <w:ind w:firstLine="105" w:firstLineChars="50"/>
                        </w:pPr>
                        <w:r>
                          <w:rPr>
                            <w:rFonts w:hint="eastAsia"/>
                            <w:color w:val="000000"/>
                            <w:sz w:val="21"/>
                            <w:szCs w:val="21"/>
                          </w:rPr>
                          <w:t>进行跟踪监测</w:t>
                        </w:r>
                      </w:p>
                    </w:txbxContent>
                  </v:textbox>
                </v:rect>
                <v:rect id="矩形 199" o:spid="_x0000_s1026" o:spt="1" style="position:absolute;left:5815;top:4731;height:468;width:1932;v-text-anchor:middle;" filled="f" stroked="t" coordsize="21600,21600" o:gfxdata="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h3TML4A&#10;AADcAAAADwAAAAAAAAABACAAAAAiAAAAZHJzL2Rvd25yZXYueG1sUEsBAhQAFAAAAAgAh07iQDMv&#10;BZ47AAAAOQAAABAAAAAAAAAAAQAgAAAADQEAAGRycy9zaGFwZXhtbC54bWxQSwUGAAAAAAYABgBb&#10;AQAAtwMAAAAA&#10;">
                  <v:fill on="f" focussize="0,0"/>
                  <v:stroke weight="1pt" color="#000000" joinstyle="miter"/>
                  <v:imagedata o:title=""/>
                  <o:lock v:ext="edit" aspectratio="f"/>
                  <v:textbox inset="1mm,0.5mm,1mm,0.5mm">
                    <w:txbxContent>
                      <w:p w14:paraId="7509E374">
                        <w:pPr>
                          <w:pStyle w:val="34"/>
                          <w:ind w:firstLine="105" w:firstLineChars="50"/>
                        </w:pPr>
                        <w:r>
                          <w:rPr>
                            <w:rFonts w:hint="eastAsia"/>
                            <w:color w:val="000000"/>
                            <w:sz w:val="21"/>
                            <w:szCs w:val="21"/>
                          </w:rPr>
                          <w:t>修复达到目标</w:t>
                        </w:r>
                      </w:p>
                    </w:txbxContent>
                  </v:textbox>
                </v:rect>
                <v:rect id="矩形 200" o:spid="_x0000_s1026" o:spt="1" style="position:absolute;left:3204;top:5725;height:468;width:1932;v-text-anchor:middle;" filled="f" stroked="t" coordsize="21600,21600" o:gfxdata="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gqKugAAANwA&#10;AAAPAAAAAAAAAAEAIAAAACIAAABkcnMvZG93bnJldi54bWxQSwECFAAUAAAACACHTuJAMy8FnjsA&#10;AAA5AAAAEAAAAAAAAAABACAAAAAJAQAAZHJzL3NoYXBleG1sLnhtbFBLBQYAAAAABgAGAFsBAACz&#10;AwAAAAA=&#10;">
                  <v:fill on="f" focussize="0,0"/>
                  <v:stroke weight="1pt" color="#000000" joinstyle="miter"/>
                  <v:imagedata o:title=""/>
                  <o:lock v:ext="edit" aspectratio="f"/>
                  <v:textbox inset="1mm,0.5mm,1mm,0.5mm">
                    <w:txbxContent>
                      <w:p w14:paraId="11FBDB7D">
                        <w:pPr>
                          <w:pStyle w:val="34"/>
                          <w:ind w:firstLine="105" w:firstLineChars="50"/>
                        </w:pPr>
                        <w:r>
                          <w:rPr>
                            <w:rFonts w:hint="eastAsia"/>
                            <w:color w:val="000000"/>
                            <w:sz w:val="21"/>
                            <w:szCs w:val="21"/>
                          </w:rPr>
                          <w:t>修复工程验收</w:t>
                        </w:r>
                      </w:p>
                    </w:txbxContent>
                  </v:textbox>
                </v:rect>
                <v:group id="Group 167" o:spid="_x0000_s1026" o:spt="203" style="position:absolute;left:1525;top:534;height:468;width:5256;" coordsize="5256,468"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直接箭头连接符 350" o:spid="_x0000_s1026" o:spt="32" type="#_x0000_t32" style="position:absolute;left:2645;top:0;height:432;width:0;" filled="f" stroked="t" coordsize="21600,21600" o:gfxdata="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x+E6vQAA&#10;ANsAAAAPAAAAAAAAAAEAIAAAACIAAABkcnMvZG93bnJldi54bWxQSwECFAAUAAAACACHTuJAMy8F&#10;njsAAAA5AAAAEAAAAAAAAAABACAAAAAMAQAAZHJzL3NoYXBleG1sLnhtbFBLBQYAAAAABgAGAFsB&#10;AAC2AwAAAAA=&#10;">
                    <v:fill on="f" focussize="0,0"/>
                    <v:stroke weight="1pt" color="#000000" joinstyle="round" endarrow="classic"/>
                    <v:imagedata o:title=""/>
                    <o:lock v:ext="edit" aspectratio="f"/>
                  </v:shape>
                  <v:shape id="肘形连接符 351" o:spid="_x0000_s1026" o:spt="34" type="#_x0000_t34" style="position:absolute;left:2610;top:-2178;flip:y;height:5256;width:36;rotation:-5898240f;" filled="f" stroked="t" coordsize="21600,21600" o:gfxdata="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3Wupi8AAAA&#10;2wAAAA8AAAAAAAAAAQAgAAAAIgAAAGRycy9kb3ducmV2LnhtbFBLAQIUABQAAAAIAIdO4kAzLwWe&#10;OwAAADkAAAAQAAAAAAAAAAEAIAAAAAsBAABkcnMvc2hhcGV4bWwueG1sUEsFBgAAAAAGAAYAWwEA&#10;ALUDAAAAAA==&#10;" adj="-151200">
                    <v:fill on="f" focussize="0,0"/>
                    <v:stroke weight="1pt" color="#000000" joinstyle="miter" startarrow="classic" endarrow="classic"/>
                    <v:imagedata o:title=""/>
                    <o:lock v:ext="edit" aspectratio="f"/>
                  </v:shape>
                </v:group>
                <v:group id="Group 168" o:spid="_x0000_s1026" o:spt="203" style="position:absolute;left:1525;top:1434;height:558;width:5256;" coordsize="5256,558"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shape id="肘形连接符 108" o:spid="_x0000_s1026" o:spt="34" type="#_x0000_t34" style="position:absolute;left:2542;top:-2506;flip:x y;height:5256;width:172;rotation:5898240f;" filled="f" stroked="t" coordsize="21600,21600" o:gfxdata="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LLfu8AAAA&#10;2wAAAA8AAAAAAAAAAQAgAAAAIgAAAGRycy9kb3ducmV2LnhtbFBLAQIUABQAAAAIAIdO4kAzLwWe&#10;OwAAADkAAAAQAAAAAAAAAAEAIAAAAAsBAABkcnMvc2hhcGV4bWwueG1sUEsFBgAAAAAGAAYAWwEA&#10;ALUDAAAAAA==&#10;" adj="-13438">
                    <v:fill on="f" focussize="0,0"/>
                    <v:stroke weight="1pt" color="#000000" joinstyle="miter"/>
                    <v:imagedata o:title=""/>
                    <o:lock v:ext="edit" aspectratio="f"/>
                  </v:shape>
                  <v:shape id="直接箭头连接符 203" o:spid="_x0000_s1026" o:spt="32" type="#_x0000_t32" style="position:absolute;left:2645;top:0;height:558;width:0;" filled="f" stroked="t" coordsize="21600,21600" o:gfxdata="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u0oIugAAANsA&#10;AAAPAAAAAAAAAAEAIAAAACIAAABkcnMvZG93bnJldi54bWxQSwECFAAUAAAACACHTuJAMy8FnjsA&#10;AAA5AAAAEAAAAAAAAAABACAAAAAJAQAAZHJzL3NoYXBleG1sLnhtbFBLBQYAAAAABgAGAFsBAACz&#10;AwAAAAA=&#10;">
                    <v:fill on="f" focussize="0,0"/>
                    <v:stroke weight="1pt" color="#000000" joinstyle="round" endarrow="classic"/>
                    <v:imagedata o:title=""/>
                    <o:lock v:ext="edit" aspectratio="f"/>
                  </v:shape>
                </v:group>
                <v:shape id="直接箭头连接符 204" o:spid="_x0000_s1026" o:spt="32" type="#_x0000_t32" style="position:absolute;left:4168;top:2460;flip:x;height:325;width:2;" filled="f" stroked="t" coordsize="21600,21600" o:gfxdata="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Q4QUvQAA&#10;ANsAAAAPAAAAAAAAAAEAIAAAACIAAABkcnMvZG93bnJldi54bWxQSwECFAAUAAAACACHTuJAMy8F&#10;njsAAAA5AAAAEAAAAAAAAAABACAAAAAMAQAAZHJzL3NoYXBleG1sLnhtbFBLBQYAAAAABgAGAFsB&#10;AAC2AwAAAAA=&#10;">
                  <v:fill on="f" focussize="0,0"/>
                  <v:stroke weight="1pt" color="#000000" joinstyle="round" endarrow="classic"/>
                  <v:imagedata o:title=""/>
                  <o:lock v:ext="edit" aspectratio="f"/>
                </v:shape>
                <v:shape id="直接箭头连接符 205" o:spid="_x0000_s1026" o:spt="32" type="#_x0000_t32" style="position:absolute;left:4168;top:3229;height:338;width:2;" filled="f" stroked="t" coordsize="21600,21600" o:gfxdata="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JXHkvQAA&#10;ANsAAAAPAAAAAAAAAAEAIAAAACIAAABkcnMvZG93bnJldi54bWxQSwECFAAUAAAACACHTuJAMy8F&#10;njsAAAA5AAAAEAAAAAAAAAABACAAAAAMAQAAZHJzL3NoYXBleG1sLnhtbFBLBQYAAAAABgAGAFsB&#10;AAC2AwAAAAA=&#10;">
                  <v:fill on="f" focussize="0,0"/>
                  <v:stroke weight="1pt" color="#000000" joinstyle="round" endarrow="classic"/>
                  <v:imagedata o:title=""/>
                  <o:lock v:ext="edit" aspectratio="f"/>
                </v:shape>
                <v:shape id="直接箭头连接符 206" o:spid="_x0000_s1026" o:spt="32" type="#_x0000_t32" style="position:absolute;left:4170;top:4290;flip:x;height:455;width:1;" filled="f" stroked="t" coordsize="21600,21600" o:gfxdata="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qhxgvQAA&#10;ANsAAAAPAAAAAAAAAAEAIAAAACIAAABkcnMvZG93bnJldi54bWxQSwECFAAUAAAACACHTuJAMy8F&#10;njsAAAA5AAAAEAAAAAAAAAABACAAAAAMAQAAZHJzL3NoYXBleG1sLnhtbFBLBQYAAAAABgAGAFsB&#10;AAC2AwAAAAA=&#10;">
                  <v:fill on="f" focussize="0,0"/>
                  <v:stroke weight="1pt" color="#000000" joinstyle="round" endarrow="classic"/>
                  <v:imagedata o:title=""/>
                  <o:lock v:ext="edit" aspectratio="f"/>
                </v:shape>
                <v:shape id="肘形连接符 207" o:spid="_x0000_s1026" o:spt="34" type="#_x0000_t34" style="position:absolute;left:4153;top:2107;flip:x y;height:5256;width:20;rotation:5898240f;" filled="f" stroked="t" coordsize="21600,21600" o:gfxdata="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NKtAvQAA&#10;ANsAAAAPAAAAAAAAAAEAIAAAACIAAABkcnMvZG93bnJldi54bWxQSwECFAAUAAAACACHTuJAMy8F&#10;njsAAAA5AAAAEAAAAAAAAAABACAAAAAMAQAAZHJzL3NoYXBleG1sLnhtbFBLBQYAAAAABgAGAFsB&#10;AAC2AwAAAAA=&#10;" adj="246240">
                  <v:fill on="f" focussize="0,0"/>
                  <v:stroke weight="1pt" color="#000000" joinstyle="miter" startarrow="classic" endarrow="classic"/>
                  <v:imagedata o:title=""/>
                  <o:lock v:ext="edit" aspectratio="f"/>
                </v:shape>
                <v:shape id="直接箭头连接符 209" o:spid="_x0000_s1026" o:spt="32" type="#_x0000_t32" style="position:absolute;left:4170;top:5213;height:512;width:1;" filled="f" stroked="t" coordsize="21600,21600" o:gfxdata="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zUYOugAAANsA&#10;AAAPAAAAAAAAAAEAIAAAACIAAABkcnMvZG93bnJldi54bWxQSwECFAAUAAAACACHTuJAMy8FnjsA&#10;AAA5AAAAEAAAAAAAAAABACAAAAAJAQAAZHJzL3NoYXBleG1sLnhtbFBLBQYAAAAABgAGAFsBAACz&#10;AwAAAAA=&#10;">
                  <v:fill on="f" focussize="0,0"/>
                  <v:stroke weight="1pt" color="#000000" joinstyle="round" endarrow="classic"/>
                  <v:imagedata o:title=""/>
                  <o:lock v:ext="edit" aspectratio="f"/>
                </v:shape>
                <v:shape id="肘形连接符 109" o:spid="_x0000_s1026" o:spt="34" type="#_x0000_t34" style="position:absolute;left:4146;top:2578;flip:x y;height:5256;width:14;rotation:5898240f;" filled="f" stroked="t" coordsize="21600,21600" o:gfxdata="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l6NQvQAA&#10;ANsAAAAPAAAAAAAAAAEAIAAAACIAAABkcnMvZG93bnJldi54bWxQSwECFAAUAAAACACHTuJAMy8F&#10;njsAAAA5AAAAEAAAAAAAAAABACAAAAAMAQAAZHJzL3NoYXBleG1sLnhtbFBLBQYAAAAABgAGAFsB&#10;AAC2AwAAAAA=&#10;" adj="-555429">
                  <v:fill on="f" focussize="0,0"/>
                  <v:stroke weight="1pt" color="#000000" joinstyle="miter"/>
                  <v:imagedata o:title=""/>
                  <o:lock v:ext="edit" aspectratio="f"/>
                </v:shape>
                <w10:wrap type="none"/>
                <w10:anchorlock/>
              </v:group>
            </w:pict>
          </mc:Fallback>
        </mc:AlternateContent>
      </w:r>
    </w:p>
    <w:p w14:paraId="765A1C75">
      <w:pPr>
        <w:pStyle w:val="130"/>
        <w:widowControl w:val="0"/>
        <w:adjustRightInd w:val="0"/>
        <w:snapToGrid w:val="0"/>
        <w:spacing w:line="240" w:lineRule="auto"/>
        <w:rPr>
          <w:rFonts w:ascii="Times New Roman" w:hAnsi="Times New Roman" w:eastAsia="宋体" w:cs="Times New Roman"/>
          <w:caps w:val="0"/>
          <w:smallCaps w:val="0"/>
          <w:color w:val="auto"/>
          <w:spacing w:val="0"/>
          <w:sz w:val="24"/>
          <w:szCs w:val="24"/>
          <w:highlight w:val="none"/>
        </w:rPr>
      </w:pPr>
    </w:p>
    <w:p w14:paraId="618CE0A9">
      <w:pPr>
        <w:pStyle w:val="130"/>
        <w:widowControl w:val="0"/>
        <w:adjustRightInd w:val="0"/>
        <w:snapToGrid w:val="0"/>
        <w:spacing w:line="240" w:lineRule="auto"/>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图6.2-</w:t>
      </w:r>
      <w:r>
        <w:rPr>
          <w:rFonts w:hint="eastAsia" w:ascii="Times New Roman" w:hAnsi="Times New Roman" w:eastAsia="宋体" w:cs="Times New Roman"/>
          <w:caps w:val="0"/>
          <w:smallCaps w:val="0"/>
          <w:color w:val="auto"/>
          <w:spacing w:val="0"/>
          <w:sz w:val="24"/>
          <w:szCs w:val="24"/>
          <w:highlight w:val="none"/>
          <w:lang w:val="en-US" w:eastAsia="zh-CN"/>
        </w:rPr>
        <w:t>7</w:t>
      </w:r>
      <w:r>
        <w:rPr>
          <w:rFonts w:ascii="Times New Roman" w:hAnsi="Times New Roman" w:eastAsia="宋体" w:cs="Times New Roman"/>
          <w:caps w:val="0"/>
          <w:smallCaps w:val="0"/>
          <w:color w:val="auto"/>
          <w:spacing w:val="0"/>
          <w:sz w:val="24"/>
          <w:szCs w:val="24"/>
          <w:highlight w:val="none"/>
        </w:rPr>
        <w:t>地下水污染应急治理程序</w:t>
      </w:r>
    </w:p>
    <w:p w14:paraId="581A0C68">
      <w:pPr>
        <w:widowControl w:val="0"/>
        <w:rPr>
          <w:rFonts w:ascii="Times New Roman" w:hAnsi="Times New Roman" w:eastAsia="宋体" w:cs="Times New Roman"/>
          <w:caps w:val="0"/>
          <w:smallCaps w:val="0"/>
          <w:snapToGrid w:val="0"/>
          <w:color w:val="auto"/>
          <w:spacing w:val="0"/>
          <w:highlight w:val="none"/>
        </w:rPr>
      </w:pPr>
    </w:p>
    <w:p w14:paraId="14E6C34E">
      <w:pPr>
        <w:pStyle w:val="13"/>
        <w:widowControl w:val="0"/>
        <w:adjustRightInd w:val="0"/>
        <w:snapToGrid w:val="0"/>
        <w:spacing w:after="0" w:line="360" w:lineRule="auto"/>
        <w:ind w:left="48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snapToGrid w:val="0"/>
          <w:color w:val="auto"/>
          <w:spacing w:val="0"/>
          <w:kern w:val="0"/>
          <w:szCs w:val="24"/>
          <w:highlight w:val="none"/>
        </w:rPr>
        <w:t>3、事故应急措施</w:t>
      </w:r>
    </w:p>
    <w:p w14:paraId="3AFD8B9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（1）预防措施</w:t>
      </w:r>
    </w:p>
    <w:p w14:paraId="5C151F6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项目生产厂房地面均采用重点防渗及乙烯基重防腐处理，在废水处理站和危险废物贮存库、事故应急池进行重点防渗及防腐处理，固体废物堆积场所应按固体废弃物处置场防渗标准进行防渗。</w:t>
      </w:r>
    </w:p>
    <w:p w14:paraId="6779845F">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本次评价要求设置1座容积为400m</w:t>
      </w:r>
      <w:r>
        <w:rPr>
          <w:rFonts w:ascii="Times New Roman" w:hAnsi="Times New Roman" w:eastAsia="宋体" w:cs="Times New Roman"/>
          <w:caps w:val="0"/>
          <w:smallCaps w:val="0"/>
          <w:color w:val="auto"/>
          <w:spacing w:val="0"/>
          <w:position w:val="8"/>
          <w:sz w:val="15"/>
          <w:szCs w:val="15"/>
          <w:highlight w:val="none"/>
        </w:rPr>
        <w:t>3</w:t>
      </w:r>
      <w:r>
        <w:rPr>
          <w:rFonts w:ascii="Times New Roman" w:hAnsi="Times New Roman" w:eastAsia="宋体" w:cs="Times New Roman"/>
          <w:caps w:val="0"/>
          <w:smallCaps w:val="0"/>
          <w:color w:val="auto"/>
          <w:spacing w:val="0"/>
          <w:szCs w:val="24"/>
          <w:highlight w:val="none"/>
        </w:rPr>
        <w:t>急事故池，防止发生火灾或设备容器破裂产生的废液或消防水，进入地表水体或造成地表漫流，收集水池和事故池采取严格的防渗措施，防止污水渗入地下水。</w:t>
      </w:r>
    </w:p>
    <w:p w14:paraId="55D256CF">
      <w:pPr>
        <w:widowControl w:val="0"/>
        <w:spacing w:line="360" w:lineRule="auto"/>
        <w:ind w:firstLine="480" w:firstLineChars="200"/>
        <w:jc w:val="both"/>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color w:val="auto"/>
          <w:spacing w:val="0"/>
          <w:szCs w:val="24"/>
          <w:highlight w:val="none"/>
        </w:rPr>
        <w:t>（2）治理措施</w:t>
      </w:r>
    </w:p>
    <w:p w14:paraId="2E12B1DE">
      <w:pPr>
        <w:pStyle w:val="13"/>
        <w:widowControl w:val="0"/>
        <w:adjustRightInd w:val="0"/>
        <w:snapToGrid w:val="0"/>
        <w:spacing w:after="0" w:line="360" w:lineRule="auto"/>
        <w:ind w:firstLine="480" w:firstLineChars="200"/>
        <w:jc w:val="both"/>
        <w:rPr>
          <w:rFonts w:ascii="Times New Roman" w:hAnsi="Times New Roman" w:eastAsia="宋体" w:cs="Times New Roman"/>
          <w:caps w:val="0"/>
          <w:smallCaps w:val="0"/>
          <w:snapToGrid w:val="0"/>
          <w:color w:val="auto"/>
          <w:spacing w:val="0"/>
          <w:kern w:val="0"/>
          <w:szCs w:val="24"/>
          <w:highlight w:val="none"/>
        </w:rPr>
      </w:pPr>
      <w:r>
        <w:rPr>
          <w:rFonts w:ascii="Times New Roman" w:hAnsi="Times New Roman" w:eastAsia="宋体" w:cs="Times New Roman"/>
          <w:caps w:val="0"/>
          <w:smallCaps w:val="0"/>
          <w:snapToGrid w:val="0"/>
          <w:color w:val="auto"/>
          <w:spacing w:val="0"/>
          <w:kern w:val="0"/>
          <w:szCs w:val="24"/>
          <w:highlight w:val="none"/>
        </w:rPr>
        <w:t>根据地下水环境模拟预测结果，本项目最大风险事故为污水处理系统各设施的泄漏。遇到风险事故应立即启动应急预案，泄漏事故发生后污水处理厂应立即停运，将厂内废水排入应急事故池，处理并及时修复破损区域，并在场地下游监测井进行抽水，将废水抽出处置，减小污染物的迁移扩散，使污染物及地下水超标范围控制在厂区范围内，并加以修复和治理。</w:t>
      </w:r>
    </w:p>
    <w:p w14:paraId="33CB8ECF">
      <w:pPr>
        <w:pStyle w:val="13"/>
        <w:widowControl w:val="0"/>
        <w:adjustRightInd w:val="0"/>
        <w:snapToGrid w:val="0"/>
        <w:spacing w:after="0" w:line="360" w:lineRule="auto"/>
        <w:ind w:firstLine="480" w:firstLineChars="200"/>
        <w:jc w:val="both"/>
        <w:rPr>
          <w:rFonts w:ascii="Times New Roman" w:hAnsi="Times New Roman" w:eastAsia="宋体" w:cs="Times New Roman"/>
          <w:caps w:val="0"/>
          <w:smallCaps w:val="0"/>
          <w:snapToGrid w:val="0"/>
          <w:color w:val="auto"/>
          <w:spacing w:val="0"/>
          <w:kern w:val="0"/>
          <w:szCs w:val="24"/>
          <w:highlight w:val="none"/>
        </w:rPr>
      </w:pPr>
    </w:p>
    <w:p w14:paraId="58312FEC">
      <w:pPr>
        <w:pStyle w:val="5"/>
        <w:widowControl w:val="0"/>
        <w:rPr>
          <w:rFonts w:eastAsia="宋体"/>
          <w:caps w:val="0"/>
          <w:smallCaps w:val="0"/>
          <w:color w:val="auto"/>
          <w:spacing w:val="0"/>
          <w:sz w:val="30"/>
          <w:szCs w:val="30"/>
          <w:highlight w:val="none"/>
        </w:rPr>
      </w:pPr>
      <w:bookmarkStart w:id="221" w:name="_Toc378"/>
      <w:r>
        <w:rPr>
          <w:rFonts w:eastAsia="宋体"/>
          <w:caps w:val="0"/>
          <w:smallCaps w:val="0"/>
          <w:color w:val="auto"/>
          <w:spacing w:val="0"/>
          <w:sz w:val="30"/>
          <w:szCs w:val="30"/>
          <w:highlight w:val="none"/>
        </w:rPr>
        <w:t>6.2.6土壤污染防治措施可行性分析</w:t>
      </w:r>
      <w:bookmarkEnd w:id="221"/>
    </w:p>
    <w:p w14:paraId="591FAB1F">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(1)源头控制措施</w:t>
      </w:r>
    </w:p>
    <w:p w14:paraId="5C9E696D">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污水处理设施间、事故池、危险废物贮存库内均设置重点防渗层和防腐层，将危险废物的跑、冒、滴、漏降到最低限度；对废气环保设施处理设施定期进行维护，确保正常运行而不超标排放；危险废物分区放置，做好危险废物的暂存工作。</w:t>
      </w:r>
    </w:p>
    <w:p w14:paraId="2BC255ED">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生产过程中的各种物料及污染物均与天然土壤隔离。从污染物源头控制排放，采用经济可行且效率高的大气污染防治措施，确保环保设施正常运行，故障后立刻停工整修。</w:t>
      </w:r>
    </w:p>
    <w:p w14:paraId="66A5AF06">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(2)过程防控措施</w:t>
      </w:r>
    </w:p>
    <w:p w14:paraId="436863B2">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危险废物贮存库、废水处理设施、废气环保设施等做好日常运行台账记录，保证生产过程的使用有序，以防止土壤环境污染。同时危险废物贮存库的管理应严格按照《危险废物贮存污染控制标准》(GB18597-2023)进行，并做好台账管理。</w:t>
      </w:r>
    </w:p>
    <w:p w14:paraId="6987B31B">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(3)土壤环境管理</w:t>
      </w:r>
    </w:p>
    <w:p w14:paraId="64B96AF8">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加强环境管理，定期巡查，一旦发现泄漏及时处理，避免对土壤造成污染。做好环保设施的日常维护，发生超标排放立即采取措施，制定学习张贴相关的环境管理制度。</w:t>
      </w:r>
    </w:p>
    <w:p w14:paraId="31AC2277">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综上，本项目在严格落实各项措施后，不会对项目地周围土壤环境造成较大影响。</w:t>
      </w:r>
    </w:p>
    <w:p w14:paraId="3A1168C5">
      <w:pPr>
        <w:pStyle w:val="5"/>
        <w:widowControl w:val="0"/>
        <w:rPr>
          <w:rFonts w:eastAsia="宋体"/>
          <w:caps w:val="0"/>
          <w:smallCaps w:val="0"/>
          <w:color w:val="auto"/>
          <w:spacing w:val="0"/>
          <w:sz w:val="30"/>
          <w:szCs w:val="30"/>
          <w:highlight w:val="none"/>
        </w:rPr>
      </w:pPr>
      <w:bookmarkStart w:id="222" w:name="_Toc7903"/>
      <w:r>
        <w:rPr>
          <w:rFonts w:eastAsia="宋体"/>
          <w:caps w:val="0"/>
          <w:smallCaps w:val="0"/>
          <w:color w:val="auto"/>
          <w:spacing w:val="0"/>
          <w:sz w:val="30"/>
          <w:szCs w:val="30"/>
          <w:highlight w:val="none"/>
        </w:rPr>
        <w:t>6.2.</w:t>
      </w:r>
      <w:r>
        <w:rPr>
          <w:rFonts w:hint="eastAsia" w:eastAsia="宋体"/>
          <w:caps w:val="0"/>
          <w:smallCaps w:val="0"/>
          <w:color w:val="auto"/>
          <w:spacing w:val="0"/>
          <w:sz w:val="30"/>
          <w:szCs w:val="30"/>
          <w:highlight w:val="none"/>
        </w:rPr>
        <w:t>7</w:t>
      </w:r>
      <w:r>
        <w:rPr>
          <w:rFonts w:eastAsia="宋体"/>
          <w:caps w:val="0"/>
          <w:smallCaps w:val="0"/>
          <w:color w:val="auto"/>
          <w:spacing w:val="0"/>
          <w:highlight w:val="none"/>
        </w:rPr>
        <w:t>运营期环境风险防护措施</w:t>
      </w:r>
      <w:bookmarkEnd w:id="222"/>
    </w:p>
    <w:p w14:paraId="09BCE7B7">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建设单位对安全及风险防护措施的设置较为重视并计划投入大量资金用于相关设施的建设，在实际建设过程中将严格落实设计及环评提出的各项风险防护措施，并对各防护措施在后续运行过程中不断完善，采取针对性防护措施，做到对事故的及时控制和减少事故危害。水环境风险防护措施详见事故地表水环境影响分析。其他事故类型风险防护措施如下。</w:t>
      </w:r>
    </w:p>
    <w:p w14:paraId="2D1E85F2">
      <w:pPr>
        <w:pStyle w:val="6"/>
        <w:rPr>
          <w:rFonts w:eastAsia="宋体"/>
          <w:caps w:val="0"/>
          <w:smallCaps w:val="0"/>
          <w:color w:val="auto"/>
          <w:spacing w:val="0"/>
          <w:highlight w:val="none"/>
        </w:rPr>
      </w:pPr>
      <w:r>
        <w:rPr>
          <w:rFonts w:hint="eastAsia" w:eastAsia="宋体"/>
          <w:caps w:val="0"/>
          <w:smallCaps w:val="0"/>
          <w:color w:val="auto"/>
          <w:spacing w:val="0"/>
          <w:highlight w:val="none"/>
        </w:rPr>
        <w:t>6.2.7.1</w:t>
      </w:r>
      <w:r>
        <w:rPr>
          <w:rFonts w:eastAsia="宋体"/>
          <w:caps w:val="0"/>
          <w:smallCaps w:val="0"/>
          <w:color w:val="auto"/>
          <w:spacing w:val="0"/>
          <w:highlight w:val="none"/>
        </w:rPr>
        <w:t>工艺技术设计防范措施</w:t>
      </w:r>
    </w:p>
    <w:p w14:paraId="55A131C4">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所有设备和管道的强度、严密性及耐腐蚀性符合有关技术规范要求。压力容器的设计及制造符合《压力容器设计规范》及其他有关的工业标准规范。定型设备应选用安全可靠、技术成熟、有资质企业的产品。为防止高压设备由于超压发生事故，在适当的位置安装泄压阀。在事故条件下可能处于真空状况下的设备将采用可承受全真空的设备。</w:t>
      </w:r>
    </w:p>
    <w:p w14:paraId="1ADFF659">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在控制室设置火灾报警盘，以显示危险区的位置。火警盘上的信号由设在各个防火区域探测器送达，以便及时消灭火灾隐患</w:t>
      </w:r>
    </w:p>
    <w:p w14:paraId="4BF92DDE">
      <w:pPr>
        <w:pStyle w:val="6"/>
        <w:rPr>
          <w:rFonts w:eastAsia="宋体"/>
          <w:caps w:val="0"/>
          <w:smallCaps w:val="0"/>
          <w:color w:val="auto"/>
          <w:spacing w:val="0"/>
          <w:highlight w:val="none"/>
        </w:rPr>
      </w:pPr>
      <w:r>
        <w:rPr>
          <w:rFonts w:hint="eastAsia" w:eastAsia="宋体"/>
          <w:caps w:val="0"/>
          <w:smallCaps w:val="0"/>
          <w:color w:val="auto"/>
          <w:spacing w:val="0"/>
          <w:highlight w:val="none"/>
        </w:rPr>
        <w:t>6.2.7.2</w:t>
      </w:r>
      <w:r>
        <w:rPr>
          <w:rFonts w:eastAsia="宋体"/>
          <w:caps w:val="0"/>
          <w:smallCaps w:val="0"/>
          <w:color w:val="auto"/>
          <w:spacing w:val="0"/>
          <w:highlight w:val="none"/>
        </w:rPr>
        <w:t xml:space="preserve"> 酸桶风险防护措施</w:t>
      </w:r>
    </w:p>
    <w:p w14:paraId="2DD21218">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本工程外购硝酸、盐酸拟通过槽车经管道输送至化学材料储存间酸桶，硝酸桶区、盐酸桶区均配有2个规格100L的酸储桶（1用1备），硝酸桶区和盐酸桶区均设有围堰，围堰有效容积不小于0.1 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，桶区及围堰地面均已进行防渗、防腐处理，当酸桶发生泄漏时，可将酸引入备用桶，通过围堰拦截、事故泵的输送等应急措施，可确保</w:t>
      </w:r>
      <w:r>
        <w:rPr>
          <w:rFonts w:hint="eastAsia" w:ascii="Times New Roman" w:hAnsi="Times New Roman" w:eastAsia="宋体" w:cs="Times New Roman"/>
          <w:caps w:val="0"/>
          <w:smallCaps w:val="0"/>
          <w:color w:val="auto"/>
          <w:spacing w:val="0"/>
          <w:highlight w:val="none"/>
        </w:rPr>
        <w:t>泄漏</w:t>
      </w:r>
      <w:r>
        <w:rPr>
          <w:rFonts w:ascii="Times New Roman" w:hAnsi="Times New Roman" w:eastAsia="宋体" w:cs="Times New Roman"/>
          <w:caps w:val="0"/>
          <w:smallCaps w:val="0"/>
          <w:color w:val="auto"/>
          <w:spacing w:val="0"/>
          <w:highlight w:val="none"/>
        </w:rPr>
        <w:t>酸液不会外流逸散至外环境中。</w:t>
      </w:r>
    </w:p>
    <w:p w14:paraId="183B2333">
      <w:pPr>
        <w:pStyle w:val="6"/>
        <w:rPr>
          <w:rFonts w:eastAsia="宋体"/>
          <w:caps w:val="0"/>
          <w:smallCaps w:val="0"/>
          <w:color w:val="auto"/>
          <w:spacing w:val="0"/>
          <w:highlight w:val="none"/>
        </w:rPr>
      </w:pPr>
      <w:r>
        <w:rPr>
          <w:rFonts w:hint="eastAsia" w:eastAsia="宋体"/>
          <w:caps w:val="0"/>
          <w:smallCaps w:val="0"/>
          <w:color w:val="auto"/>
          <w:spacing w:val="0"/>
          <w:highlight w:val="none"/>
        </w:rPr>
        <w:t>6.2.7.3</w:t>
      </w:r>
      <w:r>
        <w:rPr>
          <w:rFonts w:eastAsia="宋体"/>
          <w:caps w:val="0"/>
          <w:smallCaps w:val="0"/>
          <w:color w:val="auto"/>
          <w:spacing w:val="0"/>
          <w:highlight w:val="none"/>
        </w:rPr>
        <w:t>事故废水风险防护措施</w:t>
      </w:r>
    </w:p>
    <w:p w14:paraId="0B5345F5">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本工程储酸区、生产装置区、事故水池和污水处理站地面等均进行严格的防渗处理；各储酸桶区设置围堰，发生泄漏事故时，泄漏物料主要集中在围堰内；本工程设1座事故水池，容积为400m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以容纳事故状态下项目产生的消防废水、雨水、生产废水；同时厂区内设置导流沟等完善的废水收集系统，事故状态下可迅速切断雨水管线外排阀门，产生的事故废水、雨水以及消防水均可通过废水收集系统进入事故收集池，从而防止污染介质流入外部水体，避免对水体造成较大的环境污染。在落实以上措施的情况下，事故废水直接排入地表水环境的机率不大，不会对其造成污染。为避免事故</w:t>
      </w:r>
      <w:r>
        <w:rPr>
          <w:rFonts w:hint="eastAsia" w:ascii="Times New Roman" w:hAnsi="Times New Roman" w:eastAsia="宋体" w:cs="Times New Roman"/>
          <w:caps w:val="0"/>
          <w:smallCaps w:val="0"/>
          <w:color w:val="auto"/>
          <w:spacing w:val="0"/>
          <w:highlight w:val="none"/>
        </w:rPr>
        <w:t>状态</w:t>
      </w:r>
      <w:r>
        <w:rPr>
          <w:rFonts w:ascii="Times New Roman" w:hAnsi="Times New Roman" w:eastAsia="宋体" w:cs="Times New Roman"/>
          <w:caps w:val="0"/>
          <w:smallCaps w:val="0"/>
          <w:color w:val="auto"/>
          <w:spacing w:val="0"/>
          <w:highlight w:val="none"/>
        </w:rPr>
        <w:t>下事故污水排入周围地表水体，本工程拟采取措施包括：</w:t>
      </w:r>
    </w:p>
    <w:p w14:paraId="5CF17AC1">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各桶区设置围堰，生产区设置导流槽，配备必要的设施确保事故状态下能及时封堵厂区内外流地沟或流水沟，切断排放口与外部水体之间的联系，防止污染介质外流扩散造成水体、土壤的大面积环境污染。</w:t>
      </w:r>
    </w:p>
    <w:p w14:paraId="2B8FDA0E">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（2）</w:t>
      </w:r>
      <w:r>
        <w:rPr>
          <w:rFonts w:ascii="Times New Roman" w:hAnsi="Times New Roman" w:eastAsia="宋体" w:cs="Times New Roman"/>
          <w:caps w:val="0"/>
          <w:smallCaps w:val="0"/>
          <w:color w:val="auto"/>
          <w:spacing w:val="0"/>
          <w:highlight w:val="none"/>
        </w:rPr>
        <w:t>事故状态下产生的废水、消防废水等收集到事故水池内。</w:t>
      </w:r>
    </w:p>
    <w:p w14:paraId="5F64835B">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（3）</w:t>
      </w:r>
      <w:r>
        <w:rPr>
          <w:rFonts w:ascii="Times New Roman" w:hAnsi="Times New Roman" w:eastAsia="宋体" w:cs="Times New Roman"/>
          <w:caps w:val="0"/>
          <w:smallCaps w:val="0"/>
          <w:color w:val="auto"/>
          <w:spacing w:val="0"/>
          <w:highlight w:val="none"/>
        </w:rPr>
        <w:t>储酸区、生产装置区、事故水池和污水处理站地面等均应进行严格的防渗处理。</w:t>
      </w:r>
    </w:p>
    <w:p w14:paraId="5133D5D6">
      <w:pPr>
        <w:pStyle w:val="14"/>
        <w:widowControl w:val="0"/>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以“预防为主、防控结合”的指导思想，建立安全、及时、有效的污染综合预防与控制体系，确保事故状态下的废水全部处于受控状态，事故废水得到有效处理后达标排放，防止对周围地表水和地下水造成污染。根据国家环境保护部的相关要求以及《水体污染防控紧急措施设计导则》，本工程厂内事故废水环境风险预防与控制体系划分为三级，分别为：</w:t>
      </w:r>
    </w:p>
    <w:p w14:paraId="34CCBAD4">
      <w:pPr>
        <w:pStyle w:val="14"/>
        <w:widowControl w:val="0"/>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第一级防控</w:t>
      </w:r>
    </w:p>
    <w:p w14:paraId="735F9A1C">
      <w:pPr>
        <w:pStyle w:val="14"/>
        <w:widowControl w:val="0"/>
        <w:snapToGrid w:val="0"/>
        <w:spacing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第一级防控措施是全厂进行分区防渗、储酸区设置围堰，构筑生产过程中环境安全的第一层防控网，使泄漏物料切换到处理系统，防止污染雨水和轻微事故泄漏造成的环境污染。</w:t>
      </w:r>
    </w:p>
    <w:p w14:paraId="1FF802A2">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A 防渗措施：本工程区内一般防渗区采用防渗混凝土进行防渗处理，结构厚度不应小于250mm，混凝土的抗渗等级不应低于P8。若采用其它防渗方案应满足一般防渗区防渗标准：等效黏土防渗层Mb≥1.5m，K≤1×10</w:t>
      </w:r>
      <w:r>
        <w:rPr>
          <w:rFonts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cm/s；重点防渗区域采用防渗混凝土进行防渗处理，结构厚度不应小于250mm，混凝土的抗渗等级不应低于P8，水池内表面应涂刷水泥基渗透结晶型或喷涂聚脲等防水涂料，水泥基渗透结晶型防水涂料厚度不应小于1.0mm，喷涂聚脲防水涂料厚度不应小于1.5mm，若采用其它防渗方案应满足重点污染区防渗标准：等效黏土防渗层Mb≥6.0m，K≤1×10</w:t>
      </w:r>
      <w:r>
        <w:rPr>
          <w:rFonts w:ascii="Times New Roman" w:hAnsi="Times New Roman" w:eastAsia="宋体" w:cs="Times New Roman"/>
          <w:caps w:val="0"/>
          <w:smallCaps w:val="0"/>
          <w:color w:val="auto"/>
          <w:spacing w:val="0"/>
          <w:highlight w:val="none"/>
          <w:vertAlign w:val="superscript"/>
        </w:rPr>
        <w:t>-7</w:t>
      </w:r>
      <w:r>
        <w:rPr>
          <w:rFonts w:ascii="Times New Roman" w:hAnsi="Times New Roman" w:eastAsia="宋体" w:cs="Times New Roman"/>
          <w:caps w:val="0"/>
          <w:smallCaps w:val="0"/>
          <w:color w:val="auto"/>
          <w:spacing w:val="0"/>
          <w:highlight w:val="none"/>
        </w:rPr>
        <w:t>cm/s；简单防渗区地面采用水泥硬化。危险废物和一般固废贮存场所防渗效果应分别满足《危险废物贮存污染控制标准》 (GB18597-2023)和《一般工业固体废物贮存、处置场污染控制标准》(GB18599-2020) 及修改单的要求。</w:t>
      </w:r>
    </w:p>
    <w:p w14:paraId="2EFD33FA">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B导流沟、围堰设置：本工程对危险化学品物料存储酸区设置了围堰，装置区、储酸区边界的雨排沟，设置有事故闸板。小型事故时及时关闭区内闸板和装置边界雨排沟通往厂外排洪沟的闸板，</w:t>
      </w:r>
      <w:r>
        <w:rPr>
          <w:rFonts w:hint="eastAsia" w:ascii="Times New Roman" w:hAnsi="Times New Roman" w:eastAsia="宋体" w:cs="Times New Roman"/>
          <w:caps w:val="0"/>
          <w:smallCaps w:val="0"/>
          <w:color w:val="auto"/>
          <w:spacing w:val="0"/>
          <w:highlight w:val="none"/>
          <w:lang w:eastAsia="zh-CN"/>
        </w:rPr>
        <w:t>截留</w:t>
      </w:r>
      <w:r>
        <w:rPr>
          <w:rFonts w:ascii="Times New Roman" w:hAnsi="Times New Roman" w:eastAsia="宋体" w:cs="Times New Roman"/>
          <w:caps w:val="0"/>
          <w:smallCaps w:val="0"/>
          <w:color w:val="auto"/>
          <w:spacing w:val="0"/>
          <w:highlight w:val="none"/>
        </w:rPr>
        <w:t>污染物，使污染控制在本区域内，避免污染扩散。厂区内设置导流沟等完善的废水收集系统，事故状态下可迅速切断雨水管线外排阀门，产生的事故废水、雨水以及消防水均可通过废水收集系统进入事故收集池。</w:t>
      </w:r>
    </w:p>
    <w:p w14:paraId="5A198917">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（2）</w:t>
      </w:r>
      <w:r>
        <w:rPr>
          <w:rFonts w:ascii="Times New Roman" w:hAnsi="Times New Roman" w:eastAsia="宋体" w:cs="Times New Roman"/>
          <w:caps w:val="0"/>
          <w:smallCaps w:val="0"/>
          <w:color w:val="auto"/>
          <w:spacing w:val="0"/>
          <w:highlight w:val="none"/>
        </w:rPr>
        <w:t>第二级防控</w:t>
      </w:r>
    </w:p>
    <w:p w14:paraId="0A6C1339">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第二级防控系统为污水处理站前的事故收集池，将较大生产事故泄漏于储酸区围堰外的物料或消防水、初期雨水进入建设的事故收集池。</w:t>
      </w:r>
    </w:p>
    <w:p w14:paraId="258AEBCF">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本工程厂区事故废水、废液收集设施可利用容积为400m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，可满足事故废水、废液储存设施要求。同时厂区按照能够防止事故状态下事故消防废水等进入厂外水体环境。</w:t>
      </w:r>
    </w:p>
    <w:p w14:paraId="5F9DFBE8">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（3）</w:t>
      </w:r>
      <w:r>
        <w:rPr>
          <w:rFonts w:ascii="Times New Roman" w:hAnsi="Times New Roman" w:eastAsia="宋体" w:cs="Times New Roman"/>
          <w:caps w:val="0"/>
          <w:smallCaps w:val="0"/>
          <w:color w:val="auto"/>
          <w:spacing w:val="0"/>
          <w:highlight w:val="none"/>
        </w:rPr>
        <w:t>第三级防控</w:t>
      </w:r>
    </w:p>
    <w:p w14:paraId="048C9FAA">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厂区雨水排口增加切换阀门作为三级防控措施，污水总排口及雨水排口处设置应急阀和切换阀门，一旦发生事故，紧急关闭，防控溢流至雨水系统的污水进入地表水体。污水一旦泄漏，应及时通知园区管理委员会、佳木斯市人民政府及环保部门、周边群众、附近单位。</w:t>
      </w:r>
    </w:p>
    <w:p w14:paraId="7996F589">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设置了环境风险事故水防控体系，防止事故情况下厂区内的事故废水进入厂外水体。事故水池能够收集厂区内事故状态下产生的消防水、装置或单元内可能泄漏的工艺物料及消防期间可能产生的雨水量。事故水池均设置事故水泵，事故水泵的开启由手动控制。因此事故状态下事故水在厂内事故水池储存，与厂外水体无水力联系。</w:t>
      </w:r>
    </w:p>
    <w:p w14:paraId="2AAB7167">
      <w:pPr>
        <w:pStyle w:val="14"/>
        <w:snapToGrid w:val="0"/>
        <w:spacing w:after="0" w:line="360" w:lineRule="auto"/>
        <w:ind w:left="0" w:leftChars="0"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一旦发生事故，首先启动厂区事故风险应急预案，同时检查事故水防控体系的有效性，一旦出现厂区防控体系容积不够的情况，应立即启动事故水转输至园区事故水池的应急预案，并根据事故规模实现区域事故应急体系联动。</w:t>
      </w:r>
    </w:p>
    <w:p w14:paraId="615077B1">
      <w:pPr>
        <w:pStyle w:val="6"/>
        <w:rPr>
          <w:rFonts w:eastAsia="宋体"/>
          <w:caps w:val="0"/>
          <w:smallCaps w:val="0"/>
          <w:color w:val="auto"/>
          <w:spacing w:val="0"/>
          <w:highlight w:val="none"/>
        </w:rPr>
      </w:pPr>
      <w:r>
        <w:rPr>
          <w:rFonts w:hint="eastAsia" w:eastAsia="宋体"/>
          <w:caps w:val="0"/>
          <w:smallCaps w:val="0"/>
          <w:color w:val="auto"/>
          <w:spacing w:val="0"/>
          <w:highlight w:val="none"/>
        </w:rPr>
        <w:t>6.2.7.4</w:t>
      </w:r>
      <w:r>
        <w:rPr>
          <w:rFonts w:eastAsia="宋体"/>
          <w:caps w:val="0"/>
          <w:smallCaps w:val="0"/>
          <w:color w:val="auto"/>
          <w:spacing w:val="0"/>
          <w:highlight w:val="none"/>
        </w:rPr>
        <w:t>危废储存风险防护措施</w:t>
      </w:r>
    </w:p>
    <w:p w14:paraId="51625A75">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拟建1座危险废物贮存库，危险废物贮存库按照危险废物的种类和特性进行分区贮存，每个贮存区域之间设置挡墙间隔，并设置防风、防雨、防晒、防渗漏设施，四周墙体采用特殊材料砌筑，地面采取基础防渗，防渗层为2mm厚的高密度聚乙烯（HDPE），衬里放在一个基础上，并</w:t>
      </w:r>
      <w:r>
        <w:rPr>
          <w:rFonts w:hint="eastAsia" w:ascii="Times New Roman" w:hAnsi="Times New Roman" w:eastAsia="宋体" w:cs="Times New Roman"/>
          <w:caps w:val="0"/>
          <w:smallCaps w:val="0"/>
          <w:color w:val="auto"/>
          <w:spacing w:val="0"/>
          <w:highlight w:val="none"/>
        </w:rPr>
        <w:t>采取</w:t>
      </w:r>
      <w:r>
        <w:rPr>
          <w:rFonts w:ascii="Times New Roman" w:hAnsi="Times New Roman" w:eastAsia="宋体" w:cs="Times New Roman"/>
          <w:caps w:val="0"/>
          <w:smallCaps w:val="0"/>
          <w:color w:val="auto"/>
          <w:spacing w:val="0"/>
          <w:highlight w:val="none"/>
        </w:rPr>
        <w:t>如下防治措施：</w:t>
      </w:r>
    </w:p>
    <w:p w14:paraId="001C019C">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（1）危险废物收集后，按类别放入相应的容器内。废物贮存容器有明显标志，具有耐腐蚀、耐压、密封和不与所贮存的废物发生反应等特性。</w:t>
      </w:r>
    </w:p>
    <w:p w14:paraId="24ADC6C8">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（2）库房内禁止混放不相容危险废物。按照危险废物特性分类进行收集、贮存，禁止危险废物混入一般废物中储存。由危废处置公司定期清运。包装容器为密封桶时，桶上粘贴有标签，注明种类、</w:t>
      </w:r>
      <w:r>
        <w:rPr>
          <w:rFonts w:hint="eastAsia" w:ascii="Times New Roman" w:hAnsi="Times New Roman" w:eastAsia="宋体" w:cs="Times New Roman"/>
          <w:caps w:val="0"/>
          <w:smallCaps w:val="0"/>
          <w:color w:val="auto"/>
          <w:spacing w:val="0"/>
          <w:highlight w:val="none"/>
        </w:rPr>
        <w:t>成分</w:t>
      </w:r>
      <w:r>
        <w:rPr>
          <w:rFonts w:ascii="Times New Roman" w:hAnsi="Times New Roman" w:eastAsia="宋体" w:cs="Times New Roman"/>
          <w:caps w:val="0"/>
          <w:smallCaps w:val="0"/>
          <w:color w:val="auto"/>
          <w:spacing w:val="0"/>
          <w:highlight w:val="none"/>
        </w:rPr>
        <w:t>、危险类别、产地、禁忌与安全措施等。专用运输车辆为厢式货车，可保证运输过程无泄漏。</w:t>
      </w:r>
    </w:p>
    <w:p w14:paraId="2931FCFC">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危险废物贮存库地面及内墙进行防渗处理，全部采用混凝土防渗，防渗层在墙、柱、基础交接处设衔接缝，衔接缝内填制嵌缝板、背衬材料和嵌缝密封料。地面设地沟和集水池，可防止存放的浸出废液及废油</w:t>
      </w:r>
      <w:r>
        <w:rPr>
          <w:rFonts w:hint="eastAsia" w:ascii="Times New Roman" w:hAnsi="Times New Roman" w:eastAsia="宋体" w:cs="Times New Roman"/>
          <w:caps w:val="0"/>
          <w:smallCaps w:val="0"/>
          <w:color w:val="auto"/>
          <w:spacing w:val="0"/>
          <w:highlight w:val="none"/>
        </w:rPr>
        <w:t>泄漏</w:t>
      </w:r>
      <w:r>
        <w:rPr>
          <w:rFonts w:ascii="Times New Roman" w:hAnsi="Times New Roman" w:eastAsia="宋体" w:cs="Times New Roman"/>
          <w:caps w:val="0"/>
          <w:smallCaps w:val="0"/>
          <w:color w:val="auto"/>
          <w:spacing w:val="0"/>
          <w:highlight w:val="none"/>
        </w:rPr>
        <w:t>污染外环境。地面、地沟及集水池均</w:t>
      </w:r>
      <w:r>
        <w:rPr>
          <w:rFonts w:hint="eastAsia" w:ascii="Times New Roman" w:hAnsi="Times New Roman" w:eastAsia="宋体" w:cs="Times New Roman"/>
          <w:caps w:val="0"/>
          <w:smallCaps w:val="0"/>
          <w:color w:val="auto"/>
          <w:spacing w:val="0"/>
          <w:highlight w:val="none"/>
        </w:rPr>
        <w:t>做</w:t>
      </w:r>
      <w:r>
        <w:rPr>
          <w:rFonts w:ascii="Times New Roman" w:hAnsi="Times New Roman" w:eastAsia="宋体" w:cs="Times New Roman"/>
          <w:caps w:val="0"/>
          <w:smallCaps w:val="0"/>
          <w:color w:val="auto"/>
          <w:spacing w:val="0"/>
          <w:highlight w:val="none"/>
        </w:rPr>
        <w:t>防腐处理。地面渗透系数达到1.0×10</w:t>
      </w:r>
      <w:r>
        <w:rPr>
          <w:rFonts w:ascii="Times New Roman" w:hAnsi="Times New Roman" w:eastAsia="宋体" w:cs="Times New Roman"/>
          <w:caps w:val="0"/>
          <w:smallCaps w:val="0"/>
          <w:color w:val="auto"/>
          <w:spacing w:val="0"/>
          <w:highlight w:val="none"/>
          <w:vertAlign w:val="superscript"/>
        </w:rPr>
        <w:t>-10</w:t>
      </w:r>
      <w:r>
        <w:rPr>
          <w:rFonts w:ascii="Times New Roman" w:hAnsi="Times New Roman" w:eastAsia="宋体" w:cs="Times New Roman"/>
          <w:caps w:val="0"/>
          <w:smallCaps w:val="0"/>
          <w:color w:val="auto"/>
          <w:spacing w:val="0"/>
          <w:highlight w:val="none"/>
        </w:rPr>
        <w:t>cm/s。</w:t>
      </w:r>
    </w:p>
    <w:p w14:paraId="1EEDC628">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（4）建立档案制度，对暂存的危废种类、数量、特性、包装容器类别、存放库位、存入及运出日期等详细记录在案并长期保存。</w:t>
      </w:r>
    </w:p>
    <w:p w14:paraId="51A060AD">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（5）库房内采取全面通风的措施，设安全照明设施，并设置消防装置。</w:t>
      </w:r>
    </w:p>
    <w:p w14:paraId="648D6A06">
      <w:pPr>
        <w:pStyle w:val="194"/>
        <w:spacing w:line="360" w:lineRule="auto"/>
        <w:ind w:firstLine="48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（6）危险废物的转运严格按照有关规定，实行联单制度。</w:t>
      </w:r>
    </w:p>
    <w:p w14:paraId="1ADD064C">
      <w:pPr>
        <w:pStyle w:val="6"/>
        <w:rPr>
          <w:rFonts w:eastAsia="宋体"/>
          <w:caps w:val="0"/>
          <w:smallCaps w:val="0"/>
          <w:color w:val="auto"/>
          <w:spacing w:val="0"/>
          <w:highlight w:val="none"/>
        </w:rPr>
      </w:pPr>
      <w:r>
        <w:rPr>
          <w:rFonts w:hint="eastAsia" w:eastAsia="宋体"/>
          <w:caps w:val="0"/>
          <w:smallCaps w:val="0"/>
          <w:color w:val="auto"/>
          <w:spacing w:val="0"/>
          <w:highlight w:val="none"/>
        </w:rPr>
        <w:t>6.2.7.5</w:t>
      </w:r>
      <w:r>
        <w:rPr>
          <w:rFonts w:eastAsia="宋体"/>
          <w:caps w:val="0"/>
          <w:smallCaps w:val="0"/>
          <w:color w:val="auto"/>
          <w:spacing w:val="0"/>
          <w:highlight w:val="none"/>
        </w:rPr>
        <w:t>危险化学品运输风险分析及防护措施</w:t>
      </w:r>
    </w:p>
    <w:p w14:paraId="2A099D1F">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由于本工程涉及有毒有害危险化学品的运输，如运输过程中出现泄漏事故，则有可能对区域地表水体造成严重污染影响，因此，运输过程中的风险防范及应急措施亦为本工程的分析重点。</w:t>
      </w:r>
      <w:r>
        <w:rPr>
          <w:rFonts w:ascii="Times New Roman" w:hAnsi="Times New Roman" w:eastAsia="宋体" w:cs="Times New Roman"/>
          <w:caps w:val="0"/>
          <w:smallCaps w:val="0"/>
          <w:snapToGrid w:val="0"/>
          <w:color w:val="auto"/>
          <w:spacing w:val="0"/>
          <w:kern w:val="0"/>
          <w:szCs w:val="28"/>
          <w:highlight w:val="none"/>
        </w:rPr>
        <w:t>鉴于本工程危险化学品运输过程中如出现严重泄漏事故，有可能会对区域环境造成严重污染影响，建设单位应</w:t>
      </w:r>
      <w:r>
        <w:rPr>
          <w:rFonts w:hint="eastAsia" w:ascii="Times New Roman" w:hAnsi="Times New Roman" w:eastAsia="宋体" w:cs="Times New Roman"/>
          <w:caps w:val="0"/>
          <w:smallCaps w:val="0"/>
          <w:snapToGrid w:val="0"/>
          <w:color w:val="auto"/>
          <w:spacing w:val="0"/>
          <w:kern w:val="0"/>
          <w:szCs w:val="28"/>
          <w:highlight w:val="none"/>
        </w:rPr>
        <w:t>给予</w:t>
      </w:r>
      <w:r>
        <w:rPr>
          <w:rFonts w:ascii="Times New Roman" w:hAnsi="Times New Roman" w:eastAsia="宋体" w:cs="Times New Roman"/>
          <w:caps w:val="0"/>
          <w:smallCaps w:val="0"/>
          <w:snapToGrid w:val="0"/>
          <w:color w:val="auto"/>
          <w:spacing w:val="0"/>
          <w:kern w:val="0"/>
          <w:szCs w:val="28"/>
          <w:highlight w:val="none"/>
        </w:rPr>
        <w:t>高度重视，严格按照相关法规、规范要求进行危险品的运输，防止运输安全事故的发生。为避免危险化学品运输过程中因运输单位相关设施不完善或因交通事故引发泄漏事故，进而造成对环境的污染，建设单位</w:t>
      </w:r>
      <w:r>
        <w:rPr>
          <w:rFonts w:hint="eastAsia" w:ascii="Times New Roman" w:hAnsi="Times New Roman" w:eastAsia="宋体" w:cs="Times New Roman"/>
          <w:caps w:val="0"/>
          <w:smallCaps w:val="0"/>
          <w:snapToGrid w:val="0"/>
          <w:color w:val="auto"/>
          <w:spacing w:val="0"/>
          <w:kern w:val="0"/>
          <w:szCs w:val="28"/>
          <w:highlight w:val="none"/>
        </w:rPr>
        <w:t>应</w:t>
      </w:r>
      <w:r>
        <w:rPr>
          <w:rFonts w:ascii="Times New Roman" w:hAnsi="Times New Roman" w:eastAsia="宋体" w:cs="Times New Roman"/>
          <w:caps w:val="0"/>
          <w:smallCaps w:val="0"/>
          <w:snapToGrid w:val="0"/>
          <w:color w:val="auto"/>
          <w:spacing w:val="0"/>
          <w:kern w:val="0"/>
          <w:szCs w:val="28"/>
          <w:highlight w:val="none"/>
        </w:rPr>
        <w:t>负起对运输车辆的监管义务，严把承担运输任务单位的危险化学品运输资质及运输车辆配置是否符合规范，对不满足安全要求的运输单位应要求供货方进行更换或完善相关措施，保障运输安全。本工程化学危险品的运输应符合以下要求：</w:t>
      </w:r>
    </w:p>
    <w:p w14:paraId="698EE630">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（1）严格按照《危险化学品安全管理条例》的规定进行危险化学品的运输、使用、贮存；</w:t>
      </w:r>
    </w:p>
    <w:p w14:paraId="0E3565B2">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（2）危险化学品的包装、容器应是定点单位生产，并经检测、检验合格，方可使用；</w:t>
      </w:r>
    </w:p>
    <w:p w14:paraId="36E2F2F2">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（3）危险品运输单位必须取得《道路危险货物非营业运输证》，有关人员必须取得《道路危险货物运输操作证》和有关专业培训考核，车辆应有危运证，司机、押运员应有上岗证；</w:t>
      </w:r>
    </w:p>
    <w:p w14:paraId="62BD8A58">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（4）运输危险化学品的车辆后部安装告示牌，告示牌上标明危险化学品的名称、种类、罐体容积、最大载质量、注意事项、施救方法、企业联系电话；</w:t>
      </w:r>
    </w:p>
    <w:p w14:paraId="00E71181">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（5）危险物品运输必须遵从《危险物品转移联单管理办法》中的规定，填写危险物品转移联单，并向危险物品移出地和</w:t>
      </w:r>
      <w:r>
        <w:rPr>
          <w:rFonts w:hint="eastAsia" w:ascii="Times New Roman" w:hAnsi="Times New Roman" w:eastAsia="宋体" w:cs="Times New Roman"/>
          <w:caps w:val="0"/>
          <w:smallCaps w:val="0"/>
          <w:color w:val="auto"/>
          <w:spacing w:val="0"/>
          <w:highlight w:val="none"/>
        </w:rPr>
        <w:t>接收</w:t>
      </w:r>
      <w:r>
        <w:rPr>
          <w:rFonts w:ascii="Times New Roman" w:hAnsi="Times New Roman" w:eastAsia="宋体" w:cs="Times New Roman"/>
          <w:caps w:val="0"/>
          <w:smallCaps w:val="0"/>
          <w:color w:val="auto"/>
          <w:spacing w:val="0"/>
          <w:highlight w:val="none"/>
        </w:rPr>
        <w:t>地的县级以上地方人民政府环境保护行政主管部门报告。</w:t>
      </w:r>
    </w:p>
    <w:p w14:paraId="1D8AFD71">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（6）危险化学品运输单位应有公安部门核发的公路运输通行证，并由公安部门核发对危险化学品道路运输安全实施监督；</w:t>
      </w:r>
    </w:p>
    <w:p w14:paraId="5725BA18">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（7）运输车辆随车携带包括危险化学品名称、数量、危害性、运输始发地、目的地、运输路线、驾驶员姓名、押运员姓名及运输、经营、单位名称等内容的资料，必要的应急处理器材、防护用品和应急措施。</w:t>
      </w:r>
    </w:p>
    <w:p w14:paraId="39F6F023">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（8）运输危险化学品途中需要停车住宿或者遇有无法正常运输的情况时，应当向当地公安部门报告；</w:t>
      </w:r>
    </w:p>
    <w:p w14:paraId="40886083">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（9）化学品运输车辆在行驶、停车时要与其他车辆、高压线、人口稠密区、高大建筑物、政府机关、桥梁、水源保护区和重点文物保护区保持一定的安全距离；</w:t>
      </w:r>
    </w:p>
    <w:p w14:paraId="69A4821D">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（10）按当地公安机关指定的路线和规定时间行驶，严禁超车、超速、超重，防止摩擦、冲击，车上应设置相应的劳动保护用品和</w:t>
      </w:r>
      <w:r>
        <w:rPr>
          <w:rFonts w:hint="eastAsia" w:ascii="Times New Roman" w:hAnsi="Times New Roman" w:eastAsia="宋体" w:cs="Times New Roman"/>
          <w:caps w:val="0"/>
          <w:smallCaps w:val="0"/>
          <w:color w:val="auto"/>
          <w:spacing w:val="0"/>
          <w:highlight w:val="none"/>
        </w:rPr>
        <w:t>配备</w:t>
      </w:r>
      <w:r>
        <w:rPr>
          <w:rFonts w:ascii="Times New Roman" w:hAnsi="Times New Roman" w:eastAsia="宋体" w:cs="Times New Roman"/>
          <w:caps w:val="0"/>
          <w:smallCaps w:val="0"/>
          <w:color w:val="auto"/>
          <w:spacing w:val="0"/>
          <w:highlight w:val="none"/>
        </w:rPr>
        <w:t>必要的紧急处理工具。</w:t>
      </w:r>
    </w:p>
    <w:p w14:paraId="391A747D">
      <w:pPr>
        <w:pStyle w:val="6"/>
        <w:rPr>
          <w:rFonts w:eastAsia="宋体"/>
          <w:caps w:val="0"/>
          <w:smallCaps w:val="0"/>
          <w:color w:val="auto"/>
          <w:spacing w:val="0"/>
          <w:highlight w:val="none"/>
        </w:rPr>
      </w:pPr>
      <w:r>
        <w:rPr>
          <w:rFonts w:hint="eastAsia" w:eastAsia="宋体"/>
          <w:caps w:val="0"/>
          <w:smallCaps w:val="0"/>
          <w:color w:val="auto"/>
          <w:spacing w:val="0"/>
          <w:highlight w:val="none"/>
        </w:rPr>
        <w:t>6.2.7.6</w:t>
      </w:r>
      <w:r>
        <w:rPr>
          <w:rFonts w:eastAsia="宋体"/>
          <w:caps w:val="0"/>
          <w:smallCaps w:val="0"/>
          <w:color w:val="auto"/>
          <w:spacing w:val="0"/>
          <w:highlight w:val="none"/>
        </w:rPr>
        <w:t>生产过程的安全防范措施</w:t>
      </w:r>
    </w:p>
    <w:p w14:paraId="6DC94B66">
      <w:pPr>
        <w:snapToGrid w:val="0"/>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在生产运行过程中应采取的安全防范对策见下</w:t>
      </w:r>
      <w:r>
        <w:rPr>
          <w:rFonts w:ascii="Times New Roman" w:hAnsi="Times New Roman" w:eastAsia="宋体" w:cs="Times New Roman"/>
          <w:caps w:val="0"/>
          <w:smallCaps w:val="0"/>
          <w:color w:val="auto"/>
          <w:spacing w:val="0"/>
          <w:highlight w:val="none"/>
        </w:rPr>
        <w:t>表</w:t>
      </w:r>
      <w:r>
        <w:rPr>
          <w:rFonts w:ascii="Times New Roman" w:hAnsi="Times New Roman" w:eastAsia="宋体" w:cs="Times New Roman"/>
          <w:caps w:val="0"/>
          <w:smallCaps w:val="0"/>
          <w:color w:val="auto"/>
          <w:spacing w:val="0"/>
          <w:szCs w:val="28"/>
          <w:highlight w:val="none"/>
        </w:rPr>
        <w:t>。</w:t>
      </w:r>
    </w:p>
    <w:p w14:paraId="0D0E4D91">
      <w:pPr>
        <w:spacing w:line="360" w:lineRule="auto"/>
        <w:ind w:left="480" w:leftChars="200"/>
        <w:jc w:val="center"/>
        <w:rPr>
          <w:rFonts w:ascii="Times New Roman" w:hAnsi="Times New Roman" w:eastAsia="宋体" w:cs="Times New Roman"/>
          <w:b/>
          <w:bCs/>
          <w:caps w:val="0"/>
          <w:smallCaps w:val="0"/>
          <w:color w:val="auto"/>
          <w:spacing w:val="0"/>
          <w:highlight w:val="none"/>
        </w:rPr>
      </w:pPr>
      <w:r>
        <w:rPr>
          <w:rFonts w:hint="eastAsia" w:ascii="Times New Roman" w:hAnsi="Times New Roman" w:eastAsia="宋体" w:cs="Times New Roman"/>
          <w:b/>
          <w:bCs/>
          <w:caps w:val="0"/>
          <w:smallCaps w:val="0"/>
          <w:color w:val="auto"/>
          <w:spacing w:val="0"/>
          <w:highlight w:val="none"/>
        </w:rPr>
        <w:t>表6.2-</w:t>
      </w:r>
      <w:r>
        <w:rPr>
          <w:rFonts w:hint="eastAsia" w:ascii="Times New Roman" w:hAnsi="Times New Roman" w:eastAsia="宋体" w:cs="Times New Roman"/>
          <w:b/>
          <w:bCs/>
          <w:caps w:val="0"/>
          <w:smallCaps w:val="0"/>
          <w:color w:val="auto"/>
          <w:spacing w:val="0"/>
          <w:highlight w:val="none"/>
          <w:lang w:val="en-US" w:eastAsia="zh-CN"/>
        </w:rPr>
        <w:t>9</w:t>
      </w:r>
      <w:r>
        <w:rPr>
          <w:rFonts w:ascii="Times New Roman" w:hAnsi="Times New Roman" w:eastAsia="宋体" w:cs="Times New Roman"/>
          <w:b/>
          <w:bCs/>
          <w:caps w:val="0"/>
          <w:smallCaps w:val="0"/>
          <w:color w:val="auto"/>
          <w:spacing w:val="0"/>
          <w:highlight w:val="none"/>
        </w:rPr>
        <w:t>生产运行过程中采取的安全防范措施</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099"/>
        <w:gridCol w:w="7517"/>
      </w:tblGrid>
      <w:tr w14:paraId="0FC44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5C723ACE">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序号</w:t>
            </w:r>
          </w:p>
        </w:tc>
        <w:tc>
          <w:tcPr>
            <w:tcW w:w="1054" w:type="dxa"/>
            <w:tcBorders>
              <w:tl2br w:val="nil"/>
              <w:tr2bl w:val="nil"/>
            </w:tcBorders>
            <w:vAlign w:val="center"/>
          </w:tcPr>
          <w:p w14:paraId="667AB57A">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w:t>
            </w:r>
          </w:p>
        </w:tc>
        <w:tc>
          <w:tcPr>
            <w:tcW w:w="7206" w:type="dxa"/>
            <w:tcBorders>
              <w:tl2br w:val="nil"/>
              <w:tr2bl w:val="nil"/>
            </w:tcBorders>
            <w:vAlign w:val="center"/>
          </w:tcPr>
          <w:p w14:paraId="421835C7">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安全防范内容及对策</w:t>
            </w:r>
          </w:p>
        </w:tc>
      </w:tr>
      <w:tr w14:paraId="57AEA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56E6F237">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1054" w:type="dxa"/>
            <w:tcBorders>
              <w:tl2br w:val="nil"/>
              <w:tr2bl w:val="nil"/>
            </w:tcBorders>
            <w:vAlign w:val="center"/>
          </w:tcPr>
          <w:p w14:paraId="53505538">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全员培训</w:t>
            </w:r>
          </w:p>
        </w:tc>
        <w:tc>
          <w:tcPr>
            <w:tcW w:w="7206" w:type="dxa"/>
            <w:tcBorders>
              <w:tl2br w:val="nil"/>
              <w:tr2bl w:val="nil"/>
            </w:tcBorders>
            <w:vAlign w:val="center"/>
          </w:tcPr>
          <w:p w14:paraId="5A6CC257">
            <w:pPr>
              <w:snapToGrid w:val="0"/>
              <w:spacing w:line="300" w:lineRule="exact"/>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项目</w:t>
            </w:r>
            <w:r>
              <w:rPr>
                <w:rFonts w:ascii="Times New Roman" w:hAnsi="Times New Roman" w:eastAsia="宋体" w:cs="Times New Roman"/>
                <w:caps w:val="0"/>
                <w:smallCaps w:val="0"/>
                <w:color w:val="auto"/>
                <w:spacing w:val="0"/>
                <w:sz w:val="21"/>
                <w:highlight w:val="none"/>
              </w:rPr>
              <w:t>所有操作人员均经过培训和严格训练并取得合格证后方允许上岗操作。</w:t>
            </w:r>
          </w:p>
          <w:p w14:paraId="563E9C65">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操作人员不仅熟悉掌握正常生产状况下本岗位和相关岗位的操作程序和要求，而且能熟练掌握非正常生产状况下的操作程序和要求。</w:t>
            </w:r>
          </w:p>
          <w:p w14:paraId="23C3CEE8">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应急场所均配备完整的防毒设施，并进行培训和严格的演练，确保在事故发生后可以在最短的时间内取得防毒设施并及时离开现场或配合抢险人员进行现场救援工作。</w:t>
            </w:r>
          </w:p>
        </w:tc>
      </w:tr>
      <w:tr w14:paraId="21CEF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6C4C6F7C">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1054" w:type="dxa"/>
            <w:tcBorders>
              <w:tl2br w:val="nil"/>
              <w:tr2bl w:val="nil"/>
            </w:tcBorders>
            <w:vAlign w:val="center"/>
          </w:tcPr>
          <w:p w14:paraId="1982A867">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严格操作规程、定期检查</w:t>
            </w:r>
          </w:p>
        </w:tc>
        <w:tc>
          <w:tcPr>
            <w:tcW w:w="7206" w:type="dxa"/>
            <w:tcBorders>
              <w:tl2br w:val="nil"/>
              <w:tr2bl w:val="nil"/>
            </w:tcBorders>
            <w:vAlign w:val="center"/>
          </w:tcPr>
          <w:p w14:paraId="62FB4019">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加强工艺管理，严格控制工艺指标。</w:t>
            </w:r>
          </w:p>
          <w:p w14:paraId="08647D7C">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严格执行操作规程，及时排除泄漏和设备隐患，保证系统处于正常状态。</w:t>
            </w:r>
          </w:p>
          <w:p w14:paraId="2FB77AC9">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检修部门定期对容器等设备进行检修和检测，保证设备完好，操作人员严格执行安全操作规程，确保生产安全。</w:t>
            </w:r>
          </w:p>
          <w:p w14:paraId="03A5D684">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储酸区定期检查、维护。</w:t>
            </w:r>
          </w:p>
        </w:tc>
      </w:tr>
      <w:tr w14:paraId="25BF04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77839B48">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w:t>
            </w:r>
          </w:p>
        </w:tc>
        <w:tc>
          <w:tcPr>
            <w:tcW w:w="1054" w:type="dxa"/>
            <w:tcBorders>
              <w:tl2br w:val="nil"/>
              <w:tr2bl w:val="nil"/>
            </w:tcBorders>
            <w:vAlign w:val="center"/>
          </w:tcPr>
          <w:p w14:paraId="2A8F4EBA">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自动控制、监测</w:t>
            </w:r>
          </w:p>
        </w:tc>
        <w:tc>
          <w:tcPr>
            <w:tcW w:w="7206" w:type="dxa"/>
            <w:tcBorders>
              <w:tl2br w:val="nil"/>
              <w:tr2bl w:val="nil"/>
            </w:tcBorders>
            <w:vAlign w:val="center"/>
          </w:tcPr>
          <w:p w14:paraId="1152F6C3">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采用成熟可靠的自动化控制系统对生产过程进行集中监控、报警和联锁，对重要操作参数进行自动调节，自动报警和事故状态下紧急停车。减少事故性排放。</w:t>
            </w:r>
          </w:p>
        </w:tc>
      </w:tr>
      <w:tr w14:paraId="054A8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7F446B9F">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w:t>
            </w:r>
          </w:p>
        </w:tc>
        <w:tc>
          <w:tcPr>
            <w:tcW w:w="1054" w:type="dxa"/>
            <w:tcBorders>
              <w:tl2br w:val="nil"/>
              <w:tr2bl w:val="nil"/>
            </w:tcBorders>
            <w:vAlign w:val="center"/>
          </w:tcPr>
          <w:p w14:paraId="3F23C38F">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化学品</w:t>
            </w:r>
          </w:p>
          <w:p w14:paraId="4B6235A5">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运输</w:t>
            </w:r>
          </w:p>
        </w:tc>
        <w:tc>
          <w:tcPr>
            <w:tcW w:w="7206" w:type="dxa"/>
            <w:tcBorders>
              <w:tl2br w:val="nil"/>
              <w:tr2bl w:val="nil"/>
            </w:tcBorders>
            <w:vAlign w:val="center"/>
          </w:tcPr>
          <w:p w14:paraId="135A4741">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汽车装运危险化学品时，悬挂运送危险货物的标志。</w:t>
            </w:r>
          </w:p>
          <w:p w14:paraId="53C28587">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化学品运输车辆在行驶、停车时要与其他车辆、高压线、人口稠密区、高大建筑物和重点文物保护区</w:t>
            </w:r>
            <w:r>
              <w:rPr>
                <w:rFonts w:hint="eastAsia" w:ascii="Times New Roman" w:hAnsi="Times New Roman" w:eastAsia="宋体" w:cs="Times New Roman"/>
                <w:caps w:val="0"/>
                <w:smallCaps w:val="0"/>
                <w:color w:val="auto"/>
                <w:spacing w:val="0"/>
                <w:sz w:val="21"/>
                <w:highlight w:val="none"/>
              </w:rPr>
              <w:t>保持</w:t>
            </w:r>
            <w:r>
              <w:rPr>
                <w:rFonts w:ascii="Times New Roman" w:hAnsi="Times New Roman" w:eastAsia="宋体" w:cs="Times New Roman"/>
                <w:caps w:val="0"/>
                <w:smallCaps w:val="0"/>
                <w:color w:val="auto"/>
                <w:spacing w:val="0"/>
                <w:sz w:val="21"/>
                <w:highlight w:val="none"/>
              </w:rPr>
              <w:t>一定的安全距离。</w:t>
            </w:r>
          </w:p>
          <w:p w14:paraId="32389F94">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按当地公安机关指定的路线和规定时间行驶，严禁超车、超速、超重，防止摩擦、冲击，车上应设置相应的劳动保护用品和</w:t>
            </w:r>
            <w:r>
              <w:rPr>
                <w:rFonts w:hint="eastAsia" w:ascii="Times New Roman" w:hAnsi="Times New Roman" w:eastAsia="宋体" w:cs="Times New Roman"/>
                <w:caps w:val="0"/>
                <w:smallCaps w:val="0"/>
                <w:color w:val="auto"/>
                <w:spacing w:val="0"/>
                <w:sz w:val="21"/>
                <w:highlight w:val="none"/>
              </w:rPr>
              <w:t>配备</w:t>
            </w:r>
            <w:r>
              <w:rPr>
                <w:rFonts w:ascii="Times New Roman" w:hAnsi="Times New Roman" w:eastAsia="宋体" w:cs="Times New Roman"/>
                <w:caps w:val="0"/>
                <w:smallCaps w:val="0"/>
                <w:color w:val="auto"/>
                <w:spacing w:val="0"/>
                <w:sz w:val="21"/>
                <w:highlight w:val="none"/>
              </w:rPr>
              <w:t>必要的紧急处理工具。</w:t>
            </w:r>
          </w:p>
        </w:tc>
      </w:tr>
      <w:tr w14:paraId="549F1E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4B44DADF">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w:t>
            </w:r>
          </w:p>
        </w:tc>
        <w:tc>
          <w:tcPr>
            <w:tcW w:w="1054" w:type="dxa"/>
            <w:tcBorders>
              <w:tl2br w:val="nil"/>
              <w:tr2bl w:val="nil"/>
            </w:tcBorders>
            <w:vAlign w:val="center"/>
          </w:tcPr>
          <w:p w14:paraId="2A5D4215">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事故防范</w:t>
            </w:r>
          </w:p>
        </w:tc>
        <w:tc>
          <w:tcPr>
            <w:tcW w:w="7206" w:type="dxa"/>
            <w:tcBorders>
              <w:tl2br w:val="nil"/>
              <w:tr2bl w:val="nil"/>
            </w:tcBorders>
            <w:vAlign w:val="center"/>
          </w:tcPr>
          <w:p w14:paraId="41B758E8">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泄漏、火灾等事故发生后，严格按照有关规定及时处理，防止事故扩大。</w:t>
            </w:r>
          </w:p>
          <w:p w14:paraId="61D5AF5D">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厂方和附近居民保持长期友好的联系，向事故状态下有可能受影响的敏感区居民告知事故危害性、传授自我防范的基本方法。</w:t>
            </w:r>
          </w:p>
          <w:p w14:paraId="28E411B3">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泄漏、中毒等事故发生后，严格按照有关规定及时处理，防止事故扩大。</w:t>
            </w:r>
          </w:p>
          <w:p w14:paraId="7CF10993">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围堰规格严格按规范设计和施工，并在厂区设置一定规模的事故贮液池，保证事故状态下围堰、事故贮液池可完全收集、拦截泄漏的物料，避免对水环境和土壤造成污染影响。</w:t>
            </w:r>
          </w:p>
        </w:tc>
      </w:tr>
      <w:tr w14:paraId="09B724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20D51428">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w:t>
            </w:r>
          </w:p>
        </w:tc>
        <w:tc>
          <w:tcPr>
            <w:tcW w:w="1054" w:type="dxa"/>
            <w:tcBorders>
              <w:tl2br w:val="nil"/>
              <w:tr2bl w:val="nil"/>
            </w:tcBorders>
            <w:vAlign w:val="center"/>
          </w:tcPr>
          <w:p w14:paraId="28762672">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应急处理措施</w:t>
            </w:r>
          </w:p>
        </w:tc>
        <w:tc>
          <w:tcPr>
            <w:tcW w:w="7206" w:type="dxa"/>
            <w:tcBorders>
              <w:tl2br w:val="nil"/>
              <w:tr2bl w:val="nil"/>
            </w:tcBorders>
            <w:vAlign w:val="center"/>
          </w:tcPr>
          <w:p w14:paraId="009845F3">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发生事故的车间，应迅速查明事故发生源点、泄漏部位及原因，及时对事故进行处理。</w:t>
            </w:r>
          </w:p>
          <w:p w14:paraId="40749FEE">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如果事故影响到厂外环境，应及时报告当地管理部门和相应单位。</w:t>
            </w:r>
          </w:p>
        </w:tc>
      </w:tr>
      <w:tr w14:paraId="78AD88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dxa"/>
            <w:tcBorders>
              <w:tl2br w:val="nil"/>
              <w:tr2bl w:val="nil"/>
            </w:tcBorders>
            <w:vAlign w:val="center"/>
          </w:tcPr>
          <w:p w14:paraId="60B5BAFD">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w:t>
            </w:r>
          </w:p>
        </w:tc>
        <w:tc>
          <w:tcPr>
            <w:tcW w:w="1054" w:type="dxa"/>
            <w:tcBorders>
              <w:tl2br w:val="nil"/>
              <w:tr2bl w:val="nil"/>
            </w:tcBorders>
            <w:vAlign w:val="center"/>
          </w:tcPr>
          <w:p w14:paraId="2D9025D6">
            <w:pPr>
              <w:snapToGrid w:val="0"/>
              <w:spacing w:line="30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安全管理机构</w:t>
            </w:r>
          </w:p>
        </w:tc>
        <w:tc>
          <w:tcPr>
            <w:tcW w:w="7206" w:type="dxa"/>
            <w:tcBorders>
              <w:tl2br w:val="nil"/>
              <w:tr2bl w:val="nil"/>
            </w:tcBorders>
            <w:vAlign w:val="center"/>
          </w:tcPr>
          <w:p w14:paraId="30FFD195">
            <w:pPr>
              <w:snapToGrid w:val="0"/>
              <w:spacing w:line="300" w:lineRule="exact"/>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公司主要领导负责全公司的消防、安全、环保工作，公司已组织安环科及各车间的专业人员成立事故处理应急小组，制定事故处理的应急预案，并进行定期演练，以确保发生事故时及时启动应急预案。</w:t>
            </w:r>
          </w:p>
        </w:tc>
      </w:tr>
    </w:tbl>
    <w:p w14:paraId="6FA49CA3">
      <w:pPr>
        <w:pStyle w:val="6"/>
        <w:rPr>
          <w:rFonts w:eastAsia="宋体"/>
          <w:caps w:val="0"/>
          <w:smallCaps w:val="0"/>
          <w:color w:val="auto"/>
          <w:spacing w:val="0"/>
          <w:highlight w:val="none"/>
        </w:rPr>
      </w:pPr>
      <w:r>
        <w:rPr>
          <w:rFonts w:hint="eastAsia" w:eastAsia="宋体"/>
          <w:caps w:val="0"/>
          <w:smallCaps w:val="0"/>
          <w:color w:val="auto"/>
          <w:spacing w:val="0"/>
          <w:highlight w:val="none"/>
        </w:rPr>
        <w:t>6.2.7.7</w:t>
      </w:r>
      <w:r>
        <w:rPr>
          <w:rFonts w:eastAsia="宋体"/>
          <w:caps w:val="0"/>
          <w:smallCaps w:val="0"/>
          <w:color w:val="auto"/>
          <w:spacing w:val="0"/>
          <w:highlight w:val="none"/>
        </w:rPr>
        <w:t>事故应急措施</w:t>
      </w:r>
    </w:p>
    <w:p w14:paraId="53803914">
      <w:pPr>
        <w:spacing w:line="360" w:lineRule="auto"/>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根据《突发环境事件应急管理办法》（环保部令第34号）要求，通过对污染事故的风险评价，各有关企业应制定重大的环境污染事故发生的工作计划，消除事故隐患的实施及突发性事故的应急办法等。并根据《国家突发环境事件应急预案》要求，按照突发事件严重性和紧急程度，及时上报各级管理部门，并在第一时间通过广播、电视、报刊、通信、信息网络、警报器、宣传车或组织人员逐户通知等方式进行预警公告，向公众讲清楚突发事件的类别、预警级别、起始时间、可能影响范围、警示事项、应采取的措施和发布机关等。</w:t>
      </w:r>
    </w:p>
    <w:p w14:paraId="5F5D771C">
      <w:pPr>
        <w:spacing w:line="520" w:lineRule="exact"/>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工程应在投入生产前，完成突发环境事件应急预案的编制、备案工作。运营期每年进行不少于两次事故应急演练，并和周边企业、居民保持长期友好的联系，向事故状态下有可能受影响的敏感区企业、居民告知事故危害性、传授自我防范的基本方法；预案应与上级预案相衔接，形成区域联动机制，如发生突发环境事件，可以快速、有效的控制事故态势，减轻对周边环境的影响。</w:t>
      </w:r>
    </w:p>
    <w:p w14:paraId="5EF1488C">
      <w:pPr>
        <w:spacing w:line="520" w:lineRule="exact"/>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highlight w:val="none"/>
        </w:rPr>
        <w:t>应急预案应包含的主要内容见下表</w:t>
      </w:r>
      <w:r>
        <w:rPr>
          <w:rFonts w:ascii="Times New Roman" w:hAnsi="Times New Roman" w:eastAsia="宋体" w:cs="Times New Roman"/>
          <w:caps w:val="0"/>
          <w:smallCaps w:val="0"/>
          <w:color w:val="auto"/>
          <w:spacing w:val="0"/>
          <w:szCs w:val="28"/>
          <w:highlight w:val="none"/>
        </w:rPr>
        <w:t>。</w:t>
      </w:r>
    </w:p>
    <w:p w14:paraId="2C388E13">
      <w:pPr>
        <w:spacing w:line="520" w:lineRule="exact"/>
        <w:jc w:val="center"/>
        <w:rPr>
          <w:rFonts w:ascii="Times New Roman" w:hAnsi="Times New Roman" w:eastAsia="宋体" w:cs="Times New Roman"/>
          <w:b/>
          <w:bCs/>
          <w:caps w:val="0"/>
          <w:smallCaps w:val="0"/>
          <w:color w:val="auto"/>
          <w:spacing w:val="0"/>
          <w:highlight w:val="none"/>
        </w:rPr>
      </w:pPr>
      <w:r>
        <w:rPr>
          <w:rFonts w:hint="eastAsia" w:ascii="Times New Roman" w:hAnsi="Times New Roman" w:eastAsia="宋体" w:cs="Times New Roman"/>
          <w:b/>
          <w:bCs/>
          <w:caps w:val="0"/>
          <w:smallCaps w:val="0"/>
          <w:color w:val="auto"/>
          <w:spacing w:val="0"/>
          <w:highlight w:val="none"/>
        </w:rPr>
        <w:t>表6.2-</w:t>
      </w:r>
      <w:r>
        <w:rPr>
          <w:rFonts w:hint="eastAsia" w:ascii="Times New Roman" w:hAnsi="Times New Roman" w:eastAsia="宋体" w:cs="Times New Roman"/>
          <w:b/>
          <w:bCs/>
          <w:caps w:val="0"/>
          <w:smallCaps w:val="0"/>
          <w:color w:val="auto"/>
          <w:spacing w:val="0"/>
          <w:highlight w:val="none"/>
          <w:lang w:val="en-US" w:eastAsia="zh-CN"/>
        </w:rPr>
        <w:t>10</w:t>
      </w:r>
      <w:r>
        <w:rPr>
          <w:rFonts w:ascii="Times New Roman" w:hAnsi="Times New Roman" w:eastAsia="宋体" w:cs="Times New Roman"/>
          <w:b/>
          <w:bCs/>
          <w:caps w:val="0"/>
          <w:smallCaps w:val="0"/>
          <w:color w:val="auto"/>
          <w:spacing w:val="0"/>
          <w:highlight w:val="none"/>
        </w:rPr>
        <w:t>突发事故应急预案</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1"/>
        <w:gridCol w:w="1853"/>
        <w:gridCol w:w="6486"/>
      </w:tblGrid>
      <w:tr w14:paraId="7740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20" w:type="dxa"/>
            <w:vAlign w:val="center"/>
          </w:tcPr>
          <w:p w14:paraId="3965F145">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序号</w:t>
            </w:r>
          </w:p>
        </w:tc>
        <w:tc>
          <w:tcPr>
            <w:tcW w:w="1800" w:type="dxa"/>
            <w:vAlign w:val="center"/>
          </w:tcPr>
          <w:p w14:paraId="02227059">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项    目</w:t>
            </w:r>
          </w:p>
        </w:tc>
        <w:tc>
          <w:tcPr>
            <w:tcW w:w="6300" w:type="dxa"/>
            <w:vAlign w:val="center"/>
          </w:tcPr>
          <w:p w14:paraId="6809F090">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内容及要求</w:t>
            </w:r>
          </w:p>
        </w:tc>
      </w:tr>
      <w:tr w14:paraId="6957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362E98E3">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w:t>
            </w:r>
          </w:p>
        </w:tc>
        <w:tc>
          <w:tcPr>
            <w:tcW w:w="1800" w:type="dxa"/>
            <w:vAlign w:val="center"/>
          </w:tcPr>
          <w:p w14:paraId="6E7AF55B">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总  则</w:t>
            </w:r>
          </w:p>
        </w:tc>
        <w:tc>
          <w:tcPr>
            <w:tcW w:w="6300" w:type="dxa"/>
            <w:vAlign w:val="center"/>
          </w:tcPr>
          <w:p w14:paraId="763DAB8F">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简述生产过程中涉及物料性质及可能产生的突发事故</w:t>
            </w:r>
          </w:p>
        </w:tc>
      </w:tr>
      <w:tr w14:paraId="0BDA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12A15216">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2</w:t>
            </w:r>
          </w:p>
        </w:tc>
        <w:tc>
          <w:tcPr>
            <w:tcW w:w="1800" w:type="dxa"/>
            <w:vAlign w:val="center"/>
          </w:tcPr>
          <w:p w14:paraId="4B90E188">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危险源概况</w:t>
            </w:r>
          </w:p>
        </w:tc>
        <w:tc>
          <w:tcPr>
            <w:tcW w:w="6300" w:type="dxa"/>
            <w:vAlign w:val="center"/>
          </w:tcPr>
          <w:p w14:paraId="1CB3A626">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评述危险源类型、数量及其分布</w:t>
            </w:r>
          </w:p>
        </w:tc>
      </w:tr>
      <w:tr w14:paraId="2F2B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2F9F1C62">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3</w:t>
            </w:r>
          </w:p>
        </w:tc>
        <w:tc>
          <w:tcPr>
            <w:tcW w:w="1800" w:type="dxa"/>
            <w:vAlign w:val="center"/>
          </w:tcPr>
          <w:p w14:paraId="0F5D4AD6">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应急计划区</w:t>
            </w:r>
          </w:p>
        </w:tc>
        <w:tc>
          <w:tcPr>
            <w:tcW w:w="6300" w:type="dxa"/>
            <w:vAlign w:val="center"/>
          </w:tcPr>
          <w:p w14:paraId="2DBA0B37">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生产区、贮酸区、邻区</w:t>
            </w:r>
          </w:p>
        </w:tc>
      </w:tr>
      <w:tr w14:paraId="07D1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67505C04">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4</w:t>
            </w:r>
          </w:p>
        </w:tc>
        <w:tc>
          <w:tcPr>
            <w:tcW w:w="1800" w:type="dxa"/>
            <w:vAlign w:val="center"/>
          </w:tcPr>
          <w:p w14:paraId="4F24BAD8">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应急组织</w:t>
            </w:r>
          </w:p>
        </w:tc>
        <w:tc>
          <w:tcPr>
            <w:tcW w:w="6300" w:type="dxa"/>
            <w:vAlign w:val="center"/>
          </w:tcPr>
          <w:p w14:paraId="4723AA93">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工厂：厂指挥部 —— 负责全厂全面指挥</w:t>
            </w:r>
          </w:p>
          <w:p w14:paraId="788A8A4B">
            <w:pPr>
              <w:snapToGrid w:val="0"/>
              <w:spacing w:line="320" w:lineRule="exact"/>
              <w:ind w:firstLine="540" w:firstLineChars="300"/>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专业救援队伍 —— 负责事故控制、救援善后处理</w:t>
            </w:r>
          </w:p>
          <w:p w14:paraId="5CFC4988">
            <w:pPr>
              <w:snapToGrid w:val="0"/>
              <w:spacing w:line="320" w:lineRule="exact"/>
              <w:ind w:left="540" w:hanging="540" w:hangingChars="300"/>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地区：地区指挥部 —— 负责工厂附近地区、全面指挥、救援、疏散</w:t>
            </w:r>
          </w:p>
          <w:p w14:paraId="04929E76">
            <w:pPr>
              <w:snapToGrid w:val="0"/>
              <w:spacing w:line="320" w:lineRule="exact"/>
              <w:ind w:left="720" w:leftChars="300"/>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专业救援队伍 —— 负责对厂专业救援支援</w:t>
            </w:r>
          </w:p>
        </w:tc>
      </w:tr>
      <w:tr w14:paraId="687B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2311E9D9">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5</w:t>
            </w:r>
          </w:p>
        </w:tc>
        <w:tc>
          <w:tcPr>
            <w:tcW w:w="1800" w:type="dxa"/>
            <w:vAlign w:val="center"/>
          </w:tcPr>
          <w:p w14:paraId="47FC1035">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应急状态分类及应急响应程序</w:t>
            </w:r>
          </w:p>
        </w:tc>
        <w:tc>
          <w:tcPr>
            <w:tcW w:w="6300" w:type="dxa"/>
            <w:vAlign w:val="center"/>
          </w:tcPr>
          <w:p w14:paraId="722229F5">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规定事故的级别及相应的应急分类响应程序</w:t>
            </w:r>
          </w:p>
        </w:tc>
      </w:tr>
      <w:tr w14:paraId="13FA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6CB47467">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6</w:t>
            </w:r>
          </w:p>
        </w:tc>
        <w:tc>
          <w:tcPr>
            <w:tcW w:w="1800" w:type="dxa"/>
            <w:vAlign w:val="center"/>
          </w:tcPr>
          <w:p w14:paraId="73281DAB">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应急设施、设备</w:t>
            </w:r>
          </w:p>
          <w:p w14:paraId="1A280D48">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与材料</w:t>
            </w:r>
          </w:p>
        </w:tc>
        <w:tc>
          <w:tcPr>
            <w:tcW w:w="6300" w:type="dxa"/>
            <w:vAlign w:val="center"/>
          </w:tcPr>
          <w:p w14:paraId="4365C320">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生产装置：</w:t>
            </w:r>
          </w:p>
          <w:p w14:paraId="0274E403">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⑴防火灾、爆炸事故</w:t>
            </w:r>
            <w:r>
              <w:rPr>
                <w:rFonts w:hint="eastAsia" w:ascii="Times New Roman" w:hAnsi="Times New Roman" w:eastAsia="宋体" w:cs="Times New Roman"/>
                <w:caps w:val="0"/>
                <w:smallCaps w:val="0"/>
                <w:color w:val="auto"/>
                <w:spacing w:val="0"/>
                <w:sz w:val="18"/>
                <w:szCs w:val="18"/>
                <w:highlight w:val="none"/>
              </w:rPr>
              <w:t>应急</w:t>
            </w:r>
            <w:r>
              <w:rPr>
                <w:rFonts w:ascii="Times New Roman" w:hAnsi="Times New Roman" w:eastAsia="宋体" w:cs="Times New Roman"/>
                <w:caps w:val="0"/>
                <w:smallCaps w:val="0"/>
                <w:color w:val="auto"/>
                <w:spacing w:val="0"/>
                <w:sz w:val="18"/>
                <w:szCs w:val="18"/>
                <w:highlight w:val="none"/>
              </w:rPr>
              <w:t>设施、设备与材料，主要为消防器材</w:t>
            </w:r>
          </w:p>
          <w:p w14:paraId="4B43BD21">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⑵防止原辅材料外溢、扩散</w:t>
            </w:r>
          </w:p>
          <w:p w14:paraId="6A22C08C">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贮存区：</w:t>
            </w:r>
          </w:p>
          <w:p w14:paraId="74377817">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⑴防火灾爆炸事故应急设施</w:t>
            </w:r>
          </w:p>
          <w:p w14:paraId="23850FEF">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⑵防止原辅材料外溢、扩散</w:t>
            </w:r>
          </w:p>
        </w:tc>
      </w:tr>
      <w:tr w14:paraId="6B4A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34FE5100">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7</w:t>
            </w:r>
          </w:p>
        </w:tc>
        <w:tc>
          <w:tcPr>
            <w:tcW w:w="1800" w:type="dxa"/>
            <w:vAlign w:val="center"/>
          </w:tcPr>
          <w:p w14:paraId="3987B0E5">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应急通讯、通知</w:t>
            </w:r>
          </w:p>
          <w:p w14:paraId="7E67C217">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和交通</w:t>
            </w:r>
          </w:p>
        </w:tc>
        <w:tc>
          <w:tcPr>
            <w:tcW w:w="6300" w:type="dxa"/>
            <w:vAlign w:val="center"/>
          </w:tcPr>
          <w:p w14:paraId="5376E546">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规定应急状态下的通讯方式、通知方式和交通保障、管制</w:t>
            </w:r>
          </w:p>
        </w:tc>
      </w:tr>
      <w:tr w14:paraId="7306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12C34E7A">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8</w:t>
            </w:r>
          </w:p>
        </w:tc>
        <w:tc>
          <w:tcPr>
            <w:tcW w:w="1800" w:type="dxa"/>
            <w:vAlign w:val="center"/>
          </w:tcPr>
          <w:p w14:paraId="2FC23FA4">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应急环境监测及事故后评价</w:t>
            </w:r>
          </w:p>
        </w:tc>
        <w:tc>
          <w:tcPr>
            <w:tcW w:w="6300" w:type="dxa"/>
            <w:vAlign w:val="center"/>
          </w:tcPr>
          <w:p w14:paraId="7A980649">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由专业队伍对事故现场进行侦察监测，对事故性质、参数与后果进行评估，为指挥部门提供决策依据</w:t>
            </w:r>
          </w:p>
        </w:tc>
      </w:tr>
      <w:tr w14:paraId="688F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4693E484">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9</w:t>
            </w:r>
          </w:p>
        </w:tc>
        <w:tc>
          <w:tcPr>
            <w:tcW w:w="1800" w:type="dxa"/>
            <w:vAlign w:val="center"/>
          </w:tcPr>
          <w:p w14:paraId="4634A42D">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应急防护措施、消除泄漏措施方法和器材</w:t>
            </w:r>
          </w:p>
        </w:tc>
        <w:tc>
          <w:tcPr>
            <w:tcW w:w="6300" w:type="dxa"/>
            <w:vAlign w:val="center"/>
          </w:tcPr>
          <w:p w14:paraId="6A1A9E32">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事故现场：控制事故、防止扩大、</w:t>
            </w:r>
            <w:r>
              <w:rPr>
                <w:rFonts w:hint="eastAsia" w:ascii="Times New Roman" w:hAnsi="Times New Roman" w:eastAsia="宋体" w:cs="Times New Roman"/>
                <w:caps w:val="0"/>
                <w:smallCaps w:val="0"/>
                <w:color w:val="auto"/>
                <w:spacing w:val="0"/>
                <w:sz w:val="18"/>
                <w:szCs w:val="18"/>
                <w:highlight w:val="none"/>
              </w:rPr>
              <w:t>蔓延</w:t>
            </w:r>
            <w:r>
              <w:rPr>
                <w:rFonts w:ascii="Times New Roman" w:hAnsi="Times New Roman" w:eastAsia="宋体" w:cs="Times New Roman"/>
                <w:caps w:val="0"/>
                <w:smallCaps w:val="0"/>
                <w:color w:val="auto"/>
                <w:spacing w:val="0"/>
                <w:sz w:val="18"/>
                <w:szCs w:val="18"/>
                <w:highlight w:val="none"/>
              </w:rPr>
              <w:t>及</w:t>
            </w:r>
            <w:r>
              <w:rPr>
                <w:rFonts w:hint="eastAsia" w:ascii="Times New Roman" w:hAnsi="Times New Roman" w:eastAsia="宋体" w:cs="Times New Roman"/>
                <w:caps w:val="0"/>
                <w:smallCaps w:val="0"/>
                <w:color w:val="auto"/>
                <w:spacing w:val="0"/>
                <w:sz w:val="18"/>
                <w:szCs w:val="18"/>
                <w:highlight w:val="none"/>
              </w:rPr>
              <w:t>连锁</w:t>
            </w:r>
            <w:r>
              <w:rPr>
                <w:rFonts w:ascii="Times New Roman" w:hAnsi="Times New Roman" w:eastAsia="宋体" w:cs="Times New Roman"/>
                <w:caps w:val="0"/>
                <w:smallCaps w:val="0"/>
                <w:color w:val="auto"/>
                <w:spacing w:val="0"/>
                <w:sz w:val="18"/>
                <w:szCs w:val="18"/>
                <w:highlight w:val="none"/>
              </w:rPr>
              <w:t>反应、消除现场泄漏物、降低危害；相应的设施器材配备</w:t>
            </w:r>
          </w:p>
          <w:p w14:paraId="61E49DA6">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邻近区域：控制火区域，控制和消除污染措施及相应设备配备</w:t>
            </w:r>
          </w:p>
        </w:tc>
      </w:tr>
      <w:tr w14:paraId="543D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00000FDA">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10</w:t>
            </w:r>
          </w:p>
        </w:tc>
        <w:tc>
          <w:tcPr>
            <w:tcW w:w="1800" w:type="dxa"/>
            <w:vAlign w:val="center"/>
          </w:tcPr>
          <w:p w14:paraId="544BC595">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应急剂量控制、撤离组织计划、医疗救护与公众健康</w:t>
            </w:r>
          </w:p>
        </w:tc>
        <w:tc>
          <w:tcPr>
            <w:tcW w:w="6300" w:type="dxa"/>
            <w:vAlign w:val="center"/>
          </w:tcPr>
          <w:p w14:paraId="07FA6668">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事故现场：事故处理人员对毒物的应急剂量控制规定，现场及邻近装置人员撤离组织计划及救护</w:t>
            </w:r>
          </w:p>
          <w:p w14:paraId="06CBD45B">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工厂邻近</w:t>
            </w:r>
            <w:r>
              <w:rPr>
                <w:rFonts w:hint="eastAsia" w:ascii="Times New Roman" w:hAnsi="Times New Roman" w:eastAsia="宋体" w:cs="Times New Roman"/>
                <w:caps w:val="0"/>
                <w:smallCaps w:val="0"/>
                <w:color w:val="auto"/>
                <w:spacing w:val="0"/>
                <w:sz w:val="18"/>
                <w:szCs w:val="18"/>
                <w:highlight w:val="none"/>
              </w:rPr>
              <w:t>区域</w:t>
            </w:r>
            <w:r>
              <w:rPr>
                <w:rFonts w:ascii="Times New Roman" w:hAnsi="Times New Roman" w:eastAsia="宋体" w:cs="Times New Roman"/>
                <w:caps w:val="0"/>
                <w:smallCaps w:val="0"/>
                <w:color w:val="auto"/>
                <w:spacing w:val="0"/>
                <w:sz w:val="18"/>
                <w:szCs w:val="18"/>
                <w:highlight w:val="none"/>
              </w:rPr>
              <w:t>：受事故影响的邻近区域人员及公众对毒物应急剂量控制规定，撤离组织计划及救护</w:t>
            </w:r>
          </w:p>
        </w:tc>
      </w:tr>
      <w:tr w14:paraId="0DBE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0DF8C1D6">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11</w:t>
            </w:r>
          </w:p>
        </w:tc>
        <w:tc>
          <w:tcPr>
            <w:tcW w:w="1800" w:type="dxa"/>
            <w:vAlign w:val="center"/>
          </w:tcPr>
          <w:p w14:paraId="13FE7EBC">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应急状态终止与恢复措施</w:t>
            </w:r>
          </w:p>
        </w:tc>
        <w:tc>
          <w:tcPr>
            <w:tcW w:w="6300" w:type="dxa"/>
            <w:vAlign w:val="center"/>
          </w:tcPr>
          <w:p w14:paraId="259021E8">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规定应急状态终止程序：事故善后处理，恢复措施邻近区域解除事故警戒及善后恢复措施</w:t>
            </w:r>
          </w:p>
        </w:tc>
      </w:tr>
      <w:tr w14:paraId="7EE0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2ED0B678">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12</w:t>
            </w:r>
          </w:p>
        </w:tc>
        <w:tc>
          <w:tcPr>
            <w:tcW w:w="1800" w:type="dxa"/>
            <w:vAlign w:val="center"/>
          </w:tcPr>
          <w:p w14:paraId="64769841">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人员培训与演练</w:t>
            </w:r>
          </w:p>
        </w:tc>
        <w:tc>
          <w:tcPr>
            <w:tcW w:w="6300" w:type="dxa"/>
            <w:vAlign w:val="center"/>
          </w:tcPr>
          <w:p w14:paraId="0860E692">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应急计划制定后，平时安排人员培训及演练</w:t>
            </w:r>
          </w:p>
        </w:tc>
      </w:tr>
      <w:tr w14:paraId="62B3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4816D249">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13</w:t>
            </w:r>
          </w:p>
        </w:tc>
        <w:tc>
          <w:tcPr>
            <w:tcW w:w="1800" w:type="dxa"/>
            <w:vAlign w:val="center"/>
          </w:tcPr>
          <w:p w14:paraId="467FD030">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公众教育和信息</w:t>
            </w:r>
          </w:p>
        </w:tc>
        <w:tc>
          <w:tcPr>
            <w:tcW w:w="6300" w:type="dxa"/>
            <w:vAlign w:val="center"/>
          </w:tcPr>
          <w:p w14:paraId="1355CE2C">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对工厂邻近地区开展公众教育、培训与发布相关信息</w:t>
            </w:r>
          </w:p>
        </w:tc>
      </w:tr>
      <w:tr w14:paraId="48A6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5B20A355">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14</w:t>
            </w:r>
          </w:p>
        </w:tc>
        <w:tc>
          <w:tcPr>
            <w:tcW w:w="1800" w:type="dxa"/>
            <w:vAlign w:val="center"/>
          </w:tcPr>
          <w:p w14:paraId="343F3520">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记录和报告</w:t>
            </w:r>
          </w:p>
        </w:tc>
        <w:tc>
          <w:tcPr>
            <w:tcW w:w="6300" w:type="dxa"/>
            <w:vAlign w:val="center"/>
          </w:tcPr>
          <w:p w14:paraId="0744A5EE">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设置应急事故专门记录，建立</w:t>
            </w:r>
            <w:r>
              <w:rPr>
                <w:rFonts w:hint="eastAsia" w:ascii="Times New Roman" w:hAnsi="Times New Roman" w:eastAsia="宋体" w:cs="Times New Roman"/>
                <w:caps w:val="0"/>
                <w:smallCaps w:val="0"/>
                <w:color w:val="auto"/>
                <w:spacing w:val="0"/>
                <w:sz w:val="18"/>
                <w:szCs w:val="18"/>
                <w:highlight w:val="none"/>
              </w:rPr>
              <w:t>档案</w:t>
            </w:r>
            <w:r>
              <w:rPr>
                <w:rFonts w:ascii="Times New Roman" w:hAnsi="Times New Roman" w:eastAsia="宋体" w:cs="Times New Roman"/>
                <w:caps w:val="0"/>
                <w:smallCaps w:val="0"/>
                <w:color w:val="auto"/>
                <w:spacing w:val="0"/>
                <w:sz w:val="18"/>
                <w:szCs w:val="18"/>
                <w:highlight w:val="none"/>
              </w:rPr>
              <w:t>专门报告制度，设专门部门和负责管理</w:t>
            </w:r>
          </w:p>
        </w:tc>
      </w:tr>
      <w:tr w14:paraId="409B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20" w:type="dxa"/>
            <w:vAlign w:val="center"/>
          </w:tcPr>
          <w:p w14:paraId="7BE0706A">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15</w:t>
            </w:r>
          </w:p>
        </w:tc>
        <w:tc>
          <w:tcPr>
            <w:tcW w:w="1800" w:type="dxa"/>
            <w:vAlign w:val="center"/>
          </w:tcPr>
          <w:p w14:paraId="67175D6D">
            <w:pPr>
              <w:snapToGrid w:val="0"/>
              <w:spacing w:line="320" w:lineRule="exact"/>
              <w:jc w:val="center"/>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附件</w:t>
            </w:r>
          </w:p>
        </w:tc>
        <w:tc>
          <w:tcPr>
            <w:tcW w:w="6300" w:type="dxa"/>
            <w:vAlign w:val="center"/>
          </w:tcPr>
          <w:p w14:paraId="45FE7D3A">
            <w:pPr>
              <w:snapToGrid w:val="0"/>
              <w:spacing w:line="320" w:lineRule="exact"/>
              <w:rPr>
                <w:rFonts w:ascii="Times New Roman" w:hAnsi="Times New Roman" w:eastAsia="宋体" w:cs="Times New Roman"/>
                <w:caps w:val="0"/>
                <w:smallCaps w:val="0"/>
                <w:color w:val="auto"/>
                <w:spacing w:val="0"/>
                <w:sz w:val="18"/>
                <w:szCs w:val="18"/>
                <w:highlight w:val="none"/>
              </w:rPr>
            </w:pPr>
            <w:r>
              <w:rPr>
                <w:rFonts w:ascii="Times New Roman" w:hAnsi="Times New Roman" w:eastAsia="宋体" w:cs="Times New Roman"/>
                <w:caps w:val="0"/>
                <w:smallCaps w:val="0"/>
                <w:color w:val="auto"/>
                <w:spacing w:val="0"/>
                <w:sz w:val="18"/>
                <w:szCs w:val="18"/>
                <w:highlight w:val="none"/>
              </w:rPr>
              <w:t>与应急事故有关的多种附件材料的准备和形成</w:t>
            </w:r>
          </w:p>
        </w:tc>
      </w:tr>
    </w:tbl>
    <w:p w14:paraId="3A9CE754">
      <w:pPr>
        <w:pStyle w:val="6"/>
        <w:rPr>
          <w:rFonts w:eastAsia="宋体"/>
          <w:caps w:val="0"/>
          <w:smallCaps w:val="0"/>
          <w:color w:val="auto"/>
          <w:spacing w:val="0"/>
          <w:highlight w:val="none"/>
        </w:rPr>
      </w:pPr>
      <w:r>
        <w:rPr>
          <w:rFonts w:hint="eastAsia" w:eastAsia="宋体"/>
          <w:caps w:val="0"/>
          <w:smallCaps w:val="0"/>
          <w:color w:val="auto"/>
          <w:spacing w:val="0"/>
          <w:highlight w:val="none"/>
        </w:rPr>
        <w:t>6.2.7.8</w:t>
      </w:r>
      <w:r>
        <w:rPr>
          <w:rFonts w:eastAsia="宋体"/>
          <w:caps w:val="0"/>
          <w:smallCaps w:val="0"/>
          <w:color w:val="auto"/>
          <w:spacing w:val="0"/>
          <w:highlight w:val="none"/>
        </w:rPr>
        <w:t>应急监测</w:t>
      </w:r>
    </w:p>
    <w:p w14:paraId="0BE14FB3">
      <w:pPr>
        <w:spacing w:line="360" w:lineRule="auto"/>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在突发性污染事故时，应立即进行应急监测，以确定污染范围和污染程度，为各级管理部门实施应急措施提供依据，是保护敏感目标保障公共生命财产安全的一项重要措施。由于突发事故的不确定性，故应对监测设备定期检修，使其始终处于良好状况，及监测分析药品的贮备。突发性污染事故应急监测应按《突发环境事件应急监测技术规范》（HJ589-2010）相关要求进行。</w:t>
      </w:r>
    </w:p>
    <w:p w14:paraId="69817E07">
      <w:pPr>
        <w:spacing w:line="360" w:lineRule="auto"/>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本工程风险事故发生后，主要环境风险是对环境空气、地表水、地下水的影响，应急监测布点一般原则性方案见下表。</w:t>
      </w:r>
    </w:p>
    <w:p w14:paraId="078DD3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b/>
          <w:bCs/>
          <w:caps w:val="0"/>
          <w:smallCaps w:val="0"/>
          <w:color w:val="auto"/>
          <w:spacing w:val="0"/>
          <w:highlight w:val="none"/>
        </w:rPr>
      </w:pPr>
      <w:r>
        <w:rPr>
          <w:rFonts w:hint="eastAsia" w:ascii="Times New Roman" w:hAnsi="Times New Roman" w:eastAsia="宋体" w:cs="Times New Roman"/>
          <w:b/>
          <w:bCs/>
          <w:caps w:val="0"/>
          <w:smallCaps w:val="0"/>
          <w:color w:val="auto"/>
          <w:spacing w:val="0"/>
          <w:highlight w:val="none"/>
        </w:rPr>
        <w:t>表6.2-</w:t>
      </w:r>
      <w:r>
        <w:rPr>
          <w:rFonts w:hint="eastAsia" w:ascii="Times New Roman" w:hAnsi="Times New Roman" w:eastAsia="宋体" w:cs="Times New Roman"/>
          <w:b/>
          <w:bCs/>
          <w:caps w:val="0"/>
          <w:smallCaps w:val="0"/>
          <w:color w:val="auto"/>
          <w:spacing w:val="0"/>
          <w:highlight w:val="none"/>
          <w:lang w:val="en-US" w:eastAsia="zh-CN"/>
        </w:rPr>
        <w:t>11</w:t>
      </w:r>
      <w:r>
        <w:rPr>
          <w:rFonts w:ascii="Times New Roman" w:hAnsi="Times New Roman" w:eastAsia="宋体" w:cs="Times New Roman"/>
          <w:b/>
          <w:bCs/>
          <w:caps w:val="0"/>
          <w:smallCaps w:val="0"/>
          <w:color w:val="auto"/>
          <w:spacing w:val="0"/>
          <w:highlight w:val="none"/>
        </w:rPr>
        <w:t>应急监测布点原则</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920"/>
        <w:gridCol w:w="2629"/>
        <w:gridCol w:w="4817"/>
      </w:tblGrid>
      <w:tr w14:paraId="12178F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1" w:type="dxa"/>
            <w:tcBorders>
              <w:tl2br w:val="nil"/>
              <w:tr2bl w:val="nil"/>
            </w:tcBorders>
            <w:vAlign w:val="center"/>
          </w:tcPr>
          <w:p w14:paraId="0EA840B7">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类别</w:t>
            </w:r>
          </w:p>
        </w:tc>
        <w:tc>
          <w:tcPr>
            <w:tcW w:w="871" w:type="dxa"/>
            <w:tcBorders>
              <w:tl2br w:val="nil"/>
              <w:tr2bl w:val="nil"/>
            </w:tcBorders>
            <w:vAlign w:val="center"/>
          </w:tcPr>
          <w:p w14:paraId="29F937FD">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项目</w:t>
            </w:r>
          </w:p>
        </w:tc>
        <w:tc>
          <w:tcPr>
            <w:tcW w:w="2489" w:type="dxa"/>
            <w:tcBorders>
              <w:tl2br w:val="nil"/>
              <w:tr2bl w:val="nil"/>
            </w:tcBorders>
            <w:vAlign w:val="center"/>
          </w:tcPr>
          <w:p w14:paraId="187D55DE">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监测因子</w:t>
            </w:r>
          </w:p>
        </w:tc>
        <w:tc>
          <w:tcPr>
            <w:tcW w:w="4559" w:type="dxa"/>
            <w:tcBorders>
              <w:tl2br w:val="nil"/>
              <w:tr2bl w:val="nil"/>
            </w:tcBorders>
            <w:vAlign w:val="center"/>
          </w:tcPr>
          <w:p w14:paraId="4E915D6C">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监测布点</w:t>
            </w:r>
          </w:p>
        </w:tc>
      </w:tr>
      <w:tr w14:paraId="679E72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1" w:type="dxa"/>
            <w:vMerge w:val="restart"/>
            <w:tcBorders>
              <w:tl2br w:val="nil"/>
              <w:tr2bl w:val="nil"/>
            </w:tcBorders>
            <w:vAlign w:val="center"/>
          </w:tcPr>
          <w:p w14:paraId="2AB430DF">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环境风险事故</w:t>
            </w:r>
          </w:p>
        </w:tc>
        <w:tc>
          <w:tcPr>
            <w:tcW w:w="871" w:type="dxa"/>
            <w:tcBorders>
              <w:tl2br w:val="nil"/>
              <w:tr2bl w:val="nil"/>
            </w:tcBorders>
            <w:vAlign w:val="center"/>
          </w:tcPr>
          <w:p w14:paraId="1CE43FD9">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环境</w:t>
            </w:r>
          </w:p>
          <w:p w14:paraId="0FFE6763">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空气</w:t>
            </w:r>
          </w:p>
        </w:tc>
        <w:tc>
          <w:tcPr>
            <w:tcW w:w="2489" w:type="dxa"/>
            <w:tcBorders>
              <w:tl2br w:val="nil"/>
              <w:tr2bl w:val="nil"/>
            </w:tcBorders>
            <w:vAlign w:val="center"/>
          </w:tcPr>
          <w:p w14:paraId="0D5E1B1F">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HCl、NO</w:t>
            </w:r>
            <w:r>
              <w:rPr>
                <w:rFonts w:ascii="Times New Roman" w:hAnsi="Times New Roman" w:eastAsia="宋体" w:cs="Times New Roman"/>
                <w:caps w:val="0"/>
                <w:smallCaps w:val="0"/>
                <w:color w:val="auto"/>
                <w:spacing w:val="0"/>
                <w:sz w:val="21"/>
                <w:highlight w:val="none"/>
                <w:vertAlign w:val="subscript"/>
              </w:rPr>
              <w:t>2</w:t>
            </w:r>
            <w:r>
              <w:rPr>
                <w:rFonts w:ascii="Times New Roman" w:hAnsi="Times New Roman" w:eastAsia="宋体" w:cs="Times New Roman"/>
                <w:caps w:val="0"/>
                <w:smallCaps w:val="0"/>
                <w:color w:val="auto"/>
                <w:spacing w:val="0"/>
                <w:sz w:val="21"/>
                <w:highlight w:val="none"/>
              </w:rPr>
              <w:t>、Cd</w:t>
            </w:r>
          </w:p>
        </w:tc>
        <w:tc>
          <w:tcPr>
            <w:tcW w:w="4559" w:type="dxa"/>
            <w:tcBorders>
              <w:tl2br w:val="nil"/>
              <w:tr2bl w:val="nil"/>
            </w:tcBorders>
            <w:vAlign w:val="center"/>
          </w:tcPr>
          <w:p w14:paraId="48C8ADC2">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泄漏区、厂界、下风向500m、1000m、3000m处；重点敏感点</w:t>
            </w:r>
          </w:p>
        </w:tc>
      </w:tr>
      <w:tr w14:paraId="7954ED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1" w:type="dxa"/>
            <w:vMerge w:val="continue"/>
            <w:tcBorders>
              <w:tl2br w:val="nil"/>
              <w:tr2bl w:val="nil"/>
            </w:tcBorders>
            <w:vAlign w:val="center"/>
          </w:tcPr>
          <w:p w14:paraId="61752F11">
            <w:pPr>
              <w:adjustRightInd w:val="0"/>
              <w:snapToGrid w:val="0"/>
              <w:jc w:val="center"/>
              <w:rPr>
                <w:rFonts w:ascii="Times New Roman" w:hAnsi="Times New Roman" w:eastAsia="宋体" w:cs="Times New Roman"/>
                <w:caps w:val="0"/>
                <w:smallCaps w:val="0"/>
                <w:color w:val="auto"/>
                <w:spacing w:val="0"/>
                <w:sz w:val="21"/>
                <w:highlight w:val="none"/>
              </w:rPr>
            </w:pPr>
          </w:p>
        </w:tc>
        <w:tc>
          <w:tcPr>
            <w:tcW w:w="871" w:type="dxa"/>
            <w:tcBorders>
              <w:tl2br w:val="nil"/>
              <w:tr2bl w:val="nil"/>
            </w:tcBorders>
            <w:vAlign w:val="center"/>
          </w:tcPr>
          <w:p w14:paraId="0F2F4B13">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地表水</w:t>
            </w:r>
          </w:p>
        </w:tc>
        <w:tc>
          <w:tcPr>
            <w:tcW w:w="2489" w:type="dxa"/>
            <w:tcBorders>
              <w:tl2br w:val="nil"/>
              <w:tr2bl w:val="nil"/>
            </w:tcBorders>
            <w:vAlign w:val="center"/>
          </w:tcPr>
          <w:p w14:paraId="1C505933">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pH、氯化物、Cd</w:t>
            </w:r>
          </w:p>
        </w:tc>
        <w:tc>
          <w:tcPr>
            <w:tcW w:w="4559" w:type="dxa"/>
            <w:tcBorders>
              <w:tl2br w:val="nil"/>
              <w:tr2bl w:val="nil"/>
            </w:tcBorders>
            <w:vAlign w:val="center"/>
          </w:tcPr>
          <w:p w14:paraId="071134E3">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厂区废水、雨水排放口、长江</w:t>
            </w:r>
          </w:p>
        </w:tc>
      </w:tr>
      <w:tr w14:paraId="213ED0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1" w:type="dxa"/>
            <w:vMerge w:val="continue"/>
            <w:tcBorders>
              <w:tl2br w:val="nil"/>
              <w:tr2bl w:val="nil"/>
            </w:tcBorders>
            <w:vAlign w:val="center"/>
          </w:tcPr>
          <w:p w14:paraId="6E97FBE1">
            <w:pPr>
              <w:adjustRightInd w:val="0"/>
              <w:snapToGrid w:val="0"/>
              <w:jc w:val="center"/>
              <w:rPr>
                <w:rFonts w:ascii="Times New Roman" w:hAnsi="Times New Roman" w:eastAsia="宋体" w:cs="Times New Roman"/>
                <w:caps w:val="0"/>
                <w:smallCaps w:val="0"/>
                <w:color w:val="auto"/>
                <w:spacing w:val="0"/>
                <w:sz w:val="21"/>
                <w:highlight w:val="none"/>
              </w:rPr>
            </w:pPr>
          </w:p>
        </w:tc>
        <w:tc>
          <w:tcPr>
            <w:tcW w:w="871" w:type="dxa"/>
            <w:tcBorders>
              <w:tl2br w:val="nil"/>
              <w:tr2bl w:val="nil"/>
            </w:tcBorders>
            <w:vAlign w:val="center"/>
          </w:tcPr>
          <w:p w14:paraId="7174D962">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地下水</w:t>
            </w:r>
          </w:p>
        </w:tc>
        <w:tc>
          <w:tcPr>
            <w:tcW w:w="2489" w:type="dxa"/>
            <w:tcBorders>
              <w:tl2br w:val="nil"/>
              <w:tr2bl w:val="nil"/>
            </w:tcBorders>
            <w:vAlign w:val="center"/>
          </w:tcPr>
          <w:p w14:paraId="5A5C92DC">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pH、氯化物、Cd</w:t>
            </w:r>
          </w:p>
        </w:tc>
        <w:tc>
          <w:tcPr>
            <w:tcW w:w="4559" w:type="dxa"/>
            <w:tcBorders>
              <w:tl2br w:val="nil"/>
              <w:tr2bl w:val="nil"/>
            </w:tcBorders>
            <w:vAlign w:val="center"/>
          </w:tcPr>
          <w:p w14:paraId="2D1C519A">
            <w:pPr>
              <w:adjustRightInd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下游地下水取水井</w:t>
            </w:r>
          </w:p>
        </w:tc>
      </w:tr>
    </w:tbl>
    <w:p w14:paraId="3E680790">
      <w:pPr>
        <w:spacing w:line="360" w:lineRule="auto"/>
        <w:ind w:firstLine="57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由于突发性污染事故污染物排放源参数、气象条件等情况的不确定性，导致其污染范围和污染程度的变化较大。故应急监测布点应根据风向、大气稳定程度以及初步确定污染范围和污染程度，灵活布设。</w:t>
      </w:r>
    </w:p>
    <w:p w14:paraId="10A83911">
      <w:pPr>
        <w:spacing w:line="360" w:lineRule="auto"/>
        <w:ind w:firstLine="57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综上所述，总结如下：</w:t>
      </w:r>
    </w:p>
    <w:p w14:paraId="41CE6124">
      <w:pPr>
        <w:spacing w:line="360" w:lineRule="auto"/>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szCs w:val="28"/>
          <w:highlight w:val="none"/>
        </w:rPr>
        <w:t>本工程为新建项目，涉及的有毒有害危险化学品主要有钼、氯化镉、硝酸、盐酸、二甲苯等，其主要危险危害特性为具有毒性和火灾危险性等。</w:t>
      </w:r>
    </w:p>
    <w:p w14:paraId="28D3774A">
      <w:pPr>
        <w:spacing w:line="360" w:lineRule="auto"/>
        <w:ind w:firstLine="480" w:firstLineChars="20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highlight w:val="none"/>
        </w:rPr>
        <w:t>（2）</w:t>
      </w:r>
      <w:r>
        <w:rPr>
          <w:rFonts w:ascii="Times New Roman" w:hAnsi="Times New Roman" w:eastAsia="宋体" w:cs="Times New Roman"/>
          <w:caps w:val="0"/>
          <w:smallCaps w:val="0"/>
          <w:color w:val="auto"/>
          <w:spacing w:val="0"/>
          <w:szCs w:val="28"/>
          <w:highlight w:val="none"/>
        </w:rPr>
        <w:t>根据本工程涉及的物质和工艺系统的危险性确定的项目环境风险潜势划分情况，依据HJ169-2018，本次环境风险评价只需进行简单分析。</w:t>
      </w:r>
    </w:p>
    <w:p w14:paraId="0F1CA262">
      <w:pPr>
        <w:spacing w:line="360" w:lineRule="auto"/>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highlight w:val="none"/>
        </w:rPr>
        <w:t>（3）建设单位积极落实设计及环评提出的各项防范措施及应急措施，建设项目环境风险处于可防控水平，但企业仍应</w:t>
      </w:r>
      <w:r>
        <w:rPr>
          <w:rFonts w:ascii="Times New Roman" w:hAnsi="Times New Roman" w:eastAsia="宋体" w:cs="Times New Roman"/>
          <w:caps w:val="0"/>
          <w:smallCaps w:val="0"/>
          <w:color w:val="auto"/>
          <w:spacing w:val="0"/>
          <w:szCs w:val="28"/>
          <w:highlight w:val="none"/>
        </w:rPr>
        <w:t>加强车间操作人员及管理人员的安全培训，强化安全检查，不断提高安全意识和管理、操作技能，加强职工岗位操作、巡检责任心和事故应急处理的能力。</w:t>
      </w:r>
    </w:p>
    <w:p w14:paraId="7E481ADC">
      <w:pPr>
        <w:spacing w:line="360" w:lineRule="auto"/>
        <w:ind w:firstLine="570"/>
        <w:rPr>
          <w:rFonts w:ascii="Times New Roman" w:hAnsi="Times New Roman" w:eastAsia="宋体" w:cs="Times New Roman"/>
          <w:caps w:val="0"/>
          <w:smallCaps w:val="0"/>
          <w:color w:val="auto"/>
          <w:spacing w:val="0"/>
          <w:szCs w:val="28"/>
          <w:highlight w:val="none"/>
        </w:rPr>
      </w:pPr>
      <w:r>
        <w:rPr>
          <w:rFonts w:ascii="Times New Roman" w:hAnsi="Times New Roman" w:eastAsia="宋体" w:cs="Times New Roman"/>
          <w:caps w:val="0"/>
          <w:smallCaps w:val="0"/>
          <w:color w:val="auto"/>
          <w:spacing w:val="0"/>
          <w:szCs w:val="28"/>
          <w:highlight w:val="none"/>
        </w:rPr>
        <w:t>（4）建设单位需在后续运行中严格执行国家及有关部门颁布的标准、规范和规定；严格执行安全操作规程，加强工艺管理，严格控制工艺指标，及时排除泄漏和设备隐患，强化各配套应急设施的运营及维护，避免环境风险事故的发生；本工程应在投运前，应完成突发环境事件应急预案的编制和备案工作，并定期进行事故应急演练，和周边企业、居民保持长期友好的联系，向事故状态下有可能受影响的敏感区企业、居民告知事故危害性、传授自我防范的基本方法；建立应急制度，形成与上级园区及县域相衔接的应急体系，形成区域应急联动机制，在事故发生时，最大限度减轻对周边环境的影响。</w:t>
      </w:r>
    </w:p>
    <w:p w14:paraId="43754D41">
      <w:pPr>
        <w:spacing w:line="360" w:lineRule="auto"/>
        <w:ind w:firstLine="480" w:firstLineChars="200"/>
        <w:rPr>
          <w:rFonts w:ascii="Times New Roman" w:hAnsi="Times New Roman" w:eastAsia="宋体" w:cs="Times New Roman"/>
          <w:caps w:val="0"/>
          <w:smallCaps w:val="0"/>
          <w:snapToGrid w:val="0"/>
          <w:color w:val="auto"/>
          <w:spacing w:val="0"/>
          <w:kern w:val="0"/>
          <w:szCs w:val="28"/>
          <w:highlight w:val="none"/>
        </w:rPr>
      </w:pPr>
      <w:r>
        <w:rPr>
          <w:rFonts w:ascii="Times New Roman" w:hAnsi="Times New Roman" w:eastAsia="宋体" w:cs="Times New Roman"/>
          <w:caps w:val="0"/>
          <w:smallCaps w:val="0"/>
          <w:snapToGrid w:val="0"/>
          <w:color w:val="auto"/>
          <w:spacing w:val="0"/>
          <w:kern w:val="0"/>
          <w:szCs w:val="28"/>
          <w:highlight w:val="none"/>
        </w:rPr>
        <w:t>建议：</w:t>
      </w:r>
    </w:p>
    <w:p w14:paraId="3DC2A103">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snapToGrid w:val="0"/>
          <w:color w:val="auto"/>
          <w:spacing w:val="0"/>
          <w:kern w:val="0"/>
          <w:szCs w:val="28"/>
          <w:highlight w:val="none"/>
        </w:rPr>
        <w:t>（1）企业生产过程中应</w:t>
      </w:r>
      <w:r>
        <w:rPr>
          <w:rFonts w:ascii="Times New Roman" w:hAnsi="Times New Roman" w:eastAsia="宋体" w:cs="Times New Roman"/>
          <w:caps w:val="0"/>
          <w:smallCaps w:val="0"/>
          <w:color w:val="auto"/>
          <w:spacing w:val="0"/>
          <w:highlight w:val="none"/>
        </w:rPr>
        <w:t>严格执行国家及有关部门颁布的标准、规范和规定；严格执行安全操作规程，加强工艺管理，严格控制工艺指标，及时排除泄漏和设备隐患，保证系统处于正常状态。</w:t>
      </w:r>
    </w:p>
    <w:p w14:paraId="32048D5C">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（2）严格设备采购，切实、有效执行安全巡检制度，如发现存在安全隐患的设施应及时上报并尽快进行更换，杜绝生产设施、管道、阀门等带病运行，切不可因追求生产效益而忽视安全、环保问题。</w:t>
      </w:r>
    </w:p>
    <w:p w14:paraId="0C14E0B4">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防火区域加强火源管理，禁止明火，生产中动火要严格执行有关安全管理制度，不断对安全管理制度改进完善，将职工安全、环保培训落到实处，在职工中形成强烈的安全环保意识，将由人为误操作引发事故的概率降到最小。</w:t>
      </w:r>
    </w:p>
    <w:p w14:paraId="58791C8D">
      <w:pPr>
        <w:spacing w:line="360" w:lineRule="auto"/>
        <w:ind w:firstLine="57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（4）企业在今后的生产运营中应更加重视安全、环保工作，不断加强、完善事故防范及应急措施，开展环境影响后评价，加强管理，避免环境风险事故的发生。</w:t>
      </w:r>
    </w:p>
    <w:p w14:paraId="7E7DD272">
      <w:pPr>
        <w:pStyle w:val="5"/>
        <w:widowControl w:val="0"/>
        <w:rPr>
          <w:rFonts w:eastAsia="宋体"/>
          <w:caps w:val="0"/>
          <w:smallCaps w:val="0"/>
          <w:color w:val="auto"/>
          <w:spacing w:val="0"/>
          <w:sz w:val="30"/>
          <w:szCs w:val="30"/>
          <w:highlight w:val="none"/>
        </w:rPr>
      </w:pPr>
      <w:bookmarkStart w:id="223" w:name="_Toc491703530"/>
      <w:bookmarkStart w:id="224" w:name="_Toc486865447"/>
      <w:bookmarkStart w:id="225" w:name="_Toc505951434"/>
      <w:bookmarkStart w:id="226" w:name="_Toc504746065"/>
      <w:bookmarkStart w:id="227" w:name="_Toc15449"/>
      <w:r>
        <w:rPr>
          <w:rFonts w:hint="eastAsia" w:eastAsia="宋体"/>
          <w:caps w:val="0"/>
          <w:smallCaps w:val="0"/>
          <w:color w:val="auto"/>
          <w:spacing w:val="0"/>
          <w:sz w:val="30"/>
          <w:szCs w:val="30"/>
          <w:highlight w:val="none"/>
        </w:rPr>
        <w:t>6.2.8</w:t>
      </w:r>
      <w:r>
        <w:rPr>
          <w:rFonts w:eastAsia="宋体"/>
          <w:caps w:val="0"/>
          <w:smallCaps w:val="0"/>
          <w:color w:val="auto"/>
          <w:spacing w:val="0"/>
          <w:sz w:val="30"/>
          <w:szCs w:val="30"/>
          <w:highlight w:val="none"/>
        </w:rPr>
        <w:t>环保投资</w:t>
      </w:r>
      <w:bookmarkEnd w:id="223"/>
      <w:bookmarkEnd w:id="224"/>
      <w:bookmarkEnd w:id="225"/>
      <w:bookmarkEnd w:id="226"/>
      <w:r>
        <w:rPr>
          <w:rFonts w:hint="eastAsia" w:eastAsia="宋体"/>
          <w:caps w:val="0"/>
          <w:smallCaps w:val="0"/>
          <w:color w:val="auto"/>
          <w:spacing w:val="0"/>
          <w:sz w:val="30"/>
          <w:szCs w:val="30"/>
          <w:highlight w:val="none"/>
        </w:rPr>
        <w:t>可行性分析</w:t>
      </w:r>
      <w:bookmarkEnd w:id="227"/>
    </w:p>
    <w:p w14:paraId="00545721">
      <w:pPr>
        <w:pStyle w:val="114"/>
        <w:rPr>
          <w:rFonts w:ascii="Times New Roman" w:hAnsi="Times New Roman" w:cs="Times New Roman"/>
          <w:caps w:val="0"/>
          <w:smallCaps w:val="0"/>
          <w:color w:val="auto"/>
          <w:spacing w:val="0"/>
          <w:sz w:val="28"/>
          <w:szCs w:val="28"/>
          <w:highlight w:val="none"/>
          <w:lang w:val="zh-CN"/>
        </w:rPr>
      </w:pPr>
      <w:r>
        <w:rPr>
          <w:rFonts w:hint="eastAsia" w:ascii="Times New Roman" w:hAnsi="Times New Roman" w:cs="Times New Roman"/>
          <w:caps w:val="0"/>
          <w:smallCaps w:val="0"/>
          <w:color w:val="auto"/>
          <w:spacing w:val="0"/>
          <w:sz w:val="28"/>
          <w:szCs w:val="28"/>
          <w:highlight w:val="none"/>
        </w:rPr>
        <w:t>6.2.8.1</w:t>
      </w:r>
      <w:r>
        <w:rPr>
          <w:rFonts w:ascii="Times New Roman" w:hAnsi="Times New Roman" w:cs="Times New Roman"/>
          <w:caps w:val="0"/>
          <w:smallCaps w:val="0"/>
          <w:color w:val="auto"/>
          <w:spacing w:val="0"/>
          <w:sz w:val="28"/>
          <w:szCs w:val="28"/>
          <w:highlight w:val="none"/>
          <w:lang w:val="zh-CN"/>
        </w:rPr>
        <w:t>应用模式</w:t>
      </w:r>
    </w:p>
    <w:p w14:paraId="495DCE0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环保投资比</w:t>
      </w:r>
    </w:p>
    <w:p w14:paraId="61EA5A2A">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环保投资比按下式计算：</w:t>
      </w:r>
    </w:p>
    <w:p w14:paraId="215F62D7">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HJ=</w:t>
      </w:r>
      <w:r>
        <w:rPr>
          <w:rFonts w:ascii="Times New Roman" w:hAnsi="Times New Roman" w:eastAsia="宋体" w:cs="Times New Roman"/>
          <w:caps w:val="0"/>
          <w:smallCaps w:val="0"/>
          <w:color w:val="auto"/>
          <w:spacing w:val="0"/>
          <w:highlight w:val="none"/>
        </w:rPr>
        <w:object>
          <v:shape id="_x0000_i1039" o:spt="75" type="#_x0000_t75" style="height:28.05pt;width:21.95pt;" o:ole="t" filled="f" o:preferrelative="t" stroked="f" coordsize="21600,21600">
            <v:path/>
            <v:fill on="f" focussize="0,0"/>
            <v:stroke on="f" joinstyle="miter"/>
            <v:imagedata r:id="rId114" o:title=""/>
            <o:lock v:ext="edit" aspectratio="t"/>
            <w10:wrap type="none"/>
            <w10:anchorlock/>
          </v:shape>
          <o:OLEObject Type="Embed" ProgID="Equation.3" ShapeID="_x0000_i1039" DrawAspect="Content" ObjectID="_1468075739" r:id="rId113">
            <o:LockedField>false</o:LockedField>
          </o:OLEObject>
        </w:object>
      </w:r>
      <w:r>
        <w:rPr>
          <w:rFonts w:ascii="Times New Roman" w:hAnsi="Times New Roman" w:eastAsia="宋体" w:cs="Times New Roman"/>
          <w:caps w:val="0"/>
          <w:smallCaps w:val="0"/>
          <w:color w:val="auto"/>
          <w:spacing w:val="0"/>
          <w:highlight w:val="none"/>
        </w:rPr>
        <w:t>×100%</w:t>
      </w:r>
    </w:p>
    <w:p w14:paraId="6E46F9F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式中：HJ—环保费用投资比，100%；</w:t>
      </w:r>
    </w:p>
    <w:p w14:paraId="4465EBCD">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HT—环保投资，万元；</w:t>
      </w:r>
    </w:p>
    <w:p w14:paraId="36486BC4">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JI—项目总投资，万元。</w:t>
      </w:r>
    </w:p>
    <w:p w14:paraId="0C8A41F3">
      <w:pPr>
        <w:pStyle w:val="114"/>
        <w:spacing w:line="360" w:lineRule="auto"/>
        <w:rPr>
          <w:rFonts w:ascii="Times New Roman" w:hAnsi="Times New Roman" w:cs="Times New Roman"/>
          <w:caps w:val="0"/>
          <w:smallCaps w:val="0"/>
          <w:color w:val="auto"/>
          <w:spacing w:val="0"/>
          <w:sz w:val="28"/>
          <w:szCs w:val="28"/>
          <w:highlight w:val="none"/>
          <w:lang w:val="zh-CN"/>
        </w:rPr>
      </w:pPr>
      <w:r>
        <w:rPr>
          <w:rFonts w:hint="eastAsia" w:ascii="Times New Roman" w:hAnsi="Times New Roman" w:cs="Times New Roman"/>
          <w:caps w:val="0"/>
          <w:smallCaps w:val="0"/>
          <w:color w:val="auto"/>
          <w:spacing w:val="0"/>
          <w:sz w:val="28"/>
          <w:szCs w:val="28"/>
          <w:highlight w:val="none"/>
        </w:rPr>
        <w:t>6.2.8</w:t>
      </w:r>
      <w:r>
        <w:rPr>
          <w:rFonts w:ascii="Times New Roman" w:hAnsi="Times New Roman" w:cs="Times New Roman"/>
          <w:caps w:val="0"/>
          <w:smallCaps w:val="0"/>
          <w:color w:val="auto"/>
          <w:spacing w:val="0"/>
          <w:sz w:val="28"/>
          <w:szCs w:val="28"/>
          <w:highlight w:val="none"/>
          <w:lang w:val="zh-CN"/>
        </w:rPr>
        <w:t>.2环保投资</w:t>
      </w:r>
    </w:p>
    <w:p w14:paraId="0AA5731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本项目主要环境保护投资估算见表</w:t>
      </w:r>
      <w:r>
        <w:rPr>
          <w:rFonts w:hint="eastAsia" w:ascii="Times New Roman" w:hAnsi="Times New Roman" w:eastAsia="宋体" w:cs="Times New Roman"/>
          <w:caps w:val="0"/>
          <w:smallCaps w:val="0"/>
          <w:color w:val="auto"/>
          <w:spacing w:val="0"/>
          <w:highlight w:val="none"/>
        </w:rPr>
        <w:t>6.2-</w:t>
      </w:r>
      <w:r>
        <w:rPr>
          <w:rFonts w:hint="eastAsia" w:ascii="Times New Roman" w:hAnsi="Times New Roman" w:eastAsia="宋体" w:cs="Times New Roman"/>
          <w:caps w:val="0"/>
          <w:smallCaps w:val="0"/>
          <w:color w:val="auto"/>
          <w:spacing w:val="0"/>
          <w:highlight w:val="none"/>
          <w:lang w:val="en-US" w:eastAsia="zh-CN"/>
        </w:rPr>
        <w:t>12</w:t>
      </w:r>
      <w:r>
        <w:rPr>
          <w:rFonts w:ascii="Times New Roman" w:hAnsi="Times New Roman" w:eastAsia="宋体" w:cs="Times New Roman"/>
          <w:caps w:val="0"/>
          <w:smallCaps w:val="0"/>
          <w:color w:val="auto"/>
          <w:spacing w:val="0"/>
          <w:highlight w:val="none"/>
        </w:rPr>
        <w:t>。</w:t>
      </w:r>
    </w:p>
    <w:p w14:paraId="0BFEC668">
      <w:pPr>
        <w:widowControl w:val="0"/>
        <w:adjustRightInd w:val="0"/>
        <w:snapToGrid w:val="0"/>
        <w:jc w:val="center"/>
        <w:rPr>
          <w:rFonts w:ascii="Times New Roman" w:hAnsi="Times New Roman" w:eastAsia="宋体" w:cs="Times New Roman"/>
          <w:b/>
          <w:bCs/>
          <w:iCs/>
          <w:caps w:val="0"/>
          <w:smallCaps w:val="0"/>
          <w:color w:val="auto"/>
          <w:spacing w:val="0"/>
          <w:highlight w:val="none"/>
        </w:rPr>
      </w:pPr>
      <w:r>
        <w:rPr>
          <w:rFonts w:ascii="Times New Roman" w:hAnsi="Times New Roman" w:eastAsia="宋体" w:cs="Times New Roman"/>
          <w:b/>
          <w:caps w:val="0"/>
          <w:smallCaps w:val="0"/>
          <w:color w:val="auto"/>
          <w:spacing w:val="0"/>
          <w:highlight w:val="none"/>
        </w:rPr>
        <w:t>表</w:t>
      </w:r>
      <w:r>
        <w:rPr>
          <w:rFonts w:hint="eastAsia" w:ascii="Times New Roman" w:hAnsi="Times New Roman" w:eastAsia="宋体" w:cs="Times New Roman"/>
          <w:b/>
          <w:caps w:val="0"/>
          <w:smallCaps w:val="0"/>
          <w:color w:val="auto"/>
          <w:spacing w:val="0"/>
          <w:highlight w:val="none"/>
        </w:rPr>
        <w:t>6.2-</w:t>
      </w:r>
      <w:r>
        <w:rPr>
          <w:rFonts w:hint="eastAsia" w:ascii="Times New Roman" w:hAnsi="Times New Roman" w:eastAsia="宋体" w:cs="Times New Roman"/>
          <w:b/>
          <w:caps w:val="0"/>
          <w:smallCaps w:val="0"/>
          <w:color w:val="auto"/>
          <w:spacing w:val="0"/>
          <w:highlight w:val="none"/>
          <w:lang w:val="en-US" w:eastAsia="zh-CN"/>
        </w:rPr>
        <w:t>12</w:t>
      </w:r>
      <w:r>
        <w:rPr>
          <w:rFonts w:ascii="Times New Roman" w:hAnsi="Times New Roman" w:eastAsia="宋体" w:cs="Times New Roman"/>
          <w:b/>
          <w:bCs/>
          <w:iCs/>
          <w:caps w:val="0"/>
          <w:smallCaps w:val="0"/>
          <w:color w:val="auto"/>
          <w:spacing w:val="0"/>
          <w:highlight w:val="none"/>
        </w:rPr>
        <w:t>本项目的主要环保投资情况</w:t>
      </w:r>
    </w:p>
    <w:tbl>
      <w:tblPr>
        <w:tblStyle w:val="37"/>
        <w:tblW w:w="9070" w:type="dxa"/>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95"/>
        <w:gridCol w:w="1290"/>
        <w:gridCol w:w="1470"/>
        <w:gridCol w:w="3794"/>
        <w:gridCol w:w="1821"/>
      </w:tblGrid>
      <w:tr w14:paraId="6777451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95" w:type="dxa"/>
            <w:tcBorders>
              <w:top w:val="single" w:color="auto" w:sz="8" w:space="0"/>
            </w:tcBorders>
            <w:vAlign w:val="center"/>
          </w:tcPr>
          <w:p w14:paraId="008806D8">
            <w:pPr>
              <w:widowControl w:val="0"/>
              <w:jc w:val="center"/>
              <w:rPr>
                <w:rFonts w:ascii="Times New Roman" w:hAnsi="Times New Roman" w:eastAsia="宋体" w:cs="Times New Roman"/>
                <w:b/>
                <w:bCs/>
                <w:caps w:val="0"/>
                <w:smallCaps w:val="0"/>
                <w:color w:val="auto"/>
                <w:spacing w:val="0"/>
                <w:sz w:val="21"/>
                <w:highlight w:val="none"/>
              </w:rPr>
            </w:pPr>
            <w:bookmarkStart w:id="228" w:name="_Toc491703531"/>
            <w:bookmarkStart w:id="229" w:name="_Toc486865448"/>
            <w:r>
              <w:rPr>
                <w:rFonts w:ascii="Times New Roman" w:hAnsi="Times New Roman" w:eastAsia="宋体" w:cs="Times New Roman"/>
                <w:b/>
                <w:bCs/>
                <w:caps w:val="0"/>
                <w:smallCaps w:val="0"/>
                <w:color w:val="auto"/>
                <w:spacing w:val="0"/>
                <w:sz w:val="21"/>
                <w:highlight w:val="none"/>
              </w:rPr>
              <w:t>序号</w:t>
            </w:r>
          </w:p>
        </w:tc>
        <w:tc>
          <w:tcPr>
            <w:tcW w:w="1290" w:type="dxa"/>
            <w:tcBorders>
              <w:top w:val="single" w:color="auto" w:sz="8" w:space="0"/>
            </w:tcBorders>
            <w:vAlign w:val="center"/>
          </w:tcPr>
          <w:p w14:paraId="7285635F">
            <w:pPr>
              <w:widowControl w:val="0"/>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时段</w:t>
            </w:r>
          </w:p>
        </w:tc>
        <w:tc>
          <w:tcPr>
            <w:tcW w:w="1470" w:type="dxa"/>
            <w:tcBorders>
              <w:top w:val="single" w:color="auto" w:sz="8" w:space="0"/>
            </w:tcBorders>
            <w:vAlign w:val="center"/>
          </w:tcPr>
          <w:p w14:paraId="72571E98">
            <w:pPr>
              <w:widowControl w:val="0"/>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项目</w:t>
            </w:r>
          </w:p>
        </w:tc>
        <w:tc>
          <w:tcPr>
            <w:tcW w:w="3794" w:type="dxa"/>
            <w:tcBorders>
              <w:top w:val="single" w:color="auto" w:sz="8" w:space="0"/>
            </w:tcBorders>
            <w:vAlign w:val="center"/>
          </w:tcPr>
          <w:p w14:paraId="20BCF1DA">
            <w:pPr>
              <w:widowControl w:val="0"/>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内容</w:t>
            </w:r>
          </w:p>
        </w:tc>
        <w:tc>
          <w:tcPr>
            <w:tcW w:w="1821" w:type="dxa"/>
            <w:tcBorders>
              <w:top w:val="single" w:color="auto" w:sz="8" w:space="0"/>
            </w:tcBorders>
            <w:vAlign w:val="center"/>
          </w:tcPr>
          <w:p w14:paraId="51DD4057">
            <w:pPr>
              <w:widowControl w:val="0"/>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环保投资</w:t>
            </w:r>
          </w:p>
          <w:p w14:paraId="69FE2181">
            <w:pPr>
              <w:widowControl w:val="0"/>
              <w:jc w:val="center"/>
              <w:rPr>
                <w:rFonts w:ascii="Times New Roman" w:hAnsi="Times New Roman" w:eastAsia="宋体" w:cs="Times New Roman"/>
                <w:b/>
                <w:bCs/>
                <w:caps w:val="0"/>
                <w:smallCaps w:val="0"/>
                <w:color w:val="auto"/>
                <w:spacing w:val="0"/>
                <w:sz w:val="21"/>
                <w:highlight w:val="none"/>
              </w:rPr>
            </w:pPr>
            <w:r>
              <w:rPr>
                <w:rFonts w:ascii="Times New Roman" w:hAnsi="Times New Roman" w:eastAsia="宋体" w:cs="Times New Roman"/>
                <w:b/>
                <w:bCs/>
                <w:caps w:val="0"/>
                <w:smallCaps w:val="0"/>
                <w:color w:val="auto"/>
                <w:spacing w:val="0"/>
                <w:sz w:val="21"/>
                <w:highlight w:val="none"/>
              </w:rPr>
              <w:t>（万元）</w:t>
            </w:r>
          </w:p>
        </w:tc>
      </w:tr>
      <w:tr w14:paraId="426D828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95" w:type="dxa"/>
            <w:vAlign w:val="center"/>
          </w:tcPr>
          <w:p w14:paraId="4A614A5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1290" w:type="dxa"/>
            <w:vAlign w:val="center"/>
          </w:tcPr>
          <w:p w14:paraId="1B54C95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施工期</w:t>
            </w:r>
          </w:p>
        </w:tc>
        <w:tc>
          <w:tcPr>
            <w:tcW w:w="1470" w:type="dxa"/>
            <w:vAlign w:val="center"/>
          </w:tcPr>
          <w:p w14:paraId="3476468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废水、噪声和固废</w:t>
            </w:r>
          </w:p>
        </w:tc>
        <w:tc>
          <w:tcPr>
            <w:tcW w:w="3794" w:type="dxa"/>
            <w:vAlign w:val="center"/>
          </w:tcPr>
          <w:p w14:paraId="587F078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设置</w:t>
            </w:r>
            <w:r>
              <w:rPr>
                <w:rFonts w:hint="eastAsia" w:ascii="Times New Roman" w:hAnsi="Times New Roman" w:eastAsia="宋体" w:cs="Times New Roman"/>
                <w:caps w:val="0"/>
                <w:smallCaps w:val="0"/>
                <w:color w:val="auto"/>
                <w:spacing w:val="0"/>
                <w:sz w:val="21"/>
                <w:highlight w:val="none"/>
                <w:lang w:eastAsia="zh-CN"/>
              </w:rPr>
              <w:t>围挡</w:t>
            </w:r>
            <w:r>
              <w:rPr>
                <w:rFonts w:ascii="Times New Roman" w:hAnsi="Times New Roman" w:eastAsia="宋体" w:cs="Times New Roman"/>
                <w:caps w:val="0"/>
                <w:smallCaps w:val="0"/>
                <w:color w:val="auto"/>
                <w:spacing w:val="0"/>
                <w:sz w:val="21"/>
                <w:highlight w:val="none"/>
              </w:rPr>
              <w:t>选用低噪声设备及固体废物处理。</w:t>
            </w:r>
          </w:p>
        </w:tc>
        <w:tc>
          <w:tcPr>
            <w:tcW w:w="1821" w:type="dxa"/>
            <w:vAlign w:val="center"/>
          </w:tcPr>
          <w:p w14:paraId="2DE0DA46">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w:t>
            </w:r>
          </w:p>
        </w:tc>
      </w:tr>
      <w:tr w14:paraId="44D9E5B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5" w:type="dxa"/>
            <w:vAlign w:val="center"/>
          </w:tcPr>
          <w:p w14:paraId="572D16A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1290" w:type="dxa"/>
            <w:vMerge w:val="restart"/>
            <w:vAlign w:val="center"/>
          </w:tcPr>
          <w:p w14:paraId="343DBC0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运营期</w:t>
            </w:r>
          </w:p>
        </w:tc>
        <w:tc>
          <w:tcPr>
            <w:tcW w:w="1470" w:type="dxa"/>
            <w:vMerge w:val="restart"/>
            <w:vAlign w:val="center"/>
          </w:tcPr>
          <w:p w14:paraId="79BDE094">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废气治理</w:t>
            </w:r>
          </w:p>
        </w:tc>
        <w:tc>
          <w:tcPr>
            <w:tcW w:w="3794" w:type="dxa"/>
            <w:vAlign w:val="center"/>
          </w:tcPr>
          <w:p w14:paraId="3F4540CB">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CSS/活化炉活化废气HEPA过滤</w:t>
            </w:r>
          </w:p>
        </w:tc>
        <w:tc>
          <w:tcPr>
            <w:tcW w:w="1821" w:type="dxa"/>
            <w:vAlign w:val="center"/>
          </w:tcPr>
          <w:p w14:paraId="5727A435">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400</w:t>
            </w:r>
          </w:p>
        </w:tc>
      </w:tr>
      <w:tr w14:paraId="5AD4C17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5" w:type="dxa"/>
            <w:vAlign w:val="center"/>
          </w:tcPr>
          <w:p w14:paraId="2B43A613">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w:t>
            </w:r>
          </w:p>
        </w:tc>
        <w:tc>
          <w:tcPr>
            <w:tcW w:w="1290" w:type="dxa"/>
            <w:vMerge w:val="continue"/>
            <w:vAlign w:val="center"/>
          </w:tcPr>
          <w:p w14:paraId="2C83B8E9">
            <w:pPr>
              <w:widowControl w:val="0"/>
              <w:jc w:val="center"/>
              <w:rPr>
                <w:rFonts w:ascii="Times New Roman" w:hAnsi="Times New Roman" w:eastAsia="宋体" w:cs="Times New Roman"/>
                <w:caps w:val="0"/>
                <w:smallCaps w:val="0"/>
                <w:color w:val="auto"/>
                <w:spacing w:val="0"/>
                <w:sz w:val="21"/>
                <w:highlight w:val="none"/>
              </w:rPr>
            </w:pPr>
          </w:p>
        </w:tc>
        <w:tc>
          <w:tcPr>
            <w:tcW w:w="1470" w:type="dxa"/>
            <w:vMerge w:val="continue"/>
            <w:vAlign w:val="center"/>
          </w:tcPr>
          <w:p w14:paraId="4BCB7083">
            <w:pPr>
              <w:widowControl w:val="0"/>
              <w:jc w:val="center"/>
              <w:rPr>
                <w:rFonts w:ascii="Times New Roman" w:hAnsi="Times New Roman" w:eastAsia="宋体" w:cs="Times New Roman"/>
                <w:caps w:val="0"/>
                <w:smallCaps w:val="0"/>
                <w:color w:val="auto"/>
                <w:spacing w:val="0"/>
                <w:sz w:val="21"/>
                <w:highlight w:val="none"/>
              </w:rPr>
            </w:pPr>
          </w:p>
        </w:tc>
        <w:tc>
          <w:tcPr>
            <w:tcW w:w="3794" w:type="dxa"/>
            <w:vAlign w:val="center"/>
          </w:tcPr>
          <w:p w14:paraId="74F94013">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背电极镀膜收尘</w:t>
            </w:r>
          </w:p>
        </w:tc>
        <w:tc>
          <w:tcPr>
            <w:tcW w:w="1821" w:type="dxa"/>
            <w:vAlign w:val="center"/>
          </w:tcPr>
          <w:p w14:paraId="14D9DAC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360</w:t>
            </w:r>
          </w:p>
        </w:tc>
      </w:tr>
      <w:tr w14:paraId="3B62989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5" w:type="dxa"/>
            <w:vAlign w:val="center"/>
          </w:tcPr>
          <w:p w14:paraId="4FFF6101">
            <w:pPr>
              <w:widowControl w:val="0"/>
              <w:jc w:val="center"/>
              <w:rPr>
                <w:rFonts w:ascii="Times New Roman" w:hAnsi="Times New Roman" w:eastAsia="宋体" w:cs="Times New Roman"/>
                <w:caps w:val="0"/>
                <w:smallCaps w:val="0"/>
                <w:color w:val="auto"/>
                <w:spacing w:val="0"/>
                <w:sz w:val="21"/>
                <w:highlight w:val="none"/>
              </w:rPr>
            </w:pPr>
          </w:p>
        </w:tc>
        <w:tc>
          <w:tcPr>
            <w:tcW w:w="1290" w:type="dxa"/>
            <w:vMerge w:val="continue"/>
            <w:vAlign w:val="center"/>
          </w:tcPr>
          <w:p w14:paraId="506F70BA">
            <w:pPr>
              <w:widowControl w:val="0"/>
              <w:jc w:val="center"/>
              <w:rPr>
                <w:rFonts w:ascii="Times New Roman" w:hAnsi="Times New Roman" w:eastAsia="宋体" w:cs="Times New Roman"/>
                <w:caps w:val="0"/>
                <w:smallCaps w:val="0"/>
                <w:color w:val="auto"/>
                <w:spacing w:val="0"/>
                <w:sz w:val="21"/>
                <w:highlight w:val="none"/>
              </w:rPr>
            </w:pPr>
          </w:p>
        </w:tc>
        <w:tc>
          <w:tcPr>
            <w:tcW w:w="1470" w:type="dxa"/>
            <w:vMerge w:val="continue"/>
            <w:vAlign w:val="center"/>
          </w:tcPr>
          <w:p w14:paraId="2A112962">
            <w:pPr>
              <w:widowControl w:val="0"/>
              <w:jc w:val="center"/>
              <w:rPr>
                <w:rFonts w:ascii="Times New Roman" w:hAnsi="Times New Roman" w:eastAsia="宋体" w:cs="Times New Roman"/>
                <w:caps w:val="0"/>
                <w:smallCaps w:val="0"/>
                <w:color w:val="auto"/>
                <w:spacing w:val="0"/>
                <w:sz w:val="21"/>
                <w:highlight w:val="none"/>
              </w:rPr>
            </w:pPr>
          </w:p>
        </w:tc>
        <w:tc>
          <w:tcPr>
            <w:tcW w:w="3794" w:type="dxa"/>
            <w:vAlign w:val="center"/>
          </w:tcPr>
          <w:p w14:paraId="2DD18A30">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光刻胶涂覆干燥废气收集+二级活性炭吸附</w:t>
            </w:r>
          </w:p>
        </w:tc>
        <w:tc>
          <w:tcPr>
            <w:tcW w:w="1821" w:type="dxa"/>
            <w:vAlign w:val="center"/>
          </w:tcPr>
          <w:p w14:paraId="6303874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100</w:t>
            </w:r>
          </w:p>
        </w:tc>
      </w:tr>
      <w:tr w14:paraId="4C065A3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5" w:type="dxa"/>
            <w:vAlign w:val="center"/>
          </w:tcPr>
          <w:p w14:paraId="51A06F04">
            <w:pPr>
              <w:widowControl w:val="0"/>
              <w:jc w:val="center"/>
              <w:rPr>
                <w:rFonts w:ascii="Times New Roman" w:hAnsi="Times New Roman" w:eastAsia="宋体" w:cs="Times New Roman"/>
                <w:caps w:val="0"/>
                <w:smallCaps w:val="0"/>
                <w:color w:val="auto"/>
                <w:spacing w:val="0"/>
                <w:sz w:val="21"/>
                <w:highlight w:val="none"/>
              </w:rPr>
            </w:pPr>
          </w:p>
        </w:tc>
        <w:tc>
          <w:tcPr>
            <w:tcW w:w="1290" w:type="dxa"/>
            <w:vMerge w:val="continue"/>
            <w:vAlign w:val="center"/>
          </w:tcPr>
          <w:p w14:paraId="648D7DAA">
            <w:pPr>
              <w:widowControl w:val="0"/>
              <w:jc w:val="center"/>
              <w:rPr>
                <w:rFonts w:ascii="Times New Roman" w:hAnsi="Times New Roman" w:eastAsia="宋体" w:cs="Times New Roman"/>
                <w:caps w:val="0"/>
                <w:smallCaps w:val="0"/>
                <w:color w:val="auto"/>
                <w:spacing w:val="0"/>
                <w:sz w:val="21"/>
                <w:highlight w:val="none"/>
              </w:rPr>
            </w:pPr>
          </w:p>
        </w:tc>
        <w:tc>
          <w:tcPr>
            <w:tcW w:w="1470" w:type="dxa"/>
            <w:vMerge w:val="continue"/>
            <w:vAlign w:val="center"/>
          </w:tcPr>
          <w:p w14:paraId="04F5248D">
            <w:pPr>
              <w:widowControl w:val="0"/>
              <w:jc w:val="center"/>
              <w:rPr>
                <w:rFonts w:ascii="Times New Roman" w:hAnsi="Times New Roman" w:eastAsia="宋体" w:cs="Times New Roman"/>
                <w:caps w:val="0"/>
                <w:smallCaps w:val="0"/>
                <w:color w:val="auto"/>
                <w:spacing w:val="0"/>
                <w:sz w:val="21"/>
                <w:highlight w:val="none"/>
              </w:rPr>
            </w:pPr>
          </w:p>
        </w:tc>
        <w:tc>
          <w:tcPr>
            <w:tcW w:w="3794" w:type="dxa"/>
            <w:vAlign w:val="center"/>
          </w:tcPr>
          <w:p w14:paraId="2FEF60FF">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激光刻线废气HEPA过滤</w:t>
            </w:r>
          </w:p>
        </w:tc>
        <w:tc>
          <w:tcPr>
            <w:tcW w:w="1821" w:type="dxa"/>
            <w:vAlign w:val="center"/>
          </w:tcPr>
          <w:p w14:paraId="06708093">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600</w:t>
            </w:r>
          </w:p>
        </w:tc>
      </w:tr>
      <w:tr w14:paraId="6C32E92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95" w:type="dxa"/>
            <w:vAlign w:val="center"/>
          </w:tcPr>
          <w:p w14:paraId="58DB83E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w:t>
            </w:r>
          </w:p>
        </w:tc>
        <w:tc>
          <w:tcPr>
            <w:tcW w:w="1290" w:type="dxa"/>
            <w:vMerge w:val="continue"/>
            <w:vAlign w:val="center"/>
          </w:tcPr>
          <w:p w14:paraId="10B97212">
            <w:pPr>
              <w:widowControl w:val="0"/>
              <w:jc w:val="center"/>
              <w:rPr>
                <w:rFonts w:ascii="Times New Roman" w:hAnsi="Times New Roman" w:eastAsia="宋体" w:cs="Times New Roman"/>
                <w:caps w:val="0"/>
                <w:smallCaps w:val="0"/>
                <w:color w:val="auto"/>
                <w:spacing w:val="0"/>
                <w:sz w:val="21"/>
                <w:highlight w:val="none"/>
              </w:rPr>
            </w:pPr>
          </w:p>
        </w:tc>
        <w:tc>
          <w:tcPr>
            <w:tcW w:w="1470" w:type="dxa"/>
            <w:vMerge w:val="continue"/>
            <w:vAlign w:val="center"/>
          </w:tcPr>
          <w:p w14:paraId="7AAD75E6">
            <w:pPr>
              <w:widowControl w:val="0"/>
              <w:jc w:val="center"/>
              <w:rPr>
                <w:rFonts w:ascii="Times New Roman" w:hAnsi="Times New Roman" w:eastAsia="宋体" w:cs="Times New Roman"/>
                <w:caps w:val="0"/>
                <w:smallCaps w:val="0"/>
                <w:color w:val="auto"/>
                <w:spacing w:val="0"/>
                <w:sz w:val="21"/>
                <w:highlight w:val="none"/>
              </w:rPr>
            </w:pPr>
          </w:p>
        </w:tc>
        <w:tc>
          <w:tcPr>
            <w:tcW w:w="3794" w:type="dxa"/>
            <w:vAlign w:val="center"/>
          </w:tcPr>
          <w:p w14:paraId="45B647CA">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其余设备收尘及HEPA过滤</w:t>
            </w:r>
          </w:p>
        </w:tc>
        <w:tc>
          <w:tcPr>
            <w:tcW w:w="1821" w:type="dxa"/>
            <w:vAlign w:val="center"/>
          </w:tcPr>
          <w:p w14:paraId="63643028">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470</w:t>
            </w:r>
          </w:p>
        </w:tc>
      </w:tr>
      <w:tr w14:paraId="773DC42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695" w:type="dxa"/>
            <w:vAlign w:val="center"/>
          </w:tcPr>
          <w:p w14:paraId="383E3F0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w:t>
            </w:r>
          </w:p>
        </w:tc>
        <w:tc>
          <w:tcPr>
            <w:tcW w:w="1290" w:type="dxa"/>
            <w:vMerge w:val="continue"/>
            <w:vAlign w:val="center"/>
          </w:tcPr>
          <w:p w14:paraId="05D9C6E3">
            <w:pPr>
              <w:widowControl w:val="0"/>
              <w:jc w:val="center"/>
              <w:rPr>
                <w:rFonts w:ascii="Times New Roman" w:hAnsi="Times New Roman" w:eastAsia="宋体" w:cs="Times New Roman"/>
                <w:caps w:val="0"/>
                <w:smallCaps w:val="0"/>
                <w:color w:val="auto"/>
                <w:spacing w:val="0"/>
                <w:sz w:val="21"/>
                <w:highlight w:val="none"/>
              </w:rPr>
            </w:pPr>
          </w:p>
        </w:tc>
        <w:tc>
          <w:tcPr>
            <w:tcW w:w="1470" w:type="dxa"/>
            <w:vMerge w:val="continue"/>
            <w:vAlign w:val="center"/>
          </w:tcPr>
          <w:p w14:paraId="14402547">
            <w:pPr>
              <w:widowControl w:val="0"/>
              <w:jc w:val="center"/>
              <w:rPr>
                <w:rFonts w:ascii="Times New Roman" w:hAnsi="Times New Roman" w:eastAsia="宋体" w:cs="Times New Roman"/>
                <w:caps w:val="0"/>
                <w:smallCaps w:val="0"/>
                <w:color w:val="auto"/>
                <w:spacing w:val="0"/>
                <w:sz w:val="21"/>
                <w:highlight w:val="none"/>
              </w:rPr>
            </w:pPr>
          </w:p>
        </w:tc>
        <w:tc>
          <w:tcPr>
            <w:tcW w:w="3794" w:type="dxa"/>
            <w:vAlign w:val="center"/>
          </w:tcPr>
          <w:p w14:paraId="636800D5">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碱液洗涤塔</w:t>
            </w:r>
            <w:r>
              <w:rPr>
                <w:rFonts w:hint="eastAsia" w:ascii="Times New Roman" w:hAnsi="Times New Roman" w:eastAsia="宋体" w:cs="Times New Roman"/>
                <w:caps w:val="0"/>
                <w:smallCaps w:val="0"/>
                <w:color w:val="auto"/>
                <w:spacing w:val="0"/>
                <w:sz w:val="21"/>
                <w:highlight w:val="none"/>
              </w:rPr>
              <w:t>+活性炭吸附</w:t>
            </w:r>
          </w:p>
        </w:tc>
        <w:tc>
          <w:tcPr>
            <w:tcW w:w="1821" w:type="dxa"/>
            <w:vAlign w:val="center"/>
          </w:tcPr>
          <w:p w14:paraId="6BD1D769">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90</w:t>
            </w:r>
          </w:p>
        </w:tc>
      </w:tr>
      <w:tr w14:paraId="2CE7638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695" w:type="dxa"/>
            <w:vAlign w:val="center"/>
          </w:tcPr>
          <w:p w14:paraId="0757876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w:t>
            </w:r>
          </w:p>
        </w:tc>
        <w:tc>
          <w:tcPr>
            <w:tcW w:w="1290" w:type="dxa"/>
            <w:vMerge w:val="continue"/>
            <w:vAlign w:val="center"/>
          </w:tcPr>
          <w:p w14:paraId="06B54249">
            <w:pPr>
              <w:widowControl w:val="0"/>
              <w:jc w:val="center"/>
              <w:rPr>
                <w:rFonts w:ascii="Times New Roman" w:hAnsi="Times New Roman" w:eastAsia="宋体" w:cs="Times New Roman"/>
                <w:caps w:val="0"/>
                <w:smallCaps w:val="0"/>
                <w:color w:val="auto"/>
                <w:spacing w:val="0"/>
                <w:sz w:val="21"/>
                <w:highlight w:val="none"/>
              </w:rPr>
            </w:pPr>
          </w:p>
        </w:tc>
        <w:tc>
          <w:tcPr>
            <w:tcW w:w="1470" w:type="dxa"/>
            <w:vAlign w:val="center"/>
          </w:tcPr>
          <w:p w14:paraId="3B9B06CB">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废水治理</w:t>
            </w:r>
          </w:p>
        </w:tc>
        <w:tc>
          <w:tcPr>
            <w:tcW w:w="3794" w:type="dxa"/>
            <w:vAlign w:val="center"/>
          </w:tcPr>
          <w:p w14:paraId="61CF1CEA">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含镉污水处理站</w:t>
            </w:r>
          </w:p>
        </w:tc>
        <w:tc>
          <w:tcPr>
            <w:tcW w:w="1821" w:type="dxa"/>
            <w:vAlign w:val="center"/>
          </w:tcPr>
          <w:p w14:paraId="72E94BBD">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800</w:t>
            </w:r>
          </w:p>
        </w:tc>
      </w:tr>
      <w:tr w14:paraId="0FB2237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95" w:type="dxa"/>
            <w:vAlign w:val="center"/>
          </w:tcPr>
          <w:p w14:paraId="72B755E6">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w:t>
            </w:r>
          </w:p>
        </w:tc>
        <w:tc>
          <w:tcPr>
            <w:tcW w:w="1290" w:type="dxa"/>
            <w:vMerge w:val="continue"/>
            <w:vAlign w:val="center"/>
          </w:tcPr>
          <w:p w14:paraId="2DF84454">
            <w:pPr>
              <w:widowControl w:val="0"/>
              <w:jc w:val="center"/>
              <w:rPr>
                <w:rFonts w:ascii="Times New Roman" w:hAnsi="Times New Roman" w:eastAsia="宋体" w:cs="Times New Roman"/>
                <w:caps w:val="0"/>
                <w:smallCaps w:val="0"/>
                <w:color w:val="auto"/>
                <w:spacing w:val="0"/>
                <w:sz w:val="21"/>
                <w:highlight w:val="none"/>
              </w:rPr>
            </w:pPr>
          </w:p>
        </w:tc>
        <w:tc>
          <w:tcPr>
            <w:tcW w:w="1470" w:type="dxa"/>
            <w:vAlign w:val="center"/>
          </w:tcPr>
          <w:p w14:paraId="48BE5FA8">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噪声治理</w:t>
            </w:r>
          </w:p>
        </w:tc>
        <w:tc>
          <w:tcPr>
            <w:tcW w:w="3794" w:type="dxa"/>
            <w:vAlign w:val="center"/>
          </w:tcPr>
          <w:p w14:paraId="3F48AFA9">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隔声、降噪、减振措施</w:t>
            </w:r>
          </w:p>
        </w:tc>
        <w:tc>
          <w:tcPr>
            <w:tcW w:w="1821" w:type="dxa"/>
            <w:vAlign w:val="center"/>
          </w:tcPr>
          <w:p w14:paraId="6DC69A5A">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100</w:t>
            </w:r>
          </w:p>
        </w:tc>
      </w:tr>
      <w:tr w14:paraId="22AEAA4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95" w:type="dxa"/>
            <w:vAlign w:val="center"/>
          </w:tcPr>
          <w:p w14:paraId="14E2D1C2">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w:t>
            </w:r>
          </w:p>
        </w:tc>
        <w:tc>
          <w:tcPr>
            <w:tcW w:w="1290" w:type="dxa"/>
            <w:vMerge w:val="continue"/>
            <w:vAlign w:val="center"/>
          </w:tcPr>
          <w:p w14:paraId="42274CFD">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p>
        </w:tc>
        <w:tc>
          <w:tcPr>
            <w:tcW w:w="1470" w:type="dxa"/>
            <w:vMerge w:val="restart"/>
            <w:vAlign w:val="center"/>
          </w:tcPr>
          <w:p w14:paraId="6A78D9A6">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环境风险</w:t>
            </w:r>
          </w:p>
        </w:tc>
        <w:tc>
          <w:tcPr>
            <w:tcW w:w="3794" w:type="dxa"/>
            <w:vAlign w:val="center"/>
          </w:tcPr>
          <w:p w14:paraId="2A10007B">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污水收集系统应急箱</w:t>
            </w:r>
          </w:p>
        </w:tc>
        <w:tc>
          <w:tcPr>
            <w:tcW w:w="1821" w:type="dxa"/>
            <w:vAlign w:val="center"/>
          </w:tcPr>
          <w:p w14:paraId="42A46041">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76</w:t>
            </w:r>
          </w:p>
        </w:tc>
      </w:tr>
      <w:tr w14:paraId="0F59057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95" w:type="dxa"/>
            <w:vAlign w:val="center"/>
          </w:tcPr>
          <w:p w14:paraId="6FCB2CEF">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w:t>
            </w:r>
          </w:p>
        </w:tc>
        <w:tc>
          <w:tcPr>
            <w:tcW w:w="1290" w:type="dxa"/>
            <w:vMerge w:val="continue"/>
            <w:vAlign w:val="center"/>
          </w:tcPr>
          <w:p w14:paraId="65C762EE">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p>
        </w:tc>
        <w:tc>
          <w:tcPr>
            <w:tcW w:w="1470" w:type="dxa"/>
            <w:vMerge w:val="continue"/>
            <w:vAlign w:val="center"/>
          </w:tcPr>
          <w:p w14:paraId="51F768BB">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p>
        </w:tc>
        <w:tc>
          <w:tcPr>
            <w:tcW w:w="3794" w:type="dxa"/>
            <w:vAlign w:val="center"/>
          </w:tcPr>
          <w:p w14:paraId="7523CD4F">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应急事故池及收集系统</w:t>
            </w:r>
          </w:p>
        </w:tc>
        <w:tc>
          <w:tcPr>
            <w:tcW w:w="1821" w:type="dxa"/>
            <w:vAlign w:val="center"/>
          </w:tcPr>
          <w:p w14:paraId="6812FD0E">
            <w:pPr>
              <w:widowControl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r>
              <w:rPr>
                <w:rFonts w:hint="eastAsia" w:ascii="Times New Roman" w:hAnsi="Times New Roman" w:eastAsia="宋体" w:cs="Times New Roman"/>
                <w:caps w:val="0"/>
                <w:smallCaps w:val="0"/>
                <w:color w:val="auto"/>
                <w:spacing w:val="0"/>
                <w:kern w:val="0"/>
                <w:sz w:val="21"/>
                <w:highlight w:val="none"/>
                <w:lang w:bidi="ar"/>
              </w:rPr>
              <w:t>2</w:t>
            </w:r>
            <w:r>
              <w:rPr>
                <w:rFonts w:ascii="Times New Roman" w:hAnsi="Times New Roman" w:eastAsia="宋体" w:cs="Times New Roman"/>
                <w:caps w:val="0"/>
                <w:smallCaps w:val="0"/>
                <w:color w:val="auto"/>
                <w:spacing w:val="0"/>
                <w:kern w:val="0"/>
                <w:sz w:val="21"/>
                <w:highlight w:val="none"/>
                <w:lang w:bidi="ar"/>
              </w:rPr>
              <w:t>0</w:t>
            </w:r>
          </w:p>
        </w:tc>
      </w:tr>
      <w:tr w14:paraId="206D80E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95" w:type="dxa"/>
            <w:vAlign w:val="center"/>
          </w:tcPr>
          <w:p w14:paraId="30E3949B">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14</w:t>
            </w:r>
          </w:p>
        </w:tc>
        <w:tc>
          <w:tcPr>
            <w:tcW w:w="1290" w:type="dxa"/>
            <w:vMerge w:val="continue"/>
            <w:vAlign w:val="center"/>
          </w:tcPr>
          <w:p w14:paraId="3EBC2DAA">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p>
        </w:tc>
        <w:tc>
          <w:tcPr>
            <w:tcW w:w="5264" w:type="dxa"/>
            <w:gridSpan w:val="2"/>
            <w:vAlign w:val="center"/>
          </w:tcPr>
          <w:p w14:paraId="5B4A9224">
            <w:pPr>
              <w:jc w:val="center"/>
              <w:rPr>
                <w:rFonts w:ascii="Times New Roman" w:hAnsi="Times New Roman" w:eastAsia="宋体" w:cs="Times New Roman"/>
                <w:caps w:val="0"/>
                <w:smallCaps w:val="0"/>
                <w:color w:val="auto"/>
                <w:spacing w:val="0"/>
                <w:sz w:val="21"/>
                <w:highlight w:val="none"/>
              </w:rPr>
            </w:pPr>
            <w:r>
              <w:rPr>
                <w:rFonts w:hint="eastAsia" w:ascii="宋体" w:hAnsi="宋体" w:eastAsia="宋体" w:cs="宋体"/>
                <w:caps w:val="0"/>
                <w:smallCaps w:val="0"/>
                <w:color w:val="auto"/>
                <w:spacing w:val="0"/>
                <w:kern w:val="0"/>
                <w:sz w:val="20"/>
                <w:szCs w:val="20"/>
                <w:highlight w:val="none"/>
                <w:lang w:bidi="ar"/>
              </w:rPr>
              <w:t>监测、运行维护费用</w:t>
            </w:r>
          </w:p>
        </w:tc>
        <w:tc>
          <w:tcPr>
            <w:tcW w:w="1821" w:type="dxa"/>
            <w:vAlign w:val="center"/>
          </w:tcPr>
          <w:p w14:paraId="0CAF4541">
            <w:pPr>
              <w:widowControl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30</w:t>
            </w:r>
          </w:p>
        </w:tc>
      </w:tr>
      <w:tr w14:paraId="6F69CD9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249" w:type="dxa"/>
            <w:gridSpan w:val="4"/>
            <w:tcBorders>
              <w:bottom w:val="single" w:color="auto" w:sz="8" w:space="0"/>
            </w:tcBorders>
            <w:vAlign w:val="center"/>
          </w:tcPr>
          <w:p w14:paraId="30047F69">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总计</w:t>
            </w:r>
          </w:p>
        </w:tc>
        <w:tc>
          <w:tcPr>
            <w:tcW w:w="1821" w:type="dxa"/>
            <w:tcBorders>
              <w:bottom w:val="single" w:color="auto" w:sz="8" w:space="0"/>
            </w:tcBorders>
            <w:vAlign w:val="center"/>
          </w:tcPr>
          <w:p w14:paraId="139E960E">
            <w:pPr>
              <w:widowControl w:val="0"/>
              <w:spacing w:before="48" w:beforeLines="20" w:after="48" w:afterLines="2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3156</w:t>
            </w:r>
          </w:p>
        </w:tc>
      </w:tr>
    </w:tbl>
    <w:p w14:paraId="5F4BA563">
      <w:pPr>
        <w:widowControl w:val="0"/>
        <w:adjustRightInd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highlight w:val="none"/>
        </w:rPr>
        <w:t>项目投资：项目总投资为90460万元，环保投资为</w:t>
      </w:r>
      <w:r>
        <w:rPr>
          <w:rFonts w:ascii="Times New Roman" w:hAnsi="Times New Roman" w:eastAsia="宋体" w:cs="Times New Roman"/>
          <w:caps w:val="0"/>
          <w:smallCaps w:val="0"/>
          <w:snapToGrid w:val="0"/>
          <w:color w:val="auto"/>
          <w:spacing w:val="0"/>
          <w:kern w:val="0"/>
          <w:highlight w:val="none"/>
        </w:rPr>
        <w:t>3156</w:t>
      </w:r>
      <w:r>
        <w:rPr>
          <w:rFonts w:ascii="Times New Roman" w:hAnsi="Times New Roman" w:eastAsia="宋体" w:cs="Times New Roman"/>
          <w:caps w:val="0"/>
          <w:smallCaps w:val="0"/>
          <w:color w:val="auto"/>
          <w:spacing w:val="0"/>
          <w:highlight w:val="none"/>
        </w:rPr>
        <w:t>万元，环保投资占项目总投资额的</w:t>
      </w:r>
      <w:r>
        <w:rPr>
          <w:rFonts w:ascii="Times New Roman" w:hAnsi="Times New Roman" w:eastAsia="宋体" w:cs="Times New Roman"/>
          <w:caps w:val="0"/>
          <w:smallCaps w:val="0"/>
          <w:snapToGrid w:val="0"/>
          <w:color w:val="auto"/>
          <w:spacing w:val="0"/>
          <w:kern w:val="0"/>
          <w:highlight w:val="none"/>
        </w:rPr>
        <w:t>3.49%</w:t>
      </w:r>
      <w:r>
        <w:rPr>
          <w:rFonts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szCs w:val="22"/>
          <w:highlight w:val="none"/>
        </w:rPr>
        <w:t>项目运行过程中通过采取废气、废水、噪声、固废防治处理措施后，排入周围环境中污染物大大降低，具有明显的环境效益，废水、废气及固废等都得到了有效的控制，做到了资源的合理综合利用，减少了对环境的影响，项目环保投资较合理</w:t>
      </w:r>
      <w:r>
        <w:rPr>
          <w:rFonts w:hint="eastAsia" w:ascii="Times New Roman" w:hAnsi="Times New Roman" w:eastAsia="宋体" w:cs="Times New Roman"/>
          <w:caps w:val="0"/>
          <w:smallCaps w:val="0"/>
          <w:color w:val="auto"/>
          <w:spacing w:val="0"/>
          <w:szCs w:val="22"/>
          <w:highlight w:val="none"/>
        </w:rPr>
        <w:t>，环保投资占比可行</w:t>
      </w:r>
      <w:r>
        <w:rPr>
          <w:rFonts w:ascii="Times New Roman" w:hAnsi="Times New Roman" w:eastAsia="宋体" w:cs="Times New Roman"/>
          <w:caps w:val="0"/>
          <w:smallCaps w:val="0"/>
          <w:color w:val="auto"/>
          <w:spacing w:val="0"/>
          <w:szCs w:val="22"/>
          <w:highlight w:val="none"/>
        </w:rPr>
        <w:t>。</w:t>
      </w:r>
    </w:p>
    <w:bookmarkEnd w:id="228"/>
    <w:bookmarkEnd w:id="229"/>
    <w:p w14:paraId="236B08FC">
      <w:pPr>
        <w:spacing w:line="360" w:lineRule="auto"/>
        <w:ind w:firstLine="570"/>
        <w:rPr>
          <w:rFonts w:ascii="Times New Roman" w:hAnsi="Times New Roman" w:eastAsia="宋体" w:cs="Times New Roman"/>
          <w:caps w:val="0"/>
          <w:smallCaps w:val="0"/>
          <w:color w:val="auto"/>
          <w:spacing w:val="0"/>
          <w:highlight w:val="none"/>
        </w:rPr>
      </w:pPr>
    </w:p>
    <w:p w14:paraId="31BD16B9">
      <w:pP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br w:type="page"/>
      </w:r>
    </w:p>
    <w:p w14:paraId="49B9EA7D">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230" w:name="_Toc477952000"/>
      <w:bookmarkStart w:id="231" w:name="_Toc7643"/>
      <w:r>
        <w:rPr>
          <w:rFonts w:ascii="Times New Roman" w:hAnsi="Times New Roman" w:eastAsia="宋体" w:cs="Times New Roman"/>
          <w:caps w:val="0"/>
          <w:smallCaps w:val="0"/>
          <w:color w:val="auto"/>
          <w:spacing w:val="0"/>
          <w:highlight w:val="none"/>
        </w:rPr>
        <w:t>7环境影响经济损益分析</w:t>
      </w:r>
      <w:bookmarkEnd w:id="230"/>
      <w:bookmarkEnd w:id="231"/>
    </w:p>
    <w:p w14:paraId="11BB8277">
      <w:pPr>
        <w:pStyle w:val="4"/>
        <w:widowControl w:val="0"/>
        <w:rPr>
          <w:rFonts w:eastAsia="宋体"/>
          <w:caps w:val="0"/>
          <w:smallCaps w:val="0"/>
          <w:color w:val="auto"/>
          <w:spacing w:val="0"/>
          <w:highlight w:val="none"/>
        </w:rPr>
      </w:pPr>
      <w:bookmarkStart w:id="232" w:name="_Toc211850075"/>
      <w:bookmarkStart w:id="233" w:name="_Toc342462526"/>
      <w:bookmarkStart w:id="234" w:name="_Toc477952001"/>
      <w:bookmarkStart w:id="235" w:name="_Toc15024"/>
      <w:r>
        <w:rPr>
          <w:rFonts w:eastAsia="宋体"/>
          <w:caps w:val="0"/>
          <w:smallCaps w:val="0"/>
          <w:color w:val="auto"/>
          <w:spacing w:val="0"/>
          <w:highlight w:val="none"/>
        </w:rPr>
        <w:t>7.1环境经济损益简要分析的目的</w:t>
      </w:r>
      <w:bookmarkEnd w:id="232"/>
      <w:bookmarkEnd w:id="233"/>
      <w:bookmarkEnd w:id="234"/>
      <w:bookmarkEnd w:id="235"/>
    </w:p>
    <w:p w14:paraId="0B95AEAE">
      <w:pPr>
        <w:widowControl w:val="0"/>
        <w:spacing w:line="360" w:lineRule="auto"/>
        <w:ind w:firstLine="480" w:firstLineChars="200"/>
        <w:rPr>
          <w:rFonts w:ascii="Times New Roman" w:hAnsi="Times New Roman" w:eastAsia="宋体" w:cs="Times New Roman"/>
          <w:caps w:val="0"/>
          <w:smallCaps w:val="0"/>
          <w:color w:val="auto"/>
          <w:spacing w:val="0"/>
          <w:kern w:val="0"/>
          <w:highlight w:val="none"/>
        </w:rPr>
      </w:pPr>
      <w:r>
        <w:rPr>
          <w:rFonts w:ascii="Times New Roman" w:hAnsi="Times New Roman" w:eastAsia="宋体" w:cs="Times New Roman"/>
          <w:bCs/>
          <w:iCs/>
          <w:caps w:val="0"/>
          <w:smallCaps w:val="0"/>
          <w:color w:val="auto"/>
          <w:spacing w:val="0"/>
          <w:highlight w:val="none"/>
        </w:rPr>
        <w:t>环境影响经济损益分析是建设项目环境影响评价的一个重要组成部分，主要包括建设项目环境影响经济评价和环保措施的经济损益评价，通过对建设项目的经济损益分析综合反映建设项目的社会效益、经济效益和环境效益。</w:t>
      </w:r>
      <w:r>
        <w:rPr>
          <w:rFonts w:ascii="Times New Roman" w:hAnsi="Times New Roman" w:eastAsia="宋体" w:cs="Times New Roman"/>
          <w:caps w:val="0"/>
          <w:smallCaps w:val="0"/>
          <w:color w:val="auto"/>
          <w:spacing w:val="0"/>
          <w:kern w:val="0"/>
          <w:highlight w:val="none"/>
        </w:rPr>
        <w:t>并为项目决策者更好地提供依据。</w:t>
      </w:r>
    </w:p>
    <w:p w14:paraId="085F37F1">
      <w:pPr>
        <w:pStyle w:val="4"/>
        <w:widowControl w:val="0"/>
        <w:rPr>
          <w:rFonts w:eastAsia="宋体"/>
          <w:caps w:val="0"/>
          <w:smallCaps w:val="0"/>
          <w:color w:val="auto"/>
          <w:spacing w:val="0"/>
          <w:highlight w:val="none"/>
        </w:rPr>
      </w:pPr>
      <w:bookmarkStart w:id="236" w:name="_Toc211850076"/>
      <w:bookmarkStart w:id="237" w:name="_Toc342462527"/>
      <w:bookmarkStart w:id="238" w:name="_Toc477952002"/>
      <w:bookmarkStart w:id="239" w:name="_Toc4754"/>
      <w:r>
        <w:rPr>
          <w:rFonts w:eastAsia="宋体"/>
          <w:caps w:val="0"/>
          <w:smallCaps w:val="0"/>
          <w:color w:val="auto"/>
          <w:spacing w:val="0"/>
          <w:highlight w:val="none"/>
        </w:rPr>
        <w:t>7.2工程经济效益简要分析</w:t>
      </w:r>
      <w:bookmarkEnd w:id="236"/>
      <w:bookmarkEnd w:id="237"/>
      <w:bookmarkEnd w:id="238"/>
      <w:bookmarkEnd w:id="239"/>
    </w:p>
    <w:p w14:paraId="4B9EE2E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项目投资：项目总投资为90460万元，其中建设投资86434万元，建设期利息1026万元，流动资金3000万元。</w:t>
      </w:r>
    </w:p>
    <w:p w14:paraId="6A98B66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根据可研，本项目各项财务指标如下：</w:t>
      </w:r>
    </w:p>
    <w:p w14:paraId="6BCAE5F9">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1、产品费用估算</w:t>
      </w:r>
    </w:p>
    <w:p w14:paraId="3024F21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根据计算，本项目产品生产费用为2.3592元/瓦。</w:t>
      </w:r>
    </w:p>
    <w:p w14:paraId="2465E9E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2、财务指标计算与分析</w:t>
      </w:r>
    </w:p>
    <w:p w14:paraId="3A38CB6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（1）财务计算依据和说明</w:t>
      </w:r>
    </w:p>
    <w:p w14:paraId="4DAF078A">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①财务评价计算年限为16年，其中建设期1年，生产期15年。</w:t>
      </w:r>
    </w:p>
    <w:p w14:paraId="0EDE96F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②本项目建设投资86434万元，建设期贷款</w:t>
      </w:r>
      <w:r>
        <w:rPr>
          <w:rFonts w:hint="eastAsia" w:ascii="Times New Roman" w:hAnsi="Times New Roman" w:eastAsia="宋体" w:cs="Times New Roman"/>
          <w:caps w:val="0"/>
          <w:smallCaps w:val="0"/>
          <w:color w:val="auto"/>
          <w:spacing w:val="0"/>
          <w:highlight w:val="none"/>
        </w:rPr>
        <w:t>利</w:t>
      </w:r>
      <w:r>
        <w:rPr>
          <w:rFonts w:ascii="Times New Roman" w:hAnsi="Times New Roman" w:eastAsia="宋体" w:cs="Times New Roman"/>
          <w:caps w:val="0"/>
          <w:smallCaps w:val="0"/>
          <w:color w:val="auto"/>
          <w:spacing w:val="0"/>
          <w:highlight w:val="none"/>
        </w:rPr>
        <w:t>息1026万元，流动资金3000万元。建设投资中43217万元由企业自筹，其中申请银行贷款；流动资金中900万元为铺底流动资金，其余申请银行贷款。</w:t>
      </w:r>
    </w:p>
    <w:p w14:paraId="6A8B8762">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③本项目碲化镉发电玻璃片，</w:t>
      </w:r>
      <w:r>
        <w:rPr>
          <w:rFonts w:hint="eastAsia" w:ascii="Times New Roman" w:hAnsi="Times New Roman" w:eastAsia="宋体" w:cs="Times New Roman"/>
          <w:caps w:val="0"/>
          <w:smallCaps w:val="0"/>
          <w:color w:val="auto"/>
          <w:spacing w:val="0"/>
          <w:highlight w:val="none"/>
        </w:rPr>
        <w:t>按</w:t>
      </w:r>
      <w:r>
        <w:rPr>
          <w:rFonts w:ascii="Times New Roman" w:hAnsi="Times New Roman" w:eastAsia="宋体" w:cs="Times New Roman"/>
          <w:caps w:val="0"/>
          <w:smallCaps w:val="0"/>
          <w:color w:val="auto"/>
          <w:spacing w:val="0"/>
          <w:highlight w:val="none"/>
        </w:rPr>
        <w:t>全部内销计算，预测项目投产后产品结合平均出厂价为3.90元/瓦（含税）。</w:t>
      </w:r>
    </w:p>
    <w:p w14:paraId="1673EEC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④根据国家有关税法规定，项目产品增值税税率为16%，企业所得税税率为25%。</w:t>
      </w:r>
    </w:p>
    <w:p w14:paraId="3D334FDF">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⑤偿还建设投资贷款的资金来源为企业未分配利润。</w:t>
      </w:r>
    </w:p>
    <w:p w14:paraId="69808391">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⑥评价基准收益率为10%。</w:t>
      </w:r>
    </w:p>
    <w:p w14:paraId="56820E8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（2）财务指标计算结果与分析</w:t>
      </w:r>
    </w:p>
    <w:p w14:paraId="670B52B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①财务指标计算结果</w:t>
      </w:r>
    </w:p>
    <w:p w14:paraId="7364922B">
      <w:pPr>
        <w:widowControl w:val="0"/>
        <w:spacing w:line="360" w:lineRule="auto"/>
        <w:ind w:firstLine="480" w:firstLineChars="200"/>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highlight w:val="none"/>
        </w:rPr>
        <w:t>本项目财务指标计算结果见表7.2-1。</w:t>
      </w:r>
    </w:p>
    <w:p w14:paraId="73E0142E">
      <w:pPr>
        <w:pStyle w:val="130"/>
        <w:widowControl w:val="0"/>
        <w:adjustRightInd w:val="0"/>
        <w:snapToGrid w:val="0"/>
        <w:spacing w:line="240" w:lineRule="auto"/>
        <w:rPr>
          <w:rFonts w:ascii="Times New Roman" w:hAnsi="Times New Roman" w:eastAsia="宋体" w:cs="Times New Roman"/>
          <w:caps w:val="0"/>
          <w:smallCaps w:val="0"/>
          <w:color w:val="auto"/>
          <w:spacing w:val="0"/>
          <w:sz w:val="24"/>
          <w:szCs w:val="24"/>
          <w:highlight w:val="none"/>
        </w:rPr>
      </w:pPr>
      <w:r>
        <w:rPr>
          <w:rFonts w:ascii="Times New Roman" w:hAnsi="Times New Roman" w:eastAsia="宋体" w:cs="Times New Roman"/>
          <w:caps w:val="0"/>
          <w:smallCaps w:val="0"/>
          <w:color w:val="auto"/>
          <w:spacing w:val="0"/>
          <w:sz w:val="24"/>
          <w:szCs w:val="24"/>
          <w:highlight w:val="none"/>
        </w:rPr>
        <w:t>表7.2-1财务指标计算结果</w:t>
      </w:r>
    </w:p>
    <w:tbl>
      <w:tblPr>
        <w:tblStyle w:val="38"/>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3544"/>
        <w:gridCol w:w="973"/>
        <w:gridCol w:w="1536"/>
        <w:gridCol w:w="2260"/>
      </w:tblGrid>
      <w:tr w14:paraId="11BEB1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op w:val="single" w:color="auto" w:sz="8" w:space="0"/>
            </w:tcBorders>
            <w:vAlign w:val="center"/>
          </w:tcPr>
          <w:p w14:paraId="05C9906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序号</w:t>
            </w:r>
          </w:p>
        </w:tc>
        <w:tc>
          <w:tcPr>
            <w:tcW w:w="0" w:type="auto"/>
            <w:tcBorders>
              <w:top w:val="single" w:color="auto" w:sz="8" w:space="0"/>
            </w:tcBorders>
            <w:vAlign w:val="center"/>
          </w:tcPr>
          <w:p w14:paraId="648E41A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经济效益指标</w:t>
            </w:r>
          </w:p>
        </w:tc>
        <w:tc>
          <w:tcPr>
            <w:tcW w:w="0" w:type="auto"/>
            <w:tcBorders>
              <w:top w:val="single" w:color="auto" w:sz="8" w:space="0"/>
            </w:tcBorders>
            <w:vAlign w:val="center"/>
          </w:tcPr>
          <w:p w14:paraId="05BF2C78">
            <w:pPr>
              <w:widowControl w:val="0"/>
              <w:spacing w:line="240" w:lineRule="auto"/>
              <w:jc w:val="center"/>
              <w:rPr>
                <w:rFonts w:ascii="Times New Roman" w:hAnsi="Times New Roman" w:eastAsia="宋体" w:cs="Times New Roman"/>
                <w:caps w:val="0"/>
                <w:smallCaps w:val="0"/>
                <w:color w:val="auto"/>
                <w:spacing w:val="0"/>
                <w:position w:val="3"/>
                <w:sz w:val="16"/>
                <w:highlight w:val="none"/>
              </w:rPr>
            </w:pPr>
            <w:r>
              <w:rPr>
                <w:rFonts w:ascii="Times New Roman" w:hAnsi="Times New Roman" w:eastAsia="宋体" w:cs="Times New Roman"/>
                <w:caps w:val="0"/>
                <w:smallCaps w:val="0"/>
                <w:color w:val="auto"/>
                <w:spacing w:val="0"/>
                <w:sz w:val="21"/>
                <w:highlight w:val="none"/>
              </w:rPr>
              <w:t>单位</w:t>
            </w:r>
          </w:p>
        </w:tc>
        <w:tc>
          <w:tcPr>
            <w:tcW w:w="0" w:type="auto"/>
            <w:tcBorders>
              <w:top w:val="single" w:color="auto" w:sz="8" w:space="0"/>
            </w:tcBorders>
            <w:vAlign w:val="center"/>
          </w:tcPr>
          <w:p w14:paraId="40089D7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数量</w:t>
            </w:r>
          </w:p>
        </w:tc>
        <w:tc>
          <w:tcPr>
            <w:tcW w:w="0" w:type="auto"/>
            <w:tcBorders>
              <w:top w:val="single" w:color="auto" w:sz="8" w:space="0"/>
            </w:tcBorders>
            <w:vAlign w:val="center"/>
          </w:tcPr>
          <w:p w14:paraId="2BC4DB7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备注</w:t>
            </w:r>
          </w:p>
        </w:tc>
      </w:tr>
      <w:tr w14:paraId="176A2C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4FA010E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w:t>
            </w:r>
          </w:p>
        </w:tc>
        <w:tc>
          <w:tcPr>
            <w:tcW w:w="0" w:type="auto"/>
            <w:vAlign w:val="center"/>
          </w:tcPr>
          <w:p w14:paraId="29B4C2A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年均销售收入</w:t>
            </w:r>
          </w:p>
        </w:tc>
        <w:tc>
          <w:tcPr>
            <w:tcW w:w="0" w:type="auto"/>
            <w:vAlign w:val="center"/>
          </w:tcPr>
          <w:p w14:paraId="32790AA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vAlign w:val="center"/>
          </w:tcPr>
          <w:p w14:paraId="7F9CD53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48568.00</w:t>
            </w:r>
          </w:p>
        </w:tc>
        <w:tc>
          <w:tcPr>
            <w:tcW w:w="0" w:type="auto"/>
            <w:vAlign w:val="center"/>
          </w:tcPr>
          <w:p w14:paraId="20BA8BB2">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5DFE45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360F18D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w:t>
            </w:r>
          </w:p>
        </w:tc>
        <w:tc>
          <w:tcPr>
            <w:tcW w:w="0" w:type="auto"/>
            <w:vAlign w:val="center"/>
          </w:tcPr>
          <w:p w14:paraId="3A66ED4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年均总成本费用</w:t>
            </w:r>
          </w:p>
        </w:tc>
        <w:tc>
          <w:tcPr>
            <w:tcW w:w="0" w:type="auto"/>
            <w:vAlign w:val="center"/>
          </w:tcPr>
          <w:p w14:paraId="1020C71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vAlign w:val="center"/>
          </w:tcPr>
          <w:p w14:paraId="2D00F17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32988.74</w:t>
            </w:r>
          </w:p>
        </w:tc>
        <w:tc>
          <w:tcPr>
            <w:tcW w:w="0" w:type="auto"/>
            <w:vAlign w:val="center"/>
          </w:tcPr>
          <w:p w14:paraId="31BA9C83">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5DEF9B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bottom w:val="single" w:color="auto" w:sz="8" w:space="0"/>
            </w:tcBorders>
            <w:vAlign w:val="center"/>
          </w:tcPr>
          <w:p w14:paraId="141F2D9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w:t>
            </w:r>
          </w:p>
        </w:tc>
        <w:tc>
          <w:tcPr>
            <w:tcW w:w="0" w:type="auto"/>
            <w:tcBorders>
              <w:bottom w:val="single" w:color="auto" w:sz="8" w:space="0"/>
            </w:tcBorders>
            <w:vAlign w:val="center"/>
          </w:tcPr>
          <w:p w14:paraId="41C33AB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年均增值税及其附加</w:t>
            </w:r>
          </w:p>
        </w:tc>
        <w:tc>
          <w:tcPr>
            <w:tcW w:w="0" w:type="auto"/>
            <w:tcBorders>
              <w:bottom w:val="single" w:color="auto" w:sz="8" w:space="0"/>
            </w:tcBorders>
            <w:vAlign w:val="center"/>
          </w:tcPr>
          <w:p w14:paraId="734BAE7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tcBorders>
              <w:bottom w:val="single" w:color="auto" w:sz="8" w:space="0"/>
            </w:tcBorders>
            <w:vAlign w:val="center"/>
          </w:tcPr>
          <w:p w14:paraId="7042EC1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4072.47</w:t>
            </w:r>
          </w:p>
        </w:tc>
        <w:tc>
          <w:tcPr>
            <w:tcW w:w="0" w:type="auto"/>
            <w:tcBorders>
              <w:bottom w:val="single" w:color="auto" w:sz="8" w:space="0"/>
            </w:tcBorders>
            <w:vAlign w:val="center"/>
          </w:tcPr>
          <w:p w14:paraId="656B5A66">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4EF928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op w:val="single" w:color="auto" w:sz="8" w:space="0"/>
            </w:tcBorders>
            <w:vAlign w:val="center"/>
          </w:tcPr>
          <w:p w14:paraId="7FA415A2">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w:t>
            </w:r>
          </w:p>
        </w:tc>
        <w:tc>
          <w:tcPr>
            <w:tcW w:w="0" w:type="auto"/>
            <w:tcBorders>
              <w:top w:val="single" w:color="auto" w:sz="8" w:space="0"/>
            </w:tcBorders>
            <w:vAlign w:val="center"/>
          </w:tcPr>
          <w:p w14:paraId="63BE884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年均利润总额</w:t>
            </w:r>
          </w:p>
        </w:tc>
        <w:tc>
          <w:tcPr>
            <w:tcW w:w="0" w:type="auto"/>
            <w:tcBorders>
              <w:top w:val="single" w:color="auto" w:sz="8" w:space="0"/>
            </w:tcBorders>
            <w:vAlign w:val="center"/>
          </w:tcPr>
          <w:p w14:paraId="6C816AF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tcBorders>
              <w:top w:val="single" w:color="auto" w:sz="8" w:space="0"/>
            </w:tcBorders>
            <w:vAlign w:val="center"/>
          </w:tcPr>
          <w:p w14:paraId="1417138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11506.77</w:t>
            </w:r>
          </w:p>
        </w:tc>
        <w:tc>
          <w:tcPr>
            <w:tcW w:w="0" w:type="auto"/>
            <w:tcBorders>
              <w:top w:val="single" w:color="auto" w:sz="8" w:space="0"/>
            </w:tcBorders>
            <w:vAlign w:val="center"/>
          </w:tcPr>
          <w:p w14:paraId="01CCC44A">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7C9412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348719B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5</w:t>
            </w:r>
          </w:p>
        </w:tc>
        <w:tc>
          <w:tcPr>
            <w:tcW w:w="0" w:type="auto"/>
            <w:vAlign w:val="center"/>
          </w:tcPr>
          <w:p w14:paraId="2456AAF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年均所得税</w:t>
            </w:r>
          </w:p>
        </w:tc>
        <w:tc>
          <w:tcPr>
            <w:tcW w:w="0" w:type="auto"/>
            <w:vAlign w:val="center"/>
          </w:tcPr>
          <w:p w14:paraId="28C48D3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vAlign w:val="center"/>
          </w:tcPr>
          <w:p w14:paraId="307F576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2876.69</w:t>
            </w:r>
          </w:p>
        </w:tc>
        <w:tc>
          <w:tcPr>
            <w:tcW w:w="0" w:type="auto"/>
            <w:vAlign w:val="center"/>
          </w:tcPr>
          <w:p w14:paraId="33E46299">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1198E7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3634112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w:t>
            </w:r>
          </w:p>
        </w:tc>
        <w:tc>
          <w:tcPr>
            <w:tcW w:w="0" w:type="auto"/>
            <w:vAlign w:val="center"/>
          </w:tcPr>
          <w:p w14:paraId="766DA65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年均税后利润</w:t>
            </w:r>
          </w:p>
        </w:tc>
        <w:tc>
          <w:tcPr>
            <w:tcW w:w="0" w:type="auto"/>
            <w:vAlign w:val="center"/>
          </w:tcPr>
          <w:p w14:paraId="0058B11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vAlign w:val="center"/>
          </w:tcPr>
          <w:p w14:paraId="2DDDAC6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8630.08</w:t>
            </w:r>
          </w:p>
        </w:tc>
        <w:tc>
          <w:tcPr>
            <w:tcW w:w="0" w:type="auto"/>
            <w:vAlign w:val="center"/>
          </w:tcPr>
          <w:p w14:paraId="6CEB3F1B">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274252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38DB380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7</w:t>
            </w:r>
          </w:p>
        </w:tc>
        <w:tc>
          <w:tcPr>
            <w:tcW w:w="0" w:type="auto"/>
            <w:vAlign w:val="center"/>
          </w:tcPr>
          <w:p w14:paraId="478C7EF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投资财务净现值</w:t>
            </w:r>
          </w:p>
        </w:tc>
        <w:tc>
          <w:tcPr>
            <w:tcW w:w="0" w:type="auto"/>
            <w:vAlign w:val="center"/>
          </w:tcPr>
          <w:p w14:paraId="43056C9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万元</w:t>
            </w:r>
          </w:p>
        </w:tc>
        <w:tc>
          <w:tcPr>
            <w:tcW w:w="0" w:type="auto"/>
            <w:vAlign w:val="center"/>
          </w:tcPr>
          <w:p w14:paraId="31554DA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38155.31</w:t>
            </w:r>
          </w:p>
        </w:tc>
        <w:tc>
          <w:tcPr>
            <w:tcW w:w="0" w:type="auto"/>
            <w:vAlign w:val="center"/>
          </w:tcPr>
          <w:p w14:paraId="1CB9478F">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23528E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4DB12D4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w:t>
            </w:r>
          </w:p>
        </w:tc>
        <w:tc>
          <w:tcPr>
            <w:tcW w:w="0" w:type="auto"/>
            <w:vAlign w:val="center"/>
          </w:tcPr>
          <w:p w14:paraId="15ECA2E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财务内部收益率</w:t>
            </w:r>
          </w:p>
        </w:tc>
        <w:tc>
          <w:tcPr>
            <w:tcW w:w="0" w:type="auto"/>
            <w:vAlign w:val="center"/>
          </w:tcPr>
          <w:p w14:paraId="2E161CB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0" w:type="auto"/>
            <w:vAlign w:val="center"/>
          </w:tcPr>
          <w:p w14:paraId="3D736D95">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17.11</w:t>
            </w:r>
          </w:p>
        </w:tc>
        <w:tc>
          <w:tcPr>
            <w:tcW w:w="0" w:type="auto"/>
            <w:vAlign w:val="center"/>
          </w:tcPr>
          <w:p w14:paraId="0496D498">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6CF6FC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2856A43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9</w:t>
            </w:r>
          </w:p>
        </w:tc>
        <w:tc>
          <w:tcPr>
            <w:tcW w:w="0" w:type="auto"/>
            <w:vAlign w:val="center"/>
          </w:tcPr>
          <w:p w14:paraId="228612D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资本金财务内部收益率</w:t>
            </w:r>
          </w:p>
        </w:tc>
        <w:tc>
          <w:tcPr>
            <w:tcW w:w="0" w:type="auto"/>
            <w:vAlign w:val="center"/>
          </w:tcPr>
          <w:p w14:paraId="55D52CF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0" w:type="auto"/>
            <w:vAlign w:val="center"/>
          </w:tcPr>
          <w:p w14:paraId="2DBA4A6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16.53</w:t>
            </w:r>
          </w:p>
        </w:tc>
        <w:tc>
          <w:tcPr>
            <w:tcW w:w="0" w:type="auto"/>
            <w:vAlign w:val="center"/>
          </w:tcPr>
          <w:p w14:paraId="5E333369">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21824E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6EEABA6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w:t>
            </w:r>
          </w:p>
        </w:tc>
        <w:tc>
          <w:tcPr>
            <w:tcW w:w="0" w:type="auto"/>
            <w:vAlign w:val="center"/>
          </w:tcPr>
          <w:p w14:paraId="134F0DCB">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总投资收益率</w:t>
            </w:r>
          </w:p>
        </w:tc>
        <w:tc>
          <w:tcPr>
            <w:tcW w:w="0" w:type="auto"/>
            <w:vAlign w:val="center"/>
          </w:tcPr>
          <w:p w14:paraId="75104C58">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0" w:type="auto"/>
            <w:vAlign w:val="center"/>
          </w:tcPr>
          <w:p w14:paraId="0141957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13.50</w:t>
            </w:r>
          </w:p>
        </w:tc>
        <w:tc>
          <w:tcPr>
            <w:tcW w:w="0" w:type="auto"/>
            <w:vAlign w:val="center"/>
          </w:tcPr>
          <w:p w14:paraId="5D042D53">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7EF9F4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25C3CEC2">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11</w:t>
            </w:r>
          </w:p>
        </w:tc>
        <w:tc>
          <w:tcPr>
            <w:tcW w:w="0" w:type="auto"/>
            <w:vAlign w:val="center"/>
          </w:tcPr>
          <w:p w14:paraId="246A08E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资本金净利润率</w:t>
            </w:r>
          </w:p>
        </w:tc>
        <w:tc>
          <w:tcPr>
            <w:tcW w:w="0" w:type="auto"/>
            <w:vAlign w:val="center"/>
          </w:tcPr>
          <w:p w14:paraId="5F8888A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0" w:type="auto"/>
            <w:vAlign w:val="center"/>
          </w:tcPr>
          <w:p w14:paraId="4D5FBBB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19.56</w:t>
            </w:r>
          </w:p>
        </w:tc>
        <w:tc>
          <w:tcPr>
            <w:tcW w:w="0" w:type="auto"/>
            <w:vAlign w:val="center"/>
          </w:tcPr>
          <w:p w14:paraId="344CD930">
            <w:pPr>
              <w:widowControl w:val="0"/>
              <w:spacing w:line="240" w:lineRule="auto"/>
              <w:jc w:val="center"/>
              <w:rPr>
                <w:rFonts w:ascii="Times New Roman" w:hAnsi="Times New Roman" w:eastAsia="宋体" w:cs="Times New Roman"/>
                <w:caps w:val="0"/>
                <w:smallCaps w:val="0"/>
                <w:color w:val="auto"/>
                <w:spacing w:val="0"/>
                <w:sz w:val="21"/>
                <w:highlight w:val="none"/>
              </w:rPr>
            </w:pPr>
          </w:p>
        </w:tc>
      </w:tr>
      <w:tr w14:paraId="364405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41F63CD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12</w:t>
            </w:r>
          </w:p>
        </w:tc>
        <w:tc>
          <w:tcPr>
            <w:tcW w:w="0" w:type="auto"/>
            <w:vAlign w:val="center"/>
          </w:tcPr>
          <w:p w14:paraId="2EFA519A">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投资回收期</w:t>
            </w:r>
          </w:p>
        </w:tc>
        <w:tc>
          <w:tcPr>
            <w:tcW w:w="0" w:type="auto"/>
            <w:vAlign w:val="center"/>
          </w:tcPr>
          <w:p w14:paraId="630E0DD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年</w:t>
            </w:r>
          </w:p>
        </w:tc>
        <w:tc>
          <w:tcPr>
            <w:tcW w:w="0" w:type="auto"/>
            <w:vAlign w:val="center"/>
          </w:tcPr>
          <w:p w14:paraId="46111F5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6.46</w:t>
            </w:r>
          </w:p>
        </w:tc>
        <w:tc>
          <w:tcPr>
            <w:tcW w:w="0" w:type="auto"/>
            <w:vAlign w:val="center"/>
          </w:tcPr>
          <w:p w14:paraId="47451636">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含1年建设期</w:t>
            </w:r>
          </w:p>
        </w:tc>
      </w:tr>
      <w:tr w14:paraId="5CFE33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0C19EF6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w:t>
            </w:r>
          </w:p>
        </w:tc>
        <w:tc>
          <w:tcPr>
            <w:tcW w:w="0" w:type="auto"/>
            <w:vAlign w:val="center"/>
          </w:tcPr>
          <w:p w14:paraId="5B93A79F">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资产负债率</w:t>
            </w:r>
          </w:p>
        </w:tc>
        <w:tc>
          <w:tcPr>
            <w:tcW w:w="0" w:type="auto"/>
            <w:vAlign w:val="center"/>
          </w:tcPr>
          <w:p w14:paraId="00E2EEA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0" w:type="auto"/>
            <w:vAlign w:val="center"/>
          </w:tcPr>
          <w:p w14:paraId="3764DBC1">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46.39</w:t>
            </w:r>
          </w:p>
        </w:tc>
        <w:tc>
          <w:tcPr>
            <w:tcW w:w="0" w:type="auto"/>
            <w:vAlign w:val="center"/>
          </w:tcPr>
          <w:p w14:paraId="114B2E70">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经营期第1年</w:t>
            </w:r>
          </w:p>
        </w:tc>
      </w:tr>
      <w:tr w14:paraId="0A62B9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3CFD80E3">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w:t>
            </w:r>
          </w:p>
        </w:tc>
        <w:tc>
          <w:tcPr>
            <w:tcW w:w="0" w:type="auto"/>
            <w:vAlign w:val="center"/>
          </w:tcPr>
          <w:p w14:paraId="7A0EC06D">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利息备付率</w:t>
            </w:r>
          </w:p>
        </w:tc>
        <w:tc>
          <w:tcPr>
            <w:tcW w:w="0" w:type="auto"/>
            <w:vAlign w:val="center"/>
          </w:tcPr>
          <w:p w14:paraId="44EC91DC">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0" w:type="auto"/>
            <w:vAlign w:val="center"/>
          </w:tcPr>
          <w:p w14:paraId="5B41EB14">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10.34</w:t>
            </w:r>
          </w:p>
        </w:tc>
        <w:tc>
          <w:tcPr>
            <w:tcW w:w="0" w:type="auto"/>
            <w:vAlign w:val="center"/>
          </w:tcPr>
          <w:p w14:paraId="040FFEAC">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偿还期内平均</w:t>
            </w:r>
          </w:p>
        </w:tc>
      </w:tr>
      <w:tr w14:paraId="023A8F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bottom w:val="single" w:color="auto" w:sz="8" w:space="0"/>
            </w:tcBorders>
            <w:vAlign w:val="center"/>
          </w:tcPr>
          <w:p w14:paraId="24E5608E">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15</w:t>
            </w:r>
          </w:p>
        </w:tc>
        <w:tc>
          <w:tcPr>
            <w:tcW w:w="0" w:type="auto"/>
            <w:tcBorders>
              <w:bottom w:val="single" w:color="auto" w:sz="8" w:space="0"/>
            </w:tcBorders>
            <w:vAlign w:val="center"/>
          </w:tcPr>
          <w:p w14:paraId="6E362A97">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偿债备付率</w:t>
            </w:r>
          </w:p>
        </w:tc>
        <w:tc>
          <w:tcPr>
            <w:tcW w:w="0" w:type="auto"/>
            <w:tcBorders>
              <w:bottom w:val="single" w:color="auto" w:sz="8" w:space="0"/>
            </w:tcBorders>
            <w:vAlign w:val="center"/>
          </w:tcPr>
          <w:p w14:paraId="2828B967">
            <w:pPr>
              <w:widowControl w:val="0"/>
              <w:spacing w:line="240" w:lineRule="auto"/>
              <w:jc w:val="center"/>
              <w:rPr>
                <w:rFonts w:ascii="Times New Roman" w:hAnsi="Times New Roman" w:eastAsia="宋体" w:cs="Times New Roman"/>
                <w:caps w:val="0"/>
                <w:smallCaps w:val="0"/>
                <w:color w:val="auto"/>
                <w:spacing w:val="0"/>
                <w:sz w:val="21"/>
                <w:highlight w:val="none"/>
              </w:rPr>
            </w:pPr>
          </w:p>
        </w:tc>
        <w:tc>
          <w:tcPr>
            <w:tcW w:w="0" w:type="auto"/>
            <w:tcBorders>
              <w:bottom w:val="single" w:color="auto" w:sz="8" w:space="0"/>
            </w:tcBorders>
            <w:vAlign w:val="center"/>
          </w:tcPr>
          <w:p w14:paraId="49636F19">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1.36</w:t>
            </w:r>
          </w:p>
        </w:tc>
        <w:tc>
          <w:tcPr>
            <w:tcW w:w="0" w:type="auto"/>
            <w:tcBorders>
              <w:bottom w:val="single" w:color="auto" w:sz="8" w:space="0"/>
            </w:tcBorders>
            <w:vAlign w:val="center"/>
          </w:tcPr>
          <w:p w14:paraId="17AF3972">
            <w:pPr>
              <w:widowControl w:val="0"/>
              <w:spacing w:line="240" w:lineRule="auto"/>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偿还期内平均</w:t>
            </w:r>
          </w:p>
        </w:tc>
      </w:tr>
    </w:tbl>
    <w:p w14:paraId="0034A40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②盈利能力分析</w:t>
      </w:r>
    </w:p>
    <w:p w14:paraId="00016FE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财务内部收益率达到17.11%，资本金收益率为16.53%，均高于评价项目的基准收益率10%，投资回收期为6.46年（含建设期），总投资收益率13.50%，资本金净利润率19.56%，生产期内年均税后利润8630.08万元，本项目具有较强的盈利能力。</w:t>
      </w:r>
    </w:p>
    <w:p w14:paraId="555B6B5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③偿还能力分析</w:t>
      </w:r>
    </w:p>
    <w:p w14:paraId="338AA72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按5年等额还本付息计算，借款偿还期内利息备付率平均为10.34，偿债备付率平均为1.36，本项目偿债能力较强。</w:t>
      </w:r>
    </w:p>
    <w:p w14:paraId="49496437">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3、不确定性分析</w:t>
      </w:r>
    </w:p>
    <w:p w14:paraId="2AD435C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盈亏</w:t>
      </w:r>
      <w:r>
        <w:rPr>
          <w:rFonts w:hint="eastAsia" w:ascii="Times New Roman" w:hAnsi="Times New Roman" w:eastAsia="宋体" w:cs="Times New Roman"/>
          <w:caps w:val="0"/>
          <w:smallCaps w:val="0"/>
          <w:color w:val="auto"/>
          <w:spacing w:val="0"/>
          <w:highlight w:val="none"/>
        </w:rPr>
        <w:t>平衡</w:t>
      </w:r>
      <w:r>
        <w:rPr>
          <w:rFonts w:ascii="Times New Roman" w:hAnsi="Times New Roman" w:eastAsia="宋体" w:cs="Times New Roman"/>
          <w:caps w:val="0"/>
          <w:smallCaps w:val="0"/>
          <w:color w:val="auto"/>
          <w:spacing w:val="0"/>
          <w:highlight w:val="none"/>
        </w:rPr>
        <w:t>分析是在一定的市场前提下，研究项目费用与收益的平衡关系的方法。项目盈利与亏损的转折点即为盈亏平衡点。依据本项目达产年产品产量、成本费用、售价以及增值税及附加等计算参数，计算得出达产年项目的盈亏平衡点生产能力利用率为53.24%，项目达产</w:t>
      </w:r>
      <w:r>
        <w:rPr>
          <w:rFonts w:hint="eastAsia" w:ascii="Times New Roman" w:hAnsi="Times New Roman" w:eastAsia="宋体" w:cs="Times New Roman"/>
          <w:caps w:val="0"/>
          <w:smallCaps w:val="0"/>
          <w:color w:val="auto"/>
          <w:spacing w:val="0"/>
          <w:highlight w:val="none"/>
        </w:rPr>
        <w:t>年</w:t>
      </w:r>
      <w:r>
        <w:rPr>
          <w:rFonts w:ascii="Times New Roman" w:hAnsi="Times New Roman" w:eastAsia="宋体" w:cs="Times New Roman"/>
          <w:caps w:val="0"/>
          <w:smallCaps w:val="0"/>
          <w:color w:val="auto"/>
          <w:spacing w:val="0"/>
          <w:highlight w:val="none"/>
        </w:rPr>
        <w:t>产量为126MW，盈亏平衡点产量为67.08MW，产量安全盈余为58.92%。</w:t>
      </w:r>
    </w:p>
    <w:p w14:paraId="6B35D7B2">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即在其它条件不变的情况下，本项目年产量只要不低于67.08MW，企业就不会发生亏损，产量安全盈余较大，表明具有较强的适应市场变动能力。</w:t>
      </w:r>
    </w:p>
    <w:p w14:paraId="24B14A6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财务计算结果表明，本项目具有较强的</w:t>
      </w:r>
      <w:r>
        <w:rPr>
          <w:rFonts w:hint="eastAsia" w:ascii="Times New Roman" w:hAnsi="Times New Roman" w:eastAsia="宋体" w:cs="Times New Roman"/>
          <w:caps w:val="0"/>
          <w:smallCaps w:val="0"/>
          <w:color w:val="auto"/>
          <w:spacing w:val="0"/>
          <w:highlight w:val="none"/>
        </w:rPr>
        <w:t>盈利</w:t>
      </w:r>
      <w:r>
        <w:rPr>
          <w:rFonts w:ascii="Times New Roman" w:hAnsi="Times New Roman" w:eastAsia="宋体" w:cs="Times New Roman"/>
          <w:caps w:val="0"/>
          <w:smallCaps w:val="0"/>
          <w:color w:val="auto"/>
          <w:spacing w:val="0"/>
          <w:highlight w:val="none"/>
        </w:rPr>
        <w:t>能力、偿债能力和财务生存能力，不确定性分析表</w:t>
      </w:r>
      <w:r>
        <w:rPr>
          <w:rFonts w:hint="eastAsia" w:ascii="Times New Roman" w:hAnsi="Times New Roman" w:eastAsia="宋体" w:cs="Times New Roman"/>
          <w:caps w:val="0"/>
          <w:smallCaps w:val="0"/>
          <w:color w:val="auto"/>
          <w:spacing w:val="0"/>
          <w:highlight w:val="none"/>
        </w:rPr>
        <w:t>明本</w:t>
      </w:r>
      <w:r>
        <w:rPr>
          <w:rFonts w:ascii="Times New Roman" w:hAnsi="Times New Roman" w:eastAsia="宋体" w:cs="Times New Roman"/>
          <w:caps w:val="0"/>
          <w:smallCaps w:val="0"/>
          <w:color w:val="auto"/>
          <w:spacing w:val="0"/>
          <w:highlight w:val="none"/>
        </w:rPr>
        <w:t>项目同时具有较强的抗风险能力，可以看出本项目在财务上是合理可行的。</w:t>
      </w:r>
    </w:p>
    <w:p w14:paraId="2F6B2503">
      <w:pPr>
        <w:pStyle w:val="4"/>
        <w:widowControl w:val="0"/>
        <w:rPr>
          <w:rFonts w:eastAsia="宋体"/>
          <w:caps w:val="0"/>
          <w:smallCaps w:val="0"/>
          <w:color w:val="auto"/>
          <w:spacing w:val="0"/>
          <w:highlight w:val="none"/>
        </w:rPr>
      </w:pPr>
      <w:bookmarkStart w:id="240" w:name="_Toc342462528"/>
      <w:bookmarkStart w:id="241" w:name="_Toc477952003"/>
      <w:bookmarkStart w:id="242" w:name="_Toc211850077"/>
      <w:bookmarkStart w:id="243" w:name="_Toc26741"/>
      <w:r>
        <w:rPr>
          <w:rFonts w:eastAsia="宋体"/>
          <w:caps w:val="0"/>
          <w:smallCaps w:val="0"/>
          <w:color w:val="auto"/>
          <w:spacing w:val="0"/>
          <w:highlight w:val="none"/>
        </w:rPr>
        <w:t>7.3工程社会效益分析</w:t>
      </w:r>
      <w:bookmarkEnd w:id="240"/>
      <w:bookmarkEnd w:id="241"/>
      <w:bookmarkEnd w:id="242"/>
      <w:bookmarkEnd w:id="243"/>
    </w:p>
    <w:p w14:paraId="2A4DE74E">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（1）本项目建设满足相关国家要求，同时本项目以生产高效弱光发电玻璃，既是新材料产业的</w:t>
      </w:r>
      <w:r>
        <w:rPr>
          <w:rFonts w:hint="eastAsia" w:ascii="Times New Roman" w:hAnsi="Times New Roman" w:eastAsia="宋体" w:cs="Times New Roman"/>
          <w:caps w:val="0"/>
          <w:smallCaps w:val="0"/>
          <w:color w:val="auto"/>
          <w:spacing w:val="0"/>
          <w:highlight w:val="none"/>
        </w:rPr>
        <w:t>具体</w:t>
      </w:r>
      <w:r>
        <w:rPr>
          <w:rFonts w:ascii="Times New Roman" w:hAnsi="Times New Roman" w:eastAsia="宋体" w:cs="Times New Roman"/>
          <w:caps w:val="0"/>
          <w:smallCaps w:val="0"/>
          <w:color w:val="auto"/>
          <w:spacing w:val="0"/>
          <w:highlight w:val="none"/>
        </w:rPr>
        <w:t>应用，也是新能源光伏发电产业链的核心环节，同时还是有利于节能、环保的太阳能产品的推广和应用，也是可持续发展的必然需求。</w:t>
      </w:r>
    </w:p>
    <w:p w14:paraId="1840FE3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（2）本项目建设符合国家及地方的产业政策，项目建成后不仅能为企业带来效益和活力，而且还能带动项目区多种经</w:t>
      </w:r>
      <w:r>
        <w:rPr>
          <w:rFonts w:hint="eastAsia" w:ascii="Times New Roman" w:hAnsi="Times New Roman" w:eastAsia="宋体" w:cs="Times New Roman"/>
          <w:caps w:val="0"/>
          <w:smallCaps w:val="0"/>
          <w:color w:val="auto"/>
          <w:spacing w:val="0"/>
          <w:highlight w:val="none"/>
        </w:rPr>
        <w:t>营企</w:t>
      </w:r>
      <w:r>
        <w:rPr>
          <w:rFonts w:ascii="Times New Roman" w:hAnsi="Times New Roman" w:eastAsia="宋体" w:cs="Times New Roman"/>
          <w:caps w:val="0"/>
          <w:smallCaps w:val="0"/>
          <w:color w:val="auto"/>
          <w:spacing w:val="0"/>
          <w:highlight w:val="none"/>
        </w:rPr>
        <w:t>业的发展，促进当地产业结构的进一步优化。</w:t>
      </w:r>
    </w:p>
    <w:p w14:paraId="232ECE9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（3）项目建成后，不仅增加企业自身的经济效益，而且可以给国家和地方增加税收</w:t>
      </w:r>
      <w:r>
        <w:rPr>
          <w:rFonts w:hint="eastAsia" w:ascii="Times New Roman" w:hAnsi="Times New Roman" w:eastAsia="宋体" w:cs="Times New Roman"/>
          <w:caps w:val="0"/>
          <w:smallCaps w:val="0"/>
          <w:color w:val="auto"/>
          <w:spacing w:val="0"/>
          <w:highlight w:val="none"/>
        </w:rPr>
        <w:t>，</w:t>
      </w:r>
      <w:r>
        <w:rPr>
          <w:rFonts w:ascii="Times New Roman" w:hAnsi="Times New Roman" w:eastAsia="宋体" w:cs="Times New Roman"/>
          <w:caps w:val="0"/>
          <w:smallCaps w:val="0"/>
          <w:color w:val="auto"/>
          <w:spacing w:val="0"/>
          <w:highlight w:val="none"/>
        </w:rPr>
        <w:t>增加人才引入，带动当地经济发展。</w:t>
      </w:r>
    </w:p>
    <w:p w14:paraId="3F374AB0">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4）本项目的实施还将扩大社会就业机会，使当地的部分剩余劳动力得到合理安排，为当地群众提供了就业机会、稳定的劳动岗位和较高的经济收入，有助于当地的经济发展，促进科技进步与当地社会的和谐发展都将起到积极的作用。</w:t>
      </w:r>
    </w:p>
    <w:p w14:paraId="19170D2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由以上分析可以看出，本项目在取得良好的经济效益的同时，还会为地方带来良好的社会效益。</w:t>
      </w:r>
    </w:p>
    <w:p w14:paraId="1BF8A8AC">
      <w:pPr>
        <w:pStyle w:val="4"/>
        <w:widowControl w:val="0"/>
        <w:rPr>
          <w:rFonts w:eastAsia="宋体"/>
          <w:caps w:val="0"/>
          <w:smallCaps w:val="0"/>
          <w:color w:val="auto"/>
          <w:spacing w:val="0"/>
          <w:highlight w:val="none"/>
        </w:rPr>
      </w:pPr>
      <w:bookmarkStart w:id="244" w:name="_Toc505951433"/>
      <w:bookmarkStart w:id="245" w:name="_Toc491703529"/>
      <w:bookmarkStart w:id="246" w:name="_Toc486865446"/>
      <w:bookmarkStart w:id="247" w:name="_Toc504746064"/>
      <w:bookmarkStart w:id="248" w:name="_Toc21538"/>
      <w:r>
        <w:rPr>
          <w:rFonts w:eastAsia="宋体"/>
          <w:caps w:val="0"/>
          <w:smallCaps w:val="0"/>
          <w:color w:val="auto"/>
          <w:spacing w:val="0"/>
          <w:highlight w:val="none"/>
        </w:rPr>
        <w:t>7.4环境效益分析</w:t>
      </w:r>
      <w:bookmarkEnd w:id="244"/>
      <w:bookmarkEnd w:id="245"/>
      <w:bookmarkEnd w:id="246"/>
      <w:bookmarkEnd w:id="247"/>
      <w:bookmarkEnd w:id="248"/>
    </w:p>
    <w:p w14:paraId="5EE34824">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本项目采用的废气、废水、噪声、固废等污染治理措施，达到了有效控制污染排放和保护环境的目的。环境保护投资的环境效益表现在以下方面：</w:t>
      </w:r>
    </w:p>
    <w:p w14:paraId="34B784D2">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(1)采取了合理有效的大气污染防治措施，确保污染物达标排放，可以有效降低对大气环境产生的不良影响，从而减小对周围人群健康的影响。</w:t>
      </w:r>
    </w:p>
    <w:p w14:paraId="42FF616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(2)项目含镉废水经污水处理</w:t>
      </w:r>
      <w:r>
        <w:rPr>
          <w:rFonts w:hint="eastAsia" w:ascii="Times New Roman" w:hAnsi="Times New Roman" w:eastAsia="宋体" w:cs="Times New Roman"/>
          <w:caps w:val="0"/>
          <w:smallCaps w:val="0"/>
          <w:color w:val="auto"/>
          <w:spacing w:val="0"/>
          <w:szCs w:val="24"/>
          <w:highlight w:val="none"/>
        </w:rPr>
        <w:t>设备</w:t>
      </w:r>
      <w:r>
        <w:rPr>
          <w:rFonts w:ascii="Times New Roman" w:hAnsi="Times New Roman" w:eastAsia="宋体" w:cs="Times New Roman"/>
          <w:caps w:val="0"/>
          <w:smallCaps w:val="0"/>
          <w:color w:val="auto"/>
          <w:spacing w:val="0"/>
          <w:szCs w:val="24"/>
          <w:highlight w:val="none"/>
        </w:rPr>
        <w:t>处理，显影清洗废水与含镉废水处理系统反渗透浓水一并采用三效蒸发工艺进行处理，产生的纯水回用于生产工序，实现废水零排放；其他生产废水，满足</w:t>
      </w:r>
      <w:r>
        <w:rPr>
          <w:rFonts w:eastAsia="宋体"/>
          <w:caps w:val="0"/>
          <w:smallCaps w:val="0"/>
          <w:color w:val="auto"/>
          <w:spacing w:val="0"/>
          <w:highlight w:val="none"/>
        </w:rPr>
        <w:t>《电池工业污染物排放标准》（GB30484-2013）表2太阳电池间接排放标准限值</w:t>
      </w:r>
      <w:r>
        <w:rPr>
          <w:rFonts w:ascii="Times New Roman" w:hAnsi="Times New Roman" w:eastAsia="宋体" w:cs="Times New Roman"/>
          <w:caps w:val="0"/>
          <w:smallCaps w:val="0"/>
          <w:color w:val="auto"/>
          <w:spacing w:val="0"/>
          <w:szCs w:val="24"/>
          <w:highlight w:val="none"/>
        </w:rPr>
        <w:t>，通过市政污水管网排入佳木斯高新区污水处理厂，对地表水影响较小。</w:t>
      </w:r>
    </w:p>
    <w:p w14:paraId="3650FDC8">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(3)本项目通过合理布局及采取针对性较强的噪声污染防治措施，如减振、隔声等，降低噪声污染，确保厂界噪声达标。生产期间厂区噪声只影响局部范围，对区域声环境影响较小。</w:t>
      </w:r>
    </w:p>
    <w:p w14:paraId="62E19DF7">
      <w:pPr>
        <w:widowControl w:val="0"/>
        <w:spacing w:line="360" w:lineRule="auto"/>
        <w:ind w:firstLine="480" w:firstLineChars="200"/>
        <w:jc w:val="both"/>
        <w:rPr>
          <w:rFonts w:ascii="Times New Roman" w:hAnsi="Times New Roman" w:eastAsia="宋体" w:cs="Times New Roman"/>
          <w:caps w:val="0"/>
          <w:smallCaps w:val="0"/>
          <w:color w:val="auto"/>
          <w:spacing w:val="0"/>
          <w:szCs w:val="22"/>
          <w:highlight w:val="none"/>
        </w:rPr>
      </w:pPr>
      <w:r>
        <w:rPr>
          <w:rFonts w:ascii="Times New Roman" w:hAnsi="Times New Roman" w:eastAsia="宋体" w:cs="Times New Roman"/>
          <w:caps w:val="0"/>
          <w:smallCaps w:val="0"/>
          <w:color w:val="auto"/>
          <w:spacing w:val="0"/>
          <w:szCs w:val="24"/>
          <w:highlight w:val="none"/>
        </w:rPr>
        <w:t>(4)生产过程中产生的固体废物经分类收集后，均得到了有效处理和处置，实现了零排放，减轻了建设项目对环境的影响</w:t>
      </w:r>
      <w:r>
        <w:rPr>
          <w:rFonts w:hint="eastAsia" w:ascii="Times New Roman" w:hAnsi="Times New Roman" w:eastAsia="宋体" w:cs="Times New Roman"/>
          <w:caps w:val="0"/>
          <w:smallCaps w:val="0"/>
          <w:color w:val="auto"/>
          <w:spacing w:val="0"/>
          <w:szCs w:val="24"/>
          <w:highlight w:val="none"/>
          <w:lang w:eastAsia="zh-CN"/>
        </w:rPr>
        <w:t>。</w:t>
      </w:r>
    </w:p>
    <w:p w14:paraId="083D7DDC">
      <w:pPr>
        <w:pStyle w:val="4"/>
        <w:widowControl w:val="0"/>
        <w:rPr>
          <w:rFonts w:eastAsia="宋体"/>
          <w:b w:val="0"/>
          <w:bCs w:val="0"/>
          <w:caps w:val="0"/>
          <w:smallCaps w:val="0"/>
          <w:color w:val="auto"/>
          <w:spacing w:val="0"/>
          <w:highlight w:val="none"/>
        </w:rPr>
      </w:pPr>
      <w:bookmarkStart w:id="249" w:name="_Toc504746066"/>
      <w:bookmarkStart w:id="250" w:name="_Toc505951435"/>
      <w:bookmarkStart w:id="251" w:name="_Toc486865449"/>
      <w:bookmarkStart w:id="252" w:name="_Toc491703532"/>
      <w:bookmarkStart w:id="253" w:name="_Toc30538"/>
      <w:r>
        <w:rPr>
          <w:rFonts w:eastAsia="宋体"/>
          <w:caps w:val="0"/>
          <w:smallCaps w:val="0"/>
          <w:color w:val="auto"/>
          <w:spacing w:val="0"/>
          <w:highlight w:val="none"/>
        </w:rPr>
        <w:t>7.5环境经济损益分析结论</w:t>
      </w:r>
      <w:bookmarkEnd w:id="249"/>
      <w:bookmarkEnd w:id="250"/>
      <w:bookmarkEnd w:id="251"/>
      <w:bookmarkEnd w:id="252"/>
      <w:bookmarkEnd w:id="253"/>
    </w:p>
    <w:p w14:paraId="743D00E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项目在落实本评价所提出各项污染防治措施的前提下，拟建项目的建设能够达到经济效益、社会效益和环境效益相统一，该工程通过必要的环保投资，可以收到预期效果，不仅减少了因项目建设对周围环境的污染和危害，而且可使环境得到适当的保护。可见，该项目建设</w:t>
      </w:r>
      <w:r>
        <w:rPr>
          <w:rFonts w:ascii="Times New Roman" w:hAnsi="Times New Roman" w:eastAsia="宋体" w:cs="Times New Roman"/>
          <w:caps w:val="0"/>
          <w:smallCaps w:val="0"/>
          <w:color w:val="auto"/>
          <w:spacing w:val="0"/>
          <w:kern w:val="0"/>
          <w:highlight w:val="none"/>
        </w:rPr>
        <w:t>具有良好的经济、社会和环境效益。</w:t>
      </w:r>
      <w:r>
        <w:rPr>
          <w:rFonts w:ascii="Times New Roman" w:hAnsi="Times New Roman" w:eastAsia="宋体" w:cs="Times New Roman"/>
          <w:caps w:val="0"/>
          <w:smallCaps w:val="0"/>
          <w:color w:val="auto"/>
          <w:spacing w:val="0"/>
          <w:highlight w:val="none"/>
        </w:rPr>
        <w:t>拟建项目的建设满足可持续发展的要求，因此本项目的建设从环境经济损益的角度分析是可行的。</w:t>
      </w:r>
    </w:p>
    <w:p w14:paraId="3C6CFD57">
      <w:pPr>
        <w:widowControl w:val="0"/>
        <w:spacing w:line="360" w:lineRule="auto"/>
        <w:ind w:firstLine="442"/>
        <w:rPr>
          <w:rFonts w:ascii="Times New Roman" w:hAnsi="Times New Roman" w:eastAsia="宋体" w:cs="Times New Roman"/>
          <w:caps w:val="0"/>
          <w:smallCaps w:val="0"/>
          <w:color w:val="auto"/>
          <w:spacing w:val="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33" w:charSpace="-3847"/>
        </w:sectPr>
      </w:pPr>
    </w:p>
    <w:p w14:paraId="3841CD0D">
      <w:pPr>
        <w:pStyle w:val="3"/>
        <w:widowControl w:val="0"/>
        <w:spacing w:before="0" w:after="0" w:line="360" w:lineRule="auto"/>
        <w:rPr>
          <w:rFonts w:ascii="Times New Roman" w:hAnsi="Times New Roman" w:eastAsia="宋体" w:cs="Times New Roman"/>
          <w:caps w:val="0"/>
          <w:smallCaps w:val="0"/>
          <w:color w:val="auto"/>
          <w:spacing w:val="0"/>
          <w:highlight w:val="none"/>
        </w:rPr>
      </w:pPr>
      <w:bookmarkStart w:id="254" w:name="_Toc477952007"/>
      <w:bookmarkStart w:id="255" w:name="_Toc4280"/>
      <w:r>
        <w:rPr>
          <w:rFonts w:ascii="Times New Roman" w:hAnsi="Times New Roman" w:eastAsia="宋体" w:cs="Times New Roman"/>
          <w:caps w:val="0"/>
          <w:smallCaps w:val="0"/>
          <w:color w:val="auto"/>
          <w:spacing w:val="0"/>
          <w:highlight w:val="none"/>
        </w:rPr>
        <w:t>8环境管理与监测计划</w:t>
      </w:r>
      <w:bookmarkEnd w:id="254"/>
      <w:bookmarkEnd w:id="255"/>
    </w:p>
    <w:p w14:paraId="71BD2D1B">
      <w:pPr>
        <w:pStyle w:val="4"/>
        <w:widowControl w:val="0"/>
        <w:rPr>
          <w:rFonts w:eastAsia="宋体"/>
          <w:caps w:val="0"/>
          <w:smallCaps w:val="0"/>
          <w:color w:val="auto"/>
          <w:spacing w:val="0"/>
          <w:highlight w:val="none"/>
        </w:rPr>
      </w:pPr>
      <w:bookmarkStart w:id="256" w:name="_Toc23408"/>
      <w:r>
        <w:rPr>
          <w:rFonts w:eastAsia="宋体"/>
          <w:caps w:val="0"/>
          <w:smallCaps w:val="0"/>
          <w:color w:val="auto"/>
          <w:spacing w:val="0"/>
          <w:highlight w:val="none"/>
        </w:rPr>
        <w:t>8.1环境管理的意义</w:t>
      </w:r>
      <w:bookmarkEnd w:id="256"/>
    </w:p>
    <w:p w14:paraId="483D4AD4">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环境管理是企业管理的一项重要内容。加强环境监督管理力度，是实现环境、生产、经济协调发展和走可持续发展道路的重要保证。实践证明，要解决好企业的环境问题、首先必须强化企业的环境管理，由于企业的产品产出与“三废”的排放是生产过程同时存在的两个方面，因此，企业的环境管理实质上是生产管理的主要内容之一，其目的是在发展生产的同时，对污染物的排放实行必要的控制，保护环境质量，以实现环境效益、社会效益、经济效益的统一。</w:t>
      </w:r>
    </w:p>
    <w:p w14:paraId="0C7BC27C">
      <w:pPr>
        <w:pStyle w:val="4"/>
        <w:widowControl w:val="0"/>
        <w:rPr>
          <w:rFonts w:eastAsia="宋体"/>
          <w:caps w:val="0"/>
          <w:smallCaps w:val="0"/>
          <w:color w:val="auto"/>
          <w:spacing w:val="0"/>
          <w:highlight w:val="none"/>
        </w:rPr>
      </w:pPr>
      <w:bookmarkStart w:id="257" w:name="_Toc10624"/>
      <w:bookmarkStart w:id="258" w:name="_Toc5264"/>
      <w:bookmarkStart w:id="259" w:name="_Toc5656"/>
      <w:bookmarkStart w:id="260" w:name="_Toc5934"/>
      <w:bookmarkStart w:id="261" w:name="_Toc514241324"/>
      <w:bookmarkStart w:id="262" w:name="_Toc514331094"/>
      <w:r>
        <w:rPr>
          <w:rFonts w:eastAsia="宋体"/>
          <w:caps w:val="0"/>
          <w:smallCaps w:val="0"/>
          <w:color w:val="auto"/>
          <w:spacing w:val="0"/>
          <w:highlight w:val="none"/>
        </w:rPr>
        <w:t>8.2环境管理</w:t>
      </w:r>
      <w:bookmarkEnd w:id="257"/>
      <w:bookmarkEnd w:id="258"/>
      <w:bookmarkEnd w:id="259"/>
      <w:bookmarkEnd w:id="260"/>
    </w:p>
    <w:p w14:paraId="263C5E6B">
      <w:pPr>
        <w:pStyle w:val="5"/>
        <w:rPr>
          <w:rFonts w:eastAsia="宋体"/>
          <w:caps w:val="0"/>
          <w:smallCaps w:val="0"/>
          <w:color w:val="auto"/>
          <w:spacing w:val="0"/>
          <w:highlight w:val="none"/>
        </w:rPr>
      </w:pPr>
      <w:bookmarkStart w:id="263" w:name="_Toc202849394"/>
      <w:bookmarkStart w:id="264" w:name="_Toc6670"/>
      <w:bookmarkStart w:id="265" w:name="_Toc3967033"/>
      <w:bookmarkStart w:id="266" w:name="_Toc234919578"/>
      <w:bookmarkStart w:id="267" w:name="_Toc186421429"/>
      <w:bookmarkStart w:id="268" w:name="_Toc429346212"/>
      <w:bookmarkStart w:id="269" w:name="_Toc155235253"/>
      <w:bookmarkStart w:id="270" w:name="_Toc7341657"/>
      <w:bookmarkStart w:id="271" w:name="_Toc11635"/>
      <w:r>
        <w:rPr>
          <w:rFonts w:eastAsia="宋体"/>
          <w:caps w:val="0"/>
          <w:smallCaps w:val="0"/>
          <w:color w:val="auto"/>
          <w:spacing w:val="0"/>
          <w:highlight w:val="none"/>
        </w:rPr>
        <w:t>8.2.1环境管理机构及职责</w:t>
      </w:r>
      <w:bookmarkEnd w:id="263"/>
      <w:bookmarkEnd w:id="264"/>
      <w:bookmarkEnd w:id="265"/>
      <w:bookmarkEnd w:id="266"/>
      <w:bookmarkEnd w:id="267"/>
      <w:bookmarkEnd w:id="268"/>
      <w:bookmarkEnd w:id="269"/>
      <w:bookmarkEnd w:id="270"/>
      <w:bookmarkEnd w:id="271"/>
    </w:p>
    <w:p w14:paraId="48820D31">
      <w:pPr>
        <w:pStyle w:val="6"/>
        <w:rPr>
          <w:rFonts w:eastAsia="宋体"/>
          <w:caps w:val="0"/>
          <w:smallCaps w:val="0"/>
          <w:color w:val="auto"/>
          <w:spacing w:val="0"/>
          <w:highlight w:val="none"/>
        </w:rPr>
      </w:pPr>
      <w:r>
        <w:rPr>
          <w:rFonts w:eastAsia="宋体"/>
          <w:caps w:val="0"/>
          <w:smallCaps w:val="0"/>
          <w:color w:val="auto"/>
          <w:spacing w:val="0"/>
          <w:highlight w:val="none"/>
        </w:rPr>
        <w:t>8.2.1.1环境管理机构</w:t>
      </w:r>
    </w:p>
    <w:p w14:paraId="134D8E21">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环境管理的基本任务是控制污染物的排放量和避免或减轻排出污染物对环境的损害。为了控制污染物的排放，就需要加强计划、生产、技术、质量、设备、劳动等方面的管理，把环境管理渗透到整个企业的管理中，将环境目标与生产目标融合在一起，减少生产各环节排出污染物。</w:t>
      </w:r>
    </w:p>
    <w:p w14:paraId="71F52142">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1）环境管理机构分为企业外部环境管理机构和企业内部环境管理机构。企业外部环境管理机构指政府性环境管理机构，主要有国家生态环境部、黑龙江省生态环境厅、佳木斯市生态环境局等；企业内部环境管理机构是指本公司所建立的环境保护专门机构。</w:t>
      </w:r>
    </w:p>
    <w:p w14:paraId="6AC7919F">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2）企业内部环境管理机构作为企业管理体系中的一部分，建设单位应重视环境保护工作，并设置专门从事环境管理的机构，配备专职环保人员，负责环境监督管理工作，同时要加强对管理人员的环保培训，不断提高管理水平。</w:t>
      </w:r>
    </w:p>
    <w:p w14:paraId="12A54A19">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（3）根据本项目的污染特点，施工建设期，企业指定环境主管负责环境保护管理工作，专门负责建设项目环境影响评价、环境监理、“三同时”竣工验收、施工期环境监测等工作。</w:t>
      </w:r>
    </w:p>
    <w:p w14:paraId="43F08FA9">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生产运行期，企业由总经理作为总负</w:t>
      </w:r>
      <w:r>
        <w:rPr>
          <w:rFonts w:hint="eastAsia" w:ascii="Times New Roman" w:hAnsi="Times New Roman" w:eastAsia="宋体" w:cs="Times New Roman"/>
          <w:caps w:val="0"/>
          <w:smallCaps w:val="0"/>
          <w:color w:val="auto"/>
          <w:spacing w:val="0"/>
          <w:szCs w:val="24"/>
          <w:highlight w:val="none"/>
        </w:rPr>
        <w:t>责人</w:t>
      </w:r>
      <w:r>
        <w:rPr>
          <w:rFonts w:ascii="Times New Roman" w:hAnsi="Times New Roman" w:eastAsia="宋体" w:cs="Times New Roman"/>
          <w:caps w:val="0"/>
          <w:smallCaps w:val="0"/>
          <w:color w:val="auto"/>
          <w:spacing w:val="0"/>
          <w:szCs w:val="24"/>
          <w:highlight w:val="none"/>
        </w:rPr>
        <w:t>，环境主管分管环保。负责工程的环保设施运行、节能减排、环境监测、环境污染事故处理及配合当地环保部门环保执法等工作。通过以上环境管理机构和人员设置，企业形成了完善的环境管理机构体系。</w:t>
      </w:r>
    </w:p>
    <w:p w14:paraId="6DBF2C11">
      <w:pPr>
        <w:pStyle w:val="6"/>
        <w:rPr>
          <w:rFonts w:eastAsia="宋体"/>
          <w:caps w:val="0"/>
          <w:smallCaps w:val="0"/>
          <w:color w:val="auto"/>
          <w:spacing w:val="0"/>
          <w:highlight w:val="none"/>
        </w:rPr>
      </w:pPr>
      <w:r>
        <w:rPr>
          <w:rFonts w:eastAsia="宋体"/>
          <w:caps w:val="0"/>
          <w:smallCaps w:val="0"/>
          <w:color w:val="auto"/>
          <w:spacing w:val="0"/>
          <w:highlight w:val="none"/>
        </w:rPr>
        <w:t>8.2.1.2环境管理机构职责</w:t>
      </w:r>
    </w:p>
    <w:p w14:paraId="3AC054A8">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（1）贯彻执行国家及地方环境保护的有关方针、政策、法规等。</w:t>
      </w:r>
    </w:p>
    <w:p w14:paraId="7593790A">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（2）结合本企业情况及排污特点，制定企业的环境管理计划和环境监测计划，并监督落实。</w:t>
      </w:r>
    </w:p>
    <w:p w14:paraId="6532D12C">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（3）审定、落实并督促</w:t>
      </w:r>
      <w:r>
        <w:rPr>
          <w:rFonts w:hint="eastAsia" w:ascii="Times New Roman" w:hAnsi="Times New Roman" w:eastAsia="宋体" w:cs="Times New Roman"/>
          <w:caps w:val="0"/>
          <w:smallCaps w:val="0"/>
          <w:color w:val="auto"/>
          <w:spacing w:val="0"/>
          <w:szCs w:val="24"/>
          <w:highlight w:val="none"/>
        </w:rPr>
        <w:t>实施</w:t>
      </w:r>
      <w:r>
        <w:rPr>
          <w:rFonts w:ascii="Times New Roman" w:hAnsi="Times New Roman" w:eastAsia="宋体" w:cs="Times New Roman"/>
          <w:caps w:val="0"/>
          <w:smallCaps w:val="0"/>
          <w:color w:val="auto"/>
          <w:spacing w:val="0"/>
          <w:szCs w:val="24"/>
          <w:highlight w:val="none"/>
        </w:rPr>
        <w:t>污染治理方案，监督企业污染治理资金的落实和使用情况。负责全厂及公司的环境管理、污染源监测及各项环保设施的正常运行的监督管理工作。</w:t>
      </w:r>
    </w:p>
    <w:p w14:paraId="67F13BBE">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（4）组织有关部门</w:t>
      </w:r>
      <w:r>
        <w:rPr>
          <w:rFonts w:hint="eastAsia" w:ascii="Times New Roman" w:hAnsi="Times New Roman" w:eastAsia="宋体" w:cs="Times New Roman"/>
          <w:caps w:val="0"/>
          <w:smallCaps w:val="0"/>
          <w:color w:val="auto"/>
          <w:spacing w:val="0"/>
          <w:szCs w:val="24"/>
          <w:highlight w:val="none"/>
          <w:lang w:eastAsia="zh-CN"/>
        </w:rPr>
        <w:t>制定</w:t>
      </w:r>
      <w:r>
        <w:rPr>
          <w:rFonts w:ascii="Times New Roman" w:hAnsi="Times New Roman" w:eastAsia="宋体" w:cs="Times New Roman"/>
          <w:caps w:val="0"/>
          <w:smallCaps w:val="0"/>
          <w:color w:val="auto"/>
          <w:spacing w:val="0"/>
          <w:szCs w:val="24"/>
          <w:highlight w:val="none"/>
        </w:rPr>
        <w:t>本企业环境管理办法和</w:t>
      </w:r>
      <w:r>
        <w:rPr>
          <w:rFonts w:hint="eastAsia" w:ascii="Times New Roman" w:hAnsi="Times New Roman" w:eastAsia="宋体" w:cs="Times New Roman"/>
          <w:caps w:val="0"/>
          <w:smallCaps w:val="0"/>
          <w:color w:val="auto"/>
          <w:spacing w:val="0"/>
          <w:szCs w:val="24"/>
          <w:highlight w:val="none"/>
          <w:lang w:eastAsia="zh-CN"/>
        </w:rPr>
        <w:t>企业</w:t>
      </w:r>
      <w:r>
        <w:rPr>
          <w:rFonts w:ascii="Times New Roman" w:hAnsi="Times New Roman" w:eastAsia="宋体" w:cs="Times New Roman"/>
          <w:caps w:val="0"/>
          <w:smallCaps w:val="0"/>
          <w:color w:val="auto"/>
          <w:spacing w:val="0"/>
          <w:szCs w:val="24"/>
          <w:highlight w:val="none"/>
        </w:rPr>
        <w:t>污染事故的应急措施，制止或减缓对周围环境的污染。</w:t>
      </w:r>
    </w:p>
    <w:p w14:paraId="550EF848">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（5）协同上级环境管理部门检查本企业的环境保护工作、污染治理设施的运行情况。定期对厂内污染情况进行分析总结，为环保设施的更新改造提供可靠依据。</w:t>
      </w:r>
    </w:p>
    <w:p w14:paraId="6F2177BE">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（6）组织宣传教育，与本单位的有关部门一起大力普及全厂及公司职工的环境法规及环境科学知识，提高职工的环境保护意识。</w:t>
      </w:r>
    </w:p>
    <w:p w14:paraId="6B84E957">
      <w:pPr>
        <w:widowControl w:val="0"/>
        <w:kinsoku w:val="0"/>
        <w:autoSpaceDE w:val="0"/>
        <w:autoSpaceDN w:val="0"/>
        <w:adjustRightInd w:val="0"/>
        <w:snapToGrid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（7）宣传清洁生产思想，协同生产技术部门对现有生产设施进行技术改造，尽可能将污染控制在生产过程中。</w:t>
      </w:r>
    </w:p>
    <w:p w14:paraId="3C5AB6B4">
      <w:pPr>
        <w:pStyle w:val="117"/>
        <w:snapToGrid w:val="0"/>
        <w:spacing w:after="0" w:line="360" w:lineRule="auto"/>
        <w:ind w:firstLine="472"/>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szCs w:val="24"/>
          <w:highlight w:val="none"/>
        </w:rPr>
        <w:t>（8）建立全厂污染源、污染物治理、排放浓度及总量等数据库。编制企业污染源监测的月报表、年报表及环境管理质量报告。</w:t>
      </w:r>
    </w:p>
    <w:p w14:paraId="2EC766D3">
      <w:pPr>
        <w:pStyle w:val="6"/>
        <w:rPr>
          <w:rFonts w:eastAsia="宋体"/>
          <w:caps w:val="0"/>
          <w:smallCaps w:val="0"/>
          <w:color w:val="auto"/>
          <w:spacing w:val="0"/>
          <w:highlight w:val="none"/>
        </w:rPr>
      </w:pPr>
      <w:r>
        <w:rPr>
          <w:rFonts w:eastAsia="宋体"/>
          <w:caps w:val="0"/>
          <w:smallCaps w:val="0"/>
          <w:color w:val="auto"/>
          <w:spacing w:val="0"/>
          <w:highlight w:val="none"/>
        </w:rPr>
        <w:t>8.2.1.3环境管理要求</w:t>
      </w:r>
    </w:p>
    <w:p w14:paraId="3E5ADD2B">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bookmarkStart w:id="272" w:name="_Toc17785"/>
      <w:r>
        <w:rPr>
          <w:rFonts w:ascii="Times New Roman" w:hAnsi="Times New Roman" w:eastAsia="宋体" w:cs="Times New Roman"/>
          <w:caps w:val="0"/>
          <w:smallCaps w:val="0"/>
          <w:color w:val="auto"/>
          <w:spacing w:val="0"/>
          <w:szCs w:val="24"/>
          <w:highlight w:val="none"/>
        </w:rPr>
        <w:t>项目应根据其建设进展阶段积极做好各项环境管理工作，具体建议见下表。</w:t>
      </w:r>
    </w:p>
    <w:p w14:paraId="1FE34F17">
      <w:pPr>
        <w:widowControl w:val="0"/>
        <w:spacing w:after="51" w:afterLines="15"/>
        <w:ind w:firstLine="482"/>
        <w:jc w:val="center"/>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b/>
          <w:bCs/>
          <w:iCs/>
          <w:caps w:val="0"/>
          <w:smallCaps w:val="0"/>
          <w:color w:val="auto"/>
          <w:spacing w:val="0"/>
          <w:highlight w:val="none"/>
        </w:rPr>
        <w:t>表8.2-1建议环境管理计划表</w:t>
      </w:r>
    </w:p>
    <w:tbl>
      <w:tblPr>
        <w:tblStyle w:val="17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10"/>
        <w:gridCol w:w="7401"/>
      </w:tblGrid>
      <w:tr w14:paraId="666A8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49" w:hRule="atLeast"/>
        </w:trPr>
        <w:tc>
          <w:tcPr>
            <w:tcW w:w="992" w:type="dxa"/>
            <w:tcBorders>
              <w:tl2br w:val="nil"/>
              <w:tr2bl w:val="nil"/>
            </w:tcBorders>
            <w:vAlign w:val="center"/>
          </w:tcPr>
          <w:p w14:paraId="7B5264CC">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阶段</w:t>
            </w:r>
          </w:p>
        </w:tc>
        <w:tc>
          <w:tcPr>
            <w:tcW w:w="8083" w:type="dxa"/>
            <w:tcBorders>
              <w:tl2br w:val="nil"/>
              <w:tr2bl w:val="nil"/>
            </w:tcBorders>
            <w:vAlign w:val="center"/>
          </w:tcPr>
          <w:p w14:paraId="6F52BCB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环境管理主要任务内容</w:t>
            </w:r>
          </w:p>
        </w:tc>
      </w:tr>
      <w:tr w14:paraId="4C7AA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41" w:hRule="atLeast"/>
        </w:trPr>
        <w:tc>
          <w:tcPr>
            <w:tcW w:w="992" w:type="dxa"/>
            <w:tcBorders>
              <w:tl2br w:val="nil"/>
              <w:tr2bl w:val="nil"/>
            </w:tcBorders>
            <w:vAlign w:val="center"/>
          </w:tcPr>
          <w:p w14:paraId="3CC5050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运营期</w:t>
            </w:r>
          </w:p>
        </w:tc>
        <w:tc>
          <w:tcPr>
            <w:tcW w:w="8083" w:type="dxa"/>
            <w:tcBorders>
              <w:tl2br w:val="nil"/>
              <w:tr2bl w:val="nil"/>
            </w:tcBorders>
            <w:vAlign w:val="center"/>
          </w:tcPr>
          <w:p w14:paraId="2178875E">
            <w:pPr>
              <w:pStyle w:val="195"/>
              <w:widowControl w:val="0"/>
              <w:numPr>
                <w:ilvl w:val="0"/>
                <w:numId w:val="17"/>
              </w:numPr>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对照环评文件及其批复要求和项目设计文件，核查环保设施落实情况；</w:t>
            </w:r>
          </w:p>
          <w:p w14:paraId="6B307B5B">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2.检验环保工程运行状况及效果，要求记录在案，与主体工程同步</w:t>
            </w:r>
            <w:r>
              <w:rPr>
                <w:rFonts w:hint="eastAsia" w:ascii="Times New Roman" w:hAnsi="Times New Roman" w:cs="Times New Roman"/>
                <w:caps w:val="0"/>
                <w:smallCaps w:val="0"/>
                <w:color w:val="auto"/>
                <w:spacing w:val="0"/>
                <w:highlight w:val="none"/>
                <w:lang w:eastAsia="zh-CN"/>
              </w:rPr>
              <w:t>运行</w:t>
            </w:r>
            <w:r>
              <w:rPr>
                <w:rFonts w:ascii="Times New Roman" w:hAnsi="Times New Roman" w:cs="Times New Roman"/>
                <w:caps w:val="0"/>
                <w:smallCaps w:val="0"/>
                <w:color w:val="auto"/>
                <w:spacing w:val="0"/>
                <w:highlight w:val="none"/>
                <w:lang w:eastAsia="zh-CN"/>
              </w:rPr>
              <w:t>；</w:t>
            </w:r>
          </w:p>
          <w:p w14:paraId="7B0EC5A1">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3.及时申报排污许可证，建立环保设施运行卡，定期检查、维护；</w:t>
            </w:r>
          </w:p>
          <w:p w14:paraId="0FD74F46">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4.完善环境风险事故应急预案，组织应急演练；</w:t>
            </w:r>
          </w:p>
          <w:p w14:paraId="40C01409">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5.总结试运行经验，针对存在及出</w:t>
            </w:r>
            <w:r>
              <w:rPr>
                <w:rFonts w:hint="eastAsia" w:ascii="Times New Roman" w:hAnsi="Times New Roman" w:cs="Times New Roman"/>
                <w:caps w:val="0"/>
                <w:smallCaps w:val="0"/>
                <w:color w:val="auto"/>
                <w:spacing w:val="0"/>
                <w:highlight w:val="none"/>
                <w:lang w:eastAsia="zh-CN"/>
              </w:rPr>
              <w:t>现的</w:t>
            </w:r>
            <w:r>
              <w:rPr>
                <w:rFonts w:ascii="Times New Roman" w:hAnsi="Times New Roman" w:cs="Times New Roman"/>
                <w:caps w:val="0"/>
                <w:smallCaps w:val="0"/>
                <w:color w:val="auto"/>
                <w:spacing w:val="0"/>
                <w:highlight w:val="none"/>
                <w:lang w:eastAsia="zh-CN"/>
              </w:rPr>
              <w:t>问题进行整改，提出补救措施；</w:t>
            </w:r>
          </w:p>
          <w:p w14:paraId="630710F0">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6.组织、配合有资质环境监测部门开展污染源监测；</w:t>
            </w:r>
          </w:p>
          <w:p w14:paraId="2D36DB21">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7.编制环境保护验收报告，组织工程竣工环保验收；</w:t>
            </w:r>
          </w:p>
          <w:p w14:paraId="4BA7EBFE">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position w:val="2"/>
                <w:highlight w:val="none"/>
                <w:lang w:eastAsia="zh-CN"/>
              </w:rPr>
              <w:t>8开展定期(例行)、不定期环境与污染源监测，发现问题及时处理；</w:t>
            </w:r>
          </w:p>
          <w:p w14:paraId="38E6F69C">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9.建立健全环境保护档案，负责工厂日常环境保护，并按照国家有关规定及时、准确地上报企业环境报表和监测数据；</w:t>
            </w:r>
          </w:p>
          <w:p w14:paraId="723C4755">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10.强化资源能源管理，实现废物减量化和资源化，坚持环境污染有效预防；</w:t>
            </w:r>
          </w:p>
          <w:p w14:paraId="41D78B18">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11.处理与群众环境纠纷，组织对突发性污染事故善后处理，追查原因并及时上报；</w:t>
            </w:r>
          </w:p>
          <w:p w14:paraId="40E9A076">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12.加强环保宣传与员工培训，提高环保意识教育，提升企业环境管理水平，确保实现清洁生产、持续改进。</w:t>
            </w:r>
          </w:p>
        </w:tc>
      </w:tr>
      <w:tr w14:paraId="1CDD49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11" w:hRule="atLeast"/>
        </w:trPr>
        <w:tc>
          <w:tcPr>
            <w:tcW w:w="992" w:type="dxa"/>
            <w:tcBorders>
              <w:tl2br w:val="nil"/>
              <w:tr2bl w:val="nil"/>
            </w:tcBorders>
            <w:vAlign w:val="center"/>
          </w:tcPr>
          <w:p w14:paraId="1AFF6B6F">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环境管理工作重点</w:t>
            </w:r>
          </w:p>
        </w:tc>
        <w:tc>
          <w:tcPr>
            <w:tcW w:w="8083" w:type="dxa"/>
            <w:tcBorders>
              <w:tl2br w:val="nil"/>
              <w:tr2bl w:val="nil"/>
            </w:tcBorders>
            <w:vAlign w:val="center"/>
          </w:tcPr>
          <w:p w14:paraId="49FE7B98">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1.加强污染源监控与管理，提高水资源、能源和一般工业固废的综合利用率；</w:t>
            </w:r>
          </w:p>
          <w:p w14:paraId="29BE0E0F">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2.坚持“预防为主、防治结合、综合治理”原则，强化企业污染防治设施管理力度，明确岗位职责，奖罚分明，责任到人；</w:t>
            </w:r>
          </w:p>
          <w:p w14:paraId="147DFBF5">
            <w:pPr>
              <w:pStyle w:val="195"/>
              <w:widowControl w:val="0"/>
              <w:jc w:val="both"/>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3.严格控制生产全过程“三废”排放及危险固废的安全处置，保护环境。</w:t>
            </w:r>
          </w:p>
        </w:tc>
      </w:tr>
    </w:tbl>
    <w:p w14:paraId="1EC8D378">
      <w:pPr>
        <w:pStyle w:val="5"/>
        <w:rPr>
          <w:rFonts w:eastAsia="宋体"/>
          <w:caps w:val="0"/>
          <w:smallCaps w:val="0"/>
          <w:color w:val="auto"/>
          <w:spacing w:val="0"/>
          <w:highlight w:val="none"/>
        </w:rPr>
      </w:pPr>
      <w:bookmarkStart w:id="273" w:name="_Toc30359"/>
      <w:r>
        <w:rPr>
          <w:rFonts w:eastAsia="宋体"/>
          <w:caps w:val="0"/>
          <w:smallCaps w:val="0"/>
          <w:color w:val="auto"/>
          <w:spacing w:val="0"/>
          <w:highlight w:val="none"/>
        </w:rPr>
        <w:t>8.2.2环境管理制度</w:t>
      </w:r>
      <w:bookmarkEnd w:id="272"/>
      <w:bookmarkEnd w:id="273"/>
    </w:p>
    <w:p w14:paraId="3210AC10">
      <w:pPr>
        <w:pStyle w:val="65"/>
        <w:widowControl w:val="0"/>
        <w:ind w:firstLine="480"/>
        <w:jc w:val="both"/>
        <w:rPr>
          <w:rFonts w:eastAsia="宋体"/>
          <w:caps w:val="0"/>
          <w:smallCaps w:val="0"/>
          <w:color w:val="auto"/>
          <w:spacing w:val="0"/>
          <w:highlight w:val="none"/>
        </w:rPr>
      </w:pPr>
      <w:bookmarkStart w:id="274" w:name="_Toc6710"/>
      <w:r>
        <w:rPr>
          <w:rFonts w:eastAsia="宋体"/>
          <w:caps w:val="0"/>
          <w:smallCaps w:val="0"/>
          <w:color w:val="auto"/>
          <w:spacing w:val="0"/>
          <w:highlight w:val="none"/>
        </w:rPr>
        <w:t>（1）排污许可制度</w:t>
      </w:r>
      <w:bookmarkEnd w:id="274"/>
    </w:p>
    <w:p w14:paraId="17417AA9">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根据《排污许可管理办法（试行）》（部令第48号），排污单位应当依法持有排污许可证，并按照排污许可证的规定排放污染物。排污单位应当在全国排污许可证管理信息平台上填报并提交排污许可证申请，同时向核发环保部门提交通过全国排污许可证管理信息平台印制的书面申请材料。排污单位应当按照排污许可证规定，安装或者使用符合国家有关环境监测、计量认证规定的监测设备，按照规定维护监测设施，开展自行监测，保存原始监测记录。排污单位应当按照排污许可证规定的关于执行报告内容和频次的要求，编制排污许可证执行报告。</w:t>
      </w:r>
    </w:p>
    <w:p w14:paraId="29C7E5BA">
      <w:pPr>
        <w:pStyle w:val="65"/>
        <w:widowControl w:val="0"/>
        <w:ind w:firstLine="480"/>
        <w:jc w:val="both"/>
        <w:rPr>
          <w:rFonts w:eastAsia="宋体"/>
          <w:caps w:val="0"/>
          <w:smallCaps w:val="0"/>
          <w:color w:val="auto"/>
          <w:spacing w:val="0"/>
          <w:highlight w:val="none"/>
        </w:rPr>
      </w:pPr>
      <w:bookmarkStart w:id="275" w:name="_Toc6463"/>
      <w:r>
        <w:rPr>
          <w:rFonts w:eastAsia="宋体"/>
          <w:caps w:val="0"/>
          <w:smallCaps w:val="0"/>
          <w:color w:val="auto"/>
          <w:spacing w:val="0"/>
          <w:highlight w:val="none"/>
        </w:rPr>
        <w:t>（2）报告制度</w:t>
      </w:r>
      <w:bookmarkEnd w:id="275"/>
    </w:p>
    <w:p w14:paraId="40C0C84B">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此外，企业排污发生重大变化、污染治理设施改变或企业改、扩建等都必须向当地环保部门申报，改、扩建项目，必须按《</w:t>
      </w:r>
      <w:r>
        <w:rPr>
          <w:rFonts w:hint="eastAsia" w:eastAsia="宋体"/>
          <w:caps w:val="0"/>
          <w:smallCaps w:val="0"/>
          <w:color w:val="auto"/>
          <w:spacing w:val="0"/>
          <w:highlight w:val="none"/>
        </w:rPr>
        <w:t>中华人民共和国环境保护法</w:t>
      </w:r>
      <w:r>
        <w:rPr>
          <w:rFonts w:eastAsia="宋体"/>
          <w:caps w:val="0"/>
          <w:smallCaps w:val="0"/>
          <w:color w:val="auto"/>
          <w:spacing w:val="0"/>
          <w:highlight w:val="none"/>
        </w:rPr>
        <w:t>》等要求，报请有审批权限的环保部门审批，经审批同意后方可实施。</w:t>
      </w:r>
    </w:p>
    <w:p w14:paraId="728A4F63">
      <w:pPr>
        <w:pStyle w:val="65"/>
        <w:widowControl w:val="0"/>
        <w:ind w:firstLine="480"/>
        <w:jc w:val="both"/>
        <w:rPr>
          <w:rFonts w:eastAsia="宋体"/>
          <w:caps w:val="0"/>
          <w:smallCaps w:val="0"/>
          <w:color w:val="auto"/>
          <w:spacing w:val="0"/>
          <w:highlight w:val="none"/>
        </w:rPr>
      </w:pPr>
      <w:bookmarkStart w:id="276" w:name="_Toc12990"/>
      <w:r>
        <w:rPr>
          <w:rFonts w:eastAsia="宋体"/>
          <w:caps w:val="0"/>
          <w:smallCaps w:val="0"/>
          <w:color w:val="auto"/>
          <w:spacing w:val="0"/>
          <w:highlight w:val="none"/>
        </w:rPr>
        <w:t>（3）污染治理设施的管理、监控制度</w:t>
      </w:r>
      <w:bookmarkEnd w:id="276"/>
    </w:p>
    <w:p w14:paraId="61C7C027">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企业必须确保污染治理设施长期、稳定、有效运行，不得擅自拆除或者闲置污染治理设施，不得故意不正常使用污染治理设施。污染治理设施的管理必须与公司的生产经营活动一起纳入到公司日常管理工作的范畴，落实责任人、操作人员、维修人员、运行经费、设备的备品备件和其他原辅材料。企业应建立环境管理台账制度，设置专职人员进行</w:t>
      </w:r>
      <w:r>
        <w:rPr>
          <w:rFonts w:hint="eastAsia" w:eastAsia="宋体"/>
          <w:caps w:val="0"/>
          <w:smallCaps w:val="0"/>
          <w:color w:val="auto"/>
          <w:spacing w:val="0"/>
          <w:highlight w:val="none"/>
        </w:rPr>
        <w:t>台账的</w:t>
      </w:r>
      <w:r>
        <w:rPr>
          <w:rFonts w:eastAsia="宋体"/>
          <w:caps w:val="0"/>
          <w:smallCaps w:val="0"/>
          <w:color w:val="auto"/>
          <w:spacing w:val="0"/>
          <w:highlight w:val="none"/>
        </w:rPr>
        <w:t>记录、整理、维护和管理，并对台账记录结果的真实性、准确性、完整性负责。台账应真实记录生产设施运行管理信息、原辅料、燃料采购信息、污染治理设施运行管理信息、非正常工况记录信息、监测记录信息、其他环境管理信息</w:t>
      </w:r>
    </w:p>
    <w:p w14:paraId="2F661021">
      <w:pPr>
        <w:pStyle w:val="5"/>
        <w:rPr>
          <w:rFonts w:eastAsia="宋体"/>
          <w:caps w:val="0"/>
          <w:smallCaps w:val="0"/>
          <w:color w:val="auto"/>
          <w:spacing w:val="0"/>
          <w:highlight w:val="none"/>
        </w:rPr>
      </w:pPr>
      <w:bookmarkStart w:id="277" w:name="_Toc5037"/>
      <w:bookmarkStart w:id="278" w:name="_Toc32261"/>
      <w:r>
        <w:rPr>
          <w:rFonts w:eastAsia="宋体"/>
          <w:caps w:val="0"/>
          <w:smallCaps w:val="0"/>
          <w:color w:val="auto"/>
          <w:spacing w:val="0"/>
          <w:highlight w:val="none"/>
        </w:rPr>
        <w:t>8.2.3建立污染物排放许可证制度和排污申报登记制度</w:t>
      </w:r>
      <w:bookmarkEnd w:id="277"/>
      <w:bookmarkEnd w:id="278"/>
    </w:p>
    <w:p w14:paraId="1E92C506">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根据《关于做好环境影响评价制度与排污许可制衔接相关工作的通知》（环办环评</w:t>
      </w:r>
      <w:r>
        <w:rPr>
          <w:rFonts w:hint="eastAsia" w:ascii="Times New Roman" w:hAnsi="Times New Roman" w:eastAsia="宋体" w:cs="Times New Roman"/>
          <w:caps w:val="0"/>
          <w:smallCaps w:val="0"/>
          <w:color w:val="auto"/>
          <w:spacing w:val="0"/>
          <w:highlight w:val="none"/>
        </w:rPr>
        <w:t>〔2017〕84号</w:t>
      </w:r>
      <w:r>
        <w:rPr>
          <w:rFonts w:ascii="Times New Roman" w:hAnsi="Times New Roman" w:eastAsia="宋体" w:cs="Times New Roman"/>
          <w:caps w:val="0"/>
          <w:smallCaps w:val="0"/>
          <w:color w:val="auto"/>
          <w:spacing w:val="0"/>
          <w:highlight w:val="none"/>
        </w:rPr>
        <w:t>）中相关内容：环境影响评价审批部门要做好建设项目环境影响报告书(表)的审查，结合排污许可证申请与核发技术规范，核定建设项目的产排污环节、污染物种类及污染防治设施和措施等基本信息；依据国家或地方污染物排放标准、环境质量标准和总量控制要求等管理规定，按照污染源源强核算技术指南、环境影响评价要素导则等技术文件，严格核定排放口数量、位置以及每个排放口的污染物种类、允许排放浓度和允许排放量、排放方式、排放去向、自行监测计划等与污染物排放相关的主要内容。</w:t>
      </w:r>
    </w:p>
    <w:p w14:paraId="59075565">
      <w:pPr>
        <w:spacing w:line="360" w:lineRule="auto"/>
        <w:ind w:firstLine="480" w:firstLineChars="200"/>
        <w:rPr>
          <w:rFonts w:ascii="Times New Roman" w:hAnsi="Times New Roman" w:eastAsia="宋体" w:cs="Times New Roman"/>
          <w:caps w:val="0"/>
          <w:smallCaps w:val="0"/>
          <w:color w:val="auto"/>
          <w:spacing w:val="0"/>
          <w:highlight w:val="none"/>
        </w:rPr>
      </w:pPr>
      <w:r>
        <w:rPr>
          <w:rFonts w:hint="eastAsia" w:ascii="Times New Roman" w:hAnsi="Times New Roman" w:eastAsia="宋体" w:cs="Times New Roman"/>
          <w:caps w:val="0"/>
          <w:smallCaps w:val="0"/>
          <w:color w:val="auto"/>
          <w:spacing w:val="0"/>
          <w:highlight w:val="none"/>
        </w:rPr>
        <w:t>根据</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固定污染源排污许可分类管理名录(2019年版)</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本项目主要行业类别为</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三十三电气机械和器材制造业38</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中的</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88电池制造384中其他电池制造3849</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，本项目属于简化管理的企业</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lang w:val="en-US" w:eastAsia="zh-CN"/>
        </w:rPr>
        <w:t>执行《排污许可证申请与核发技术规范 电池工业》（HJ967-2018）</w:t>
      </w:r>
      <w:r>
        <w:rPr>
          <w:rFonts w:hint="eastAsia" w:ascii="Times New Roman" w:hAnsi="Times New Roman" w:eastAsia="宋体" w:cs="Times New Roman"/>
          <w:caps w:val="0"/>
          <w:smallCaps w:val="0"/>
          <w:color w:val="auto"/>
          <w:spacing w:val="0"/>
          <w:highlight w:val="none"/>
        </w:rPr>
        <w:t>。</w:t>
      </w:r>
    </w:p>
    <w:p w14:paraId="4F111E4F">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建设项目发生实际排污行为之前，排污单位应当按照国家环境保护相关法律法规以及排污许可证申请与核发技术规范要求申请排污许可证，不得无证排污或不按证排污。环境影响报告书（表）2015年1月1日（含）后获得批准的建设项目，其环境影响报告书（表）以及审批文件中与污染物排放相关的主要内容应当纳入排污许可证。建设项目无证排污或不按证排污的，建设单位不得出具该项目验收合格的意见，验收报告中与污染物排放相关的主要内容应当纳入该项目验收完成当年排污许可证执行年报。</w:t>
      </w:r>
    </w:p>
    <w:p w14:paraId="760AD4D3">
      <w:pPr>
        <w:pStyle w:val="4"/>
        <w:widowControl w:val="0"/>
        <w:rPr>
          <w:rFonts w:eastAsia="宋体"/>
          <w:caps w:val="0"/>
          <w:smallCaps w:val="0"/>
          <w:color w:val="auto"/>
          <w:spacing w:val="0"/>
          <w:highlight w:val="none"/>
        </w:rPr>
      </w:pPr>
      <w:bookmarkStart w:id="279" w:name="_Toc25505"/>
      <w:bookmarkStart w:id="280" w:name="_Toc28767"/>
      <w:bookmarkStart w:id="281" w:name="_Toc8676"/>
      <w:bookmarkStart w:id="282" w:name="_Toc8867"/>
      <w:bookmarkStart w:id="283" w:name="_Toc27420"/>
      <w:r>
        <w:rPr>
          <w:rFonts w:eastAsia="宋体"/>
          <w:caps w:val="0"/>
          <w:smallCaps w:val="0"/>
          <w:color w:val="auto"/>
          <w:spacing w:val="0"/>
          <w:highlight w:val="none"/>
        </w:rPr>
        <w:t>8.3污染物排放清单</w:t>
      </w:r>
      <w:bookmarkEnd w:id="279"/>
      <w:bookmarkEnd w:id="280"/>
      <w:bookmarkEnd w:id="281"/>
      <w:bookmarkEnd w:id="282"/>
      <w:bookmarkEnd w:id="283"/>
    </w:p>
    <w:p w14:paraId="6FC13F4E">
      <w:pPr>
        <w:pStyle w:val="5"/>
        <w:rPr>
          <w:rFonts w:eastAsia="宋体"/>
          <w:caps w:val="0"/>
          <w:smallCaps w:val="0"/>
          <w:color w:val="auto"/>
          <w:spacing w:val="0"/>
          <w:highlight w:val="none"/>
        </w:rPr>
      </w:pPr>
      <w:bookmarkStart w:id="284" w:name="_Toc3642"/>
      <w:bookmarkStart w:id="285" w:name="_Toc3967035"/>
      <w:bookmarkStart w:id="286" w:name="_Toc7341659"/>
      <w:bookmarkStart w:id="287" w:name="_Toc21986"/>
      <w:r>
        <w:rPr>
          <w:rFonts w:eastAsia="宋体"/>
          <w:caps w:val="0"/>
          <w:smallCaps w:val="0"/>
          <w:color w:val="auto"/>
          <w:spacing w:val="0"/>
          <w:highlight w:val="none"/>
        </w:rPr>
        <w:t>8.3.1污染物排放清单</w:t>
      </w:r>
      <w:bookmarkEnd w:id="284"/>
      <w:bookmarkEnd w:id="285"/>
      <w:bookmarkEnd w:id="286"/>
      <w:bookmarkEnd w:id="287"/>
    </w:p>
    <w:p w14:paraId="478EB5A6">
      <w:pPr>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本项目污染物排放情况清单见表8.3-1。</w:t>
      </w:r>
    </w:p>
    <w:p w14:paraId="283A8EE5">
      <w:pPr>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br w:type="page"/>
      </w:r>
    </w:p>
    <w:p w14:paraId="1A57E9E6">
      <w:pPr>
        <w:pStyle w:val="13"/>
        <w:rPr>
          <w:rFonts w:ascii="Times New Roman" w:hAnsi="Times New Roman" w:eastAsia="宋体" w:cs="Times New Roman"/>
          <w:caps w:val="0"/>
          <w:smallCaps w:val="0"/>
          <w:color w:val="auto"/>
          <w:spacing w:val="0"/>
          <w:highlight w:val="none"/>
        </w:rPr>
        <w:sectPr>
          <w:pgSz w:w="11905" w:h="16838"/>
          <w:pgMar w:top="1440" w:right="1797" w:bottom="1440" w:left="1797" w:header="850" w:footer="992" w:gutter="0"/>
          <w:pgBorders>
            <w:top w:val="none" w:sz="0" w:space="0"/>
            <w:left w:val="none" w:sz="0" w:space="0"/>
            <w:bottom w:val="none" w:sz="0" w:space="0"/>
            <w:right w:val="none" w:sz="0" w:space="0"/>
          </w:pgBorders>
          <w:cols w:space="0" w:num="1"/>
          <w:docGrid w:type="lines" w:linePitch="346" w:charSpace="0"/>
        </w:sectPr>
      </w:pPr>
    </w:p>
    <w:p w14:paraId="15009E6A">
      <w:pPr>
        <w:pStyle w:val="22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表8.3-1本项目污染物排放清单一览表</w:t>
      </w:r>
    </w:p>
    <w:tbl>
      <w:tblPr>
        <w:tblStyle w:val="37"/>
        <w:tblW w:w="5000" w:type="pct"/>
        <w:tblInd w:w="0" w:type="dxa"/>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940"/>
        <w:gridCol w:w="1047"/>
        <w:gridCol w:w="1442"/>
        <w:gridCol w:w="999"/>
        <w:gridCol w:w="655"/>
        <w:gridCol w:w="669"/>
        <w:gridCol w:w="647"/>
        <w:gridCol w:w="890"/>
        <w:gridCol w:w="1029"/>
        <w:gridCol w:w="934"/>
        <w:gridCol w:w="927"/>
        <w:gridCol w:w="1022"/>
        <w:gridCol w:w="2517"/>
      </w:tblGrid>
      <w:tr w14:paraId="26FADB0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restart"/>
            <w:tcBorders>
              <w:tl2br w:val="nil"/>
              <w:tr2bl w:val="nil"/>
            </w:tcBorders>
            <w:shd w:val="clear" w:color="auto" w:fill="auto"/>
            <w:vAlign w:val="center"/>
          </w:tcPr>
          <w:p w14:paraId="163225F9">
            <w:pPr>
              <w:widowControl w:val="0"/>
              <w:snapToGrid w:val="0"/>
              <w:jc w:val="center"/>
              <w:textAlignment w:val="center"/>
              <w:rPr>
                <w:rStyle w:val="218"/>
                <w:rFonts w:ascii="Times New Roman" w:hAnsi="Times New Roman" w:cs="Times New Roman"/>
                <w:caps w:val="0"/>
                <w:smallCaps w:val="0"/>
                <w:color w:val="auto"/>
                <w:spacing w:val="0"/>
                <w:sz w:val="21"/>
                <w:szCs w:val="21"/>
                <w:highlight w:val="none"/>
                <w:lang w:bidi="ar"/>
              </w:rPr>
            </w:pPr>
            <w:r>
              <w:rPr>
                <w:rStyle w:val="218"/>
                <w:rFonts w:ascii="Times New Roman" w:hAnsi="Times New Roman" w:cs="Times New Roman"/>
                <w:caps w:val="0"/>
                <w:smallCaps w:val="0"/>
                <w:color w:val="auto"/>
                <w:spacing w:val="0"/>
                <w:sz w:val="21"/>
                <w:szCs w:val="21"/>
                <w:highlight w:val="none"/>
                <w:lang w:bidi="ar"/>
              </w:rPr>
              <w:t>种类</w:t>
            </w:r>
          </w:p>
        </w:tc>
        <w:tc>
          <w:tcPr>
            <w:tcW w:w="940" w:type="dxa"/>
            <w:vMerge w:val="restart"/>
            <w:tcBorders>
              <w:tl2br w:val="nil"/>
              <w:tr2bl w:val="nil"/>
            </w:tcBorders>
            <w:shd w:val="clear" w:color="auto" w:fill="auto"/>
            <w:vAlign w:val="center"/>
          </w:tcPr>
          <w:p w14:paraId="2379015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污染源</w:t>
            </w:r>
          </w:p>
        </w:tc>
        <w:tc>
          <w:tcPr>
            <w:tcW w:w="1047" w:type="dxa"/>
            <w:vMerge w:val="restart"/>
            <w:tcBorders>
              <w:tl2br w:val="nil"/>
              <w:tr2bl w:val="nil"/>
            </w:tcBorders>
            <w:shd w:val="clear" w:color="auto" w:fill="auto"/>
            <w:vAlign w:val="center"/>
          </w:tcPr>
          <w:p w14:paraId="2F74778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污染物</w:t>
            </w:r>
          </w:p>
        </w:tc>
        <w:tc>
          <w:tcPr>
            <w:tcW w:w="1442" w:type="dxa"/>
            <w:vMerge w:val="restart"/>
            <w:tcBorders>
              <w:tl2br w:val="nil"/>
              <w:tr2bl w:val="nil"/>
            </w:tcBorders>
            <w:shd w:val="clear" w:color="auto" w:fill="auto"/>
            <w:vAlign w:val="center"/>
          </w:tcPr>
          <w:p w14:paraId="443E323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环境保护措施</w:t>
            </w:r>
          </w:p>
        </w:tc>
        <w:tc>
          <w:tcPr>
            <w:tcW w:w="2970" w:type="dxa"/>
            <w:gridSpan w:val="4"/>
            <w:tcBorders>
              <w:tl2br w:val="nil"/>
              <w:tr2bl w:val="nil"/>
            </w:tcBorders>
            <w:shd w:val="clear" w:color="auto" w:fill="auto"/>
            <w:vAlign w:val="center"/>
          </w:tcPr>
          <w:p w14:paraId="3861A6CC">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Style w:val="219"/>
                <w:rFonts w:hint="default" w:ascii="Times New Roman" w:hAnsi="Times New Roman" w:cs="Times New Roman"/>
                <w:caps w:val="0"/>
                <w:smallCaps w:val="0"/>
                <w:color w:val="auto"/>
                <w:spacing w:val="0"/>
                <w:sz w:val="21"/>
                <w:szCs w:val="21"/>
                <w:highlight w:val="none"/>
                <w:lang w:bidi="ar"/>
              </w:rPr>
              <w:t>排污口信息</w:t>
            </w:r>
          </w:p>
        </w:tc>
        <w:tc>
          <w:tcPr>
            <w:tcW w:w="2853" w:type="dxa"/>
            <w:gridSpan w:val="3"/>
            <w:tcBorders>
              <w:tl2br w:val="nil"/>
              <w:tr2bl w:val="nil"/>
            </w:tcBorders>
            <w:shd w:val="clear" w:color="auto" w:fill="auto"/>
            <w:vAlign w:val="center"/>
          </w:tcPr>
          <w:p w14:paraId="5C92C8B0">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Style w:val="219"/>
                <w:rFonts w:hint="default" w:ascii="Times New Roman" w:hAnsi="Times New Roman" w:cs="Times New Roman"/>
                <w:caps w:val="0"/>
                <w:smallCaps w:val="0"/>
                <w:color w:val="auto"/>
                <w:spacing w:val="0"/>
                <w:sz w:val="21"/>
                <w:szCs w:val="21"/>
                <w:highlight w:val="none"/>
                <w:lang w:bidi="ar"/>
              </w:rPr>
              <w:t>排放情况</w:t>
            </w:r>
          </w:p>
        </w:tc>
        <w:tc>
          <w:tcPr>
            <w:tcW w:w="4466" w:type="dxa"/>
            <w:gridSpan w:val="3"/>
            <w:tcBorders>
              <w:tl2br w:val="nil"/>
              <w:tr2bl w:val="nil"/>
            </w:tcBorders>
            <w:shd w:val="clear" w:color="auto" w:fill="auto"/>
            <w:vAlign w:val="center"/>
          </w:tcPr>
          <w:p w14:paraId="2351781F">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Style w:val="219"/>
                <w:rFonts w:hint="default" w:ascii="Times New Roman" w:hAnsi="Times New Roman" w:cs="Times New Roman"/>
                <w:caps w:val="0"/>
                <w:smallCaps w:val="0"/>
                <w:color w:val="auto"/>
                <w:spacing w:val="0"/>
                <w:sz w:val="21"/>
                <w:szCs w:val="21"/>
                <w:highlight w:val="none"/>
                <w:lang w:bidi="ar"/>
              </w:rPr>
              <w:t>执行标准</w:t>
            </w:r>
          </w:p>
        </w:tc>
      </w:tr>
      <w:tr w14:paraId="57D6AFF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BB863F3">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DAF2C50">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vMerge w:val="continue"/>
            <w:tcBorders>
              <w:tl2br w:val="nil"/>
              <w:tr2bl w:val="nil"/>
            </w:tcBorders>
            <w:shd w:val="clear" w:color="auto" w:fill="auto"/>
            <w:vAlign w:val="center"/>
          </w:tcPr>
          <w:p w14:paraId="49EE1235">
            <w:pPr>
              <w:widowControl w:val="0"/>
              <w:snapToGrid w:val="0"/>
              <w:jc w:val="center"/>
              <w:rPr>
                <w:rFonts w:ascii="Times New Roman" w:hAnsi="Times New Roman" w:eastAsia="宋体" w:cs="Times New Roman"/>
                <w:caps w:val="0"/>
                <w:smallCaps w:val="0"/>
                <w:color w:val="auto"/>
                <w:spacing w:val="0"/>
                <w:sz w:val="21"/>
                <w:highlight w:val="none"/>
              </w:rPr>
            </w:pPr>
          </w:p>
        </w:tc>
        <w:tc>
          <w:tcPr>
            <w:tcW w:w="1442" w:type="dxa"/>
            <w:vMerge w:val="continue"/>
            <w:tcBorders>
              <w:tl2br w:val="nil"/>
              <w:tr2bl w:val="nil"/>
            </w:tcBorders>
            <w:shd w:val="clear" w:color="auto" w:fill="auto"/>
            <w:vAlign w:val="center"/>
          </w:tcPr>
          <w:p w14:paraId="26AEC86D">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tcBorders>
              <w:tl2br w:val="nil"/>
              <w:tr2bl w:val="nil"/>
            </w:tcBorders>
            <w:shd w:val="clear" w:color="auto" w:fill="auto"/>
            <w:vAlign w:val="center"/>
          </w:tcPr>
          <w:p w14:paraId="3B1D91B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排放形式</w:t>
            </w:r>
          </w:p>
        </w:tc>
        <w:tc>
          <w:tcPr>
            <w:tcW w:w="655" w:type="dxa"/>
            <w:tcBorders>
              <w:tl2br w:val="nil"/>
              <w:tr2bl w:val="nil"/>
            </w:tcBorders>
            <w:shd w:val="clear" w:color="auto" w:fill="auto"/>
            <w:vAlign w:val="center"/>
          </w:tcPr>
          <w:p w14:paraId="7A82F8F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数量</w:t>
            </w:r>
          </w:p>
        </w:tc>
        <w:tc>
          <w:tcPr>
            <w:tcW w:w="669" w:type="dxa"/>
            <w:tcBorders>
              <w:tl2br w:val="nil"/>
              <w:tr2bl w:val="nil"/>
            </w:tcBorders>
            <w:shd w:val="clear" w:color="auto" w:fill="auto"/>
            <w:vAlign w:val="center"/>
          </w:tcPr>
          <w:p w14:paraId="3DEB0E8A">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Style w:val="219"/>
                <w:rFonts w:hint="default" w:ascii="Times New Roman" w:hAnsi="Times New Roman" w:cs="Times New Roman"/>
                <w:caps w:val="0"/>
                <w:smallCaps w:val="0"/>
                <w:color w:val="auto"/>
                <w:spacing w:val="0"/>
                <w:sz w:val="21"/>
                <w:szCs w:val="21"/>
                <w:highlight w:val="none"/>
                <w:lang w:bidi="ar"/>
              </w:rPr>
              <w:t>高度</w:t>
            </w:r>
          </w:p>
        </w:tc>
        <w:tc>
          <w:tcPr>
            <w:tcW w:w="647" w:type="dxa"/>
            <w:tcBorders>
              <w:tl2br w:val="nil"/>
              <w:tr2bl w:val="nil"/>
            </w:tcBorders>
            <w:shd w:val="clear" w:color="auto" w:fill="auto"/>
            <w:vAlign w:val="center"/>
          </w:tcPr>
          <w:p w14:paraId="4BBF7ED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位置</w:t>
            </w:r>
          </w:p>
        </w:tc>
        <w:tc>
          <w:tcPr>
            <w:tcW w:w="890" w:type="dxa"/>
            <w:tcBorders>
              <w:tl2br w:val="nil"/>
              <w:tr2bl w:val="nil"/>
            </w:tcBorders>
            <w:shd w:val="clear" w:color="auto" w:fill="auto"/>
            <w:vAlign w:val="center"/>
          </w:tcPr>
          <w:p w14:paraId="3E5E0EE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排放量</w:t>
            </w:r>
            <w:r>
              <w:rPr>
                <w:rFonts w:ascii="Times New Roman" w:hAnsi="Times New Roman" w:eastAsia="宋体" w:cs="Times New Roman"/>
                <w:caps w:val="0"/>
                <w:smallCaps w:val="0"/>
                <w:color w:val="auto"/>
                <w:spacing w:val="0"/>
                <w:kern w:val="0"/>
                <w:sz w:val="21"/>
                <w:highlight w:val="none"/>
                <w:lang w:bidi="ar"/>
              </w:rPr>
              <w:t>(kg/a)</w:t>
            </w:r>
          </w:p>
        </w:tc>
        <w:tc>
          <w:tcPr>
            <w:tcW w:w="1029" w:type="dxa"/>
            <w:tcBorders>
              <w:tl2br w:val="nil"/>
              <w:tr2bl w:val="nil"/>
            </w:tcBorders>
            <w:shd w:val="clear" w:color="auto" w:fill="auto"/>
            <w:vAlign w:val="center"/>
          </w:tcPr>
          <w:p w14:paraId="1AF55E5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排放速率</w:t>
            </w:r>
            <w:r>
              <w:rPr>
                <w:rFonts w:ascii="Times New Roman" w:hAnsi="Times New Roman" w:eastAsia="宋体" w:cs="Times New Roman"/>
                <w:caps w:val="0"/>
                <w:smallCaps w:val="0"/>
                <w:color w:val="auto"/>
                <w:spacing w:val="0"/>
                <w:kern w:val="0"/>
                <w:sz w:val="21"/>
                <w:highlight w:val="none"/>
                <w:lang w:bidi="ar"/>
              </w:rPr>
              <w:t>(kg/h)</w:t>
            </w:r>
          </w:p>
        </w:tc>
        <w:tc>
          <w:tcPr>
            <w:tcW w:w="934" w:type="dxa"/>
            <w:tcBorders>
              <w:tl2br w:val="nil"/>
              <w:tr2bl w:val="nil"/>
            </w:tcBorders>
            <w:shd w:val="clear" w:color="auto" w:fill="auto"/>
            <w:vAlign w:val="center"/>
          </w:tcPr>
          <w:p w14:paraId="4D984C4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浓度</w:t>
            </w:r>
            <w:r>
              <w:rPr>
                <w:rFonts w:ascii="Times New Roman" w:hAnsi="Times New Roman" w:eastAsia="宋体" w:cs="Times New Roman"/>
                <w:caps w:val="0"/>
                <w:smallCaps w:val="0"/>
                <w:color w:val="auto"/>
                <w:spacing w:val="0"/>
                <w:kern w:val="0"/>
                <w:sz w:val="21"/>
                <w:highlight w:val="none"/>
                <w:lang w:bidi="ar"/>
              </w:rPr>
              <w:t>(mg/m³)</w:t>
            </w:r>
          </w:p>
        </w:tc>
        <w:tc>
          <w:tcPr>
            <w:tcW w:w="927" w:type="dxa"/>
            <w:tcBorders>
              <w:tl2br w:val="nil"/>
              <w:tr2bl w:val="nil"/>
            </w:tcBorders>
            <w:shd w:val="clear" w:color="auto" w:fill="auto"/>
            <w:vAlign w:val="center"/>
          </w:tcPr>
          <w:p w14:paraId="5147A8D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速率</w:t>
            </w:r>
            <w:r>
              <w:rPr>
                <w:rFonts w:ascii="Times New Roman" w:hAnsi="Times New Roman" w:eastAsia="宋体" w:cs="Times New Roman"/>
                <w:caps w:val="0"/>
                <w:smallCaps w:val="0"/>
                <w:color w:val="auto"/>
                <w:spacing w:val="0"/>
                <w:kern w:val="0"/>
                <w:sz w:val="21"/>
                <w:highlight w:val="none"/>
                <w:lang w:bidi="ar"/>
              </w:rPr>
              <w:t>(kg/h)</w:t>
            </w:r>
          </w:p>
        </w:tc>
        <w:tc>
          <w:tcPr>
            <w:tcW w:w="1022" w:type="dxa"/>
            <w:tcBorders>
              <w:tl2br w:val="nil"/>
              <w:tr2bl w:val="nil"/>
            </w:tcBorders>
            <w:shd w:val="clear" w:color="auto" w:fill="auto"/>
            <w:vAlign w:val="center"/>
          </w:tcPr>
          <w:p w14:paraId="037BADE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浓度</w:t>
            </w:r>
            <w:r>
              <w:rPr>
                <w:rFonts w:ascii="Times New Roman" w:hAnsi="Times New Roman" w:eastAsia="宋体" w:cs="Times New Roman"/>
                <w:caps w:val="0"/>
                <w:smallCaps w:val="0"/>
                <w:color w:val="auto"/>
                <w:spacing w:val="0"/>
                <w:kern w:val="0"/>
                <w:sz w:val="21"/>
                <w:highlight w:val="none"/>
                <w:lang w:bidi="ar"/>
              </w:rPr>
              <w:t>(mg/m³)</w:t>
            </w:r>
          </w:p>
        </w:tc>
        <w:tc>
          <w:tcPr>
            <w:tcW w:w="2517" w:type="dxa"/>
            <w:tcBorders>
              <w:tl2br w:val="nil"/>
              <w:tr2bl w:val="nil"/>
            </w:tcBorders>
            <w:shd w:val="clear" w:color="auto" w:fill="auto"/>
            <w:vAlign w:val="center"/>
          </w:tcPr>
          <w:p w14:paraId="0CC2244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标准名称</w:t>
            </w:r>
          </w:p>
        </w:tc>
      </w:tr>
      <w:tr w14:paraId="44C912D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restart"/>
            <w:tcBorders>
              <w:tl2br w:val="nil"/>
              <w:tr2bl w:val="nil"/>
            </w:tcBorders>
            <w:shd w:val="clear" w:color="auto" w:fill="auto"/>
            <w:vAlign w:val="center"/>
          </w:tcPr>
          <w:p w14:paraId="57991113">
            <w:pPr>
              <w:widowControl w:val="0"/>
              <w:snapToGrid w:val="0"/>
              <w:jc w:val="center"/>
              <w:textAlignment w:val="center"/>
              <w:rPr>
                <w:rStyle w:val="218"/>
                <w:rFonts w:ascii="Times New Roman" w:hAnsi="Times New Roman" w:cs="Times New Roman"/>
                <w:caps w:val="0"/>
                <w:smallCaps w:val="0"/>
                <w:color w:val="auto"/>
                <w:spacing w:val="0"/>
                <w:sz w:val="21"/>
                <w:szCs w:val="21"/>
                <w:highlight w:val="none"/>
                <w:lang w:bidi="ar"/>
              </w:rPr>
            </w:pPr>
            <w:r>
              <w:rPr>
                <w:rStyle w:val="218"/>
                <w:rFonts w:ascii="Times New Roman" w:hAnsi="Times New Roman" w:cs="Times New Roman"/>
                <w:caps w:val="0"/>
                <w:smallCaps w:val="0"/>
                <w:color w:val="auto"/>
                <w:spacing w:val="0"/>
                <w:sz w:val="21"/>
                <w:szCs w:val="21"/>
                <w:highlight w:val="none"/>
                <w:lang w:bidi="ar"/>
              </w:rPr>
              <w:t>废气</w:t>
            </w:r>
          </w:p>
        </w:tc>
        <w:tc>
          <w:tcPr>
            <w:tcW w:w="940" w:type="dxa"/>
            <w:vMerge w:val="restart"/>
            <w:tcBorders>
              <w:tl2br w:val="nil"/>
              <w:tr2bl w:val="nil"/>
            </w:tcBorders>
            <w:shd w:val="clear" w:color="auto" w:fill="auto"/>
            <w:vAlign w:val="center"/>
          </w:tcPr>
          <w:p w14:paraId="4193FE1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DA001</w:t>
            </w:r>
          </w:p>
        </w:tc>
        <w:tc>
          <w:tcPr>
            <w:tcW w:w="1047" w:type="dxa"/>
            <w:tcBorders>
              <w:tl2br w:val="nil"/>
              <w:tr2bl w:val="nil"/>
            </w:tcBorders>
            <w:shd w:val="clear" w:color="auto" w:fill="auto"/>
            <w:vAlign w:val="center"/>
          </w:tcPr>
          <w:p w14:paraId="1F46272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1442" w:type="dxa"/>
            <w:vMerge w:val="restart"/>
            <w:tcBorders>
              <w:tl2br w:val="nil"/>
              <w:tr2bl w:val="nil"/>
            </w:tcBorders>
            <w:shd w:val="clear" w:color="auto" w:fill="auto"/>
            <w:vAlign w:val="center"/>
          </w:tcPr>
          <w:p w14:paraId="6A41B0A9">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rPr>
            </w:pPr>
            <w:r>
              <w:rPr>
                <w:rFonts w:hint="default" w:ascii="Times New Roman" w:hAnsi="Times New Roman" w:eastAsia="宋体" w:cs="Times New Roman"/>
                <w:caps w:val="0"/>
                <w:smallCaps w:val="0"/>
                <w:color w:val="auto"/>
                <w:spacing w:val="0"/>
                <w:sz w:val="21"/>
                <w:highlight w:val="none"/>
                <w:lang w:val="en-US" w:eastAsia="zh-CN"/>
              </w:rPr>
              <w:t>E12</w:t>
            </w:r>
            <w:r>
              <w:rPr>
                <w:rFonts w:hint="eastAsia" w:ascii="Times New Roman" w:hAnsi="Times New Roman" w:eastAsia="宋体" w:cs="Times New Roman"/>
                <w:caps w:val="0"/>
                <w:smallCaps w:val="0"/>
                <w:color w:val="auto"/>
                <w:spacing w:val="0"/>
                <w:sz w:val="21"/>
                <w:highlight w:val="none"/>
                <w:lang w:val="en-US" w:eastAsia="zh-CN"/>
              </w:rPr>
              <w:t>级高效离子过滤器</w:t>
            </w:r>
            <w:r>
              <w:rPr>
                <w:rFonts w:hint="default" w:ascii="Times New Roman" w:hAnsi="Times New Roman" w:eastAsia="宋体" w:cs="Times New Roman"/>
                <w:caps w:val="0"/>
                <w:smallCaps w:val="0"/>
                <w:color w:val="auto"/>
                <w:spacing w:val="0"/>
                <w:sz w:val="21"/>
                <w:highlight w:val="none"/>
                <w:lang w:val="en-US" w:eastAsia="zh-CN"/>
              </w:rPr>
              <w:t>+H14</w:t>
            </w:r>
            <w:r>
              <w:rPr>
                <w:rFonts w:hint="eastAsia" w:ascii="Times New Roman" w:hAnsi="Times New Roman" w:eastAsia="宋体" w:cs="Times New Roman"/>
                <w:caps w:val="0"/>
                <w:smallCaps w:val="0"/>
                <w:color w:val="auto"/>
                <w:spacing w:val="0"/>
                <w:sz w:val="21"/>
                <w:highlight w:val="none"/>
                <w:lang w:val="en-US" w:eastAsia="zh-CN"/>
              </w:rPr>
              <w:t>级高效离子过滤器/1套F7级过滤器+E10级高效离子过滤器+H14级高效过滤器/2级初效过滤器+H14级高效过滤器/H13级高效过滤器+H14级高效过滤器</w:t>
            </w:r>
          </w:p>
        </w:tc>
        <w:tc>
          <w:tcPr>
            <w:tcW w:w="999" w:type="dxa"/>
            <w:vMerge w:val="restart"/>
            <w:tcBorders>
              <w:tl2br w:val="nil"/>
              <w:tr2bl w:val="nil"/>
            </w:tcBorders>
            <w:shd w:val="clear" w:color="auto" w:fill="auto"/>
            <w:vAlign w:val="center"/>
          </w:tcPr>
          <w:p w14:paraId="126088C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vMerge w:val="restart"/>
            <w:tcBorders>
              <w:tl2br w:val="nil"/>
              <w:tr2bl w:val="nil"/>
            </w:tcBorders>
            <w:shd w:val="clear" w:color="auto" w:fill="auto"/>
            <w:vAlign w:val="center"/>
          </w:tcPr>
          <w:p w14:paraId="7DCCAF4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vMerge w:val="restart"/>
            <w:tcBorders>
              <w:tl2br w:val="nil"/>
              <w:tr2bl w:val="nil"/>
            </w:tcBorders>
            <w:shd w:val="clear" w:color="auto" w:fill="auto"/>
            <w:vAlign w:val="center"/>
          </w:tcPr>
          <w:p w14:paraId="34D1ACA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vMerge w:val="restart"/>
            <w:tcBorders>
              <w:tl2br w:val="nil"/>
              <w:tr2bl w:val="nil"/>
            </w:tcBorders>
            <w:shd w:val="clear" w:color="auto" w:fill="auto"/>
            <w:vAlign w:val="center"/>
          </w:tcPr>
          <w:p w14:paraId="67B3E0E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5B6A83D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137.056</w:t>
            </w:r>
          </w:p>
        </w:tc>
        <w:tc>
          <w:tcPr>
            <w:tcW w:w="1029" w:type="dxa"/>
            <w:tcBorders>
              <w:tl2br w:val="nil"/>
              <w:tr2bl w:val="nil"/>
            </w:tcBorders>
            <w:shd w:val="clear" w:color="auto" w:fill="auto"/>
            <w:vAlign w:val="center"/>
          </w:tcPr>
          <w:p w14:paraId="38224A9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0.0190</w:t>
            </w:r>
          </w:p>
        </w:tc>
        <w:tc>
          <w:tcPr>
            <w:tcW w:w="934" w:type="dxa"/>
            <w:tcBorders>
              <w:tl2br w:val="nil"/>
              <w:tr2bl w:val="nil"/>
            </w:tcBorders>
            <w:shd w:val="clear" w:color="auto" w:fill="auto"/>
            <w:vAlign w:val="center"/>
          </w:tcPr>
          <w:p w14:paraId="7FFF55D9">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1.26</w:t>
            </w:r>
          </w:p>
        </w:tc>
        <w:tc>
          <w:tcPr>
            <w:tcW w:w="927" w:type="dxa"/>
            <w:tcBorders>
              <w:tl2br w:val="nil"/>
              <w:tr2bl w:val="nil"/>
            </w:tcBorders>
            <w:shd w:val="clear" w:color="auto" w:fill="auto"/>
            <w:vAlign w:val="center"/>
          </w:tcPr>
          <w:p w14:paraId="7953B538">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1022" w:type="dxa"/>
            <w:tcBorders>
              <w:tl2br w:val="nil"/>
              <w:tr2bl w:val="nil"/>
            </w:tcBorders>
            <w:shd w:val="clear" w:color="auto" w:fill="auto"/>
            <w:vAlign w:val="center"/>
          </w:tcPr>
          <w:p w14:paraId="6EB9366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30</w:t>
            </w:r>
          </w:p>
        </w:tc>
        <w:tc>
          <w:tcPr>
            <w:tcW w:w="2517" w:type="dxa"/>
            <w:tcBorders>
              <w:tl2br w:val="nil"/>
              <w:tr2bl w:val="nil"/>
            </w:tcBorders>
            <w:shd w:val="clear" w:color="auto" w:fill="auto"/>
            <w:vAlign w:val="center"/>
          </w:tcPr>
          <w:p w14:paraId="2D04CF41">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eastAsia="zh-CN"/>
              </w:rPr>
              <w:t>《</w:t>
            </w:r>
            <w:r>
              <w:rPr>
                <w:rFonts w:ascii="Times New Roman" w:hAnsi="Times New Roman" w:eastAsia="宋体" w:cs="Times New Roman"/>
                <w:bCs/>
                <w:caps w:val="0"/>
                <w:smallCaps w:val="0"/>
                <w:color w:val="auto"/>
                <w:spacing w:val="0"/>
                <w:sz w:val="21"/>
                <w:highlight w:val="none"/>
              </w:rPr>
              <w:t>电池工业污染物标准》（GB30484-2013）表5</w:t>
            </w:r>
          </w:p>
        </w:tc>
      </w:tr>
      <w:tr w14:paraId="243C2899">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6341195">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3C70EED8">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33E9F7B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1442" w:type="dxa"/>
            <w:vMerge w:val="continue"/>
            <w:tcBorders>
              <w:tl2br w:val="nil"/>
              <w:tr2bl w:val="nil"/>
            </w:tcBorders>
            <w:shd w:val="clear" w:color="auto" w:fill="auto"/>
            <w:vAlign w:val="center"/>
          </w:tcPr>
          <w:p w14:paraId="2495D6AD">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vMerge w:val="continue"/>
            <w:tcBorders>
              <w:tl2br w:val="nil"/>
              <w:tr2bl w:val="nil"/>
            </w:tcBorders>
            <w:shd w:val="clear" w:color="auto" w:fill="auto"/>
            <w:vAlign w:val="center"/>
          </w:tcPr>
          <w:p w14:paraId="337BA3F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3DC690E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597E80B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7AEC92C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7CA51310">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0.131</w:t>
            </w:r>
          </w:p>
        </w:tc>
        <w:tc>
          <w:tcPr>
            <w:tcW w:w="1029" w:type="dxa"/>
            <w:tcBorders>
              <w:tl2br w:val="nil"/>
              <w:tr2bl w:val="nil"/>
            </w:tcBorders>
            <w:shd w:val="clear" w:color="auto" w:fill="auto"/>
            <w:vAlign w:val="center"/>
          </w:tcPr>
          <w:p w14:paraId="4FB4B3A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1.82</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5</w:t>
            </w:r>
          </w:p>
        </w:tc>
        <w:tc>
          <w:tcPr>
            <w:tcW w:w="934" w:type="dxa"/>
            <w:tcBorders>
              <w:tl2br w:val="nil"/>
              <w:tr2bl w:val="nil"/>
            </w:tcBorders>
            <w:shd w:val="clear" w:color="auto" w:fill="auto"/>
            <w:vAlign w:val="center"/>
          </w:tcPr>
          <w:p w14:paraId="6AF90ADF">
            <w:pPr>
              <w:widowControl w:val="0"/>
              <w:snapToGrid w:val="0"/>
              <w:jc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0</w:t>
            </w: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120</w:t>
            </w:r>
          </w:p>
        </w:tc>
        <w:tc>
          <w:tcPr>
            <w:tcW w:w="927" w:type="dxa"/>
            <w:tcBorders>
              <w:tl2br w:val="nil"/>
              <w:tr2bl w:val="nil"/>
            </w:tcBorders>
            <w:shd w:val="clear" w:color="auto" w:fill="auto"/>
            <w:vAlign w:val="center"/>
          </w:tcPr>
          <w:p w14:paraId="7DA87FD8">
            <w:pPr>
              <w:widowControl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37057B00">
            <w:pPr>
              <w:widowControl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711BD9DF">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4F7EEDF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72003E5">
            <w:pPr>
              <w:widowControl w:val="0"/>
              <w:snapToGrid w:val="0"/>
              <w:jc w:val="center"/>
              <w:textAlignment w:val="center"/>
              <w:rPr>
                <w:rStyle w:val="218"/>
                <w:rFonts w:ascii="Times New Roman" w:hAnsi="Times New Roman" w:cs="Times New Roman"/>
                <w:caps w:val="0"/>
                <w:smallCaps w:val="0"/>
                <w:color w:val="auto"/>
                <w:spacing w:val="0"/>
                <w:sz w:val="21"/>
                <w:szCs w:val="21"/>
                <w:highlight w:val="none"/>
                <w:lang w:bidi="ar"/>
              </w:rPr>
            </w:pPr>
          </w:p>
        </w:tc>
        <w:tc>
          <w:tcPr>
            <w:tcW w:w="940" w:type="dxa"/>
            <w:tcBorders>
              <w:tl2br w:val="nil"/>
              <w:tr2bl w:val="nil"/>
            </w:tcBorders>
            <w:shd w:val="clear" w:color="auto" w:fill="auto"/>
            <w:vAlign w:val="center"/>
          </w:tcPr>
          <w:p w14:paraId="46C6CB9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DA002</w:t>
            </w:r>
          </w:p>
        </w:tc>
        <w:tc>
          <w:tcPr>
            <w:tcW w:w="1047" w:type="dxa"/>
            <w:tcBorders>
              <w:tl2br w:val="nil"/>
              <w:tr2bl w:val="nil"/>
            </w:tcBorders>
            <w:shd w:val="clear" w:color="auto" w:fill="auto"/>
            <w:vAlign w:val="center"/>
          </w:tcPr>
          <w:p w14:paraId="7A305FF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1442" w:type="dxa"/>
            <w:tcBorders>
              <w:tl2br w:val="nil"/>
              <w:tr2bl w:val="nil"/>
            </w:tcBorders>
            <w:shd w:val="clear" w:color="auto" w:fill="auto"/>
            <w:vAlign w:val="center"/>
          </w:tcPr>
          <w:p w14:paraId="6370024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H14</w:t>
            </w:r>
            <w:r>
              <w:rPr>
                <w:rStyle w:val="222"/>
                <w:rFonts w:hint="default" w:ascii="Times New Roman" w:hAnsi="Times New Roman" w:cs="Times New Roman"/>
                <w:caps w:val="0"/>
                <w:smallCaps w:val="0"/>
                <w:color w:val="auto"/>
                <w:spacing w:val="0"/>
                <w:sz w:val="21"/>
                <w:szCs w:val="21"/>
                <w:highlight w:val="none"/>
                <w:lang w:bidi="ar"/>
              </w:rPr>
              <w:t>级的高</w:t>
            </w:r>
            <w:r>
              <w:rPr>
                <w:rStyle w:val="223"/>
                <w:rFonts w:eastAsia="宋体"/>
                <w:caps w:val="0"/>
                <w:smallCaps w:val="0"/>
                <w:color w:val="auto"/>
                <w:spacing w:val="0"/>
                <w:sz w:val="21"/>
                <w:szCs w:val="21"/>
                <w:highlight w:val="none"/>
                <w:lang w:bidi="ar"/>
              </w:rPr>
              <w:br w:type="textWrapping"/>
            </w:r>
            <w:r>
              <w:rPr>
                <w:rStyle w:val="222"/>
                <w:rFonts w:hint="default" w:ascii="Times New Roman" w:hAnsi="Times New Roman" w:cs="Times New Roman"/>
                <w:caps w:val="0"/>
                <w:smallCaps w:val="0"/>
                <w:color w:val="auto"/>
                <w:spacing w:val="0"/>
                <w:sz w:val="21"/>
                <w:szCs w:val="21"/>
                <w:highlight w:val="none"/>
                <w:lang w:bidi="ar"/>
              </w:rPr>
              <w:t>效过滤器</w:t>
            </w:r>
          </w:p>
        </w:tc>
        <w:tc>
          <w:tcPr>
            <w:tcW w:w="999" w:type="dxa"/>
            <w:tcBorders>
              <w:tl2br w:val="nil"/>
              <w:tr2bl w:val="nil"/>
            </w:tcBorders>
            <w:shd w:val="clear" w:color="auto" w:fill="auto"/>
            <w:vAlign w:val="center"/>
          </w:tcPr>
          <w:p w14:paraId="30CCD86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tcBorders>
              <w:tl2br w:val="nil"/>
              <w:tr2bl w:val="nil"/>
            </w:tcBorders>
            <w:shd w:val="clear" w:color="auto" w:fill="auto"/>
            <w:vAlign w:val="center"/>
          </w:tcPr>
          <w:p w14:paraId="7DCF972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tcBorders>
              <w:tl2br w:val="nil"/>
              <w:tr2bl w:val="nil"/>
            </w:tcBorders>
            <w:shd w:val="clear" w:color="auto" w:fill="auto"/>
            <w:vAlign w:val="center"/>
          </w:tcPr>
          <w:p w14:paraId="7893761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tcBorders>
              <w:tl2br w:val="nil"/>
              <w:tr2bl w:val="nil"/>
            </w:tcBorders>
            <w:shd w:val="clear" w:color="auto" w:fill="auto"/>
            <w:vAlign w:val="center"/>
          </w:tcPr>
          <w:p w14:paraId="2C4D13A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6B3DB0D3">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6.48</w:t>
            </w:r>
          </w:p>
        </w:tc>
        <w:tc>
          <w:tcPr>
            <w:tcW w:w="1029" w:type="dxa"/>
            <w:tcBorders>
              <w:tl2br w:val="nil"/>
              <w:tr2bl w:val="nil"/>
            </w:tcBorders>
            <w:shd w:val="clear" w:color="auto" w:fill="auto"/>
            <w:vAlign w:val="center"/>
          </w:tcPr>
          <w:p w14:paraId="493625F6">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9.</w:t>
            </w:r>
            <w:r>
              <w:rPr>
                <w:rFonts w:hint="eastAsia" w:ascii="Times New Roman" w:hAnsi="Times New Roman" w:eastAsia="宋体" w:cs="Times New Roman"/>
                <w:caps w:val="0"/>
                <w:smallCaps w:val="0"/>
                <w:color w:val="auto"/>
                <w:spacing w:val="0"/>
                <w:kern w:val="0"/>
                <w:sz w:val="21"/>
                <w:highlight w:val="none"/>
                <w:lang w:val="en-US" w:eastAsia="zh-CN" w:bidi="ar"/>
              </w:rPr>
              <w:t>00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4</w:t>
            </w:r>
          </w:p>
        </w:tc>
        <w:tc>
          <w:tcPr>
            <w:tcW w:w="934" w:type="dxa"/>
            <w:tcBorders>
              <w:tl2br w:val="nil"/>
              <w:tr2bl w:val="nil"/>
            </w:tcBorders>
            <w:shd w:val="clear" w:color="auto" w:fill="auto"/>
            <w:vAlign w:val="center"/>
          </w:tcPr>
          <w:p w14:paraId="6D666832">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0.</w:t>
            </w:r>
            <w:r>
              <w:rPr>
                <w:rFonts w:hint="eastAsia" w:ascii="Times New Roman" w:hAnsi="Times New Roman" w:eastAsia="宋体" w:cs="Times New Roman"/>
                <w:caps w:val="0"/>
                <w:smallCaps w:val="0"/>
                <w:color w:val="auto"/>
                <w:spacing w:val="0"/>
                <w:kern w:val="0"/>
                <w:sz w:val="21"/>
                <w:highlight w:val="none"/>
                <w:lang w:val="en-US" w:eastAsia="zh-CN" w:bidi="ar"/>
              </w:rPr>
              <w:t>30</w:t>
            </w:r>
          </w:p>
        </w:tc>
        <w:tc>
          <w:tcPr>
            <w:tcW w:w="927" w:type="dxa"/>
            <w:tcBorders>
              <w:tl2br w:val="nil"/>
              <w:tr2bl w:val="nil"/>
            </w:tcBorders>
            <w:shd w:val="clear" w:color="auto" w:fill="auto"/>
            <w:vAlign w:val="center"/>
          </w:tcPr>
          <w:p w14:paraId="447AF9CC">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1022" w:type="dxa"/>
            <w:tcBorders>
              <w:tl2br w:val="nil"/>
              <w:tr2bl w:val="nil"/>
            </w:tcBorders>
            <w:shd w:val="clear" w:color="auto" w:fill="auto"/>
            <w:vAlign w:val="center"/>
          </w:tcPr>
          <w:p w14:paraId="7B9084B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30</w:t>
            </w:r>
          </w:p>
        </w:tc>
        <w:tc>
          <w:tcPr>
            <w:tcW w:w="2517" w:type="dxa"/>
            <w:vMerge w:val="restart"/>
            <w:tcBorders>
              <w:tl2br w:val="nil"/>
              <w:tr2bl w:val="nil"/>
            </w:tcBorders>
            <w:shd w:val="clear" w:color="auto" w:fill="auto"/>
            <w:vAlign w:val="center"/>
          </w:tcPr>
          <w:p w14:paraId="0ECB7B6C">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eastAsia="zh-CN"/>
              </w:rPr>
              <w:t>《</w:t>
            </w:r>
            <w:r>
              <w:rPr>
                <w:rFonts w:ascii="Times New Roman" w:hAnsi="Times New Roman" w:eastAsia="宋体" w:cs="Times New Roman"/>
                <w:bCs/>
                <w:caps w:val="0"/>
                <w:smallCaps w:val="0"/>
                <w:color w:val="auto"/>
                <w:spacing w:val="0"/>
                <w:sz w:val="21"/>
                <w:highlight w:val="none"/>
              </w:rPr>
              <w:t>电池工业污染物标准》（GB30484-2013）表5</w:t>
            </w:r>
          </w:p>
        </w:tc>
      </w:tr>
      <w:tr w14:paraId="35BAFF3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AA3DBA8">
            <w:pPr>
              <w:widowControl w:val="0"/>
              <w:snapToGrid w:val="0"/>
              <w:jc w:val="center"/>
              <w:textAlignment w:val="center"/>
              <w:rPr>
                <w:rStyle w:val="218"/>
                <w:rFonts w:ascii="Times New Roman" w:hAnsi="Times New Roman" w:cs="Times New Roman"/>
                <w:caps w:val="0"/>
                <w:smallCaps w:val="0"/>
                <w:color w:val="auto"/>
                <w:spacing w:val="0"/>
                <w:sz w:val="21"/>
                <w:szCs w:val="21"/>
                <w:highlight w:val="none"/>
                <w:lang w:bidi="ar"/>
              </w:rPr>
            </w:pPr>
          </w:p>
        </w:tc>
        <w:tc>
          <w:tcPr>
            <w:tcW w:w="940" w:type="dxa"/>
            <w:vMerge w:val="restart"/>
            <w:tcBorders>
              <w:tl2br w:val="nil"/>
              <w:tr2bl w:val="nil"/>
            </w:tcBorders>
            <w:shd w:val="clear" w:color="auto" w:fill="auto"/>
            <w:vAlign w:val="center"/>
          </w:tcPr>
          <w:p w14:paraId="6A2F3D7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DA003</w:t>
            </w:r>
          </w:p>
        </w:tc>
        <w:tc>
          <w:tcPr>
            <w:tcW w:w="1047" w:type="dxa"/>
            <w:tcBorders>
              <w:tl2br w:val="nil"/>
              <w:tr2bl w:val="nil"/>
            </w:tcBorders>
            <w:shd w:val="clear" w:color="auto" w:fill="auto"/>
            <w:vAlign w:val="center"/>
          </w:tcPr>
          <w:p w14:paraId="47074D7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1442" w:type="dxa"/>
            <w:vMerge w:val="restart"/>
            <w:tcBorders>
              <w:tl2br w:val="nil"/>
              <w:tr2bl w:val="nil"/>
            </w:tcBorders>
            <w:shd w:val="clear" w:color="auto" w:fill="auto"/>
            <w:vAlign w:val="center"/>
          </w:tcPr>
          <w:p w14:paraId="5C7CEF7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2级初效过滤器+H14级高效过滤器</w:t>
            </w:r>
          </w:p>
        </w:tc>
        <w:tc>
          <w:tcPr>
            <w:tcW w:w="999" w:type="dxa"/>
            <w:vMerge w:val="restart"/>
            <w:tcBorders>
              <w:tl2br w:val="nil"/>
              <w:tr2bl w:val="nil"/>
            </w:tcBorders>
            <w:shd w:val="clear" w:color="auto" w:fill="auto"/>
            <w:vAlign w:val="center"/>
          </w:tcPr>
          <w:p w14:paraId="0C14380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vMerge w:val="restart"/>
            <w:tcBorders>
              <w:tl2br w:val="nil"/>
              <w:tr2bl w:val="nil"/>
            </w:tcBorders>
            <w:shd w:val="clear" w:color="auto" w:fill="auto"/>
            <w:vAlign w:val="center"/>
          </w:tcPr>
          <w:p w14:paraId="562F44F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vMerge w:val="restart"/>
            <w:tcBorders>
              <w:tl2br w:val="nil"/>
              <w:tr2bl w:val="nil"/>
            </w:tcBorders>
            <w:shd w:val="clear" w:color="auto" w:fill="auto"/>
            <w:vAlign w:val="center"/>
          </w:tcPr>
          <w:p w14:paraId="753D9FC9">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vMerge w:val="restart"/>
            <w:tcBorders>
              <w:tl2br w:val="nil"/>
              <w:tr2bl w:val="nil"/>
            </w:tcBorders>
            <w:shd w:val="clear" w:color="auto" w:fill="auto"/>
            <w:vAlign w:val="center"/>
          </w:tcPr>
          <w:p w14:paraId="4BA2B14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02D68B2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10.179</w:t>
            </w:r>
          </w:p>
        </w:tc>
        <w:tc>
          <w:tcPr>
            <w:tcW w:w="1029" w:type="dxa"/>
            <w:tcBorders>
              <w:tl2br w:val="nil"/>
              <w:tr2bl w:val="nil"/>
            </w:tcBorders>
            <w:shd w:val="clear" w:color="auto" w:fill="auto"/>
            <w:vAlign w:val="center"/>
          </w:tcPr>
          <w:p w14:paraId="1F5B0C1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r>
              <w:rPr>
                <w:rFonts w:hint="eastAsia" w:ascii="Times New Roman" w:hAnsi="Times New Roman" w:eastAsia="宋体" w:cs="Times New Roman"/>
                <w:caps w:val="0"/>
                <w:smallCaps w:val="0"/>
                <w:color w:val="auto"/>
                <w:spacing w:val="0"/>
                <w:kern w:val="0"/>
                <w:sz w:val="21"/>
                <w:highlight w:val="none"/>
                <w:lang w:val="en-US" w:eastAsia="zh-CN" w:bidi="ar"/>
              </w:rPr>
              <w:t>41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934" w:type="dxa"/>
            <w:tcBorders>
              <w:tl2br w:val="nil"/>
              <w:tr2bl w:val="nil"/>
            </w:tcBorders>
            <w:shd w:val="clear" w:color="auto" w:fill="auto"/>
            <w:vAlign w:val="center"/>
          </w:tcPr>
          <w:p w14:paraId="17E9A47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1.25</w:t>
            </w:r>
          </w:p>
        </w:tc>
        <w:tc>
          <w:tcPr>
            <w:tcW w:w="927" w:type="dxa"/>
            <w:tcBorders>
              <w:tl2br w:val="nil"/>
              <w:tr2bl w:val="nil"/>
            </w:tcBorders>
            <w:shd w:val="clear" w:color="auto" w:fill="auto"/>
            <w:vAlign w:val="center"/>
          </w:tcPr>
          <w:p w14:paraId="337969C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1022" w:type="dxa"/>
            <w:tcBorders>
              <w:tl2br w:val="nil"/>
              <w:tr2bl w:val="nil"/>
            </w:tcBorders>
            <w:shd w:val="clear" w:color="auto" w:fill="auto"/>
            <w:vAlign w:val="center"/>
          </w:tcPr>
          <w:p w14:paraId="35350F9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30</w:t>
            </w:r>
          </w:p>
        </w:tc>
        <w:tc>
          <w:tcPr>
            <w:tcW w:w="2517" w:type="dxa"/>
            <w:vMerge w:val="continue"/>
            <w:tcBorders>
              <w:tl2br w:val="nil"/>
              <w:tr2bl w:val="nil"/>
            </w:tcBorders>
            <w:shd w:val="clear" w:color="auto" w:fill="auto"/>
            <w:vAlign w:val="center"/>
          </w:tcPr>
          <w:p w14:paraId="34BB919A">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4606B9E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FA5E438">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08ADF27A">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4147E20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1442" w:type="dxa"/>
            <w:vMerge w:val="continue"/>
            <w:tcBorders>
              <w:tl2br w:val="nil"/>
              <w:tr2bl w:val="nil"/>
            </w:tcBorders>
            <w:shd w:val="clear" w:color="auto" w:fill="auto"/>
            <w:vAlign w:val="center"/>
          </w:tcPr>
          <w:p w14:paraId="7EBA42F9">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vMerge w:val="continue"/>
            <w:tcBorders>
              <w:tl2br w:val="nil"/>
              <w:tr2bl w:val="nil"/>
            </w:tcBorders>
            <w:shd w:val="clear" w:color="auto" w:fill="auto"/>
            <w:vAlign w:val="center"/>
          </w:tcPr>
          <w:p w14:paraId="01F91AD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5D6414E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47B8133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146BF54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02102D8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4.07</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029" w:type="dxa"/>
            <w:tcBorders>
              <w:tl2br w:val="nil"/>
              <w:tr2bl w:val="nil"/>
            </w:tcBorders>
            <w:shd w:val="clear" w:color="auto" w:fill="auto"/>
            <w:vAlign w:val="center"/>
          </w:tcPr>
          <w:p w14:paraId="1DC6C8C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934" w:type="dxa"/>
            <w:tcBorders>
              <w:tl2br w:val="nil"/>
              <w:tr2bl w:val="nil"/>
            </w:tcBorders>
            <w:shd w:val="clear" w:color="auto" w:fill="auto"/>
            <w:vAlign w:val="center"/>
          </w:tcPr>
          <w:p w14:paraId="1296728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0.0005</w:t>
            </w:r>
          </w:p>
        </w:tc>
        <w:tc>
          <w:tcPr>
            <w:tcW w:w="927" w:type="dxa"/>
            <w:tcBorders>
              <w:tl2br w:val="nil"/>
              <w:tr2bl w:val="nil"/>
            </w:tcBorders>
            <w:shd w:val="clear" w:color="auto" w:fill="auto"/>
            <w:vAlign w:val="center"/>
          </w:tcPr>
          <w:p w14:paraId="382947D7">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18ECEF14">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23A16875">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7E01BE2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4DEA376">
            <w:pPr>
              <w:widowControl w:val="0"/>
              <w:snapToGrid w:val="0"/>
              <w:jc w:val="center"/>
              <w:textAlignment w:val="center"/>
              <w:rPr>
                <w:rStyle w:val="218"/>
                <w:rFonts w:ascii="Times New Roman" w:hAnsi="Times New Roman" w:cs="Times New Roman"/>
                <w:caps w:val="0"/>
                <w:smallCaps w:val="0"/>
                <w:color w:val="auto"/>
                <w:spacing w:val="0"/>
                <w:sz w:val="21"/>
                <w:szCs w:val="21"/>
                <w:highlight w:val="none"/>
                <w:lang w:bidi="ar"/>
              </w:rPr>
            </w:pPr>
          </w:p>
        </w:tc>
        <w:tc>
          <w:tcPr>
            <w:tcW w:w="940" w:type="dxa"/>
            <w:vMerge w:val="restart"/>
            <w:tcBorders>
              <w:tl2br w:val="nil"/>
              <w:tr2bl w:val="nil"/>
            </w:tcBorders>
            <w:shd w:val="clear" w:color="auto" w:fill="auto"/>
            <w:vAlign w:val="center"/>
          </w:tcPr>
          <w:p w14:paraId="4E0DBF5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DA004</w:t>
            </w:r>
          </w:p>
        </w:tc>
        <w:tc>
          <w:tcPr>
            <w:tcW w:w="1047" w:type="dxa"/>
            <w:tcBorders>
              <w:tl2br w:val="nil"/>
              <w:tr2bl w:val="nil"/>
            </w:tcBorders>
            <w:shd w:val="clear" w:color="auto" w:fill="auto"/>
            <w:vAlign w:val="center"/>
          </w:tcPr>
          <w:p w14:paraId="73ADA47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1442" w:type="dxa"/>
            <w:vMerge w:val="restart"/>
            <w:tcBorders>
              <w:tl2br w:val="nil"/>
              <w:tr2bl w:val="nil"/>
            </w:tcBorders>
            <w:shd w:val="clear" w:color="auto" w:fill="auto"/>
            <w:vAlign w:val="center"/>
          </w:tcPr>
          <w:p w14:paraId="42425EE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2级初效过滤器+H14级高效过滤器</w:t>
            </w:r>
          </w:p>
        </w:tc>
        <w:tc>
          <w:tcPr>
            <w:tcW w:w="999" w:type="dxa"/>
            <w:vMerge w:val="restart"/>
            <w:tcBorders>
              <w:tl2br w:val="nil"/>
              <w:tr2bl w:val="nil"/>
            </w:tcBorders>
            <w:shd w:val="clear" w:color="auto" w:fill="auto"/>
            <w:vAlign w:val="center"/>
          </w:tcPr>
          <w:p w14:paraId="00F227D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vMerge w:val="restart"/>
            <w:tcBorders>
              <w:tl2br w:val="nil"/>
              <w:tr2bl w:val="nil"/>
            </w:tcBorders>
            <w:shd w:val="clear" w:color="auto" w:fill="auto"/>
            <w:vAlign w:val="center"/>
          </w:tcPr>
          <w:p w14:paraId="70CD295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vMerge w:val="restart"/>
            <w:tcBorders>
              <w:tl2br w:val="nil"/>
              <w:tr2bl w:val="nil"/>
            </w:tcBorders>
            <w:shd w:val="clear" w:color="auto" w:fill="auto"/>
            <w:vAlign w:val="center"/>
          </w:tcPr>
          <w:p w14:paraId="4245E0E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vMerge w:val="restart"/>
            <w:tcBorders>
              <w:tl2br w:val="nil"/>
              <w:tr2bl w:val="nil"/>
            </w:tcBorders>
            <w:shd w:val="clear" w:color="auto" w:fill="auto"/>
            <w:vAlign w:val="center"/>
          </w:tcPr>
          <w:p w14:paraId="0FCCD22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45201A5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10.179</w:t>
            </w:r>
          </w:p>
        </w:tc>
        <w:tc>
          <w:tcPr>
            <w:tcW w:w="1029" w:type="dxa"/>
            <w:tcBorders>
              <w:tl2br w:val="nil"/>
              <w:tr2bl w:val="nil"/>
            </w:tcBorders>
            <w:shd w:val="clear" w:color="auto" w:fill="auto"/>
            <w:vAlign w:val="center"/>
          </w:tcPr>
          <w:p w14:paraId="634AB3B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r>
              <w:rPr>
                <w:rFonts w:hint="eastAsia" w:ascii="Times New Roman" w:hAnsi="Times New Roman" w:eastAsia="宋体" w:cs="Times New Roman"/>
                <w:caps w:val="0"/>
                <w:smallCaps w:val="0"/>
                <w:color w:val="auto"/>
                <w:spacing w:val="0"/>
                <w:kern w:val="0"/>
                <w:sz w:val="21"/>
                <w:highlight w:val="none"/>
                <w:lang w:val="en-US" w:eastAsia="zh-CN" w:bidi="ar"/>
              </w:rPr>
              <w:t>41</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934" w:type="dxa"/>
            <w:tcBorders>
              <w:tl2br w:val="nil"/>
              <w:tr2bl w:val="nil"/>
            </w:tcBorders>
            <w:shd w:val="clear" w:color="auto" w:fill="auto"/>
            <w:vAlign w:val="center"/>
          </w:tcPr>
          <w:p w14:paraId="41300B7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1.25</w:t>
            </w:r>
          </w:p>
        </w:tc>
        <w:tc>
          <w:tcPr>
            <w:tcW w:w="927" w:type="dxa"/>
            <w:tcBorders>
              <w:tl2br w:val="nil"/>
              <w:tr2bl w:val="nil"/>
            </w:tcBorders>
            <w:shd w:val="clear" w:color="auto" w:fill="auto"/>
            <w:vAlign w:val="center"/>
          </w:tcPr>
          <w:p w14:paraId="3E33C77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022" w:type="dxa"/>
            <w:tcBorders>
              <w:tl2br w:val="nil"/>
              <w:tr2bl w:val="nil"/>
            </w:tcBorders>
            <w:shd w:val="clear" w:color="auto" w:fill="auto"/>
            <w:vAlign w:val="center"/>
          </w:tcPr>
          <w:p w14:paraId="6128DFF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30</w:t>
            </w:r>
          </w:p>
        </w:tc>
        <w:tc>
          <w:tcPr>
            <w:tcW w:w="2517" w:type="dxa"/>
            <w:tcBorders>
              <w:tl2br w:val="nil"/>
              <w:tr2bl w:val="nil"/>
            </w:tcBorders>
            <w:shd w:val="clear" w:color="auto" w:fill="auto"/>
            <w:vAlign w:val="center"/>
          </w:tcPr>
          <w:p w14:paraId="0E549C2C">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eastAsia="zh-CN"/>
              </w:rPr>
              <w:t>《</w:t>
            </w:r>
            <w:r>
              <w:rPr>
                <w:rFonts w:ascii="Times New Roman" w:hAnsi="Times New Roman" w:eastAsia="宋体" w:cs="Times New Roman"/>
                <w:bCs/>
                <w:caps w:val="0"/>
                <w:smallCaps w:val="0"/>
                <w:color w:val="auto"/>
                <w:spacing w:val="0"/>
                <w:sz w:val="21"/>
                <w:highlight w:val="none"/>
              </w:rPr>
              <w:t>电池工业污染物标准》（GB30484-2013）表5</w:t>
            </w:r>
          </w:p>
        </w:tc>
      </w:tr>
      <w:tr w14:paraId="5BB5162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403BFED">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C553026">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53430F7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1442" w:type="dxa"/>
            <w:vMerge w:val="continue"/>
            <w:tcBorders>
              <w:tl2br w:val="nil"/>
              <w:tr2bl w:val="nil"/>
            </w:tcBorders>
            <w:shd w:val="clear" w:color="auto" w:fill="auto"/>
            <w:vAlign w:val="center"/>
          </w:tcPr>
          <w:p w14:paraId="2D7AD1DE">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vMerge w:val="continue"/>
            <w:tcBorders>
              <w:tl2br w:val="nil"/>
              <w:tr2bl w:val="nil"/>
            </w:tcBorders>
            <w:shd w:val="clear" w:color="auto" w:fill="auto"/>
            <w:vAlign w:val="center"/>
          </w:tcPr>
          <w:p w14:paraId="51011B6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17906B7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6724846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3C42BB7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5A05603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4.07</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1029" w:type="dxa"/>
            <w:tcBorders>
              <w:tl2br w:val="nil"/>
              <w:tr2bl w:val="nil"/>
            </w:tcBorders>
            <w:shd w:val="clear" w:color="auto" w:fill="auto"/>
            <w:vAlign w:val="center"/>
          </w:tcPr>
          <w:p w14:paraId="2C0BB3B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934" w:type="dxa"/>
            <w:tcBorders>
              <w:tl2br w:val="nil"/>
              <w:tr2bl w:val="nil"/>
            </w:tcBorders>
            <w:shd w:val="clear" w:color="auto" w:fill="auto"/>
            <w:vAlign w:val="center"/>
          </w:tcPr>
          <w:p w14:paraId="26B90CB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0.0005</w:t>
            </w:r>
          </w:p>
        </w:tc>
        <w:tc>
          <w:tcPr>
            <w:tcW w:w="927" w:type="dxa"/>
            <w:tcBorders>
              <w:tl2br w:val="nil"/>
              <w:tr2bl w:val="nil"/>
            </w:tcBorders>
            <w:shd w:val="clear" w:color="auto" w:fill="auto"/>
            <w:vAlign w:val="center"/>
          </w:tcPr>
          <w:p w14:paraId="12187A8C">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4D0C53A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6CC9C18A">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2BB5D25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45B46F1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20AD865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DA00</w:t>
            </w:r>
            <w:r>
              <w:rPr>
                <w:rFonts w:hint="eastAsia" w:ascii="Times New Roman" w:hAnsi="Times New Roman" w:eastAsia="宋体" w:cs="Times New Roman"/>
                <w:caps w:val="0"/>
                <w:smallCaps w:val="0"/>
                <w:color w:val="auto"/>
                <w:spacing w:val="0"/>
                <w:kern w:val="0"/>
                <w:sz w:val="21"/>
                <w:highlight w:val="none"/>
                <w:lang w:val="en-US" w:eastAsia="zh-CN" w:bidi="ar"/>
              </w:rPr>
              <w:t>5</w:t>
            </w:r>
          </w:p>
        </w:tc>
        <w:tc>
          <w:tcPr>
            <w:tcW w:w="1047" w:type="dxa"/>
            <w:tcBorders>
              <w:tl2br w:val="nil"/>
              <w:tr2bl w:val="nil"/>
            </w:tcBorders>
            <w:shd w:val="clear" w:color="auto" w:fill="auto"/>
            <w:vAlign w:val="center"/>
          </w:tcPr>
          <w:p w14:paraId="7CE082C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颗粒物</w:t>
            </w:r>
          </w:p>
        </w:tc>
        <w:tc>
          <w:tcPr>
            <w:tcW w:w="1442" w:type="dxa"/>
            <w:tcBorders>
              <w:tl2br w:val="nil"/>
              <w:tr2bl w:val="nil"/>
            </w:tcBorders>
            <w:shd w:val="clear" w:color="auto" w:fill="auto"/>
            <w:vAlign w:val="center"/>
          </w:tcPr>
          <w:p w14:paraId="2A30112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H14</w:t>
            </w:r>
            <w:r>
              <w:rPr>
                <w:rStyle w:val="222"/>
                <w:rFonts w:hint="default" w:ascii="Times New Roman" w:hAnsi="Times New Roman" w:cs="Times New Roman"/>
                <w:caps w:val="0"/>
                <w:smallCaps w:val="0"/>
                <w:color w:val="auto"/>
                <w:spacing w:val="0"/>
                <w:sz w:val="21"/>
                <w:szCs w:val="21"/>
                <w:highlight w:val="none"/>
                <w:lang w:bidi="ar"/>
              </w:rPr>
              <w:t>级的高</w:t>
            </w:r>
            <w:r>
              <w:rPr>
                <w:rStyle w:val="223"/>
                <w:rFonts w:eastAsia="宋体"/>
                <w:caps w:val="0"/>
                <w:smallCaps w:val="0"/>
                <w:color w:val="auto"/>
                <w:spacing w:val="0"/>
                <w:sz w:val="21"/>
                <w:szCs w:val="21"/>
                <w:highlight w:val="none"/>
                <w:lang w:bidi="ar"/>
              </w:rPr>
              <w:br w:type="textWrapping"/>
            </w:r>
            <w:r>
              <w:rPr>
                <w:rStyle w:val="222"/>
                <w:rFonts w:hint="default" w:ascii="Times New Roman" w:hAnsi="Times New Roman" w:cs="Times New Roman"/>
                <w:caps w:val="0"/>
                <w:smallCaps w:val="0"/>
                <w:color w:val="auto"/>
                <w:spacing w:val="0"/>
                <w:sz w:val="21"/>
                <w:szCs w:val="21"/>
                <w:highlight w:val="none"/>
                <w:lang w:bidi="ar"/>
              </w:rPr>
              <w:t>效过滤器</w:t>
            </w:r>
          </w:p>
        </w:tc>
        <w:tc>
          <w:tcPr>
            <w:tcW w:w="999" w:type="dxa"/>
            <w:tcBorders>
              <w:tl2br w:val="nil"/>
              <w:tr2bl w:val="nil"/>
            </w:tcBorders>
            <w:shd w:val="clear" w:color="auto" w:fill="auto"/>
            <w:vAlign w:val="center"/>
          </w:tcPr>
          <w:p w14:paraId="7D76A19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tcBorders>
              <w:tl2br w:val="nil"/>
              <w:tr2bl w:val="nil"/>
            </w:tcBorders>
            <w:shd w:val="clear" w:color="auto" w:fill="auto"/>
            <w:vAlign w:val="center"/>
          </w:tcPr>
          <w:p w14:paraId="3F47F8A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tcBorders>
              <w:tl2br w:val="nil"/>
              <w:tr2bl w:val="nil"/>
            </w:tcBorders>
            <w:shd w:val="clear" w:color="auto" w:fill="auto"/>
            <w:vAlign w:val="center"/>
          </w:tcPr>
          <w:p w14:paraId="439378B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tcBorders>
              <w:tl2br w:val="nil"/>
              <w:tr2bl w:val="nil"/>
            </w:tcBorders>
            <w:shd w:val="clear" w:color="auto" w:fill="auto"/>
            <w:vAlign w:val="center"/>
          </w:tcPr>
          <w:p w14:paraId="5F26834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580B7EF9">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12.96</w:t>
            </w:r>
          </w:p>
        </w:tc>
        <w:tc>
          <w:tcPr>
            <w:tcW w:w="1029" w:type="dxa"/>
            <w:tcBorders>
              <w:tl2br w:val="nil"/>
              <w:tr2bl w:val="nil"/>
            </w:tcBorders>
            <w:shd w:val="clear" w:color="auto" w:fill="auto"/>
            <w:vAlign w:val="center"/>
          </w:tcPr>
          <w:p w14:paraId="6411949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1.80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934" w:type="dxa"/>
            <w:tcBorders>
              <w:tl2br w:val="nil"/>
              <w:tr2bl w:val="nil"/>
            </w:tcBorders>
            <w:shd w:val="clear" w:color="auto" w:fill="auto"/>
            <w:vAlign w:val="center"/>
          </w:tcPr>
          <w:p w14:paraId="4D8C715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0.60</w:t>
            </w:r>
          </w:p>
        </w:tc>
        <w:tc>
          <w:tcPr>
            <w:tcW w:w="927" w:type="dxa"/>
            <w:tcBorders>
              <w:tl2br w:val="nil"/>
              <w:tr2bl w:val="nil"/>
            </w:tcBorders>
            <w:shd w:val="clear" w:color="auto" w:fill="auto"/>
            <w:vAlign w:val="center"/>
          </w:tcPr>
          <w:p w14:paraId="76D12464">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w:t>
            </w:r>
          </w:p>
        </w:tc>
        <w:tc>
          <w:tcPr>
            <w:tcW w:w="1022" w:type="dxa"/>
            <w:tcBorders>
              <w:tl2br w:val="nil"/>
              <w:tr2bl w:val="nil"/>
            </w:tcBorders>
            <w:shd w:val="clear" w:color="auto" w:fill="auto"/>
            <w:vAlign w:val="center"/>
          </w:tcPr>
          <w:p w14:paraId="3602846C">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kern w:val="0"/>
                <w:sz w:val="21"/>
                <w:highlight w:val="none"/>
                <w:lang w:bidi="ar"/>
              </w:rPr>
              <w:t>30</w:t>
            </w:r>
          </w:p>
        </w:tc>
        <w:tc>
          <w:tcPr>
            <w:tcW w:w="2517" w:type="dxa"/>
            <w:vMerge w:val="restart"/>
            <w:tcBorders>
              <w:tl2br w:val="nil"/>
              <w:tr2bl w:val="nil"/>
            </w:tcBorders>
            <w:shd w:val="clear" w:color="auto" w:fill="auto"/>
            <w:vAlign w:val="center"/>
          </w:tcPr>
          <w:p w14:paraId="40C8B5B1">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eastAsia="zh-CN"/>
              </w:rPr>
              <w:t>《</w:t>
            </w:r>
            <w:r>
              <w:rPr>
                <w:rFonts w:ascii="Times New Roman" w:hAnsi="Times New Roman" w:eastAsia="宋体" w:cs="Times New Roman"/>
                <w:bCs/>
                <w:caps w:val="0"/>
                <w:smallCaps w:val="0"/>
                <w:color w:val="auto"/>
                <w:spacing w:val="0"/>
                <w:sz w:val="21"/>
                <w:highlight w:val="none"/>
              </w:rPr>
              <w:t>电池工业污染物标准》（GB30484-2013）表5</w:t>
            </w:r>
          </w:p>
        </w:tc>
      </w:tr>
      <w:tr w14:paraId="3FC1262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DBA6FB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restart"/>
            <w:tcBorders>
              <w:tl2br w:val="nil"/>
              <w:tr2bl w:val="nil"/>
            </w:tcBorders>
            <w:shd w:val="clear" w:color="auto" w:fill="auto"/>
            <w:vAlign w:val="center"/>
          </w:tcPr>
          <w:p w14:paraId="0D1BFCF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DA006</w:t>
            </w:r>
          </w:p>
        </w:tc>
        <w:tc>
          <w:tcPr>
            <w:tcW w:w="1047" w:type="dxa"/>
            <w:tcBorders>
              <w:tl2br w:val="nil"/>
              <w:tr2bl w:val="nil"/>
            </w:tcBorders>
            <w:shd w:val="clear" w:color="auto" w:fill="auto"/>
            <w:vAlign w:val="center"/>
          </w:tcPr>
          <w:p w14:paraId="2DAD131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颗粒物</w:t>
            </w:r>
          </w:p>
        </w:tc>
        <w:tc>
          <w:tcPr>
            <w:tcW w:w="1442" w:type="dxa"/>
            <w:vMerge w:val="restart"/>
            <w:tcBorders>
              <w:tl2br w:val="nil"/>
              <w:tr2bl w:val="nil"/>
            </w:tcBorders>
            <w:shd w:val="clear" w:color="auto" w:fill="auto"/>
            <w:vAlign w:val="center"/>
          </w:tcPr>
          <w:p w14:paraId="5902DB8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2套H13级高效过滤器+H14级高效过滤器</w:t>
            </w:r>
          </w:p>
        </w:tc>
        <w:tc>
          <w:tcPr>
            <w:tcW w:w="999" w:type="dxa"/>
            <w:vMerge w:val="restart"/>
            <w:tcBorders>
              <w:tl2br w:val="nil"/>
              <w:tr2bl w:val="nil"/>
            </w:tcBorders>
            <w:shd w:val="clear" w:color="auto" w:fill="auto"/>
            <w:vAlign w:val="center"/>
          </w:tcPr>
          <w:p w14:paraId="4B4CE9D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vMerge w:val="restart"/>
            <w:tcBorders>
              <w:tl2br w:val="nil"/>
              <w:tr2bl w:val="nil"/>
            </w:tcBorders>
            <w:shd w:val="clear" w:color="auto" w:fill="auto"/>
            <w:vAlign w:val="center"/>
          </w:tcPr>
          <w:p w14:paraId="54C123D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vMerge w:val="restart"/>
            <w:tcBorders>
              <w:tl2br w:val="nil"/>
              <w:tr2bl w:val="nil"/>
            </w:tcBorders>
            <w:shd w:val="clear" w:color="auto" w:fill="auto"/>
            <w:vAlign w:val="center"/>
          </w:tcPr>
          <w:p w14:paraId="6935746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vMerge w:val="restart"/>
            <w:tcBorders>
              <w:tl2br w:val="nil"/>
              <w:tr2bl w:val="nil"/>
            </w:tcBorders>
            <w:shd w:val="clear" w:color="auto" w:fill="auto"/>
            <w:vAlign w:val="center"/>
          </w:tcPr>
          <w:p w14:paraId="562A4B3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7C98E22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lang w:val="en-US" w:eastAsia="zh-CN"/>
              </w:rPr>
              <w:t>9.37</w:t>
            </w:r>
          </w:p>
        </w:tc>
        <w:tc>
          <w:tcPr>
            <w:tcW w:w="1029" w:type="dxa"/>
            <w:tcBorders>
              <w:tl2br w:val="nil"/>
              <w:tr2bl w:val="nil"/>
            </w:tcBorders>
            <w:shd w:val="clear" w:color="auto" w:fill="auto"/>
            <w:vAlign w:val="center"/>
          </w:tcPr>
          <w:p w14:paraId="20EBF27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1.30</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3</w:t>
            </w:r>
          </w:p>
        </w:tc>
        <w:tc>
          <w:tcPr>
            <w:tcW w:w="934" w:type="dxa"/>
            <w:tcBorders>
              <w:tl2br w:val="nil"/>
              <w:tr2bl w:val="nil"/>
            </w:tcBorders>
            <w:shd w:val="clear" w:color="auto" w:fill="auto"/>
            <w:vAlign w:val="center"/>
          </w:tcPr>
          <w:p w14:paraId="3A1F5D1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0.575</w:t>
            </w:r>
          </w:p>
        </w:tc>
        <w:tc>
          <w:tcPr>
            <w:tcW w:w="927" w:type="dxa"/>
            <w:tcBorders>
              <w:tl2br w:val="nil"/>
              <w:tr2bl w:val="nil"/>
            </w:tcBorders>
            <w:shd w:val="clear" w:color="auto" w:fill="auto"/>
            <w:vAlign w:val="center"/>
          </w:tcPr>
          <w:p w14:paraId="366848C7">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1022" w:type="dxa"/>
            <w:tcBorders>
              <w:tl2br w:val="nil"/>
              <w:tr2bl w:val="nil"/>
            </w:tcBorders>
            <w:shd w:val="clear" w:color="auto" w:fill="auto"/>
            <w:vAlign w:val="center"/>
          </w:tcPr>
          <w:p w14:paraId="3814B3C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30</w:t>
            </w:r>
          </w:p>
        </w:tc>
        <w:tc>
          <w:tcPr>
            <w:tcW w:w="2517" w:type="dxa"/>
            <w:vMerge w:val="continue"/>
            <w:tcBorders>
              <w:tl2br w:val="nil"/>
              <w:tr2bl w:val="nil"/>
            </w:tcBorders>
            <w:shd w:val="clear" w:color="auto" w:fill="auto"/>
            <w:vAlign w:val="center"/>
          </w:tcPr>
          <w:p w14:paraId="7947E977">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44E19EF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2E60B35">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4C96361A">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07F700B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镉及其化合物</w:t>
            </w:r>
          </w:p>
        </w:tc>
        <w:tc>
          <w:tcPr>
            <w:tcW w:w="1442" w:type="dxa"/>
            <w:vMerge w:val="continue"/>
            <w:tcBorders>
              <w:tl2br w:val="nil"/>
              <w:tr2bl w:val="nil"/>
            </w:tcBorders>
            <w:shd w:val="clear" w:color="auto" w:fill="auto"/>
            <w:vAlign w:val="center"/>
          </w:tcPr>
          <w:p w14:paraId="4EB666DE">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vMerge w:val="continue"/>
            <w:tcBorders>
              <w:tl2br w:val="nil"/>
              <w:tr2bl w:val="nil"/>
            </w:tcBorders>
            <w:shd w:val="clear" w:color="auto" w:fill="auto"/>
            <w:vAlign w:val="center"/>
          </w:tcPr>
          <w:p w14:paraId="3654D82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77505CC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62A347B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492B10F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28B253E3">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0.0</w:t>
            </w:r>
            <w:r>
              <w:rPr>
                <w:rFonts w:hint="eastAsia" w:ascii="Times New Roman" w:hAnsi="Times New Roman" w:eastAsia="宋体" w:cs="Times New Roman"/>
                <w:caps w:val="0"/>
                <w:smallCaps w:val="0"/>
                <w:color w:val="auto"/>
                <w:spacing w:val="0"/>
                <w:sz w:val="21"/>
                <w:highlight w:val="none"/>
                <w:lang w:val="en-US" w:eastAsia="zh-CN"/>
              </w:rPr>
              <w:t>04</w:t>
            </w:r>
          </w:p>
        </w:tc>
        <w:tc>
          <w:tcPr>
            <w:tcW w:w="1029" w:type="dxa"/>
            <w:tcBorders>
              <w:tl2br w:val="nil"/>
              <w:tr2bl w:val="nil"/>
            </w:tcBorders>
            <w:shd w:val="clear" w:color="auto" w:fill="auto"/>
            <w:vAlign w:val="center"/>
          </w:tcPr>
          <w:p w14:paraId="73898ED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val="en-US" w:eastAsia="zh-CN" w:bidi="ar"/>
              </w:rPr>
              <w:t>5.66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val="en-US" w:eastAsia="zh-CN" w:bidi="ar"/>
              </w:rPr>
              <w:t>7</w:t>
            </w:r>
          </w:p>
        </w:tc>
        <w:tc>
          <w:tcPr>
            <w:tcW w:w="934" w:type="dxa"/>
            <w:tcBorders>
              <w:tl2br w:val="nil"/>
              <w:tr2bl w:val="nil"/>
            </w:tcBorders>
            <w:shd w:val="clear" w:color="auto" w:fill="auto"/>
            <w:vAlign w:val="center"/>
          </w:tcPr>
          <w:p w14:paraId="7DCC283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w:t>
            </w:r>
            <w:r>
              <w:rPr>
                <w:rFonts w:hint="eastAsia" w:ascii="Times New Roman" w:hAnsi="Times New Roman" w:eastAsia="宋体" w:cs="Times New Roman"/>
                <w:caps w:val="0"/>
                <w:smallCaps w:val="0"/>
                <w:color w:val="auto"/>
                <w:spacing w:val="0"/>
                <w:kern w:val="0"/>
                <w:sz w:val="21"/>
                <w:highlight w:val="none"/>
                <w:lang w:val="en-US" w:eastAsia="zh-CN" w:bidi="ar"/>
              </w:rPr>
              <w:t>025</w:t>
            </w:r>
          </w:p>
        </w:tc>
        <w:tc>
          <w:tcPr>
            <w:tcW w:w="927" w:type="dxa"/>
            <w:tcBorders>
              <w:tl2br w:val="nil"/>
              <w:tr2bl w:val="nil"/>
            </w:tcBorders>
            <w:shd w:val="clear" w:color="auto" w:fill="auto"/>
            <w:vAlign w:val="center"/>
          </w:tcPr>
          <w:p w14:paraId="152B82EF">
            <w:pPr>
              <w:widowControl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28B13DF9">
            <w:pPr>
              <w:widowControl w:val="0"/>
              <w:snapToGrid w:val="0"/>
              <w:jc w:val="center"/>
              <w:rPr>
                <w:rFonts w:hint="eastAsia"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338C6DA7">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5B01DC4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BC8B3C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tcBorders>
              <w:tl2br w:val="nil"/>
              <w:tr2bl w:val="nil"/>
            </w:tcBorders>
            <w:shd w:val="clear" w:color="auto" w:fill="auto"/>
            <w:vAlign w:val="center"/>
          </w:tcPr>
          <w:p w14:paraId="5DAE54E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DA007</w:t>
            </w:r>
          </w:p>
        </w:tc>
        <w:tc>
          <w:tcPr>
            <w:tcW w:w="1047" w:type="dxa"/>
            <w:tcBorders>
              <w:tl2br w:val="nil"/>
              <w:tr2bl w:val="nil"/>
            </w:tcBorders>
            <w:shd w:val="clear" w:color="auto" w:fill="auto"/>
            <w:vAlign w:val="center"/>
          </w:tcPr>
          <w:p w14:paraId="0F9164F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非甲烷总烃</w:t>
            </w:r>
          </w:p>
        </w:tc>
        <w:tc>
          <w:tcPr>
            <w:tcW w:w="1442" w:type="dxa"/>
            <w:tcBorders>
              <w:tl2br w:val="nil"/>
              <w:tr2bl w:val="nil"/>
            </w:tcBorders>
            <w:shd w:val="clear" w:color="auto" w:fill="auto"/>
            <w:vAlign w:val="center"/>
          </w:tcPr>
          <w:p w14:paraId="7F7DB9E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两级活性炭吸附</w:t>
            </w:r>
          </w:p>
        </w:tc>
        <w:tc>
          <w:tcPr>
            <w:tcW w:w="999" w:type="dxa"/>
            <w:tcBorders>
              <w:tl2br w:val="nil"/>
              <w:tr2bl w:val="nil"/>
            </w:tcBorders>
            <w:shd w:val="clear" w:color="auto" w:fill="auto"/>
            <w:vAlign w:val="center"/>
          </w:tcPr>
          <w:p w14:paraId="107D740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tcBorders>
              <w:tl2br w:val="nil"/>
              <w:tr2bl w:val="nil"/>
            </w:tcBorders>
            <w:shd w:val="clear" w:color="auto" w:fill="auto"/>
            <w:vAlign w:val="center"/>
          </w:tcPr>
          <w:p w14:paraId="645E161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tcBorders>
              <w:tl2br w:val="nil"/>
              <w:tr2bl w:val="nil"/>
            </w:tcBorders>
            <w:shd w:val="clear" w:color="auto" w:fill="auto"/>
            <w:vAlign w:val="center"/>
          </w:tcPr>
          <w:p w14:paraId="2236D73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tcBorders>
              <w:tl2br w:val="nil"/>
              <w:tr2bl w:val="nil"/>
            </w:tcBorders>
            <w:shd w:val="clear" w:color="auto" w:fill="auto"/>
            <w:vAlign w:val="center"/>
          </w:tcPr>
          <w:p w14:paraId="59D70C2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716DEFF9">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79.16</w:t>
            </w:r>
          </w:p>
        </w:tc>
        <w:tc>
          <w:tcPr>
            <w:tcW w:w="1029" w:type="dxa"/>
            <w:tcBorders>
              <w:tl2br w:val="nil"/>
              <w:tr2bl w:val="nil"/>
            </w:tcBorders>
            <w:shd w:val="clear" w:color="auto" w:fill="auto"/>
            <w:vAlign w:val="center"/>
          </w:tcPr>
          <w:p w14:paraId="7032509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w:t>
            </w:r>
            <w:r>
              <w:rPr>
                <w:rFonts w:hint="eastAsia" w:ascii="Times New Roman" w:hAnsi="Times New Roman" w:eastAsia="宋体" w:cs="Times New Roman"/>
                <w:caps w:val="0"/>
                <w:smallCaps w:val="0"/>
                <w:color w:val="auto"/>
                <w:spacing w:val="0"/>
                <w:kern w:val="0"/>
                <w:sz w:val="21"/>
                <w:highlight w:val="none"/>
                <w:lang w:val="en-US" w:eastAsia="zh-CN" w:bidi="ar"/>
              </w:rPr>
              <w:t>11</w:t>
            </w:r>
            <w:r>
              <w:rPr>
                <w:rFonts w:ascii="Times New Roman" w:hAnsi="Times New Roman" w:eastAsia="宋体" w:cs="Times New Roman"/>
                <w:caps w:val="0"/>
                <w:smallCaps w:val="0"/>
                <w:color w:val="auto"/>
                <w:spacing w:val="0"/>
                <w:kern w:val="0"/>
                <w:sz w:val="21"/>
                <w:highlight w:val="none"/>
                <w:lang w:bidi="ar"/>
              </w:rPr>
              <w:t>0</w:t>
            </w:r>
          </w:p>
        </w:tc>
        <w:tc>
          <w:tcPr>
            <w:tcW w:w="934" w:type="dxa"/>
            <w:tcBorders>
              <w:tl2br w:val="nil"/>
              <w:tr2bl w:val="nil"/>
            </w:tcBorders>
            <w:shd w:val="clear" w:color="auto" w:fill="auto"/>
            <w:vAlign w:val="center"/>
          </w:tcPr>
          <w:p w14:paraId="2F894AD6">
            <w:pPr>
              <w:widowControl w:val="0"/>
              <w:snapToGrid w:val="0"/>
              <w:jc w:val="center"/>
              <w:textAlignment w:val="center"/>
              <w:rPr>
                <w:rFonts w:hint="default" w:ascii="Times New Roman" w:hAnsi="Times New Roman" w:eastAsia="宋体" w:cs="Times New Roman"/>
                <w:caps w:val="0"/>
                <w:smallCaps w:val="0"/>
                <w:color w:val="auto"/>
                <w:spacing w:val="0"/>
                <w:sz w:val="21"/>
                <w:highlight w:val="none"/>
                <w:lang w:val="en-US" w:eastAsia="zh-CN"/>
              </w:rPr>
            </w:pPr>
            <w:r>
              <w:rPr>
                <w:rFonts w:hint="eastAsia" w:ascii="Times New Roman" w:hAnsi="Times New Roman" w:eastAsia="宋体" w:cs="Times New Roman"/>
                <w:caps w:val="0"/>
                <w:smallCaps w:val="0"/>
                <w:color w:val="auto"/>
                <w:spacing w:val="0"/>
                <w:kern w:val="0"/>
                <w:sz w:val="21"/>
                <w:highlight w:val="none"/>
                <w:lang w:val="en-US" w:eastAsia="zh-CN" w:bidi="ar"/>
              </w:rPr>
              <w:t>2.44</w:t>
            </w:r>
          </w:p>
        </w:tc>
        <w:tc>
          <w:tcPr>
            <w:tcW w:w="927" w:type="dxa"/>
            <w:tcBorders>
              <w:tl2br w:val="nil"/>
              <w:tr2bl w:val="nil"/>
            </w:tcBorders>
            <w:shd w:val="clear" w:color="auto" w:fill="auto"/>
            <w:vAlign w:val="center"/>
          </w:tcPr>
          <w:p w14:paraId="20E70DE6">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eastAsia="zh-CN"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1022" w:type="dxa"/>
            <w:tcBorders>
              <w:tl2br w:val="nil"/>
              <w:tr2bl w:val="nil"/>
            </w:tcBorders>
            <w:shd w:val="clear" w:color="auto" w:fill="auto"/>
            <w:vAlign w:val="center"/>
          </w:tcPr>
          <w:p w14:paraId="09D14FB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val="en-US" w:eastAsia="zh-CN" w:bidi="ar"/>
              </w:rPr>
              <w:t>/</w:t>
            </w:r>
          </w:p>
        </w:tc>
        <w:tc>
          <w:tcPr>
            <w:tcW w:w="2517" w:type="dxa"/>
            <w:tcBorders>
              <w:tl2br w:val="nil"/>
              <w:tr2bl w:val="nil"/>
            </w:tcBorders>
            <w:shd w:val="clear" w:color="auto" w:fill="auto"/>
            <w:vAlign w:val="center"/>
          </w:tcPr>
          <w:p w14:paraId="4C4EEEF6">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029822E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278245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restart"/>
            <w:tcBorders>
              <w:tl2br w:val="nil"/>
              <w:tr2bl w:val="nil"/>
            </w:tcBorders>
            <w:shd w:val="clear" w:color="auto" w:fill="auto"/>
            <w:vAlign w:val="center"/>
          </w:tcPr>
          <w:p w14:paraId="46CBD65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DA00</w:t>
            </w:r>
            <w:r>
              <w:rPr>
                <w:rFonts w:hint="eastAsia" w:ascii="Times New Roman" w:hAnsi="Times New Roman" w:eastAsia="宋体" w:cs="Times New Roman"/>
                <w:caps w:val="0"/>
                <w:smallCaps w:val="0"/>
                <w:color w:val="auto"/>
                <w:spacing w:val="0"/>
                <w:kern w:val="0"/>
                <w:sz w:val="21"/>
                <w:highlight w:val="none"/>
                <w:lang w:val="en-US" w:eastAsia="zh-CN" w:bidi="ar"/>
              </w:rPr>
              <w:t>8</w:t>
            </w:r>
          </w:p>
        </w:tc>
        <w:tc>
          <w:tcPr>
            <w:tcW w:w="1047" w:type="dxa"/>
            <w:tcBorders>
              <w:tl2br w:val="nil"/>
              <w:tr2bl w:val="nil"/>
            </w:tcBorders>
            <w:shd w:val="clear" w:color="auto" w:fill="auto"/>
            <w:vAlign w:val="center"/>
          </w:tcPr>
          <w:p w14:paraId="0FD5A48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氮氧化物</w:t>
            </w:r>
          </w:p>
        </w:tc>
        <w:tc>
          <w:tcPr>
            <w:tcW w:w="1442" w:type="dxa"/>
            <w:vMerge w:val="restart"/>
            <w:tcBorders>
              <w:tl2br w:val="nil"/>
              <w:tr2bl w:val="nil"/>
            </w:tcBorders>
            <w:shd w:val="clear" w:color="auto" w:fill="auto"/>
            <w:vAlign w:val="center"/>
          </w:tcPr>
          <w:p w14:paraId="3A531F0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二级碱液喷淋塔+活性炭吸</w:t>
            </w:r>
          </w:p>
        </w:tc>
        <w:tc>
          <w:tcPr>
            <w:tcW w:w="999" w:type="dxa"/>
            <w:vMerge w:val="restart"/>
            <w:tcBorders>
              <w:tl2br w:val="nil"/>
              <w:tr2bl w:val="nil"/>
            </w:tcBorders>
            <w:shd w:val="clear" w:color="auto" w:fill="auto"/>
            <w:vAlign w:val="center"/>
          </w:tcPr>
          <w:p w14:paraId="2E0BEA6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vMerge w:val="restart"/>
            <w:tcBorders>
              <w:tl2br w:val="nil"/>
              <w:tr2bl w:val="nil"/>
            </w:tcBorders>
            <w:shd w:val="clear" w:color="auto" w:fill="auto"/>
            <w:vAlign w:val="center"/>
          </w:tcPr>
          <w:p w14:paraId="6C3893E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1</w:t>
            </w:r>
          </w:p>
        </w:tc>
        <w:tc>
          <w:tcPr>
            <w:tcW w:w="669" w:type="dxa"/>
            <w:vMerge w:val="restart"/>
            <w:tcBorders>
              <w:tl2br w:val="nil"/>
              <w:tr2bl w:val="nil"/>
            </w:tcBorders>
            <w:shd w:val="clear" w:color="auto" w:fill="auto"/>
            <w:vAlign w:val="center"/>
          </w:tcPr>
          <w:p w14:paraId="7323EEA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vMerge w:val="restart"/>
            <w:tcBorders>
              <w:tl2br w:val="nil"/>
              <w:tr2bl w:val="nil"/>
            </w:tcBorders>
            <w:shd w:val="clear" w:color="auto" w:fill="auto"/>
            <w:vAlign w:val="center"/>
          </w:tcPr>
          <w:p w14:paraId="388FB7F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0EF419F5">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ascii="Times New Roman" w:hAnsi="Times New Roman" w:eastAsia="宋体" w:cs="Times New Roman"/>
                <w:caps w:val="0"/>
                <w:smallCaps w:val="0"/>
                <w:color w:val="auto"/>
                <w:spacing w:val="0"/>
                <w:kern w:val="0"/>
                <w:sz w:val="21"/>
                <w:highlight w:val="none"/>
                <w:lang w:bidi="ar"/>
              </w:rPr>
              <w:t>68.6</w:t>
            </w:r>
          </w:p>
        </w:tc>
        <w:tc>
          <w:tcPr>
            <w:tcW w:w="1029" w:type="dxa"/>
            <w:tcBorders>
              <w:tl2br w:val="nil"/>
              <w:tr2bl w:val="nil"/>
            </w:tcBorders>
            <w:shd w:val="clear" w:color="auto" w:fill="auto"/>
            <w:vAlign w:val="center"/>
          </w:tcPr>
          <w:p w14:paraId="0A94366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0.00953</w:t>
            </w:r>
          </w:p>
        </w:tc>
        <w:tc>
          <w:tcPr>
            <w:tcW w:w="934" w:type="dxa"/>
            <w:tcBorders>
              <w:tl2br w:val="nil"/>
              <w:tr2bl w:val="nil"/>
            </w:tcBorders>
            <w:shd w:val="clear" w:color="auto" w:fill="auto"/>
            <w:vAlign w:val="center"/>
          </w:tcPr>
          <w:p w14:paraId="265F2592">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ascii="Times New Roman" w:hAnsi="Times New Roman" w:eastAsia="宋体" w:cs="Times New Roman"/>
                <w:caps w:val="0"/>
                <w:smallCaps w:val="0"/>
                <w:color w:val="auto"/>
                <w:spacing w:val="0"/>
                <w:kern w:val="0"/>
                <w:sz w:val="21"/>
                <w:highlight w:val="none"/>
                <w:lang w:bidi="ar"/>
              </w:rPr>
              <w:t>2</w:t>
            </w:r>
            <w:r>
              <w:rPr>
                <w:rFonts w:hint="eastAsia" w:ascii="Times New Roman" w:hAnsi="Times New Roman" w:eastAsia="宋体" w:cs="Times New Roman"/>
                <w:caps w:val="0"/>
                <w:smallCaps w:val="0"/>
                <w:color w:val="auto"/>
                <w:spacing w:val="0"/>
                <w:kern w:val="0"/>
                <w:sz w:val="21"/>
                <w:highlight w:val="none"/>
                <w:lang w:val="en-US" w:eastAsia="zh-CN" w:bidi="ar"/>
              </w:rPr>
              <w:t>.52</w:t>
            </w:r>
          </w:p>
        </w:tc>
        <w:tc>
          <w:tcPr>
            <w:tcW w:w="927" w:type="dxa"/>
            <w:tcBorders>
              <w:tl2br w:val="nil"/>
              <w:tr2bl w:val="nil"/>
            </w:tcBorders>
            <w:shd w:val="clear" w:color="auto" w:fill="auto"/>
            <w:vAlign w:val="center"/>
          </w:tcPr>
          <w:p w14:paraId="5D1A8EAE">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77032AB1">
            <w:pPr>
              <w:widowControl w:val="0"/>
              <w:snapToGrid w:val="0"/>
              <w:jc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3DB40F20">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27C956E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4B2E7E3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continue"/>
            <w:tcBorders>
              <w:tl2br w:val="nil"/>
              <w:tr2bl w:val="nil"/>
            </w:tcBorders>
            <w:shd w:val="clear" w:color="auto" w:fill="auto"/>
            <w:vAlign w:val="center"/>
          </w:tcPr>
          <w:p w14:paraId="5F02301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47" w:type="dxa"/>
            <w:tcBorders>
              <w:tl2br w:val="nil"/>
              <w:tr2bl w:val="nil"/>
            </w:tcBorders>
            <w:shd w:val="clear" w:color="auto" w:fill="auto"/>
            <w:vAlign w:val="center"/>
          </w:tcPr>
          <w:p w14:paraId="78EF04A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氯化氢</w:t>
            </w:r>
          </w:p>
        </w:tc>
        <w:tc>
          <w:tcPr>
            <w:tcW w:w="1442" w:type="dxa"/>
            <w:vMerge w:val="continue"/>
            <w:tcBorders>
              <w:tl2br w:val="nil"/>
              <w:tr2bl w:val="nil"/>
            </w:tcBorders>
            <w:shd w:val="clear" w:color="auto" w:fill="auto"/>
            <w:vAlign w:val="center"/>
          </w:tcPr>
          <w:p w14:paraId="0FB80666">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99" w:type="dxa"/>
            <w:vMerge w:val="continue"/>
            <w:tcBorders>
              <w:tl2br w:val="nil"/>
              <w:tr2bl w:val="nil"/>
            </w:tcBorders>
            <w:shd w:val="clear" w:color="auto" w:fill="auto"/>
            <w:vAlign w:val="center"/>
          </w:tcPr>
          <w:p w14:paraId="7C4116F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55" w:type="dxa"/>
            <w:vMerge w:val="continue"/>
            <w:tcBorders>
              <w:tl2br w:val="nil"/>
              <w:tr2bl w:val="nil"/>
            </w:tcBorders>
            <w:shd w:val="clear" w:color="auto" w:fill="auto"/>
            <w:vAlign w:val="center"/>
          </w:tcPr>
          <w:p w14:paraId="38D19B1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69" w:type="dxa"/>
            <w:vMerge w:val="continue"/>
            <w:tcBorders>
              <w:tl2br w:val="nil"/>
              <w:tr2bl w:val="nil"/>
            </w:tcBorders>
            <w:shd w:val="clear" w:color="auto" w:fill="auto"/>
            <w:vAlign w:val="center"/>
          </w:tcPr>
          <w:p w14:paraId="001EDF9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52EF02C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90" w:type="dxa"/>
            <w:tcBorders>
              <w:tl2br w:val="nil"/>
              <w:tr2bl w:val="nil"/>
            </w:tcBorders>
            <w:shd w:val="clear" w:color="auto" w:fill="auto"/>
            <w:vAlign w:val="center"/>
          </w:tcPr>
          <w:p w14:paraId="70F4BC55">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ascii="Times New Roman" w:hAnsi="Times New Roman" w:eastAsia="宋体" w:cs="Times New Roman"/>
                <w:caps w:val="0"/>
                <w:smallCaps w:val="0"/>
                <w:color w:val="auto"/>
                <w:spacing w:val="0"/>
                <w:kern w:val="0"/>
                <w:sz w:val="21"/>
                <w:highlight w:val="none"/>
                <w:lang w:bidi="ar"/>
              </w:rPr>
              <w:t>11.0</w:t>
            </w:r>
          </w:p>
        </w:tc>
        <w:tc>
          <w:tcPr>
            <w:tcW w:w="1029" w:type="dxa"/>
            <w:tcBorders>
              <w:tl2br w:val="nil"/>
              <w:tr2bl w:val="nil"/>
            </w:tcBorders>
            <w:shd w:val="clear" w:color="auto" w:fill="auto"/>
            <w:vAlign w:val="center"/>
          </w:tcPr>
          <w:p w14:paraId="546E82F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0.00153</w:t>
            </w:r>
          </w:p>
        </w:tc>
        <w:tc>
          <w:tcPr>
            <w:tcW w:w="934" w:type="dxa"/>
            <w:tcBorders>
              <w:tl2br w:val="nil"/>
              <w:tr2bl w:val="nil"/>
            </w:tcBorders>
            <w:shd w:val="clear" w:color="auto" w:fill="auto"/>
            <w:vAlign w:val="center"/>
          </w:tcPr>
          <w:p w14:paraId="7EF08EF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ascii="Times New Roman" w:hAnsi="Times New Roman" w:eastAsia="宋体" w:cs="Times New Roman"/>
                <w:caps w:val="0"/>
                <w:smallCaps w:val="0"/>
                <w:color w:val="auto"/>
                <w:spacing w:val="0"/>
                <w:kern w:val="0"/>
                <w:sz w:val="21"/>
                <w:highlight w:val="none"/>
                <w:lang w:bidi="ar"/>
              </w:rPr>
              <w:t>0.404</w:t>
            </w:r>
          </w:p>
        </w:tc>
        <w:tc>
          <w:tcPr>
            <w:tcW w:w="927" w:type="dxa"/>
            <w:tcBorders>
              <w:tl2br w:val="nil"/>
              <w:tr2bl w:val="nil"/>
            </w:tcBorders>
            <w:shd w:val="clear" w:color="auto" w:fill="auto"/>
            <w:vAlign w:val="center"/>
          </w:tcPr>
          <w:p w14:paraId="691E8FC4">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2F03B0EA">
            <w:pPr>
              <w:widowControl w:val="0"/>
              <w:snapToGrid w:val="0"/>
              <w:jc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3FB2A626">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1D3B351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1F0A1D4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continue"/>
            <w:tcBorders>
              <w:tl2br w:val="nil"/>
              <w:tr2bl w:val="nil"/>
            </w:tcBorders>
            <w:shd w:val="clear" w:color="auto" w:fill="auto"/>
            <w:vAlign w:val="center"/>
          </w:tcPr>
          <w:p w14:paraId="22B24601">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47" w:type="dxa"/>
            <w:tcBorders>
              <w:tl2br w:val="nil"/>
              <w:tr2bl w:val="nil"/>
            </w:tcBorders>
            <w:shd w:val="clear" w:color="auto" w:fill="auto"/>
            <w:vAlign w:val="center"/>
          </w:tcPr>
          <w:p w14:paraId="591F84A2">
            <w:pPr>
              <w:pStyle w:val="212"/>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highlight w:val="none"/>
              </w:rPr>
              <w:t>氨气</w:t>
            </w:r>
          </w:p>
        </w:tc>
        <w:tc>
          <w:tcPr>
            <w:tcW w:w="1442" w:type="dxa"/>
            <w:vMerge w:val="continue"/>
            <w:tcBorders>
              <w:tl2br w:val="nil"/>
              <w:tr2bl w:val="nil"/>
            </w:tcBorders>
            <w:shd w:val="clear" w:color="auto" w:fill="auto"/>
            <w:vAlign w:val="center"/>
          </w:tcPr>
          <w:p w14:paraId="5CDBBA28">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99" w:type="dxa"/>
            <w:vMerge w:val="continue"/>
            <w:tcBorders>
              <w:tl2br w:val="nil"/>
              <w:tr2bl w:val="nil"/>
            </w:tcBorders>
            <w:shd w:val="clear" w:color="auto" w:fill="auto"/>
            <w:vAlign w:val="center"/>
          </w:tcPr>
          <w:p w14:paraId="0697BC4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55" w:type="dxa"/>
            <w:vMerge w:val="continue"/>
            <w:tcBorders>
              <w:tl2br w:val="nil"/>
              <w:tr2bl w:val="nil"/>
            </w:tcBorders>
            <w:shd w:val="clear" w:color="auto" w:fill="auto"/>
            <w:vAlign w:val="center"/>
          </w:tcPr>
          <w:p w14:paraId="7A04076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69" w:type="dxa"/>
            <w:vMerge w:val="continue"/>
            <w:tcBorders>
              <w:tl2br w:val="nil"/>
              <w:tr2bl w:val="nil"/>
            </w:tcBorders>
            <w:shd w:val="clear" w:color="auto" w:fill="auto"/>
            <w:vAlign w:val="center"/>
          </w:tcPr>
          <w:p w14:paraId="6090434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04F8CB1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90" w:type="dxa"/>
            <w:tcBorders>
              <w:tl2br w:val="nil"/>
              <w:tr2bl w:val="nil"/>
            </w:tcBorders>
            <w:shd w:val="clear" w:color="auto" w:fill="auto"/>
            <w:vAlign w:val="center"/>
          </w:tcPr>
          <w:p w14:paraId="45D3704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0.00220</w:t>
            </w:r>
          </w:p>
        </w:tc>
        <w:tc>
          <w:tcPr>
            <w:tcW w:w="1029" w:type="dxa"/>
            <w:tcBorders>
              <w:tl2br w:val="nil"/>
              <w:tr2bl w:val="nil"/>
            </w:tcBorders>
            <w:shd w:val="clear" w:color="auto" w:fill="auto"/>
            <w:vAlign w:val="center"/>
          </w:tcPr>
          <w:p w14:paraId="26359F2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3.06</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7</w:t>
            </w:r>
          </w:p>
        </w:tc>
        <w:tc>
          <w:tcPr>
            <w:tcW w:w="934" w:type="dxa"/>
            <w:tcBorders>
              <w:tl2br w:val="nil"/>
              <w:tr2bl w:val="nil"/>
            </w:tcBorders>
            <w:shd w:val="clear" w:color="auto" w:fill="auto"/>
            <w:vAlign w:val="center"/>
          </w:tcPr>
          <w:p w14:paraId="500B5DB0">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8.08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5</w:t>
            </w:r>
          </w:p>
        </w:tc>
        <w:tc>
          <w:tcPr>
            <w:tcW w:w="927" w:type="dxa"/>
            <w:tcBorders>
              <w:tl2br w:val="nil"/>
              <w:tr2bl w:val="nil"/>
            </w:tcBorders>
            <w:shd w:val="clear" w:color="auto" w:fill="auto"/>
            <w:vAlign w:val="center"/>
          </w:tcPr>
          <w:p w14:paraId="0B6D7242">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8.7</w:t>
            </w:r>
          </w:p>
        </w:tc>
        <w:tc>
          <w:tcPr>
            <w:tcW w:w="1022" w:type="dxa"/>
            <w:tcBorders>
              <w:tl2br w:val="nil"/>
              <w:tr2bl w:val="nil"/>
            </w:tcBorders>
            <w:shd w:val="clear" w:color="auto" w:fill="auto"/>
            <w:vAlign w:val="center"/>
          </w:tcPr>
          <w:p w14:paraId="7BE38B54">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2517" w:type="dxa"/>
            <w:vMerge w:val="restart"/>
            <w:tcBorders>
              <w:tl2br w:val="nil"/>
              <w:tr2bl w:val="nil"/>
            </w:tcBorders>
            <w:shd w:val="clear" w:color="auto" w:fill="auto"/>
            <w:vAlign w:val="center"/>
          </w:tcPr>
          <w:p w14:paraId="7386DC0D">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《恶臭污染物排放标准》（GB14554-93）表2</w:t>
            </w:r>
          </w:p>
        </w:tc>
      </w:tr>
      <w:tr w14:paraId="2865584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7395B0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continue"/>
            <w:tcBorders>
              <w:tl2br w:val="nil"/>
              <w:tr2bl w:val="nil"/>
            </w:tcBorders>
            <w:shd w:val="clear" w:color="auto" w:fill="auto"/>
            <w:vAlign w:val="center"/>
          </w:tcPr>
          <w:p w14:paraId="5F1F4CEE">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47" w:type="dxa"/>
            <w:tcBorders>
              <w:tl2br w:val="nil"/>
              <w:tr2bl w:val="nil"/>
            </w:tcBorders>
            <w:shd w:val="clear" w:color="auto" w:fill="auto"/>
            <w:vAlign w:val="center"/>
          </w:tcPr>
          <w:p w14:paraId="3B7F7F94">
            <w:pPr>
              <w:pStyle w:val="212"/>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highlight w:val="none"/>
              </w:rPr>
              <w:t>硫化氢</w:t>
            </w:r>
          </w:p>
        </w:tc>
        <w:tc>
          <w:tcPr>
            <w:tcW w:w="1442" w:type="dxa"/>
            <w:vMerge w:val="continue"/>
            <w:tcBorders>
              <w:tl2br w:val="nil"/>
              <w:tr2bl w:val="nil"/>
            </w:tcBorders>
            <w:shd w:val="clear" w:color="auto" w:fill="auto"/>
            <w:vAlign w:val="center"/>
          </w:tcPr>
          <w:p w14:paraId="040A05F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99" w:type="dxa"/>
            <w:vMerge w:val="continue"/>
            <w:tcBorders>
              <w:tl2br w:val="nil"/>
              <w:tr2bl w:val="nil"/>
            </w:tcBorders>
            <w:shd w:val="clear" w:color="auto" w:fill="auto"/>
            <w:vAlign w:val="center"/>
          </w:tcPr>
          <w:p w14:paraId="45F17BF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55" w:type="dxa"/>
            <w:vMerge w:val="continue"/>
            <w:tcBorders>
              <w:tl2br w:val="nil"/>
              <w:tr2bl w:val="nil"/>
            </w:tcBorders>
            <w:shd w:val="clear" w:color="auto" w:fill="auto"/>
            <w:vAlign w:val="center"/>
          </w:tcPr>
          <w:p w14:paraId="27B035A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69" w:type="dxa"/>
            <w:vMerge w:val="continue"/>
            <w:tcBorders>
              <w:tl2br w:val="nil"/>
              <w:tr2bl w:val="nil"/>
            </w:tcBorders>
            <w:shd w:val="clear" w:color="auto" w:fill="auto"/>
            <w:vAlign w:val="center"/>
          </w:tcPr>
          <w:p w14:paraId="41E60A2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365F7C6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90" w:type="dxa"/>
            <w:tcBorders>
              <w:tl2br w:val="nil"/>
              <w:tr2bl w:val="nil"/>
            </w:tcBorders>
            <w:shd w:val="clear" w:color="auto" w:fill="auto"/>
            <w:vAlign w:val="center"/>
          </w:tcPr>
          <w:p w14:paraId="767A6C40">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0.0568</w:t>
            </w:r>
          </w:p>
        </w:tc>
        <w:tc>
          <w:tcPr>
            <w:tcW w:w="1029" w:type="dxa"/>
            <w:tcBorders>
              <w:tl2br w:val="nil"/>
              <w:tr2bl w:val="nil"/>
            </w:tcBorders>
            <w:shd w:val="clear" w:color="auto" w:fill="auto"/>
            <w:vAlign w:val="center"/>
          </w:tcPr>
          <w:p w14:paraId="33FA6D5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7</w:t>
            </w:r>
            <w:r>
              <w:rPr>
                <w:rFonts w:hint="eastAsia" w:ascii="Times New Roman" w:hAnsi="Times New Roman" w:eastAsia="宋体" w:cs="Times New Roman"/>
                <w:caps w:val="0"/>
                <w:smallCaps w:val="0"/>
                <w:color w:val="auto"/>
                <w:spacing w:val="0"/>
                <w:kern w:val="0"/>
                <w:sz w:val="21"/>
                <w:highlight w:val="none"/>
                <w:lang w:bidi="ar"/>
              </w:rPr>
              <w:t>.</w:t>
            </w:r>
            <w:r>
              <w:rPr>
                <w:rFonts w:ascii="Times New Roman" w:hAnsi="Times New Roman" w:eastAsia="宋体" w:cs="Times New Roman"/>
                <w:caps w:val="0"/>
                <w:smallCaps w:val="0"/>
                <w:color w:val="auto"/>
                <w:spacing w:val="0"/>
                <w:kern w:val="0"/>
                <w:sz w:val="21"/>
                <w:highlight w:val="none"/>
                <w:lang w:bidi="ar"/>
              </w:rPr>
              <w:t>89×10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934" w:type="dxa"/>
            <w:tcBorders>
              <w:tl2br w:val="nil"/>
              <w:tr2bl w:val="nil"/>
            </w:tcBorders>
            <w:shd w:val="clear" w:color="auto" w:fill="auto"/>
            <w:vAlign w:val="center"/>
          </w:tcPr>
          <w:p w14:paraId="0F2C6CBC">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0.00209</w:t>
            </w:r>
          </w:p>
        </w:tc>
        <w:tc>
          <w:tcPr>
            <w:tcW w:w="927" w:type="dxa"/>
            <w:tcBorders>
              <w:tl2br w:val="nil"/>
              <w:tr2bl w:val="nil"/>
            </w:tcBorders>
            <w:shd w:val="clear" w:color="auto" w:fill="auto"/>
            <w:vAlign w:val="center"/>
          </w:tcPr>
          <w:p w14:paraId="7CA1950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0.58</w:t>
            </w:r>
          </w:p>
        </w:tc>
        <w:tc>
          <w:tcPr>
            <w:tcW w:w="1022" w:type="dxa"/>
            <w:tcBorders>
              <w:tl2br w:val="nil"/>
              <w:tr2bl w:val="nil"/>
            </w:tcBorders>
            <w:shd w:val="clear" w:color="auto" w:fill="auto"/>
            <w:vAlign w:val="center"/>
          </w:tcPr>
          <w:p w14:paraId="47894EDA">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2517" w:type="dxa"/>
            <w:vMerge w:val="continue"/>
            <w:tcBorders>
              <w:tl2br w:val="nil"/>
              <w:tr2bl w:val="nil"/>
            </w:tcBorders>
            <w:shd w:val="clear" w:color="auto" w:fill="auto"/>
            <w:vAlign w:val="center"/>
          </w:tcPr>
          <w:p w14:paraId="56E1E302">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14EF6BD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4D9A05E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continue"/>
            <w:tcBorders>
              <w:tl2br w:val="nil"/>
              <w:tr2bl w:val="nil"/>
            </w:tcBorders>
            <w:shd w:val="clear" w:color="auto" w:fill="auto"/>
            <w:vAlign w:val="center"/>
          </w:tcPr>
          <w:p w14:paraId="56A4EC04">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1047" w:type="dxa"/>
            <w:tcBorders>
              <w:tl2br w:val="nil"/>
              <w:tr2bl w:val="nil"/>
            </w:tcBorders>
            <w:shd w:val="clear" w:color="auto" w:fill="auto"/>
            <w:vAlign w:val="center"/>
          </w:tcPr>
          <w:p w14:paraId="3B7F40B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臭气浓度</w:t>
            </w:r>
          </w:p>
        </w:tc>
        <w:tc>
          <w:tcPr>
            <w:tcW w:w="1442" w:type="dxa"/>
            <w:vMerge w:val="continue"/>
            <w:tcBorders>
              <w:tl2br w:val="nil"/>
              <w:tr2bl w:val="nil"/>
            </w:tcBorders>
            <w:shd w:val="clear" w:color="auto" w:fill="auto"/>
            <w:vAlign w:val="center"/>
          </w:tcPr>
          <w:p w14:paraId="1FF24560">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99" w:type="dxa"/>
            <w:vMerge w:val="continue"/>
            <w:tcBorders>
              <w:tl2br w:val="nil"/>
              <w:tr2bl w:val="nil"/>
            </w:tcBorders>
            <w:shd w:val="clear" w:color="auto" w:fill="auto"/>
            <w:vAlign w:val="center"/>
          </w:tcPr>
          <w:p w14:paraId="48CAD016">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55" w:type="dxa"/>
            <w:vMerge w:val="continue"/>
            <w:tcBorders>
              <w:tl2br w:val="nil"/>
              <w:tr2bl w:val="nil"/>
            </w:tcBorders>
            <w:shd w:val="clear" w:color="auto" w:fill="auto"/>
            <w:vAlign w:val="center"/>
          </w:tcPr>
          <w:p w14:paraId="301435E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69" w:type="dxa"/>
            <w:vMerge w:val="continue"/>
            <w:tcBorders>
              <w:tl2br w:val="nil"/>
              <w:tr2bl w:val="nil"/>
            </w:tcBorders>
            <w:shd w:val="clear" w:color="auto" w:fill="auto"/>
            <w:vAlign w:val="center"/>
          </w:tcPr>
          <w:p w14:paraId="05C85205">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2085E9D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890" w:type="dxa"/>
            <w:tcBorders>
              <w:tl2br w:val="nil"/>
              <w:tr2bl w:val="nil"/>
            </w:tcBorders>
            <w:shd w:val="clear" w:color="auto" w:fill="auto"/>
            <w:vAlign w:val="center"/>
          </w:tcPr>
          <w:p w14:paraId="6B2571AE">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1029" w:type="dxa"/>
            <w:tcBorders>
              <w:tl2br w:val="nil"/>
              <w:tr2bl w:val="nil"/>
            </w:tcBorders>
            <w:shd w:val="clear" w:color="auto" w:fill="auto"/>
            <w:vAlign w:val="center"/>
          </w:tcPr>
          <w:p w14:paraId="48B5870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380（无量纲）</w:t>
            </w:r>
          </w:p>
        </w:tc>
        <w:tc>
          <w:tcPr>
            <w:tcW w:w="934" w:type="dxa"/>
            <w:tcBorders>
              <w:tl2br w:val="nil"/>
              <w:tr2bl w:val="nil"/>
            </w:tcBorders>
            <w:shd w:val="clear" w:color="auto" w:fill="auto"/>
            <w:vAlign w:val="center"/>
          </w:tcPr>
          <w:p w14:paraId="7015E5E2">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927" w:type="dxa"/>
            <w:tcBorders>
              <w:tl2br w:val="nil"/>
              <w:tr2bl w:val="nil"/>
            </w:tcBorders>
            <w:shd w:val="clear" w:color="auto" w:fill="auto"/>
            <w:vAlign w:val="center"/>
          </w:tcPr>
          <w:p w14:paraId="568C5B7E">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2000（无量纲）</w:t>
            </w:r>
          </w:p>
        </w:tc>
        <w:tc>
          <w:tcPr>
            <w:tcW w:w="1022" w:type="dxa"/>
            <w:tcBorders>
              <w:tl2br w:val="nil"/>
              <w:tr2bl w:val="nil"/>
            </w:tcBorders>
            <w:shd w:val="clear" w:color="auto" w:fill="auto"/>
            <w:vAlign w:val="center"/>
          </w:tcPr>
          <w:p w14:paraId="6A4D9480">
            <w:pPr>
              <w:widowControl w:val="0"/>
              <w:snapToGrid w:val="0"/>
              <w:jc w:val="center"/>
              <w:textAlignment w:val="center"/>
              <w:rPr>
                <w:rFonts w:hint="eastAsia" w:ascii="Times New Roman" w:hAnsi="Times New Roman" w:eastAsia="宋体" w:cs="Times New Roman"/>
                <w:caps w:val="0"/>
                <w:smallCaps w:val="0"/>
                <w:color w:val="auto"/>
                <w:spacing w:val="0"/>
                <w:kern w:val="0"/>
                <w:sz w:val="21"/>
                <w:highlight w:val="none"/>
                <w:lang w:val="en-US" w:eastAsia="zh-CN"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2517" w:type="dxa"/>
            <w:vMerge w:val="continue"/>
            <w:tcBorders>
              <w:tl2br w:val="nil"/>
              <w:tr2bl w:val="nil"/>
            </w:tcBorders>
            <w:shd w:val="clear" w:color="auto" w:fill="auto"/>
            <w:vAlign w:val="center"/>
          </w:tcPr>
          <w:p w14:paraId="3C245E8F">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2F7809E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152CFE6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940" w:type="dxa"/>
            <w:vMerge w:val="restart"/>
            <w:tcBorders>
              <w:tl2br w:val="nil"/>
              <w:tr2bl w:val="nil"/>
            </w:tcBorders>
            <w:shd w:val="clear" w:color="auto" w:fill="auto"/>
            <w:vAlign w:val="center"/>
          </w:tcPr>
          <w:p w14:paraId="14BE28BA">
            <w:pPr>
              <w:widowControl w:val="0"/>
              <w:snapToGrid w:val="0"/>
              <w:jc w:val="center"/>
              <w:textAlignment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kern w:val="0"/>
                <w:sz w:val="21"/>
                <w:highlight w:val="none"/>
                <w:lang w:bidi="ar"/>
              </w:rPr>
              <w:t>DA00</w:t>
            </w:r>
            <w:r>
              <w:rPr>
                <w:rFonts w:hint="eastAsia" w:ascii="Times New Roman" w:hAnsi="Times New Roman" w:eastAsia="宋体" w:cs="Times New Roman"/>
                <w:caps w:val="0"/>
                <w:smallCaps w:val="0"/>
                <w:color w:val="auto"/>
                <w:spacing w:val="0"/>
                <w:kern w:val="0"/>
                <w:sz w:val="21"/>
                <w:highlight w:val="none"/>
                <w:lang w:val="en-US" w:eastAsia="zh-CN" w:bidi="ar"/>
              </w:rPr>
              <w:t>9</w:t>
            </w:r>
          </w:p>
        </w:tc>
        <w:tc>
          <w:tcPr>
            <w:tcW w:w="1047" w:type="dxa"/>
            <w:tcBorders>
              <w:tl2br w:val="nil"/>
              <w:tr2bl w:val="nil"/>
            </w:tcBorders>
            <w:shd w:val="clear" w:color="auto" w:fill="auto"/>
            <w:vAlign w:val="center"/>
          </w:tcPr>
          <w:p w14:paraId="1EEE86C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非甲烷总烃</w:t>
            </w:r>
          </w:p>
        </w:tc>
        <w:tc>
          <w:tcPr>
            <w:tcW w:w="1442" w:type="dxa"/>
            <w:vMerge w:val="restart"/>
            <w:tcBorders>
              <w:tl2br w:val="nil"/>
              <w:tr2bl w:val="nil"/>
            </w:tcBorders>
            <w:shd w:val="clear" w:color="auto" w:fill="auto"/>
            <w:vAlign w:val="center"/>
          </w:tcPr>
          <w:p w14:paraId="10D1EFB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一级活性炭吸附</w:t>
            </w:r>
          </w:p>
        </w:tc>
        <w:tc>
          <w:tcPr>
            <w:tcW w:w="999" w:type="dxa"/>
            <w:vMerge w:val="restart"/>
            <w:tcBorders>
              <w:tl2br w:val="nil"/>
              <w:tr2bl w:val="nil"/>
            </w:tcBorders>
            <w:shd w:val="clear" w:color="auto" w:fill="auto"/>
            <w:vAlign w:val="center"/>
          </w:tcPr>
          <w:p w14:paraId="25F0EEF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有组织</w:t>
            </w:r>
          </w:p>
        </w:tc>
        <w:tc>
          <w:tcPr>
            <w:tcW w:w="655" w:type="dxa"/>
            <w:vMerge w:val="restart"/>
            <w:tcBorders>
              <w:tl2br w:val="nil"/>
              <w:tr2bl w:val="nil"/>
            </w:tcBorders>
            <w:shd w:val="clear" w:color="auto" w:fill="auto"/>
            <w:vAlign w:val="center"/>
          </w:tcPr>
          <w:p w14:paraId="50C0A2C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w:t>
            </w:r>
          </w:p>
        </w:tc>
        <w:tc>
          <w:tcPr>
            <w:tcW w:w="669" w:type="dxa"/>
            <w:vMerge w:val="restart"/>
            <w:tcBorders>
              <w:tl2br w:val="nil"/>
              <w:tr2bl w:val="nil"/>
            </w:tcBorders>
            <w:shd w:val="clear" w:color="auto" w:fill="auto"/>
            <w:vAlign w:val="center"/>
          </w:tcPr>
          <w:p w14:paraId="5CBEA22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21m</w:t>
            </w:r>
          </w:p>
        </w:tc>
        <w:tc>
          <w:tcPr>
            <w:tcW w:w="647" w:type="dxa"/>
            <w:vMerge w:val="restart"/>
            <w:tcBorders>
              <w:tl2br w:val="nil"/>
              <w:tr2bl w:val="nil"/>
            </w:tcBorders>
            <w:shd w:val="clear" w:color="auto" w:fill="auto"/>
            <w:vAlign w:val="center"/>
          </w:tcPr>
          <w:p w14:paraId="512ACC9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通风机房</w:t>
            </w:r>
          </w:p>
        </w:tc>
        <w:tc>
          <w:tcPr>
            <w:tcW w:w="890" w:type="dxa"/>
            <w:tcBorders>
              <w:tl2br w:val="nil"/>
              <w:tr2bl w:val="nil"/>
            </w:tcBorders>
            <w:shd w:val="clear" w:color="auto" w:fill="auto"/>
            <w:vAlign w:val="center"/>
          </w:tcPr>
          <w:p w14:paraId="3030BD9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1.06×10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029" w:type="dxa"/>
            <w:tcBorders>
              <w:tl2br w:val="nil"/>
              <w:tr2bl w:val="nil"/>
            </w:tcBorders>
            <w:shd w:val="clear" w:color="auto" w:fill="auto"/>
            <w:vAlign w:val="center"/>
          </w:tcPr>
          <w:p w14:paraId="2E9875E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4.40×10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934" w:type="dxa"/>
            <w:tcBorders>
              <w:tl2br w:val="nil"/>
              <w:tr2bl w:val="nil"/>
            </w:tcBorders>
            <w:shd w:val="clear" w:color="auto" w:fill="auto"/>
            <w:vAlign w:val="center"/>
          </w:tcPr>
          <w:p w14:paraId="6CB7664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0.00221</w:t>
            </w:r>
          </w:p>
        </w:tc>
        <w:tc>
          <w:tcPr>
            <w:tcW w:w="927" w:type="dxa"/>
            <w:tcBorders>
              <w:tl2br w:val="nil"/>
              <w:tr2bl w:val="nil"/>
            </w:tcBorders>
            <w:shd w:val="clear" w:color="auto" w:fill="auto"/>
            <w:vAlign w:val="center"/>
          </w:tcPr>
          <w:p w14:paraId="26ACD672">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57DDE3D4">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62E4D5D7">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504DC3B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181ACC3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223FB5E9">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77E414D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二甲苯</w:t>
            </w:r>
          </w:p>
        </w:tc>
        <w:tc>
          <w:tcPr>
            <w:tcW w:w="1442" w:type="dxa"/>
            <w:vMerge w:val="continue"/>
            <w:tcBorders>
              <w:tl2br w:val="nil"/>
              <w:tr2bl w:val="nil"/>
            </w:tcBorders>
            <w:shd w:val="clear" w:color="auto" w:fill="auto"/>
            <w:vAlign w:val="center"/>
          </w:tcPr>
          <w:p w14:paraId="64D259E8">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vMerge w:val="continue"/>
            <w:tcBorders>
              <w:tl2br w:val="nil"/>
              <w:tr2bl w:val="nil"/>
            </w:tcBorders>
            <w:shd w:val="clear" w:color="auto" w:fill="auto"/>
            <w:vAlign w:val="center"/>
          </w:tcPr>
          <w:p w14:paraId="037A85F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0D952C8D">
            <w:pPr>
              <w:widowControl w:val="0"/>
              <w:snapToGrid w:val="0"/>
              <w:jc w:val="both"/>
              <w:textAlignment w:val="center"/>
              <w:rPr>
                <w:rFonts w:ascii="Times New Roman" w:hAnsi="Times New Roman" w:eastAsia="宋体" w:cs="Times New Roman"/>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7CABA778">
            <w:pPr>
              <w:widowControl w:val="0"/>
              <w:snapToGrid w:val="0"/>
              <w:jc w:val="both"/>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41D982E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30968B2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1.94×10</w:t>
            </w:r>
            <w:r>
              <w:rPr>
                <w:rFonts w:ascii="Times New Roman" w:hAnsi="Times New Roman" w:eastAsia="宋体" w:cs="Times New Roman"/>
                <w:caps w:val="0"/>
                <w:smallCaps w:val="0"/>
                <w:color w:val="auto"/>
                <w:spacing w:val="0"/>
                <w:kern w:val="0"/>
                <w:sz w:val="21"/>
                <w:highlight w:val="none"/>
                <w:vertAlign w:val="superscript"/>
                <w:lang w:bidi="ar"/>
              </w:rPr>
              <w:t>-5</w:t>
            </w:r>
          </w:p>
        </w:tc>
        <w:tc>
          <w:tcPr>
            <w:tcW w:w="1029" w:type="dxa"/>
            <w:tcBorders>
              <w:tl2br w:val="nil"/>
              <w:tr2bl w:val="nil"/>
            </w:tcBorders>
            <w:shd w:val="clear" w:color="auto" w:fill="auto"/>
            <w:vAlign w:val="center"/>
          </w:tcPr>
          <w:p w14:paraId="7FD7822D">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8.06×10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934" w:type="dxa"/>
            <w:tcBorders>
              <w:tl2br w:val="nil"/>
              <w:tr2bl w:val="nil"/>
            </w:tcBorders>
            <w:shd w:val="clear" w:color="auto" w:fill="auto"/>
            <w:vAlign w:val="center"/>
          </w:tcPr>
          <w:p w14:paraId="69BA9EA7">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0.00403</w:t>
            </w:r>
          </w:p>
        </w:tc>
        <w:tc>
          <w:tcPr>
            <w:tcW w:w="927" w:type="dxa"/>
            <w:tcBorders>
              <w:tl2br w:val="nil"/>
              <w:tr2bl w:val="nil"/>
            </w:tcBorders>
            <w:shd w:val="clear" w:color="auto" w:fill="auto"/>
            <w:vAlign w:val="center"/>
          </w:tcPr>
          <w:p w14:paraId="5C7C3985">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5DD49B47">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292B6D07">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1C142C4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5027DDA">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216546B4">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0FA9DEB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氨气</w:t>
            </w:r>
          </w:p>
        </w:tc>
        <w:tc>
          <w:tcPr>
            <w:tcW w:w="1442" w:type="dxa"/>
            <w:vMerge w:val="continue"/>
            <w:tcBorders>
              <w:tl2br w:val="nil"/>
              <w:tr2bl w:val="nil"/>
            </w:tcBorders>
            <w:shd w:val="clear" w:color="auto" w:fill="auto"/>
            <w:vAlign w:val="center"/>
          </w:tcPr>
          <w:p w14:paraId="088722D2">
            <w:pPr>
              <w:widowControl w:val="0"/>
              <w:snapToGrid w:val="0"/>
              <w:jc w:val="center"/>
              <w:rPr>
                <w:rFonts w:ascii="Times New Roman" w:hAnsi="Times New Roman" w:eastAsia="宋体" w:cs="Times New Roman"/>
                <w:caps w:val="0"/>
                <w:smallCaps w:val="0"/>
                <w:color w:val="auto"/>
                <w:spacing w:val="0"/>
                <w:sz w:val="21"/>
                <w:highlight w:val="none"/>
              </w:rPr>
            </w:pPr>
          </w:p>
        </w:tc>
        <w:tc>
          <w:tcPr>
            <w:tcW w:w="999" w:type="dxa"/>
            <w:vMerge w:val="continue"/>
            <w:tcBorders>
              <w:tl2br w:val="nil"/>
              <w:tr2bl w:val="nil"/>
            </w:tcBorders>
            <w:shd w:val="clear" w:color="auto" w:fill="auto"/>
            <w:vAlign w:val="center"/>
          </w:tcPr>
          <w:p w14:paraId="5DE70005">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2D6D2F0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30421E0F">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p>
        </w:tc>
        <w:tc>
          <w:tcPr>
            <w:tcW w:w="647" w:type="dxa"/>
            <w:vMerge w:val="continue"/>
            <w:tcBorders>
              <w:tl2br w:val="nil"/>
              <w:tr2bl w:val="nil"/>
            </w:tcBorders>
            <w:shd w:val="clear" w:color="auto" w:fill="auto"/>
            <w:vAlign w:val="center"/>
          </w:tcPr>
          <w:p w14:paraId="24922CD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2E9E027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2.04×10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1029" w:type="dxa"/>
            <w:tcBorders>
              <w:tl2br w:val="nil"/>
              <w:tr2bl w:val="nil"/>
            </w:tcBorders>
            <w:shd w:val="clear" w:color="auto" w:fill="auto"/>
            <w:vAlign w:val="center"/>
          </w:tcPr>
          <w:p w14:paraId="56778C4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8.51×10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934" w:type="dxa"/>
            <w:tcBorders>
              <w:tl2br w:val="nil"/>
              <w:tr2bl w:val="nil"/>
            </w:tcBorders>
            <w:shd w:val="clear" w:color="auto" w:fill="auto"/>
            <w:vAlign w:val="center"/>
          </w:tcPr>
          <w:p w14:paraId="7D78113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0.000426</w:t>
            </w:r>
          </w:p>
        </w:tc>
        <w:tc>
          <w:tcPr>
            <w:tcW w:w="927" w:type="dxa"/>
            <w:tcBorders>
              <w:tl2br w:val="nil"/>
              <w:tr2bl w:val="nil"/>
            </w:tcBorders>
            <w:shd w:val="clear" w:color="auto" w:fill="auto"/>
            <w:vAlign w:val="center"/>
          </w:tcPr>
          <w:p w14:paraId="621FABE2">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1022" w:type="dxa"/>
            <w:tcBorders>
              <w:tl2br w:val="nil"/>
              <w:tr2bl w:val="nil"/>
            </w:tcBorders>
            <w:shd w:val="clear" w:color="auto" w:fill="auto"/>
            <w:vAlign w:val="center"/>
          </w:tcPr>
          <w:p w14:paraId="020B8339">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5A6B76BB">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7590098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B5A4B9F">
            <w:pPr>
              <w:widowControl w:val="0"/>
              <w:snapToGrid w:val="0"/>
              <w:jc w:val="center"/>
              <w:textAlignment w:val="center"/>
              <w:rPr>
                <w:rStyle w:val="218"/>
                <w:rFonts w:ascii="Times New Roman" w:hAnsi="Times New Roman" w:cs="Times New Roman"/>
                <w:caps w:val="0"/>
                <w:smallCaps w:val="0"/>
                <w:color w:val="auto"/>
                <w:spacing w:val="0"/>
                <w:sz w:val="21"/>
                <w:szCs w:val="21"/>
                <w:highlight w:val="none"/>
                <w:lang w:bidi="ar"/>
              </w:rPr>
            </w:pPr>
          </w:p>
        </w:tc>
        <w:tc>
          <w:tcPr>
            <w:tcW w:w="940" w:type="dxa"/>
            <w:tcBorders>
              <w:tl2br w:val="nil"/>
              <w:tr2bl w:val="nil"/>
            </w:tcBorders>
            <w:shd w:val="clear" w:color="auto" w:fill="auto"/>
            <w:vAlign w:val="center"/>
          </w:tcPr>
          <w:p w14:paraId="446EA86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8"/>
                <w:rFonts w:ascii="Times New Roman" w:hAnsi="Times New Roman" w:cs="Times New Roman"/>
                <w:caps w:val="0"/>
                <w:smallCaps w:val="0"/>
                <w:color w:val="auto"/>
                <w:spacing w:val="0"/>
                <w:sz w:val="21"/>
                <w:szCs w:val="21"/>
                <w:highlight w:val="none"/>
                <w:lang w:bidi="ar"/>
              </w:rPr>
              <w:t>光刻胶涂覆曝光固化废气</w:t>
            </w:r>
          </w:p>
        </w:tc>
        <w:tc>
          <w:tcPr>
            <w:tcW w:w="1047" w:type="dxa"/>
            <w:tcBorders>
              <w:tl2br w:val="nil"/>
              <w:tr2bl w:val="nil"/>
            </w:tcBorders>
            <w:shd w:val="clear" w:color="auto" w:fill="auto"/>
            <w:vAlign w:val="center"/>
          </w:tcPr>
          <w:p w14:paraId="69F71DE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非甲烷总烃</w:t>
            </w:r>
          </w:p>
        </w:tc>
        <w:tc>
          <w:tcPr>
            <w:tcW w:w="1442" w:type="dxa"/>
            <w:tcBorders>
              <w:tl2br w:val="nil"/>
              <w:tr2bl w:val="nil"/>
            </w:tcBorders>
            <w:shd w:val="clear" w:color="auto" w:fill="auto"/>
            <w:vAlign w:val="center"/>
          </w:tcPr>
          <w:p w14:paraId="375AA7A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Style w:val="219"/>
                <w:rFonts w:hint="default" w:ascii="Times New Roman" w:hAnsi="Times New Roman" w:cs="Times New Roman"/>
                <w:caps w:val="0"/>
                <w:smallCaps w:val="0"/>
                <w:color w:val="auto"/>
                <w:spacing w:val="0"/>
                <w:sz w:val="21"/>
                <w:szCs w:val="21"/>
                <w:highlight w:val="none"/>
                <w:lang w:bidi="ar"/>
              </w:rPr>
              <w:t>车间机械抽风</w:t>
            </w:r>
          </w:p>
        </w:tc>
        <w:tc>
          <w:tcPr>
            <w:tcW w:w="999" w:type="dxa"/>
            <w:tcBorders>
              <w:tl2br w:val="nil"/>
              <w:tr2bl w:val="nil"/>
            </w:tcBorders>
            <w:shd w:val="clear" w:color="auto" w:fill="auto"/>
            <w:vAlign w:val="center"/>
          </w:tcPr>
          <w:p w14:paraId="50FDF2D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无组织</w:t>
            </w:r>
          </w:p>
        </w:tc>
        <w:tc>
          <w:tcPr>
            <w:tcW w:w="655" w:type="dxa"/>
            <w:tcBorders>
              <w:tl2br w:val="nil"/>
              <w:tr2bl w:val="nil"/>
            </w:tcBorders>
            <w:shd w:val="clear" w:color="auto" w:fill="auto"/>
            <w:vAlign w:val="center"/>
          </w:tcPr>
          <w:p w14:paraId="7489311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669" w:type="dxa"/>
            <w:tcBorders>
              <w:tl2br w:val="nil"/>
              <w:tr2bl w:val="nil"/>
            </w:tcBorders>
            <w:shd w:val="clear" w:color="auto" w:fill="auto"/>
            <w:vAlign w:val="center"/>
          </w:tcPr>
          <w:p w14:paraId="22D8E8D4">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647" w:type="dxa"/>
            <w:tcBorders>
              <w:tl2br w:val="nil"/>
              <w:tr2bl w:val="nil"/>
            </w:tcBorders>
            <w:shd w:val="clear" w:color="auto" w:fill="auto"/>
            <w:vAlign w:val="center"/>
          </w:tcPr>
          <w:p w14:paraId="23C26DE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联合车间</w:t>
            </w:r>
          </w:p>
        </w:tc>
        <w:tc>
          <w:tcPr>
            <w:tcW w:w="890" w:type="dxa"/>
            <w:tcBorders>
              <w:tl2br w:val="nil"/>
              <w:tr2bl w:val="nil"/>
            </w:tcBorders>
            <w:shd w:val="clear" w:color="auto" w:fill="auto"/>
            <w:vAlign w:val="center"/>
          </w:tcPr>
          <w:p w14:paraId="01043114">
            <w:pPr>
              <w:widowControl w:val="0"/>
              <w:snapToGrid w:val="0"/>
              <w:jc w:val="center"/>
              <w:textAlignment w:val="center"/>
              <w:rPr>
                <w:rStyle w:val="219"/>
                <w:rFonts w:hint="default" w:ascii="Times New Roman" w:hAnsi="Times New Roman" w:cs="Times New Roman"/>
                <w:caps w:val="0"/>
                <w:smallCaps w:val="0"/>
                <w:color w:val="auto"/>
                <w:spacing w:val="0"/>
                <w:sz w:val="21"/>
                <w:szCs w:val="21"/>
                <w:highlight w:val="none"/>
                <w:lang w:bidi="ar"/>
              </w:rPr>
            </w:pPr>
            <w:r>
              <w:rPr>
                <w:rFonts w:ascii="Times New Roman" w:hAnsi="Times New Roman" w:eastAsia="宋体" w:cs="Times New Roman"/>
                <w:caps w:val="0"/>
                <w:smallCaps w:val="0"/>
                <w:color w:val="auto"/>
                <w:spacing w:val="0"/>
                <w:kern w:val="0"/>
                <w:sz w:val="21"/>
                <w:highlight w:val="none"/>
                <w:lang w:bidi="ar"/>
              </w:rPr>
              <w:t>41.660</w:t>
            </w:r>
          </w:p>
        </w:tc>
        <w:tc>
          <w:tcPr>
            <w:tcW w:w="1029" w:type="dxa"/>
            <w:tcBorders>
              <w:tl2br w:val="nil"/>
              <w:tr2bl w:val="nil"/>
            </w:tcBorders>
            <w:shd w:val="clear" w:color="auto" w:fill="auto"/>
            <w:vAlign w:val="center"/>
          </w:tcPr>
          <w:p w14:paraId="310863A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0.006</w:t>
            </w:r>
          </w:p>
        </w:tc>
        <w:tc>
          <w:tcPr>
            <w:tcW w:w="934" w:type="dxa"/>
            <w:tcBorders>
              <w:tl2br w:val="nil"/>
              <w:tr2bl w:val="nil"/>
            </w:tcBorders>
            <w:shd w:val="clear" w:color="auto" w:fill="auto"/>
            <w:vAlign w:val="center"/>
          </w:tcPr>
          <w:p w14:paraId="5E041A3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w:t>
            </w:r>
          </w:p>
        </w:tc>
        <w:tc>
          <w:tcPr>
            <w:tcW w:w="927" w:type="dxa"/>
            <w:tcBorders>
              <w:tl2br w:val="nil"/>
              <w:tr2bl w:val="nil"/>
            </w:tcBorders>
            <w:shd w:val="clear" w:color="auto" w:fill="auto"/>
            <w:vAlign w:val="center"/>
          </w:tcPr>
          <w:p w14:paraId="00C45719">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w:t>
            </w:r>
          </w:p>
        </w:tc>
        <w:tc>
          <w:tcPr>
            <w:tcW w:w="1022" w:type="dxa"/>
            <w:tcBorders>
              <w:tl2br w:val="nil"/>
              <w:tr2bl w:val="nil"/>
            </w:tcBorders>
            <w:shd w:val="clear" w:color="auto" w:fill="auto"/>
            <w:vAlign w:val="center"/>
          </w:tcPr>
          <w:p w14:paraId="6095FFD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4.0</w:t>
            </w:r>
          </w:p>
        </w:tc>
        <w:tc>
          <w:tcPr>
            <w:tcW w:w="2517" w:type="dxa"/>
            <w:vMerge w:val="restart"/>
            <w:tcBorders>
              <w:tl2br w:val="nil"/>
              <w:tr2bl w:val="nil"/>
            </w:tcBorders>
            <w:shd w:val="clear" w:color="auto" w:fill="auto"/>
            <w:vAlign w:val="center"/>
          </w:tcPr>
          <w:p w14:paraId="433C2DC7">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《电池工业污染物排放标准》（GB30484-2013）表</w:t>
            </w:r>
            <w:r>
              <w:rPr>
                <w:rFonts w:hint="eastAsia" w:ascii="Times New Roman" w:hAnsi="Times New Roman" w:eastAsia="宋体" w:cs="Times New Roman"/>
                <w:bCs/>
                <w:caps w:val="0"/>
                <w:smallCaps w:val="0"/>
                <w:color w:val="auto"/>
                <w:spacing w:val="0"/>
                <w:sz w:val="21"/>
                <w:highlight w:val="none"/>
              </w:rPr>
              <w:t>6</w:t>
            </w:r>
            <w:r>
              <w:rPr>
                <w:rFonts w:ascii="Times New Roman" w:hAnsi="Times New Roman" w:eastAsia="宋体" w:cs="Times New Roman"/>
                <w:bCs/>
                <w:caps w:val="0"/>
                <w:smallCaps w:val="0"/>
                <w:color w:val="auto"/>
                <w:spacing w:val="0"/>
                <w:sz w:val="21"/>
                <w:highlight w:val="none"/>
              </w:rPr>
              <w:t>限值</w:t>
            </w:r>
          </w:p>
        </w:tc>
      </w:tr>
      <w:tr w14:paraId="5127504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9E0E2A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restart"/>
            <w:tcBorders>
              <w:tl2br w:val="nil"/>
              <w:tr2bl w:val="nil"/>
            </w:tcBorders>
            <w:shd w:val="clear" w:color="auto" w:fill="auto"/>
            <w:vAlign w:val="center"/>
          </w:tcPr>
          <w:p w14:paraId="6207B9FE">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实验室废气</w:t>
            </w:r>
          </w:p>
        </w:tc>
        <w:tc>
          <w:tcPr>
            <w:tcW w:w="1047" w:type="dxa"/>
            <w:tcBorders>
              <w:tl2br w:val="nil"/>
              <w:tr2bl w:val="nil"/>
            </w:tcBorders>
            <w:shd w:val="clear" w:color="auto" w:fill="auto"/>
            <w:vAlign w:val="center"/>
          </w:tcPr>
          <w:p w14:paraId="109AB8DA">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Style w:val="219"/>
                <w:rFonts w:hint="default" w:ascii="Times New Roman" w:hAnsi="Times New Roman" w:cs="Times New Roman"/>
                <w:caps w:val="0"/>
                <w:smallCaps w:val="0"/>
                <w:color w:val="auto"/>
                <w:spacing w:val="0"/>
                <w:sz w:val="21"/>
                <w:szCs w:val="21"/>
                <w:highlight w:val="none"/>
                <w:lang w:bidi="ar"/>
              </w:rPr>
              <w:t>非甲烷总烃</w:t>
            </w:r>
          </w:p>
        </w:tc>
        <w:tc>
          <w:tcPr>
            <w:tcW w:w="1442" w:type="dxa"/>
            <w:tcBorders>
              <w:tl2br w:val="nil"/>
              <w:tr2bl w:val="nil"/>
            </w:tcBorders>
            <w:shd w:val="clear" w:color="auto" w:fill="auto"/>
            <w:vAlign w:val="center"/>
          </w:tcPr>
          <w:p w14:paraId="4DD871BD">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999" w:type="dxa"/>
            <w:vMerge w:val="restart"/>
            <w:tcBorders>
              <w:tl2br w:val="nil"/>
              <w:tr2bl w:val="nil"/>
            </w:tcBorders>
            <w:shd w:val="clear" w:color="auto" w:fill="auto"/>
            <w:vAlign w:val="center"/>
          </w:tcPr>
          <w:p w14:paraId="5F029C6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无组织废气</w:t>
            </w:r>
          </w:p>
        </w:tc>
        <w:tc>
          <w:tcPr>
            <w:tcW w:w="655" w:type="dxa"/>
            <w:tcBorders>
              <w:tl2br w:val="nil"/>
              <w:tr2bl w:val="nil"/>
            </w:tcBorders>
            <w:shd w:val="clear" w:color="auto" w:fill="auto"/>
            <w:vAlign w:val="center"/>
          </w:tcPr>
          <w:p w14:paraId="60A9C99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669" w:type="dxa"/>
            <w:tcBorders>
              <w:tl2br w:val="nil"/>
              <w:tr2bl w:val="nil"/>
            </w:tcBorders>
            <w:shd w:val="clear" w:color="auto" w:fill="auto"/>
            <w:vAlign w:val="center"/>
          </w:tcPr>
          <w:p w14:paraId="2B69C9F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647" w:type="dxa"/>
            <w:tcBorders>
              <w:tl2br w:val="nil"/>
              <w:tr2bl w:val="nil"/>
            </w:tcBorders>
            <w:shd w:val="clear" w:color="auto" w:fill="auto"/>
            <w:vAlign w:val="center"/>
          </w:tcPr>
          <w:p w14:paraId="3BF94B4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离线实验室</w:t>
            </w:r>
          </w:p>
        </w:tc>
        <w:tc>
          <w:tcPr>
            <w:tcW w:w="890" w:type="dxa"/>
            <w:tcBorders>
              <w:tl2br w:val="nil"/>
              <w:tr2bl w:val="nil"/>
            </w:tcBorders>
            <w:shd w:val="clear" w:color="auto" w:fill="auto"/>
            <w:vAlign w:val="center"/>
          </w:tcPr>
          <w:p w14:paraId="765ACB8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0.01180</w:t>
            </w:r>
          </w:p>
        </w:tc>
        <w:tc>
          <w:tcPr>
            <w:tcW w:w="1029" w:type="dxa"/>
            <w:tcBorders>
              <w:tl2br w:val="nil"/>
              <w:tr2bl w:val="nil"/>
            </w:tcBorders>
            <w:shd w:val="clear" w:color="auto" w:fill="auto"/>
            <w:vAlign w:val="center"/>
          </w:tcPr>
          <w:p w14:paraId="257C1472">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4.92×10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934" w:type="dxa"/>
            <w:tcBorders>
              <w:tl2br w:val="nil"/>
              <w:tr2bl w:val="nil"/>
            </w:tcBorders>
            <w:shd w:val="clear" w:color="auto" w:fill="auto"/>
            <w:vAlign w:val="center"/>
          </w:tcPr>
          <w:p w14:paraId="71E043DB">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927" w:type="dxa"/>
            <w:tcBorders>
              <w:tl2br w:val="nil"/>
              <w:tr2bl w:val="nil"/>
            </w:tcBorders>
            <w:shd w:val="clear" w:color="auto" w:fill="auto"/>
            <w:vAlign w:val="center"/>
          </w:tcPr>
          <w:p w14:paraId="605AF9FC">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1022" w:type="dxa"/>
            <w:tcBorders>
              <w:tl2br w:val="nil"/>
              <w:tr2bl w:val="nil"/>
            </w:tcBorders>
            <w:shd w:val="clear" w:color="auto" w:fill="auto"/>
            <w:vAlign w:val="center"/>
          </w:tcPr>
          <w:p w14:paraId="75C27039">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4.0</w:t>
            </w:r>
          </w:p>
        </w:tc>
        <w:tc>
          <w:tcPr>
            <w:tcW w:w="2517" w:type="dxa"/>
            <w:vMerge w:val="continue"/>
            <w:tcBorders>
              <w:tl2br w:val="nil"/>
              <w:tr2bl w:val="nil"/>
            </w:tcBorders>
            <w:shd w:val="clear" w:color="auto" w:fill="auto"/>
            <w:vAlign w:val="center"/>
          </w:tcPr>
          <w:p w14:paraId="5B87DA90">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12B85EE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F1CE3CF">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4CBA4EDA">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56248FD3">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二甲苯</w:t>
            </w:r>
          </w:p>
        </w:tc>
        <w:tc>
          <w:tcPr>
            <w:tcW w:w="1442" w:type="dxa"/>
            <w:tcBorders>
              <w:tl2br w:val="nil"/>
              <w:tr2bl w:val="nil"/>
            </w:tcBorders>
            <w:shd w:val="clear" w:color="auto" w:fill="auto"/>
            <w:vAlign w:val="center"/>
          </w:tcPr>
          <w:p w14:paraId="69DF9CEB">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999" w:type="dxa"/>
            <w:vMerge w:val="continue"/>
            <w:tcBorders>
              <w:tl2br w:val="nil"/>
              <w:tr2bl w:val="nil"/>
            </w:tcBorders>
            <w:shd w:val="clear" w:color="auto" w:fill="auto"/>
            <w:vAlign w:val="center"/>
          </w:tcPr>
          <w:p w14:paraId="5B8BB41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tcBorders>
              <w:tl2br w:val="nil"/>
              <w:tr2bl w:val="nil"/>
            </w:tcBorders>
            <w:shd w:val="clear" w:color="auto" w:fill="auto"/>
            <w:vAlign w:val="center"/>
          </w:tcPr>
          <w:p w14:paraId="70C2FCB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669" w:type="dxa"/>
            <w:tcBorders>
              <w:tl2br w:val="nil"/>
              <w:tr2bl w:val="nil"/>
            </w:tcBorders>
            <w:shd w:val="clear" w:color="auto" w:fill="auto"/>
            <w:vAlign w:val="center"/>
          </w:tcPr>
          <w:p w14:paraId="7C06AC8C">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647" w:type="dxa"/>
            <w:tcBorders>
              <w:tl2br w:val="nil"/>
              <w:tr2bl w:val="nil"/>
            </w:tcBorders>
            <w:shd w:val="clear" w:color="auto" w:fill="auto"/>
            <w:vAlign w:val="center"/>
          </w:tcPr>
          <w:p w14:paraId="66E6E1B3">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580AD900">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0.00215</w:t>
            </w:r>
          </w:p>
        </w:tc>
        <w:tc>
          <w:tcPr>
            <w:tcW w:w="1029" w:type="dxa"/>
            <w:tcBorders>
              <w:tl2br w:val="nil"/>
              <w:tr2bl w:val="nil"/>
            </w:tcBorders>
            <w:shd w:val="clear" w:color="auto" w:fill="auto"/>
            <w:vAlign w:val="center"/>
          </w:tcPr>
          <w:p w14:paraId="66D52EFD">
            <w:pPr>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8.96×10</w:t>
            </w:r>
            <w:r>
              <w:rPr>
                <w:rFonts w:ascii="Times New Roman" w:hAnsi="Times New Roman" w:eastAsia="宋体" w:cs="Times New Roman"/>
                <w:caps w:val="0"/>
                <w:smallCaps w:val="0"/>
                <w:color w:val="auto"/>
                <w:spacing w:val="0"/>
                <w:kern w:val="0"/>
                <w:sz w:val="21"/>
                <w:highlight w:val="none"/>
                <w:vertAlign w:val="superscript"/>
                <w:lang w:bidi="ar"/>
              </w:rPr>
              <w:t>-7</w:t>
            </w:r>
          </w:p>
        </w:tc>
        <w:tc>
          <w:tcPr>
            <w:tcW w:w="934" w:type="dxa"/>
            <w:tcBorders>
              <w:tl2br w:val="nil"/>
              <w:tr2bl w:val="nil"/>
            </w:tcBorders>
            <w:shd w:val="clear" w:color="auto" w:fill="auto"/>
            <w:vAlign w:val="center"/>
          </w:tcPr>
          <w:p w14:paraId="641558EA">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927" w:type="dxa"/>
            <w:tcBorders>
              <w:tl2br w:val="nil"/>
              <w:tr2bl w:val="nil"/>
            </w:tcBorders>
            <w:shd w:val="clear" w:color="auto" w:fill="auto"/>
            <w:vAlign w:val="center"/>
          </w:tcPr>
          <w:p w14:paraId="4E686FB5">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1022" w:type="dxa"/>
            <w:tcBorders>
              <w:tl2br w:val="nil"/>
              <w:tr2bl w:val="nil"/>
            </w:tcBorders>
            <w:shd w:val="clear" w:color="auto" w:fill="auto"/>
            <w:vAlign w:val="center"/>
          </w:tcPr>
          <w:p w14:paraId="727DC6A9">
            <w:pPr>
              <w:widowControl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hint="eastAsia" w:ascii="Times New Roman" w:hAnsi="Times New Roman" w:eastAsia="宋体" w:cs="Times New Roman"/>
                <w:caps w:val="0"/>
                <w:smallCaps w:val="0"/>
                <w:color w:val="auto"/>
                <w:spacing w:val="0"/>
                <w:sz w:val="21"/>
                <w:highlight w:val="none"/>
                <w:lang w:val="en-US" w:eastAsia="zh-CN"/>
              </w:rPr>
              <w:t>/</w:t>
            </w:r>
          </w:p>
        </w:tc>
        <w:tc>
          <w:tcPr>
            <w:tcW w:w="2517" w:type="dxa"/>
            <w:tcBorders>
              <w:tl2br w:val="nil"/>
              <w:tr2bl w:val="nil"/>
            </w:tcBorders>
            <w:shd w:val="clear" w:color="auto" w:fill="auto"/>
            <w:vAlign w:val="center"/>
          </w:tcPr>
          <w:p w14:paraId="09E82A6C">
            <w:pPr>
              <w:widowControl w:val="0"/>
              <w:snapToGrid w:val="0"/>
              <w:jc w:val="center"/>
              <w:textAlignment w:val="center"/>
              <w:rPr>
                <w:rFonts w:hint="eastAsia" w:ascii="Times New Roman" w:hAnsi="Times New Roman" w:eastAsia="宋体" w:cs="Times New Roman"/>
                <w:bCs/>
                <w:caps w:val="0"/>
                <w:smallCaps w:val="0"/>
                <w:color w:val="auto"/>
                <w:spacing w:val="0"/>
                <w:sz w:val="21"/>
                <w:highlight w:val="none"/>
                <w:lang w:val="en-US" w:eastAsia="zh-CN"/>
              </w:rPr>
            </w:pPr>
            <w:r>
              <w:rPr>
                <w:rFonts w:hint="eastAsia" w:ascii="Times New Roman" w:hAnsi="Times New Roman" w:eastAsia="宋体" w:cs="Times New Roman"/>
                <w:bCs/>
                <w:caps w:val="0"/>
                <w:smallCaps w:val="0"/>
                <w:color w:val="auto"/>
                <w:spacing w:val="0"/>
                <w:sz w:val="21"/>
                <w:highlight w:val="none"/>
                <w:lang w:val="en-US" w:eastAsia="zh-CN"/>
              </w:rPr>
              <w:t>/</w:t>
            </w:r>
          </w:p>
        </w:tc>
      </w:tr>
      <w:tr w14:paraId="55900BF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AF8AB0C">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69350EB">
            <w:pPr>
              <w:widowControl w:val="0"/>
              <w:snapToGrid w:val="0"/>
              <w:jc w:val="center"/>
              <w:rPr>
                <w:rFonts w:ascii="Times New Roman" w:hAnsi="Times New Roman" w:eastAsia="宋体" w:cs="Times New Roman"/>
                <w:caps w:val="0"/>
                <w:smallCaps w:val="0"/>
                <w:color w:val="auto"/>
                <w:spacing w:val="0"/>
                <w:sz w:val="21"/>
                <w:highlight w:val="none"/>
              </w:rPr>
            </w:pPr>
          </w:p>
        </w:tc>
        <w:tc>
          <w:tcPr>
            <w:tcW w:w="1047" w:type="dxa"/>
            <w:tcBorders>
              <w:tl2br w:val="nil"/>
              <w:tr2bl w:val="nil"/>
            </w:tcBorders>
            <w:shd w:val="clear" w:color="auto" w:fill="auto"/>
            <w:vAlign w:val="center"/>
          </w:tcPr>
          <w:p w14:paraId="4B52C0F1">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kern w:val="0"/>
                <w:sz w:val="21"/>
                <w:highlight w:val="none"/>
                <w:lang w:bidi="ar"/>
              </w:rPr>
              <w:t>氨气</w:t>
            </w:r>
          </w:p>
        </w:tc>
        <w:tc>
          <w:tcPr>
            <w:tcW w:w="1442" w:type="dxa"/>
            <w:tcBorders>
              <w:tl2br w:val="nil"/>
              <w:tr2bl w:val="nil"/>
            </w:tcBorders>
            <w:shd w:val="clear" w:color="auto" w:fill="auto"/>
            <w:vAlign w:val="center"/>
          </w:tcPr>
          <w:p w14:paraId="3E09BE39">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999" w:type="dxa"/>
            <w:vMerge w:val="continue"/>
            <w:tcBorders>
              <w:tl2br w:val="nil"/>
              <w:tr2bl w:val="nil"/>
            </w:tcBorders>
            <w:shd w:val="clear" w:color="auto" w:fill="auto"/>
            <w:vAlign w:val="center"/>
          </w:tcPr>
          <w:p w14:paraId="0212A2F6">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655" w:type="dxa"/>
            <w:tcBorders>
              <w:tl2br w:val="nil"/>
              <w:tr2bl w:val="nil"/>
            </w:tcBorders>
            <w:shd w:val="clear" w:color="auto" w:fill="auto"/>
            <w:vAlign w:val="center"/>
          </w:tcPr>
          <w:p w14:paraId="4A69D27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669" w:type="dxa"/>
            <w:tcBorders>
              <w:tl2br w:val="nil"/>
              <w:tr2bl w:val="nil"/>
            </w:tcBorders>
            <w:shd w:val="clear" w:color="auto" w:fill="auto"/>
            <w:vAlign w:val="center"/>
          </w:tcPr>
          <w:p w14:paraId="4BAFABD7">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w:t>
            </w:r>
          </w:p>
        </w:tc>
        <w:tc>
          <w:tcPr>
            <w:tcW w:w="647" w:type="dxa"/>
            <w:tcBorders>
              <w:tl2br w:val="nil"/>
              <w:tr2bl w:val="nil"/>
            </w:tcBorders>
            <w:shd w:val="clear" w:color="auto" w:fill="auto"/>
            <w:vAlign w:val="center"/>
          </w:tcPr>
          <w:p w14:paraId="5B5105E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890" w:type="dxa"/>
            <w:tcBorders>
              <w:tl2br w:val="nil"/>
              <w:tr2bl w:val="nil"/>
            </w:tcBorders>
            <w:shd w:val="clear" w:color="auto" w:fill="auto"/>
            <w:vAlign w:val="center"/>
          </w:tcPr>
          <w:p w14:paraId="3B226BB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0.00277</w:t>
            </w:r>
          </w:p>
        </w:tc>
        <w:tc>
          <w:tcPr>
            <w:tcW w:w="1029" w:type="dxa"/>
            <w:tcBorders>
              <w:tl2br w:val="nil"/>
              <w:tr2bl w:val="nil"/>
            </w:tcBorders>
            <w:shd w:val="clear" w:color="auto" w:fill="auto"/>
            <w:vAlign w:val="center"/>
          </w:tcPr>
          <w:p w14:paraId="085D5180">
            <w:pPr>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1.15×10</w:t>
            </w:r>
            <w:r>
              <w:rPr>
                <w:rFonts w:ascii="Times New Roman" w:hAnsi="Times New Roman" w:eastAsia="宋体" w:cs="Times New Roman"/>
                <w:caps w:val="0"/>
                <w:smallCaps w:val="0"/>
                <w:color w:val="auto"/>
                <w:spacing w:val="0"/>
                <w:kern w:val="0"/>
                <w:sz w:val="21"/>
                <w:highlight w:val="none"/>
                <w:vertAlign w:val="superscript"/>
                <w:lang w:bidi="ar"/>
              </w:rPr>
              <w:t>-6</w:t>
            </w:r>
          </w:p>
        </w:tc>
        <w:tc>
          <w:tcPr>
            <w:tcW w:w="934" w:type="dxa"/>
            <w:tcBorders>
              <w:tl2br w:val="nil"/>
              <w:tr2bl w:val="nil"/>
            </w:tcBorders>
            <w:shd w:val="clear" w:color="auto" w:fill="auto"/>
            <w:vAlign w:val="center"/>
          </w:tcPr>
          <w:p w14:paraId="1B49D42A">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927" w:type="dxa"/>
            <w:tcBorders>
              <w:tl2br w:val="nil"/>
              <w:tr2bl w:val="nil"/>
            </w:tcBorders>
            <w:shd w:val="clear" w:color="auto" w:fill="auto"/>
            <w:vAlign w:val="center"/>
          </w:tcPr>
          <w:p w14:paraId="6DF88DB9">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1022" w:type="dxa"/>
            <w:tcBorders>
              <w:tl2br w:val="nil"/>
              <w:tr2bl w:val="nil"/>
            </w:tcBorders>
            <w:shd w:val="clear" w:color="auto" w:fill="auto"/>
            <w:vAlign w:val="center"/>
          </w:tcPr>
          <w:p w14:paraId="5FBBB0FA">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1.5</w:t>
            </w:r>
          </w:p>
        </w:tc>
        <w:tc>
          <w:tcPr>
            <w:tcW w:w="2517" w:type="dxa"/>
            <w:vMerge w:val="restart"/>
            <w:tcBorders>
              <w:tl2br w:val="nil"/>
              <w:tr2bl w:val="nil"/>
            </w:tcBorders>
            <w:shd w:val="clear" w:color="auto" w:fill="auto"/>
            <w:vAlign w:val="center"/>
          </w:tcPr>
          <w:p w14:paraId="0CFA60D4">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《恶臭污染物排放标准》（GB14554-93）表2</w:t>
            </w:r>
          </w:p>
        </w:tc>
      </w:tr>
      <w:tr w14:paraId="280F7EC4">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6FC3BAE7">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restart"/>
            <w:tcBorders>
              <w:tl2br w:val="nil"/>
              <w:tr2bl w:val="nil"/>
            </w:tcBorders>
            <w:shd w:val="clear" w:color="auto" w:fill="auto"/>
            <w:vAlign w:val="center"/>
          </w:tcPr>
          <w:p w14:paraId="278E3B07">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cs="Times New Roman"/>
                <w:caps w:val="0"/>
                <w:smallCaps w:val="0"/>
                <w:color w:val="auto"/>
                <w:spacing w:val="0"/>
                <w:sz w:val="21"/>
                <w:szCs w:val="21"/>
                <w:highlight w:val="none"/>
              </w:rPr>
              <w:t>污水处理站废气</w:t>
            </w:r>
          </w:p>
        </w:tc>
        <w:tc>
          <w:tcPr>
            <w:tcW w:w="1047" w:type="dxa"/>
            <w:tcBorders>
              <w:tl2br w:val="nil"/>
              <w:tr2bl w:val="nil"/>
            </w:tcBorders>
            <w:shd w:val="clear" w:color="auto" w:fill="auto"/>
            <w:vAlign w:val="center"/>
          </w:tcPr>
          <w:p w14:paraId="3164309B">
            <w:pPr>
              <w:pStyle w:val="105"/>
              <w:widowControl w:val="0"/>
              <w:jc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氨气</w:t>
            </w:r>
          </w:p>
        </w:tc>
        <w:tc>
          <w:tcPr>
            <w:tcW w:w="1442" w:type="dxa"/>
            <w:tcBorders>
              <w:tl2br w:val="nil"/>
              <w:tr2bl w:val="nil"/>
            </w:tcBorders>
            <w:shd w:val="clear" w:color="auto" w:fill="auto"/>
            <w:vAlign w:val="center"/>
          </w:tcPr>
          <w:p w14:paraId="249628FA">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w:t>
            </w:r>
          </w:p>
        </w:tc>
        <w:tc>
          <w:tcPr>
            <w:tcW w:w="999" w:type="dxa"/>
            <w:vMerge w:val="restart"/>
            <w:tcBorders>
              <w:tl2br w:val="nil"/>
              <w:tr2bl w:val="nil"/>
            </w:tcBorders>
            <w:shd w:val="clear" w:color="auto" w:fill="auto"/>
            <w:vAlign w:val="center"/>
          </w:tcPr>
          <w:p w14:paraId="4207C3E8">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无组织</w:t>
            </w:r>
          </w:p>
        </w:tc>
        <w:tc>
          <w:tcPr>
            <w:tcW w:w="655" w:type="dxa"/>
            <w:vMerge w:val="restart"/>
            <w:tcBorders>
              <w:tl2br w:val="nil"/>
              <w:tr2bl w:val="nil"/>
            </w:tcBorders>
            <w:shd w:val="clear" w:color="auto" w:fill="auto"/>
            <w:vAlign w:val="center"/>
          </w:tcPr>
          <w:p w14:paraId="066D1FFD">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w:t>
            </w:r>
          </w:p>
        </w:tc>
        <w:tc>
          <w:tcPr>
            <w:tcW w:w="669" w:type="dxa"/>
            <w:vMerge w:val="restart"/>
            <w:tcBorders>
              <w:tl2br w:val="nil"/>
              <w:tr2bl w:val="nil"/>
            </w:tcBorders>
            <w:shd w:val="clear" w:color="auto" w:fill="auto"/>
            <w:vAlign w:val="center"/>
          </w:tcPr>
          <w:p w14:paraId="53A914FC">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w:t>
            </w:r>
          </w:p>
        </w:tc>
        <w:tc>
          <w:tcPr>
            <w:tcW w:w="647" w:type="dxa"/>
            <w:vMerge w:val="restart"/>
            <w:tcBorders>
              <w:tl2br w:val="nil"/>
              <w:tr2bl w:val="nil"/>
            </w:tcBorders>
            <w:shd w:val="clear" w:color="auto" w:fill="auto"/>
            <w:vAlign w:val="center"/>
          </w:tcPr>
          <w:p w14:paraId="7F0EB531">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污水处理站</w:t>
            </w:r>
          </w:p>
        </w:tc>
        <w:tc>
          <w:tcPr>
            <w:tcW w:w="890" w:type="dxa"/>
            <w:tcBorders>
              <w:tl2br w:val="nil"/>
              <w:tr2bl w:val="nil"/>
            </w:tcBorders>
            <w:shd w:val="clear" w:color="auto" w:fill="auto"/>
            <w:vAlign w:val="center"/>
          </w:tcPr>
          <w:p w14:paraId="2FBBADA1">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0.0150</w:t>
            </w:r>
          </w:p>
        </w:tc>
        <w:tc>
          <w:tcPr>
            <w:tcW w:w="1029" w:type="dxa"/>
            <w:tcBorders>
              <w:tl2br w:val="nil"/>
              <w:tr2bl w:val="nil"/>
            </w:tcBorders>
            <w:shd w:val="clear" w:color="auto" w:fill="auto"/>
            <w:vAlign w:val="center"/>
          </w:tcPr>
          <w:p w14:paraId="6547C0B2">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2.08</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6</w:t>
            </w:r>
          </w:p>
        </w:tc>
        <w:tc>
          <w:tcPr>
            <w:tcW w:w="934" w:type="dxa"/>
            <w:tcBorders>
              <w:tl2br w:val="nil"/>
              <w:tr2bl w:val="nil"/>
            </w:tcBorders>
            <w:shd w:val="clear" w:color="auto" w:fill="auto"/>
            <w:vAlign w:val="center"/>
          </w:tcPr>
          <w:p w14:paraId="39DB4B5A">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927" w:type="dxa"/>
            <w:tcBorders>
              <w:tl2br w:val="nil"/>
              <w:tr2bl w:val="nil"/>
            </w:tcBorders>
            <w:shd w:val="clear" w:color="auto" w:fill="auto"/>
            <w:vAlign w:val="center"/>
          </w:tcPr>
          <w:p w14:paraId="7946F68A">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1022" w:type="dxa"/>
            <w:tcBorders>
              <w:tl2br w:val="nil"/>
              <w:tr2bl w:val="nil"/>
            </w:tcBorders>
            <w:shd w:val="clear" w:color="auto" w:fill="auto"/>
            <w:vAlign w:val="center"/>
          </w:tcPr>
          <w:p w14:paraId="176D67BF">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1.5</w:t>
            </w:r>
          </w:p>
        </w:tc>
        <w:tc>
          <w:tcPr>
            <w:tcW w:w="2517" w:type="dxa"/>
            <w:vMerge w:val="continue"/>
            <w:tcBorders>
              <w:tl2br w:val="nil"/>
              <w:tr2bl w:val="nil"/>
            </w:tcBorders>
            <w:shd w:val="clear" w:color="auto" w:fill="auto"/>
            <w:vAlign w:val="center"/>
          </w:tcPr>
          <w:p w14:paraId="44BA63E8">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00D52DA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6CAD908">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D04B67E">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4F703CB0">
            <w:pPr>
              <w:pStyle w:val="105"/>
              <w:widowControl w:val="0"/>
              <w:jc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硫化氢</w:t>
            </w:r>
          </w:p>
        </w:tc>
        <w:tc>
          <w:tcPr>
            <w:tcW w:w="1442" w:type="dxa"/>
            <w:tcBorders>
              <w:tl2br w:val="nil"/>
              <w:tr2bl w:val="nil"/>
            </w:tcBorders>
            <w:shd w:val="clear" w:color="auto" w:fill="auto"/>
            <w:vAlign w:val="center"/>
          </w:tcPr>
          <w:p w14:paraId="6FEF3FE2">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w:t>
            </w:r>
          </w:p>
        </w:tc>
        <w:tc>
          <w:tcPr>
            <w:tcW w:w="999" w:type="dxa"/>
            <w:vMerge w:val="continue"/>
            <w:tcBorders>
              <w:tl2br w:val="nil"/>
              <w:tr2bl w:val="nil"/>
            </w:tcBorders>
            <w:shd w:val="clear" w:color="auto" w:fill="auto"/>
            <w:vAlign w:val="center"/>
          </w:tcPr>
          <w:p w14:paraId="04F55B8C">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14F35A5C">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194EB49D">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647" w:type="dxa"/>
            <w:vMerge w:val="continue"/>
            <w:tcBorders>
              <w:tl2br w:val="nil"/>
              <w:tr2bl w:val="nil"/>
            </w:tcBorders>
            <w:shd w:val="clear" w:color="auto" w:fill="auto"/>
            <w:vAlign w:val="center"/>
          </w:tcPr>
          <w:p w14:paraId="72AB981E">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890" w:type="dxa"/>
            <w:tcBorders>
              <w:tl2br w:val="nil"/>
              <w:tr2bl w:val="nil"/>
            </w:tcBorders>
            <w:shd w:val="clear" w:color="auto" w:fill="auto"/>
            <w:vAlign w:val="center"/>
          </w:tcPr>
          <w:p w14:paraId="366A41E0">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0.00058</w:t>
            </w:r>
          </w:p>
        </w:tc>
        <w:tc>
          <w:tcPr>
            <w:tcW w:w="1029" w:type="dxa"/>
            <w:tcBorders>
              <w:tl2br w:val="nil"/>
              <w:tr2bl w:val="nil"/>
            </w:tcBorders>
            <w:shd w:val="clear" w:color="auto" w:fill="auto"/>
            <w:vAlign w:val="center"/>
          </w:tcPr>
          <w:p w14:paraId="0A521BFB">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8.05</w:t>
            </w:r>
            <w:r>
              <w:rPr>
                <w:rFonts w:ascii="Times New Roman" w:hAnsi="Times New Roman" w:eastAsia="宋体" w:cs="Times New Roman"/>
                <w:caps w:val="0"/>
                <w:smallCaps w:val="0"/>
                <w:color w:val="auto"/>
                <w:spacing w:val="0"/>
                <w:kern w:val="0"/>
                <w:sz w:val="21"/>
                <w:highlight w:val="none"/>
                <w:lang w:bidi="ar"/>
              </w:rPr>
              <w:t>×10</w:t>
            </w:r>
            <w:r>
              <w:rPr>
                <w:rFonts w:ascii="Times New Roman" w:hAnsi="Times New Roman" w:eastAsia="宋体" w:cs="Times New Roman"/>
                <w:caps w:val="0"/>
                <w:smallCaps w:val="0"/>
                <w:color w:val="auto"/>
                <w:spacing w:val="0"/>
                <w:kern w:val="0"/>
                <w:sz w:val="21"/>
                <w:highlight w:val="none"/>
                <w:vertAlign w:val="superscript"/>
                <w:lang w:bidi="ar"/>
              </w:rPr>
              <w:t>-</w:t>
            </w:r>
            <w:r>
              <w:rPr>
                <w:rFonts w:hint="eastAsia" w:ascii="Times New Roman" w:hAnsi="Times New Roman" w:eastAsia="宋体" w:cs="Times New Roman"/>
                <w:caps w:val="0"/>
                <w:smallCaps w:val="0"/>
                <w:color w:val="auto"/>
                <w:spacing w:val="0"/>
                <w:kern w:val="0"/>
                <w:sz w:val="21"/>
                <w:highlight w:val="none"/>
                <w:vertAlign w:val="superscript"/>
                <w:lang w:bidi="ar"/>
              </w:rPr>
              <w:t>8</w:t>
            </w:r>
          </w:p>
        </w:tc>
        <w:tc>
          <w:tcPr>
            <w:tcW w:w="934" w:type="dxa"/>
            <w:tcBorders>
              <w:tl2br w:val="nil"/>
              <w:tr2bl w:val="nil"/>
            </w:tcBorders>
            <w:shd w:val="clear" w:color="auto" w:fill="auto"/>
            <w:vAlign w:val="center"/>
          </w:tcPr>
          <w:p w14:paraId="3F3BAED2">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927" w:type="dxa"/>
            <w:tcBorders>
              <w:tl2br w:val="nil"/>
              <w:tr2bl w:val="nil"/>
            </w:tcBorders>
            <w:shd w:val="clear" w:color="auto" w:fill="auto"/>
            <w:vAlign w:val="center"/>
          </w:tcPr>
          <w:p w14:paraId="1E0968A9">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1022" w:type="dxa"/>
            <w:tcBorders>
              <w:tl2br w:val="nil"/>
              <w:tr2bl w:val="nil"/>
            </w:tcBorders>
            <w:shd w:val="clear" w:color="auto" w:fill="auto"/>
            <w:vAlign w:val="center"/>
          </w:tcPr>
          <w:p w14:paraId="647D38B8">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0.06</w:t>
            </w:r>
          </w:p>
        </w:tc>
        <w:tc>
          <w:tcPr>
            <w:tcW w:w="2517" w:type="dxa"/>
            <w:vMerge w:val="continue"/>
            <w:tcBorders>
              <w:tl2br w:val="nil"/>
              <w:tr2bl w:val="nil"/>
            </w:tcBorders>
            <w:shd w:val="clear" w:color="auto" w:fill="auto"/>
            <w:vAlign w:val="center"/>
          </w:tcPr>
          <w:p w14:paraId="6BCC4853">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488E6E94">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61DA82F">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2284FE02">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0D0B70C9">
            <w:pPr>
              <w:pStyle w:val="105"/>
              <w:widowControl w:val="0"/>
              <w:jc w:val="center"/>
              <w:rPr>
                <w:rFonts w:ascii="Times New Roman" w:hAnsi="Times New Roman" w:cs="Times New Roman"/>
                <w:caps w:val="0"/>
                <w:smallCaps w:val="0"/>
                <w:color w:val="auto"/>
                <w:spacing w:val="0"/>
                <w:sz w:val="21"/>
                <w:highlight w:val="none"/>
              </w:rPr>
            </w:pPr>
            <w:r>
              <w:rPr>
                <w:rFonts w:hint="eastAsia" w:ascii="Times New Roman" w:hAnsi="Times New Roman" w:cs="Times New Roman"/>
                <w:caps w:val="0"/>
                <w:smallCaps w:val="0"/>
                <w:color w:val="auto"/>
                <w:spacing w:val="0"/>
                <w:sz w:val="21"/>
                <w:highlight w:val="none"/>
              </w:rPr>
              <w:t>臭气浓度</w:t>
            </w:r>
          </w:p>
        </w:tc>
        <w:tc>
          <w:tcPr>
            <w:tcW w:w="1442" w:type="dxa"/>
            <w:tcBorders>
              <w:tl2br w:val="nil"/>
              <w:tr2bl w:val="nil"/>
            </w:tcBorders>
            <w:shd w:val="clear" w:color="auto" w:fill="auto"/>
            <w:vAlign w:val="center"/>
          </w:tcPr>
          <w:p w14:paraId="580274C7">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hint="eastAsia" w:ascii="Times New Roman" w:hAnsi="Times New Roman" w:eastAsia="宋体" w:cs="Times New Roman"/>
                <w:bCs/>
                <w:caps w:val="0"/>
                <w:smallCaps w:val="0"/>
                <w:color w:val="auto"/>
                <w:spacing w:val="0"/>
                <w:sz w:val="21"/>
                <w:highlight w:val="none"/>
              </w:rPr>
              <w:t>/</w:t>
            </w:r>
          </w:p>
        </w:tc>
        <w:tc>
          <w:tcPr>
            <w:tcW w:w="999" w:type="dxa"/>
            <w:vMerge w:val="continue"/>
            <w:tcBorders>
              <w:tl2br w:val="nil"/>
              <w:tr2bl w:val="nil"/>
            </w:tcBorders>
            <w:shd w:val="clear" w:color="auto" w:fill="auto"/>
            <w:vAlign w:val="center"/>
          </w:tcPr>
          <w:p w14:paraId="56ADE1B2">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655" w:type="dxa"/>
            <w:vMerge w:val="continue"/>
            <w:tcBorders>
              <w:tl2br w:val="nil"/>
              <w:tr2bl w:val="nil"/>
            </w:tcBorders>
            <w:shd w:val="clear" w:color="auto" w:fill="auto"/>
            <w:vAlign w:val="center"/>
          </w:tcPr>
          <w:p w14:paraId="6BA32104">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669" w:type="dxa"/>
            <w:vMerge w:val="continue"/>
            <w:tcBorders>
              <w:tl2br w:val="nil"/>
              <w:tr2bl w:val="nil"/>
            </w:tcBorders>
            <w:shd w:val="clear" w:color="auto" w:fill="auto"/>
            <w:vAlign w:val="center"/>
          </w:tcPr>
          <w:p w14:paraId="03949411">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647" w:type="dxa"/>
            <w:vMerge w:val="continue"/>
            <w:tcBorders>
              <w:tl2br w:val="nil"/>
              <w:tr2bl w:val="nil"/>
            </w:tcBorders>
            <w:shd w:val="clear" w:color="auto" w:fill="auto"/>
            <w:vAlign w:val="center"/>
          </w:tcPr>
          <w:p w14:paraId="6A55ECE8">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890" w:type="dxa"/>
            <w:tcBorders>
              <w:tl2br w:val="nil"/>
              <w:tr2bl w:val="nil"/>
            </w:tcBorders>
            <w:shd w:val="clear" w:color="auto" w:fill="auto"/>
            <w:vAlign w:val="center"/>
          </w:tcPr>
          <w:p w14:paraId="1B431019">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w:t>
            </w:r>
          </w:p>
        </w:tc>
        <w:tc>
          <w:tcPr>
            <w:tcW w:w="1029" w:type="dxa"/>
            <w:tcBorders>
              <w:tl2br w:val="nil"/>
              <w:tr2bl w:val="nil"/>
            </w:tcBorders>
            <w:shd w:val="clear" w:color="auto" w:fill="auto"/>
            <w:vAlign w:val="center"/>
          </w:tcPr>
          <w:p w14:paraId="1D68E7C5">
            <w:pPr>
              <w:jc w:val="center"/>
              <w:textAlignment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kern w:val="0"/>
                <w:sz w:val="21"/>
                <w:highlight w:val="none"/>
                <w:lang w:bidi="ar"/>
              </w:rPr>
              <w:t>/</w:t>
            </w:r>
          </w:p>
        </w:tc>
        <w:tc>
          <w:tcPr>
            <w:tcW w:w="934" w:type="dxa"/>
            <w:tcBorders>
              <w:tl2br w:val="nil"/>
              <w:tr2bl w:val="nil"/>
            </w:tcBorders>
            <w:shd w:val="clear" w:color="auto" w:fill="auto"/>
            <w:vAlign w:val="center"/>
          </w:tcPr>
          <w:p w14:paraId="175F24D6">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927" w:type="dxa"/>
            <w:tcBorders>
              <w:tl2br w:val="nil"/>
              <w:tr2bl w:val="nil"/>
            </w:tcBorders>
            <w:shd w:val="clear" w:color="auto" w:fill="auto"/>
            <w:vAlign w:val="center"/>
          </w:tcPr>
          <w:p w14:paraId="05C40066">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w:t>
            </w:r>
          </w:p>
        </w:tc>
        <w:tc>
          <w:tcPr>
            <w:tcW w:w="1022" w:type="dxa"/>
            <w:tcBorders>
              <w:tl2br w:val="nil"/>
              <w:tr2bl w:val="nil"/>
            </w:tcBorders>
            <w:shd w:val="clear" w:color="auto" w:fill="auto"/>
            <w:vAlign w:val="center"/>
          </w:tcPr>
          <w:p w14:paraId="23332E4D">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20（无量纲）</w:t>
            </w:r>
          </w:p>
        </w:tc>
        <w:tc>
          <w:tcPr>
            <w:tcW w:w="2517" w:type="dxa"/>
            <w:vMerge w:val="continue"/>
            <w:tcBorders>
              <w:tl2br w:val="nil"/>
              <w:tr2bl w:val="nil"/>
            </w:tcBorders>
            <w:shd w:val="clear" w:color="auto" w:fill="auto"/>
            <w:vAlign w:val="center"/>
          </w:tcPr>
          <w:p w14:paraId="1BAAC70B">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r>
      <w:tr w14:paraId="23801D04">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restart"/>
            <w:tcBorders>
              <w:tl2br w:val="nil"/>
              <w:tr2bl w:val="nil"/>
            </w:tcBorders>
            <w:shd w:val="clear" w:color="auto" w:fill="auto"/>
            <w:vAlign w:val="center"/>
          </w:tcPr>
          <w:p w14:paraId="1B2DCF81">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废水</w:t>
            </w:r>
          </w:p>
        </w:tc>
        <w:tc>
          <w:tcPr>
            <w:tcW w:w="940" w:type="dxa"/>
            <w:vMerge w:val="restart"/>
            <w:tcBorders>
              <w:tl2br w:val="nil"/>
              <w:tr2bl w:val="nil"/>
            </w:tcBorders>
            <w:shd w:val="clear" w:color="auto" w:fill="auto"/>
            <w:vAlign w:val="center"/>
          </w:tcPr>
          <w:p w14:paraId="3C2CA5BD">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基片清洗废水</w:t>
            </w:r>
          </w:p>
          <w:p w14:paraId="1DE3407A">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、新增纯水制备废水</w:t>
            </w:r>
          </w:p>
        </w:tc>
        <w:tc>
          <w:tcPr>
            <w:tcW w:w="1047" w:type="dxa"/>
            <w:tcBorders>
              <w:tl2br w:val="nil"/>
              <w:tr2bl w:val="nil"/>
            </w:tcBorders>
            <w:shd w:val="clear" w:color="auto" w:fill="auto"/>
            <w:vAlign w:val="center"/>
          </w:tcPr>
          <w:p w14:paraId="0AA8404B">
            <w:pPr>
              <w:pStyle w:val="105"/>
              <w:widowControl w:val="0"/>
              <w:jc w:val="center"/>
              <w:rPr>
                <w:rFonts w:ascii="Times New Roman" w:hAnsi="Times New Roman" w:cs="Times New Roman"/>
                <w:caps w:val="0"/>
                <w:smallCaps w:val="0"/>
                <w:color w:val="auto"/>
                <w:spacing w:val="0"/>
                <w:sz w:val="21"/>
                <w:szCs w:val="21"/>
                <w:highlight w:val="none"/>
                <w:lang w:bidi="ar"/>
              </w:rPr>
            </w:pPr>
            <w:r>
              <w:rPr>
                <w:rFonts w:ascii="Times New Roman" w:hAnsi="Times New Roman" w:cs="Times New Roman"/>
                <w:caps w:val="0"/>
                <w:smallCaps w:val="0"/>
                <w:color w:val="auto"/>
                <w:spacing w:val="0"/>
                <w:sz w:val="21"/>
                <w:highlight w:val="none"/>
              </w:rPr>
              <w:t>pH</w:t>
            </w:r>
          </w:p>
        </w:tc>
        <w:tc>
          <w:tcPr>
            <w:tcW w:w="1442" w:type="dxa"/>
            <w:vMerge w:val="restart"/>
            <w:tcBorders>
              <w:tl2br w:val="nil"/>
              <w:tr2bl w:val="nil"/>
            </w:tcBorders>
            <w:shd w:val="clear" w:color="auto" w:fill="auto"/>
            <w:vAlign w:val="center"/>
          </w:tcPr>
          <w:p w14:paraId="6C4BDAB8">
            <w:pPr>
              <w:widowControl w:val="0"/>
              <w:snapToGrid w:val="0"/>
              <w:jc w:val="center"/>
              <w:textAlignment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bCs/>
                <w:caps w:val="0"/>
                <w:smallCaps w:val="0"/>
                <w:color w:val="auto"/>
                <w:spacing w:val="0"/>
                <w:sz w:val="21"/>
                <w:highlight w:val="none"/>
              </w:rPr>
              <w:t>基片清洗废水经厂区污水处理站收集pH中和调节后与新增纯水制备废水排放至园区污水管网</w:t>
            </w:r>
          </w:p>
        </w:tc>
        <w:tc>
          <w:tcPr>
            <w:tcW w:w="2970" w:type="dxa"/>
            <w:gridSpan w:val="4"/>
            <w:vMerge w:val="restart"/>
            <w:tcBorders>
              <w:tl2br w:val="nil"/>
              <w:tr2bl w:val="nil"/>
            </w:tcBorders>
            <w:shd w:val="clear" w:color="auto" w:fill="auto"/>
            <w:vAlign w:val="center"/>
          </w:tcPr>
          <w:p w14:paraId="19FEEA1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进入佳木斯高新区污水处理厂</w:t>
            </w:r>
          </w:p>
        </w:tc>
        <w:tc>
          <w:tcPr>
            <w:tcW w:w="890" w:type="dxa"/>
            <w:tcBorders>
              <w:tl2br w:val="nil"/>
              <w:tr2bl w:val="nil"/>
            </w:tcBorders>
            <w:shd w:val="clear" w:color="auto" w:fill="auto"/>
            <w:vAlign w:val="center"/>
          </w:tcPr>
          <w:p w14:paraId="5A90FE3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29" w:type="dxa"/>
            <w:tcBorders>
              <w:tl2br w:val="nil"/>
              <w:tr2bl w:val="nil"/>
            </w:tcBorders>
            <w:shd w:val="clear" w:color="auto" w:fill="auto"/>
            <w:vAlign w:val="center"/>
          </w:tcPr>
          <w:p w14:paraId="78D78F8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934" w:type="dxa"/>
            <w:tcBorders>
              <w:tl2br w:val="nil"/>
              <w:tr2bl w:val="nil"/>
            </w:tcBorders>
            <w:shd w:val="clear" w:color="auto" w:fill="auto"/>
            <w:vAlign w:val="center"/>
          </w:tcPr>
          <w:p w14:paraId="7BA89152">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949" w:type="dxa"/>
            <w:gridSpan w:val="2"/>
            <w:tcBorders>
              <w:tl2br w:val="nil"/>
              <w:tr2bl w:val="nil"/>
            </w:tcBorders>
            <w:shd w:val="clear" w:color="auto" w:fill="auto"/>
            <w:vAlign w:val="center"/>
          </w:tcPr>
          <w:p w14:paraId="5F988FBE">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6-9（无量纲）</w:t>
            </w:r>
          </w:p>
        </w:tc>
        <w:tc>
          <w:tcPr>
            <w:tcW w:w="2517" w:type="dxa"/>
            <w:vMerge w:val="restart"/>
            <w:tcBorders>
              <w:tl2br w:val="nil"/>
              <w:tr2bl w:val="nil"/>
            </w:tcBorders>
            <w:shd w:val="clear" w:color="auto" w:fill="auto"/>
            <w:vAlign w:val="center"/>
          </w:tcPr>
          <w:p w14:paraId="09EA363B">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r>
              <w:rPr>
                <w:rFonts w:ascii="Times New Roman" w:hAnsi="Times New Roman" w:eastAsia="宋体" w:cs="Times New Roman"/>
                <w:bCs/>
                <w:caps w:val="0"/>
                <w:smallCaps w:val="0"/>
                <w:color w:val="auto"/>
                <w:spacing w:val="0"/>
                <w:sz w:val="21"/>
                <w:highlight w:val="none"/>
              </w:rPr>
              <w:t>《电池工业污染物排放标准》（GB30484-2013）表2太阳电池间接排放标准限值</w:t>
            </w:r>
          </w:p>
        </w:tc>
      </w:tr>
      <w:tr w14:paraId="0CA17E8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F77C299">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FE6363B">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50D6C4CA">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SS</w:t>
            </w:r>
          </w:p>
        </w:tc>
        <w:tc>
          <w:tcPr>
            <w:tcW w:w="1442" w:type="dxa"/>
            <w:vMerge w:val="continue"/>
            <w:tcBorders>
              <w:tl2br w:val="nil"/>
              <w:tr2bl w:val="nil"/>
            </w:tcBorders>
            <w:shd w:val="clear" w:color="auto" w:fill="auto"/>
            <w:vAlign w:val="center"/>
          </w:tcPr>
          <w:p w14:paraId="66A925EA">
            <w:pPr>
              <w:spacing w:line="320" w:lineRule="exact"/>
              <w:jc w:val="center"/>
              <w:rPr>
                <w:rFonts w:ascii="Times New Roman" w:hAnsi="Times New Roman" w:eastAsia="宋体" w:cs="Times New Roman"/>
                <w:caps w:val="0"/>
                <w:smallCaps w:val="0"/>
                <w:color w:val="auto"/>
                <w:spacing w:val="0"/>
                <w:sz w:val="21"/>
                <w:highlight w:val="none"/>
              </w:rPr>
            </w:pPr>
          </w:p>
        </w:tc>
        <w:tc>
          <w:tcPr>
            <w:tcW w:w="2970" w:type="dxa"/>
            <w:gridSpan w:val="4"/>
            <w:vMerge w:val="continue"/>
            <w:tcBorders>
              <w:tl2br w:val="nil"/>
              <w:tr2bl w:val="nil"/>
            </w:tcBorders>
            <w:shd w:val="clear" w:color="auto" w:fill="auto"/>
            <w:vAlign w:val="center"/>
          </w:tcPr>
          <w:p w14:paraId="08A95A38">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890" w:type="dxa"/>
            <w:tcBorders>
              <w:tl2br w:val="nil"/>
              <w:tr2bl w:val="nil"/>
            </w:tcBorders>
            <w:shd w:val="clear" w:color="auto" w:fill="auto"/>
            <w:vAlign w:val="center"/>
          </w:tcPr>
          <w:p w14:paraId="3ADD636B">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29" w:type="dxa"/>
            <w:tcBorders>
              <w:tl2br w:val="nil"/>
              <w:tr2bl w:val="nil"/>
            </w:tcBorders>
            <w:shd w:val="clear" w:color="auto" w:fill="auto"/>
            <w:vAlign w:val="center"/>
          </w:tcPr>
          <w:p w14:paraId="1A0FC4E4">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934" w:type="dxa"/>
            <w:tcBorders>
              <w:tl2br w:val="nil"/>
              <w:tr2bl w:val="nil"/>
            </w:tcBorders>
            <w:shd w:val="clear" w:color="auto" w:fill="auto"/>
            <w:vAlign w:val="center"/>
          </w:tcPr>
          <w:p w14:paraId="1DDEC0E3">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32mg/L</w:t>
            </w:r>
          </w:p>
        </w:tc>
        <w:tc>
          <w:tcPr>
            <w:tcW w:w="1949" w:type="dxa"/>
            <w:gridSpan w:val="2"/>
            <w:tcBorders>
              <w:tl2br w:val="nil"/>
              <w:tr2bl w:val="nil"/>
            </w:tcBorders>
            <w:shd w:val="clear" w:color="auto" w:fill="auto"/>
            <w:vAlign w:val="center"/>
          </w:tcPr>
          <w:p w14:paraId="6EDC57C1">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140mg/L</w:t>
            </w:r>
          </w:p>
        </w:tc>
        <w:tc>
          <w:tcPr>
            <w:tcW w:w="2517" w:type="dxa"/>
            <w:vMerge w:val="continue"/>
            <w:tcBorders>
              <w:tl2br w:val="nil"/>
              <w:tr2bl w:val="nil"/>
            </w:tcBorders>
            <w:shd w:val="clear" w:color="auto" w:fill="auto"/>
            <w:vAlign w:val="center"/>
          </w:tcPr>
          <w:p w14:paraId="35D5A99C">
            <w:pPr>
              <w:widowControl w:val="0"/>
              <w:snapToGrid w:val="0"/>
              <w:jc w:val="center"/>
              <w:rPr>
                <w:rFonts w:ascii="Times New Roman" w:hAnsi="Times New Roman" w:eastAsia="宋体" w:cs="Times New Roman"/>
                <w:caps w:val="0"/>
                <w:smallCaps w:val="0"/>
                <w:color w:val="auto"/>
                <w:spacing w:val="0"/>
                <w:sz w:val="21"/>
                <w:highlight w:val="none"/>
              </w:rPr>
            </w:pPr>
          </w:p>
        </w:tc>
      </w:tr>
      <w:tr w14:paraId="6305386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F5AEB0B">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1580B066">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047" w:type="dxa"/>
            <w:tcBorders>
              <w:tl2br w:val="nil"/>
              <w:tr2bl w:val="nil"/>
            </w:tcBorders>
            <w:shd w:val="clear" w:color="auto" w:fill="auto"/>
            <w:vAlign w:val="center"/>
          </w:tcPr>
          <w:p w14:paraId="1311D274">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COD</w:t>
            </w:r>
          </w:p>
        </w:tc>
        <w:tc>
          <w:tcPr>
            <w:tcW w:w="1442" w:type="dxa"/>
            <w:vMerge w:val="continue"/>
            <w:tcBorders>
              <w:tl2br w:val="nil"/>
              <w:tr2bl w:val="nil"/>
            </w:tcBorders>
            <w:shd w:val="clear" w:color="auto" w:fill="auto"/>
            <w:vAlign w:val="center"/>
          </w:tcPr>
          <w:p w14:paraId="749B80D7">
            <w:pPr>
              <w:spacing w:line="320" w:lineRule="exact"/>
              <w:jc w:val="center"/>
              <w:rPr>
                <w:rFonts w:ascii="Times New Roman" w:hAnsi="Times New Roman" w:eastAsia="宋体" w:cs="Times New Roman"/>
                <w:caps w:val="0"/>
                <w:smallCaps w:val="0"/>
                <w:color w:val="auto"/>
                <w:spacing w:val="0"/>
                <w:sz w:val="21"/>
                <w:highlight w:val="none"/>
              </w:rPr>
            </w:pPr>
          </w:p>
        </w:tc>
        <w:tc>
          <w:tcPr>
            <w:tcW w:w="2970" w:type="dxa"/>
            <w:gridSpan w:val="4"/>
            <w:vMerge w:val="continue"/>
            <w:tcBorders>
              <w:tl2br w:val="nil"/>
              <w:tr2bl w:val="nil"/>
            </w:tcBorders>
            <w:shd w:val="clear" w:color="auto" w:fill="auto"/>
            <w:vAlign w:val="center"/>
          </w:tcPr>
          <w:p w14:paraId="1BD34487">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890" w:type="dxa"/>
            <w:tcBorders>
              <w:tl2br w:val="nil"/>
              <w:tr2bl w:val="nil"/>
            </w:tcBorders>
            <w:shd w:val="clear" w:color="auto" w:fill="auto"/>
            <w:vAlign w:val="center"/>
          </w:tcPr>
          <w:p w14:paraId="25125416">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29" w:type="dxa"/>
            <w:tcBorders>
              <w:tl2br w:val="nil"/>
              <w:tr2bl w:val="nil"/>
            </w:tcBorders>
            <w:shd w:val="clear" w:color="auto" w:fill="auto"/>
            <w:vAlign w:val="center"/>
          </w:tcPr>
          <w:p w14:paraId="33C08BB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934" w:type="dxa"/>
            <w:tcBorders>
              <w:tl2br w:val="nil"/>
              <w:tr2bl w:val="nil"/>
            </w:tcBorders>
            <w:shd w:val="clear" w:color="auto" w:fill="auto"/>
            <w:vAlign w:val="center"/>
          </w:tcPr>
          <w:p w14:paraId="57DC3717">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85mg/L</w:t>
            </w:r>
          </w:p>
        </w:tc>
        <w:tc>
          <w:tcPr>
            <w:tcW w:w="1949" w:type="dxa"/>
            <w:gridSpan w:val="2"/>
            <w:tcBorders>
              <w:tl2br w:val="nil"/>
              <w:tr2bl w:val="nil"/>
            </w:tcBorders>
            <w:shd w:val="clear" w:color="auto" w:fill="auto"/>
            <w:vAlign w:val="center"/>
          </w:tcPr>
          <w:p w14:paraId="77599FF9">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150mg/L</w:t>
            </w:r>
          </w:p>
        </w:tc>
        <w:tc>
          <w:tcPr>
            <w:tcW w:w="2517" w:type="dxa"/>
            <w:vMerge w:val="continue"/>
            <w:tcBorders>
              <w:tl2br w:val="nil"/>
              <w:tr2bl w:val="nil"/>
            </w:tcBorders>
            <w:shd w:val="clear" w:color="auto" w:fill="auto"/>
            <w:vAlign w:val="center"/>
          </w:tcPr>
          <w:p w14:paraId="1592AEBD">
            <w:pPr>
              <w:widowControl w:val="0"/>
              <w:snapToGrid w:val="0"/>
              <w:jc w:val="center"/>
              <w:rPr>
                <w:rFonts w:ascii="Times New Roman" w:hAnsi="Times New Roman" w:eastAsia="宋体" w:cs="Times New Roman"/>
                <w:caps w:val="0"/>
                <w:smallCaps w:val="0"/>
                <w:color w:val="auto"/>
                <w:spacing w:val="0"/>
                <w:sz w:val="21"/>
                <w:highlight w:val="none"/>
              </w:rPr>
            </w:pPr>
          </w:p>
        </w:tc>
      </w:tr>
      <w:tr w14:paraId="120016F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4ECC55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79871F4">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047" w:type="dxa"/>
            <w:tcBorders>
              <w:tl2br w:val="nil"/>
              <w:tr2bl w:val="nil"/>
            </w:tcBorders>
            <w:shd w:val="clear" w:color="auto" w:fill="auto"/>
            <w:vAlign w:val="center"/>
          </w:tcPr>
          <w:p w14:paraId="270288D5">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BOD</w:t>
            </w:r>
            <w:r>
              <w:rPr>
                <w:rFonts w:ascii="Times New Roman" w:hAnsi="Times New Roman" w:cs="Times New Roman"/>
                <w:caps w:val="0"/>
                <w:smallCaps w:val="0"/>
                <w:color w:val="auto"/>
                <w:spacing w:val="0"/>
                <w:sz w:val="21"/>
                <w:highlight w:val="none"/>
                <w:vertAlign w:val="subscript"/>
              </w:rPr>
              <w:t>5</w:t>
            </w:r>
          </w:p>
        </w:tc>
        <w:tc>
          <w:tcPr>
            <w:tcW w:w="1442" w:type="dxa"/>
            <w:vMerge w:val="continue"/>
            <w:tcBorders>
              <w:tl2br w:val="nil"/>
              <w:tr2bl w:val="nil"/>
            </w:tcBorders>
            <w:shd w:val="clear" w:color="auto" w:fill="auto"/>
            <w:vAlign w:val="center"/>
          </w:tcPr>
          <w:p w14:paraId="18B2E0E9">
            <w:pPr>
              <w:spacing w:line="320" w:lineRule="exact"/>
              <w:jc w:val="center"/>
              <w:rPr>
                <w:rFonts w:ascii="Times New Roman" w:hAnsi="Times New Roman" w:eastAsia="宋体" w:cs="Times New Roman"/>
                <w:caps w:val="0"/>
                <w:smallCaps w:val="0"/>
                <w:color w:val="auto"/>
                <w:spacing w:val="0"/>
                <w:sz w:val="21"/>
                <w:highlight w:val="none"/>
              </w:rPr>
            </w:pPr>
          </w:p>
        </w:tc>
        <w:tc>
          <w:tcPr>
            <w:tcW w:w="2970" w:type="dxa"/>
            <w:gridSpan w:val="4"/>
            <w:vMerge w:val="continue"/>
            <w:tcBorders>
              <w:tl2br w:val="nil"/>
              <w:tr2bl w:val="nil"/>
            </w:tcBorders>
            <w:shd w:val="clear" w:color="auto" w:fill="auto"/>
            <w:vAlign w:val="center"/>
          </w:tcPr>
          <w:p w14:paraId="6B86C609">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890" w:type="dxa"/>
            <w:tcBorders>
              <w:tl2br w:val="nil"/>
              <w:tr2bl w:val="nil"/>
            </w:tcBorders>
            <w:shd w:val="clear" w:color="auto" w:fill="auto"/>
            <w:vAlign w:val="center"/>
          </w:tcPr>
          <w:p w14:paraId="4791EEA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29" w:type="dxa"/>
            <w:tcBorders>
              <w:tl2br w:val="nil"/>
              <w:tr2bl w:val="nil"/>
            </w:tcBorders>
            <w:shd w:val="clear" w:color="auto" w:fill="auto"/>
            <w:vAlign w:val="center"/>
          </w:tcPr>
          <w:p w14:paraId="57A11455">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934" w:type="dxa"/>
            <w:tcBorders>
              <w:tl2br w:val="nil"/>
              <w:tr2bl w:val="nil"/>
            </w:tcBorders>
            <w:shd w:val="clear" w:color="auto" w:fill="auto"/>
            <w:vAlign w:val="center"/>
          </w:tcPr>
          <w:p w14:paraId="2473DBDB">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26.5mgL</w:t>
            </w:r>
          </w:p>
        </w:tc>
        <w:tc>
          <w:tcPr>
            <w:tcW w:w="1949" w:type="dxa"/>
            <w:gridSpan w:val="2"/>
            <w:tcBorders>
              <w:tl2br w:val="nil"/>
              <w:tr2bl w:val="nil"/>
            </w:tcBorders>
            <w:shd w:val="clear" w:color="auto" w:fill="auto"/>
            <w:vAlign w:val="center"/>
          </w:tcPr>
          <w:p w14:paraId="5811E79C">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2517" w:type="dxa"/>
            <w:vMerge w:val="continue"/>
            <w:tcBorders>
              <w:tl2br w:val="nil"/>
              <w:tr2bl w:val="nil"/>
            </w:tcBorders>
            <w:shd w:val="clear" w:color="auto" w:fill="auto"/>
            <w:vAlign w:val="center"/>
          </w:tcPr>
          <w:p w14:paraId="529C5EDE">
            <w:pPr>
              <w:widowControl w:val="0"/>
              <w:snapToGrid w:val="0"/>
              <w:jc w:val="center"/>
              <w:rPr>
                <w:rFonts w:ascii="Times New Roman" w:hAnsi="Times New Roman" w:eastAsia="宋体" w:cs="Times New Roman"/>
                <w:caps w:val="0"/>
                <w:smallCaps w:val="0"/>
                <w:color w:val="auto"/>
                <w:spacing w:val="0"/>
                <w:sz w:val="21"/>
                <w:highlight w:val="none"/>
              </w:rPr>
            </w:pPr>
          </w:p>
        </w:tc>
      </w:tr>
      <w:tr w14:paraId="65A82E3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4CC5DEF4">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16599F2E">
            <w:pPr>
              <w:pStyle w:val="105"/>
              <w:widowControl w:val="0"/>
              <w:jc w:val="center"/>
              <w:rPr>
                <w:rFonts w:ascii="Times New Roman" w:hAnsi="Times New Roman" w:cs="Times New Roman"/>
                <w:caps w:val="0"/>
                <w:smallCaps w:val="0"/>
                <w:color w:val="auto"/>
                <w:spacing w:val="0"/>
                <w:sz w:val="21"/>
                <w:szCs w:val="21"/>
                <w:highlight w:val="none"/>
                <w:lang w:eastAsia="en-US"/>
              </w:rPr>
            </w:pPr>
          </w:p>
        </w:tc>
        <w:tc>
          <w:tcPr>
            <w:tcW w:w="1047" w:type="dxa"/>
            <w:tcBorders>
              <w:tl2br w:val="nil"/>
              <w:tr2bl w:val="nil"/>
            </w:tcBorders>
            <w:shd w:val="clear" w:color="auto" w:fill="auto"/>
            <w:vAlign w:val="center"/>
          </w:tcPr>
          <w:p w14:paraId="6996B7E1">
            <w:pPr>
              <w:pStyle w:val="105"/>
              <w:widowControl w:val="0"/>
              <w:jc w:val="center"/>
              <w:rPr>
                <w:rFonts w:ascii="Times New Roman" w:hAnsi="Times New Roman" w:cs="Times New Roman"/>
                <w:caps w:val="0"/>
                <w:smallCaps w:val="0"/>
                <w:color w:val="auto"/>
                <w:spacing w:val="0"/>
                <w:sz w:val="21"/>
                <w:highlight w:val="none"/>
              </w:rPr>
            </w:pPr>
            <w:r>
              <w:rPr>
                <w:rFonts w:ascii="Times New Roman" w:hAnsi="Times New Roman" w:cs="Times New Roman"/>
                <w:caps w:val="0"/>
                <w:smallCaps w:val="0"/>
                <w:color w:val="auto"/>
                <w:spacing w:val="0"/>
                <w:sz w:val="21"/>
                <w:highlight w:val="none"/>
              </w:rPr>
              <w:t>NH</w:t>
            </w:r>
            <w:r>
              <w:rPr>
                <w:rFonts w:ascii="Times New Roman" w:hAnsi="Times New Roman" w:cs="Times New Roman"/>
                <w:caps w:val="0"/>
                <w:smallCaps w:val="0"/>
                <w:color w:val="auto"/>
                <w:spacing w:val="0"/>
                <w:sz w:val="21"/>
                <w:highlight w:val="none"/>
                <w:vertAlign w:val="subscript"/>
              </w:rPr>
              <w:t>3</w:t>
            </w:r>
            <w:r>
              <w:rPr>
                <w:rFonts w:ascii="Times New Roman" w:hAnsi="Times New Roman" w:cs="Times New Roman"/>
                <w:caps w:val="0"/>
                <w:smallCaps w:val="0"/>
                <w:color w:val="auto"/>
                <w:spacing w:val="0"/>
                <w:sz w:val="21"/>
                <w:highlight w:val="none"/>
              </w:rPr>
              <w:t>-N</w:t>
            </w:r>
          </w:p>
        </w:tc>
        <w:tc>
          <w:tcPr>
            <w:tcW w:w="1442" w:type="dxa"/>
            <w:vMerge w:val="continue"/>
            <w:tcBorders>
              <w:tl2br w:val="nil"/>
              <w:tr2bl w:val="nil"/>
            </w:tcBorders>
            <w:shd w:val="clear" w:color="auto" w:fill="auto"/>
            <w:vAlign w:val="center"/>
          </w:tcPr>
          <w:p w14:paraId="4F6F85DE">
            <w:pPr>
              <w:spacing w:line="320" w:lineRule="exact"/>
              <w:jc w:val="center"/>
              <w:rPr>
                <w:rFonts w:ascii="Times New Roman" w:hAnsi="Times New Roman" w:eastAsia="宋体" w:cs="Times New Roman"/>
                <w:caps w:val="0"/>
                <w:smallCaps w:val="0"/>
                <w:color w:val="auto"/>
                <w:spacing w:val="0"/>
                <w:sz w:val="21"/>
                <w:highlight w:val="none"/>
              </w:rPr>
            </w:pPr>
          </w:p>
        </w:tc>
        <w:tc>
          <w:tcPr>
            <w:tcW w:w="2970" w:type="dxa"/>
            <w:gridSpan w:val="4"/>
            <w:vMerge w:val="continue"/>
            <w:tcBorders>
              <w:tl2br w:val="nil"/>
              <w:tr2bl w:val="nil"/>
            </w:tcBorders>
            <w:shd w:val="clear" w:color="auto" w:fill="auto"/>
            <w:vAlign w:val="center"/>
          </w:tcPr>
          <w:p w14:paraId="0E4D033B">
            <w:pPr>
              <w:widowControl w:val="0"/>
              <w:snapToGrid w:val="0"/>
              <w:jc w:val="center"/>
              <w:textAlignment w:val="center"/>
              <w:rPr>
                <w:rFonts w:ascii="Times New Roman" w:hAnsi="Times New Roman" w:eastAsia="宋体" w:cs="Times New Roman"/>
                <w:bCs/>
                <w:caps w:val="0"/>
                <w:smallCaps w:val="0"/>
                <w:color w:val="auto"/>
                <w:spacing w:val="0"/>
                <w:sz w:val="21"/>
                <w:highlight w:val="none"/>
              </w:rPr>
            </w:pPr>
          </w:p>
        </w:tc>
        <w:tc>
          <w:tcPr>
            <w:tcW w:w="890" w:type="dxa"/>
            <w:tcBorders>
              <w:tl2br w:val="nil"/>
              <w:tr2bl w:val="nil"/>
            </w:tcBorders>
            <w:shd w:val="clear" w:color="auto" w:fill="auto"/>
            <w:vAlign w:val="center"/>
          </w:tcPr>
          <w:p w14:paraId="2F177E98">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029" w:type="dxa"/>
            <w:tcBorders>
              <w:tl2br w:val="nil"/>
              <w:tr2bl w:val="nil"/>
            </w:tcBorders>
            <w:shd w:val="clear" w:color="auto" w:fill="auto"/>
            <w:vAlign w:val="center"/>
          </w:tcPr>
          <w:p w14:paraId="4B4E9C5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934" w:type="dxa"/>
            <w:tcBorders>
              <w:tl2br w:val="nil"/>
              <w:tr2bl w:val="nil"/>
            </w:tcBorders>
            <w:shd w:val="clear" w:color="auto" w:fill="auto"/>
            <w:vAlign w:val="center"/>
          </w:tcPr>
          <w:p w14:paraId="13C177AC">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10.0mg/L</w:t>
            </w:r>
          </w:p>
        </w:tc>
        <w:tc>
          <w:tcPr>
            <w:tcW w:w="1949" w:type="dxa"/>
            <w:gridSpan w:val="2"/>
            <w:tcBorders>
              <w:tl2br w:val="nil"/>
              <w:tr2bl w:val="nil"/>
            </w:tcBorders>
            <w:shd w:val="clear" w:color="auto" w:fill="auto"/>
            <w:vAlign w:val="center"/>
          </w:tcPr>
          <w:p w14:paraId="2B8BABB3">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30mg/L</w:t>
            </w:r>
          </w:p>
        </w:tc>
        <w:tc>
          <w:tcPr>
            <w:tcW w:w="2517" w:type="dxa"/>
            <w:vMerge w:val="continue"/>
            <w:tcBorders>
              <w:tl2br w:val="nil"/>
              <w:tr2bl w:val="nil"/>
            </w:tcBorders>
            <w:shd w:val="clear" w:color="auto" w:fill="auto"/>
            <w:vAlign w:val="center"/>
          </w:tcPr>
          <w:p w14:paraId="11DBE32C">
            <w:pPr>
              <w:widowControl w:val="0"/>
              <w:snapToGrid w:val="0"/>
              <w:jc w:val="center"/>
              <w:rPr>
                <w:rFonts w:ascii="Times New Roman" w:hAnsi="Times New Roman" w:eastAsia="宋体" w:cs="Times New Roman"/>
                <w:caps w:val="0"/>
                <w:smallCaps w:val="0"/>
                <w:color w:val="auto"/>
                <w:spacing w:val="0"/>
                <w:sz w:val="21"/>
                <w:highlight w:val="none"/>
              </w:rPr>
            </w:pPr>
          </w:p>
        </w:tc>
      </w:tr>
      <w:tr w14:paraId="48AFB9D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6A353A19">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0C0105A3">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碱性喷淋塔排放废水</w:t>
            </w:r>
          </w:p>
        </w:tc>
        <w:tc>
          <w:tcPr>
            <w:tcW w:w="1047" w:type="dxa"/>
            <w:tcBorders>
              <w:tl2br w:val="nil"/>
              <w:tr2bl w:val="nil"/>
            </w:tcBorders>
            <w:shd w:val="clear" w:color="auto" w:fill="auto"/>
            <w:vAlign w:val="center"/>
          </w:tcPr>
          <w:p w14:paraId="3FBCEDC5">
            <w:pPr>
              <w:pStyle w:val="105"/>
              <w:widowControl w:val="0"/>
              <w:jc w:val="center"/>
              <w:rPr>
                <w:rFonts w:ascii="Times New Roman" w:hAnsi="Times New Roman" w:cs="Times New Roman"/>
                <w:caps w:val="0"/>
                <w:smallCaps w:val="0"/>
                <w:color w:val="auto"/>
                <w:spacing w:val="0"/>
                <w:sz w:val="21"/>
                <w:szCs w:val="21"/>
                <w:highlight w:val="none"/>
              </w:rPr>
            </w:pPr>
            <w:r>
              <w:rPr>
                <w:rFonts w:hint="eastAsia" w:ascii="Times New Roman" w:hAnsi="Times New Roman" w:cs="Times New Roman"/>
                <w:caps w:val="0"/>
                <w:smallCaps w:val="0"/>
                <w:color w:val="auto"/>
                <w:spacing w:val="0"/>
                <w:sz w:val="21"/>
                <w:szCs w:val="21"/>
                <w:highlight w:val="none"/>
                <w:lang w:val="en-US" w:eastAsia="zh-CN"/>
              </w:rPr>
              <w:t>pH、</w:t>
            </w:r>
            <w:r>
              <w:rPr>
                <w:rFonts w:ascii="Times New Roman" w:hAnsi="Times New Roman" w:cs="Times New Roman"/>
                <w:caps w:val="0"/>
                <w:smallCaps w:val="0"/>
                <w:color w:val="auto"/>
                <w:spacing w:val="0"/>
                <w:sz w:val="21"/>
                <w:szCs w:val="21"/>
                <w:highlight w:val="none"/>
              </w:rPr>
              <w:t>高盐水</w:t>
            </w:r>
          </w:p>
        </w:tc>
        <w:tc>
          <w:tcPr>
            <w:tcW w:w="1442" w:type="dxa"/>
            <w:tcBorders>
              <w:tl2br w:val="nil"/>
              <w:tr2bl w:val="nil"/>
            </w:tcBorders>
            <w:shd w:val="clear" w:color="auto" w:fill="auto"/>
            <w:vAlign w:val="center"/>
          </w:tcPr>
          <w:p w14:paraId="43886D59">
            <w:pPr>
              <w:spacing w:line="320" w:lineRule="exact"/>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进入低浓度含镉废水收集池采用“pH调节+TMF膜系统”进行预处理</w:t>
            </w:r>
          </w:p>
        </w:tc>
        <w:tc>
          <w:tcPr>
            <w:tcW w:w="2970" w:type="dxa"/>
            <w:gridSpan w:val="4"/>
            <w:vMerge w:val="restart"/>
            <w:tcBorders>
              <w:tl2br w:val="nil"/>
              <w:tr2bl w:val="nil"/>
            </w:tcBorders>
            <w:shd w:val="clear" w:color="auto" w:fill="auto"/>
            <w:vAlign w:val="center"/>
          </w:tcPr>
          <w:p w14:paraId="02719BAE">
            <w:pPr>
              <w:widowControl w:val="0"/>
              <w:snapToGrid w:val="0"/>
              <w:jc w:val="center"/>
              <w:textAlignment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显影废水、低浓度及高浓度含镉废水在经过各自的预处理后，</w:t>
            </w:r>
            <w:r>
              <w:rPr>
                <w:rFonts w:hint="eastAsia" w:ascii="Times New Roman" w:hAnsi="Times New Roman" w:eastAsia="宋体" w:cs="Times New Roman"/>
                <w:caps w:val="0"/>
                <w:smallCaps w:val="0"/>
                <w:color w:val="auto"/>
                <w:spacing w:val="0"/>
                <w:sz w:val="21"/>
                <w:highlight w:val="none"/>
              </w:rPr>
              <w:t>均进入预处理水箱，预处理水箱处理后浓水</w:t>
            </w:r>
            <w:r>
              <w:rPr>
                <w:rFonts w:ascii="Times New Roman" w:hAnsi="Times New Roman" w:eastAsia="宋体" w:cs="Times New Roman"/>
                <w:caps w:val="0"/>
                <w:smallCaps w:val="0"/>
                <w:color w:val="auto"/>
                <w:spacing w:val="0"/>
                <w:sz w:val="21"/>
                <w:highlight w:val="none"/>
              </w:rPr>
              <w:t>进入“RO反渗透+三效蒸发”系统进行深度处理。最终产生的纯水回用于生产工序，实现含镉废水零排放。</w:t>
            </w:r>
          </w:p>
        </w:tc>
        <w:tc>
          <w:tcPr>
            <w:tcW w:w="2853" w:type="dxa"/>
            <w:gridSpan w:val="3"/>
            <w:vMerge w:val="restart"/>
            <w:tcBorders>
              <w:tl2br w:val="nil"/>
              <w:tr2bl w:val="nil"/>
            </w:tcBorders>
            <w:shd w:val="clear" w:color="auto" w:fill="auto"/>
            <w:vAlign w:val="center"/>
          </w:tcPr>
          <w:p w14:paraId="4B72200A">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1949" w:type="dxa"/>
            <w:gridSpan w:val="2"/>
            <w:vMerge w:val="restart"/>
            <w:tcBorders>
              <w:tl2br w:val="nil"/>
              <w:tr2bl w:val="nil"/>
            </w:tcBorders>
            <w:shd w:val="clear" w:color="auto" w:fill="auto"/>
            <w:vAlign w:val="center"/>
          </w:tcPr>
          <w:p w14:paraId="7251573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w:t>
            </w:r>
          </w:p>
        </w:tc>
        <w:tc>
          <w:tcPr>
            <w:tcW w:w="2517" w:type="dxa"/>
            <w:vMerge w:val="restart"/>
            <w:tcBorders>
              <w:tl2br w:val="nil"/>
              <w:tr2bl w:val="nil"/>
            </w:tcBorders>
            <w:shd w:val="clear" w:color="auto" w:fill="auto"/>
            <w:vAlign w:val="center"/>
          </w:tcPr>
          <w:p w14:paraId="57DFC63A">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回用于生产工序实现含镉废水零排放</w:t>
            </w:r>
          </w:p>
        </w:tc>
      </w:tr>
      <w:tr w14:paraId="7B99603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693036C">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1C988357">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en-US"/>
              </w:rPr>
              <w:t>涂覆前清洗废水</w:t>
            </w:r>
          </w:p>
        </w:tc>
        <w:tc>
          <w:tcPr>
            <w:tcW w:w="1047" w:type="dxa"/>
            <w:tcBorders>
              <w:tl2br w:val="nil"/>
              <w:tr2bl w:val="nil"/>
            </w:tcBorders>
            <w:shd w:val="clear" w:color="auto" w:fill="auto"/>
            <w:vAlign w:val="center"/>
          </w:tcPr>
          <w:p w14:paraId="068E5BE1">
            <w:pPr>
              <w:pStyle w:val="105"/>
              <w:widowControl w:val="0"/>
              <w:jc w:val="center"/>
              <w:rPr>
                <w:rFonts w:ascii="Times New Roman" w:hAnsi="Times New Roman" w:cs="Times New Roman"/>
                <w:caps w:val="0"/>
                <w:smallCaps w:val="0"/>
                <w:color w:val="auto"/>
                <w:spacing w:val="0"/>
                <w:sz w:val="21"/>
                <w:szCs w:val="21"/>
                <w:highlight w:val="none"/>
                <w:lang w:bidi="ar"/>
              </w:rPr>
            </w:pPr>
            <w:r>
              <w:rPr>
                <w:rFonts w:hint="eastAsia" w:ascii="Times New Roman" w:hAnsi="Times New Roman" w:cs="Times New Roman"/>
                <w:caps w:val="0"/>
                <w:smallCaps w:val="0"/>
                <w:color w:val="auto"/>
                <w:spacing w:val="0"/>
                <w:position w:val="2"/>
                <w:sz w:val="21"/>
                <w:highlight w:val="none"/>
              </w:rPr>
              <w:t>Cd</w:t>
            </w:r>
            <w:r>
              <w:rPr>
                <w:rFonts w:hint="eastAsia" w:ascii="Times New Roman" w:hAnsi="Times New Roman" w:cs="Times New Roman"/>
                <w:caps w:val="0"/>
                <w:smallCaps w:val="0"/>
                <w:color w:val="auto"/>
                <w:spacing w:val="0"/>
                <w:position w:val="2"/>
                <w:sz w:val="21"/>
                <w:highlight w:val="none"/>
                <w:vertAlign w:val="superscript"/>
              </w:rPr>
              <w:t>2+</w:t>
            </w:r>
          </w:p>
        </w:tc>
        <w:tc>
          <w:tcPr>
            <w:tcW w:w="1442" w:type="dxa"/>
            <w:tcBorders>
              <w:tl2br w:val="nil"/>
              <w:tr2bl w:val="nil"/>
            </w:tcBorders>
            <w:shd w:val="clear" w:color="auto" w:fill="auto"/>
            <w:vAlign w:val="center"/>
          </w:tcPr>
          <w:p w14:paraId="3518CDB6">
            <w:pPr>
              <w:spacing w:line="320" w:lineRule="exact"/>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属于低浓度废水，进入低浓度废水收集池采用“pH调节+TMF膜系统”进行预处理</w:t>
            </w:r>
          </w:p>
        </w:tc>
        <w:tc>
          <w:tcPr>
            <w:tcW w:w="2970" w:type="dxa"/>
            <w:gridSpan w:val="4"/>
            <w:vMerge w:val="continue"/>
            <w:tcBorders>
              <w:tl2br w:val="nil"/>
              <w:tr2bl w:val="nil"/>
            </w:tcBorders>
            <w:shd w:val="clear" w:color="auto" w:fill="auto"/>
            <w:vAlign w:val="center"/>
          </w:tcPr>
          <w:p w14:paraId="43FE4DA8">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2853" w:type="dxa"/>
            <w:gridSpan w:val="3"/>
            <w:vMerge w:val="continue"/>
            <w:tcBorders>
              <w:tl2br w:val="nil"/>
              <w:tr2bl w:val="nil"/>
            </w:tcBorders>
            <w:shd w:val="clear" w:color="auto" w:fill="auto"/>
            <w:vAlign w:val="center"/>
          </w:tcPr>
          <w:p w14:paraId="460371B2">
            <w:pPr>
              <w:widowControl w:val="0"/>
              <w:snapToGrid w:val="0"/>
              <w:jc w:val="center"/>
              <w:rPr>
                <w:rFonts w:ascii="Times New Roman" w:hAnsi="Times New Roman" w:eastAsia="宋体" w:cs="Times New Roman"/>
                <w:caps w:val="0"/>
                <w:smallCaps w:val="0"/>
                <w:color w:val="auto"/>
                <w:spacing w:val="0"/>
                <w:sz w:val="21"/>
                <w:highlight w:val="none"/>
              </w:rPr>
            </w:pPr>
          </w:p>
        </w:tc>
        <w:tc>
          <w:tcPr>
            <w:tcW w:w="1949" w:type="dxa"/>
            <w:gridSpan w:val="2"/>
            <w:vMerge w:val="continue"/>
            <w:tcBorders>
              <w:tl2br w:val="nil"/>
              <w:tr2bl w:val="nil"/>
            </w:tcBorders>
            <w:shd w:val="clear" w:color="auto" w:fill="auto"/>
            <w:vAlign w:val="center"/>
          </w:tcPr>
          <w:p w14:paraId="64B1C1A3">
            <w:pPr>
              <w:widowControl w:val="0"/>
              <w:snapToGrid w:val="0"/>
              <w:jc w:val="center"/>
              <w:rPr>
                <w:rFonts w:ascii="Times New Roman" w:hAnsi="Times New Roman" w:eastAsia="宋体" w:cs="Times New Roman"/>
                <w:caps w:val="0"/>
                <w:smallCaps w:val="0"/>
                <w:color w:val="auto"/>
                <w:spacing w:val="0"/>
                <w:sz w:val="21"/>
                <w:highlight w:val="none"/>
              </w:rPr>
            </w:pPr>
          </w:p>
        </w:tc>
        <w:tc>
          <w:tcPr>
            <w:tcW w:w="2517" w:type="dxa"/>
            <w:vMerge w:val="continue"/>
            <w:tcBorders>
              <w:tl2br w:val="nil"/>
              <w:tr2bl w:val="nil"/>
            </w:tcBorders>
            <w:shd w:val="clear" w:color="auto" w:fill="auto"/>
            <w:vAlign w:val="center"/>
          </w:tcPr>
          <w:p w14:paraId="0A74428F">
            <w:pPr>
              <w:widowControl w:val="0"/>
              <w:snapToGrid w:val="0"/>
              <w:jc w:val="center"/>
              <w:rPr>
                <w:rFonts w:ascii="Times New Roman" w:hAnsi="Times New Roman" w:eastAsia="宋体" w:cs="Times New Roman"/>
                <w:caps w:val="0"/>
                <w:smallCaps w:val="0"/>
                <w:color w:val="auto"/>
                <w:spacing w:val="0"/>
                <w:sz w:val="21"/>
                <w:highlight w:val="none"/>
              </w:rPr>
            </w:pPr>
          </w:p>
        </w:tc>
      </w:tr>
      <w:tr w14:paraId="165DADF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BBF5063">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058CFDE1">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en-US"/>
              </w:rPr>
              <w:t>活化层喷涂废液</w:t>
            </w:r>
          </w:p>
        </w:tc>
        <w:tc>
          <w:tcPr>
            <w:tcW w:w="1047" w:type="dxa"/>
            <w:tcBorders>
              <w:tl2br w:val="nil"/>
              <w:tr2bl w:val="nil"/>
            </w:tcBorders>
            <w:shd w:val="clear" w:color="auto" w:fill="auto"/>
            <w:vAlign w:val="center"/>
          </w:tcPr>
          <w:p w14:paraId="1021E2F2">
            <w:pPr>
              <w:pStyle w:val="105"/>
              <w:widowControl w:val="0"/>
              <w:jc w:val="center"/>
              <w:rPr>
                <w:rFonts w:ascii="Times New Roman" w:hAnsi="Times New Roman" w:cs="Times New Roman"/>
                <w:caps w:val="0"/>
                <w:smallCaps w:val="0"/>
                <w:color w:val="auto"/>
                <w:spacing w:val="0"/>
                <w:sz w:val="21"/>
                <w:szCs w:val="21"/>
                <w:highlight w:val="none"/>
                <w:lang w:bidi="ar"/>
              </w:rPr>
            </w:pPr>
            <w:r>
              <w:rPr>
                <w:rFonts w:hint="eastAsia" w:ascii="Times New Roman" w:hAnsi="Times New Roman" w:cs="Times New Roman"/>
                <w:caps w:val="0"/>
                <w:smallCaps w:val="0"/>
                <w:color w:val="auto"/>
                <w:spacing w:val="0"/>
                <w:position w:val="2"/>
                <w:sz w:val="21"/>
                <w:highlight w:val="none"/>
              </w:rPr>
              <w:t>Cd</w:t>
            </w:r>
            <w:r>
              <w:rPr>
                <w:rFonts w:hint="eastAsia" w:ascii="Times New Roman" w:hAnsi="Times New Roman" w:cs="Times New Roman"/>
                <w:caps w:val="0"/>
                <w:smallCaps w:val="0"/>
                <w:color w:val="auto"/>
                <w:spacing w:val="0"/>
                <w:position w:val="2"/>
                <w:sz w:val="21"/>
                <w:highlight w:val="none"/>
                <w:vertAlign w:val="superscript"/>
              </w:rPr>
              <w:t>2+</w:t>
            </w:r>
          </w:p>
        </w:tc>
        <w:tc>
          <w:tcPr>
            <w:tcW w:w="1442" w:type="dxa"/>
            <w:vMerge w:val="restart"/>
            <w:tcBorders>
              <w:tl2br w:val="nil"/>
              <w:tr2bl w:val="nil"/>
            </w:tcBorders>
            <w:shd w:val="clear" w:color="auto" w:fill="auto"/>
            <w:vAlign w:val="center"/>
          </w:tcPr>
          <w:p w14:paraId="016C694D">
            <w:pPr>
              <w:spacing w:line="320" w:lineRule="exact"/>
              <w:jc w:val="center"/>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属于高浓度废水，进入高</w:t>
            </w:r>
            <w:r>
              <w:rPr>
                <w:rFonts w:hint="eastAsia" w:ascii="Times New Roman" w:hAnsi="Times New Roman" w:eastAsia="宋体" w:cs="Times New Roman"/>
                <w:caps w:val="0"/>
                <w:smallCaps w:val="0"/>
                <w:color w:val="auto"/>
                <w:spacing w:val="0"/>
                <w:sz w:val="21"/>
                <w:highlight w:val="none"/>
              </w:rPr>
              <w:t>浓度</w:t>
            </w:r>
            <w:r>
              <w:rPr>
                <w:rFonts w:ascii="Times New Roman" w:hAnsi="Times New Roman" w:eastAsia="宋体" w:cs="Times New Roman"/>
                <w:caps w:val="0"/>
                <w:smallCaps w:val="0"/>
                <w:color w:val="auto"/>
                <w:spacing w:val="0"/>
                <w:sz w:val="21"/>
                <w:highlight w:val="none"/>
              </w:rPr>
              <w:t>废水收集池，采用“pH调节+</w:t>
            </w:r>
            <w:r>
              <w:rPr>
                <w:rFonts w:hint="eastAsia" w:ascii="Times New Roman" w:hAnsi="Times New Roman" w:eastAsia="宋体" w:cs="Times New Roman"/>
                <w:caps w:val="0"/>
                <w:smallCaps w:val="0"/>
                <w:color w:val="auto"/>
                <w:spacing w:val="0"/>
                <w:sz w:val="21"/>
                <w:highlight w:val="none"/>
                <w:lang w:val="en-US" w:eastAsia="zh-CN"/>
              </w:rPr>
              <w:t>化学混凝</w:t>
            </w:r>
            <w:r>
              <w:rPr>
                <w:rFonts w:ascii="Times New Roman" w:hAnsi="Times New Roman" w:eastAsia="宋体" w:cs="Times New Roman"/>
                <w:caps w:val="0"/>
                <w:smallCaps w:val="0"/>
                <w:color w:val="auto"/>
                <w:spacing w:val="0"/>
                <w:sz w:val="21"/>
                <w:highlight w:val="none"/>
              </w:rPr>
              <w:t>沉淀+</w:t>
            </w:r>
            <w:r>
              <w:rPr>
                <w:rFonts w:hint="eastAsia" w:ascii="Times New Roman" w:hAnsi="Times New Roman" w:eastAsia="宋体" w:cs="Times New Roman"/>
                <w:caps w:val="0"/>
                <w:smallCaps w:val="0"/>
                <w:color w:val="auto"/>
                <w:spacing w:val="0"/>
                <w:sz w:val="21"/>
                <w:highlight w:val="none"/>
              </w:rPr>
              <w:t>三效</w:t>
            </w:r>
            <w:r>
              <w:rPr>
                <w:rFonts w:ascii="Times New Roman" w:hAnsi="Times New Roman" w:eastAsia="宋体" w:cs="Times New Roman"/>
                <w:caps w:val="0"/>
                <w:smallCaps w:val="0"/>
                <w:color w:val="auto"/>
                <w:spacing w:val="0"/>
                <w:sz w:val="21"/>
                <w:highlight w:val="none"/>
              </w:rPr>
              <w:t>蒸发”进行预处理。</w:t>
            </w:r>
          </w:p>
        </w:tc>
        <w:tc>
          <w:tcPr>
            <w:tcW w:w="2970" w:type="dxa"/>
            <w:gridSpan w:val="4"/>
            <w:vMerge w:val="continue"/>
            <w:tcBorders>
              <w:tl2br w:val="nil"/>
              <w:tr2bl w:val="nil"/>
            </w:tcBorders>
            <w:shd w:val="clear" w:color="auto" w:fill="auto"/>
            <w:vAlign w:val="center"/>
          </w:tcPr>
          <w:p w14:paraId="536D7C74">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2853" w:type="dxa"/>
            <w:gridSpan w:val="3"/>
            <w:vMerge w:val="continue"/>
            <w:tcBorders>
              <w:tl2br w:val="nil"/>
              <w:tr2bl w:val="nil"/>
            </w:tcBorders>
            <w:shd w:val="clear" w:color="auto" w:fill="auto"/>
            <w:vAlign w:val="center"/>
          </w:tcPr>
          <w:p w14:paraId="71827BC4">
            <w:pPr>
              <w:widowControl w:val="0"/>
              <w:snapToGrid w:val="0"/>
              <w:jc w:val="center"/>
              <w:rPr>
                <w:rFonts w:ascii="Times New Roman" w:hAnsi="Times New Roman" w:eastAsia="宋体" w:cs="Times New Roman"/>
                <w:caps w:val="0"/>
                <w:smallCaps w:val="0"/>
                <w:color w:val="auto"/>
                <w:spacing w:val="0"/>
                <w:sz w:val="21"/>
                <w:highlight w:val="none"/>
              </w:rPr>
            </w:pPr>
          </w:p>
        </w:tc>
        <w:tc>
          <w:tcPr>
            <w:tcW w:w="1949" w:type="dxa"/>
            <w:gridSpan w:val="2"/>
            <w:vMerge w:val="continue"/>
            <w:tcBorders>
              <w:tl2br w:val="nil"/>
              <w:tr2bl w:val="nil"/>
            </w:tcBorders>
            <w:shd w:val="clear" w:color="auto" w:fill="auto"/>
            <w:vAlign w:val="center"/>
          </w:tcPr>
          <w:p w14:paraId="36AB63C8">
            <w:pPr>
              <w:widowControl w:val="0"/>
              <w:snapToGrid w:val="0"/>
              <w:jc w:val="center"/>
              <w:rPr>
                <w:rFonts w:ascii="Times New Roman" w:hAnsi="Times New Roman" w:eastAsia="宋体" w:cs="Times New Roman"/>
                <w:caps w:val="0"/>
                <w:smallCaps w:val="0"/>
                <w:color w:val="auto"/>
                <w:spacing w:val="0"/>
                <w:sz w:val="21"/>
                <w:highlight w:val="none"/>
              </w:rPr>
            </w:pPr>
          </w:p>
        </w:tc>
        <w:tc>
          <w:tcPr>
            <w:tcW w:w="2517" w:type="dxa"/>
            <w:vMerge w:val="continue"/>
            <w:tcBorders>
              <w:tl2br w:val="nil"/>
              <w:tr2bl w:val="nil"/>
            </w:tcBorders>
            <w:shd w:val="clear" w:color="auto" w:fill="auto"/>
            <w:vAlign w:val="center"/>
          </w:tcPr>
          <w:p w14:paraId="29C67188">
            <w:pPr>
              <w:widowControl w:val="0"/>
              <w:snapToGrid w:val="0"/>
              <w:jc w:val="center"/>
              <w:rPr>
                <w:rFonts w:ascii="Times New Roman" w:hAnsi="Times New Roman" w:eastAsia="宋体" w:cs="Times New Roman"/>
                <w:caps w:val="0"/>
                <w:smallCaps w:val="0"/>
                <w:color w:val="auto"/>
                <w:spacing w:val="0"/>
                <w:sz w:val="21"/>
                <w:highlight w:val="none"/>
              </w:rPr>
            </w:pPr>
          </w:p>
        </w:tc>
      </w:tr>
      <w:tr w14:paraId="7CF6D99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C63A0ED">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4462BB98">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活化层清洗、刻划废水</w:t>
            </w:r>
          </w:p>
        </w:tc>
        <w:tc>
          <w:tcPr>
            <w:tcW w:w="1047" w:type="dxa"/>
            <w:tcBorders>
              <w:tl2br w:val="nil"/>
              <w:tr2bl w:val="nil"/>
            </w:tcBorders>
            <w:shd w:val="clear" w:color="auto" w:fill="auto"/>
            <w:vAlign w:val="center"/>
          </w:tcPr>
          <w:p w14:paraId="4EEDD12B">
            <w:pPr>
              <w:pStyle w:val="105"/>
              <w:widowControl w:val="0"/>
              <w:jc w:val="center"/>
              <w:rPr>
                <w:rFonts w:ascii="Times New Roman" w:hAnsi="Times New Roman" w:cs="Times New Roman"/>
                <w:caps w:val="0"/>
                <w:smallCaps w:val="0"/>
                <w:color w:val="auto"/>
                <w:spacing w:val="0"/>
                <w:sz w:val="21"/>
                <w:szCs w:val="21"/>
                <w:highlight w:val="none"/>
                <w:lang w:bidi="ar"/>
              </w:rPr>
            </w:pPr>
            <w:r>
              <w:rPr>
                <w:rFonts w:hint="eastAsia" w:ascii="Times New Roman" w:hAnsi="Times New Roman" w:cs="Times New Roman"/>
                <w:caps w:val="0"/>
                <w:smallCaps w:val="0"/>
                <w:color w:val="auto"/>
                <w:spacing w:val="0"/>
                <w:position w:val="2"/>
                <w:sz w:val="21"/>
                <w:highlight w:val="none"/>
              </w:rPr>
              <w:t>Cd</w:t>
            </w:r>
            <w:r>
              <w:rPr>
                <w:rFonts w:hint="eastAsia" w:ascii="Times New Roman" w:hAnsi="Times New Roman" w:cs="Times New Roman"/>
                <w:caps w:val="0"/>
                <w:smallCaps w:val="0"/>
                <w:color w:val="auto"/>
                <w:spacing w:val="0"/>
                <w:position w:val="2"/>
                <w:sz w:val="21"/>
                <w:highlight w:val="none"/>
                <w:vertAlign w:val="superscript"/>
              </w:rPr>
              <w:t>2+</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highlight w:val="none"/>
                <w:lang w:eastAsia="en-US"/>
              </w:rPr>
              <w:t>HC</w:t>
            </w:r>
            <w:r>
              <w:rPr>
                <w:rFonts w:hint="eastAsia" w:ascii="Times New Roman" w:hAnsi="Times New Roman" w:cs="Times New Roman"/>
                <w:caps w:val="0"/>
                <w:smallCaps w:val="0"/>
                <w:color w:val="auto"/>
                <w:spacing w:val="0"/>
                <w:position w:val="2"/>
                <w:sz w:val="21"/>
                <w:highlight w:val="none"/>
              </w:rPr>
              <w:t>l</w:t>
            </w:r>
            <w:r>
              <w:rPr>
                <w:rFonts w:ascii="Times New Roman" w:hAnsi="Times New Roman" w:cs="Times New Roman"/>
                <w:caps w:val="0"/>
                <w:smallCaps w:val="0"/>
                <w:color w:val="auto"/>
                <w:spacing w:val="0"/>
                <w:sz w:val="13"/>
                <w:highlight w:val="none"/>
                <w:lang w:eastAsia="en-US"/>
              </w:rPr>
              <w:t>、</w:t>
            </w:r>
            <w:r>
              <w:rPr>
                <w:rFonts w:ascii="Times New Roman" w:hAnsi="Times New Roman" w:cs="Times New Roman"/>
                <w:caps w:val="0"/>
                <w:smallCaps w:val="0"/>
                <w:color w:val="auto"/>
                <w:spacing w:val="0"/>
                <w:position w:val="2"/>
                <w:sz w:val="21"/>
                <w:highlight w:val="none"/>
                <w:lang w:eastAsia="en-US"/>
              </w:rPr>
              <w:t>HNO</w:t>
            </w:r>
            <w:r>
              <w:rPr>
                <w:rFonts w:ascii="Times New Roman" w:hAnsi="Times New Roman" w:cs="Times New Roman"/>
                <w:caps w:val="0"/>
                <w:smallCaps w:val="0"/>
                <w:color w:val="auto"/>
                <w:spacing w:val="0"/>
                <w:position w:val="2"/>
                <w:sz w:val="21"/>
                <w:highlight w:val="none"/>
                <w:vertAlign w:val="subscript"/>
                <w:lang w:eastAsia="en-US"/>
              </w:rPr>
              <w:t>3</w:t>
            </w:r>
          </w:p>
        </w:tc>
        <w:tc>
          <w:tcPr>
            <w:tcW w:w="1442" w:type="dxa"/>
            <w:vMerge w:val="continue"/>
            <w:tcBorders>
              <w:tl2br w:val="nil"/>
              <w:tr2bl w:val="nil"/>
            </w:tcBorders>
            <w:shd w:val="clear" w:color="auto" w:fill="auto"/>
            <w:vAlign w:val="center"/>
          </w:tcPr>
          <w:p w14:paraId="24F09777">
            <w:pPr>
              <w:spacing w:line="320" w:lineRule="exact"/>
              <w:jc w:val="center"/>
              <w:rPr>
                <w:rFonts w:ascii="Times New Roman" w:hAnsi="Times New Roman" w:eastAsia="宋体" w:cs="Times New Roman"/>
                <w:caps w:val="0"/>
                <w:smallCaps w:val="0"/>
                <w:color w:val="auto"/>
                <w:spacing w:val="0"/>
                <w:kern w:val="0"/>
                <w:sz w:val="21"/>
                <w:highlight w:val="none"/>
                <w:lang w:bidi="ar"/>
              </w:rPr>
            </w:pPr>
          </w:p>
        </w:tc>
        <w:tc>
          <w:tcPr>
            <w:tcW w:w="2970" w:type="dxa"/>
            <w:gridSpan w:val="4"/>
            <w:vMerge w:val="continue"/>
            <w:tcBorders>
              <w:tl2br w:val="nil"/>
              <w:tr2bl w:val="nil"/>
            </w:tcBorders>
            <w:shd w:val="clear" w:color="auto" w:fill="auto"/>
            <w:vAlign w:val="center"/>
          </w:tcPr>
          <w:p w14:paraId="47D07CBA">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2853" w:type="dxa"/>
            <w:gridSpan w:val="3"/>
            <w:vMerge w:val="continue"/>
            <w:tcBorders>
              <w:tl2br w:val="nil"/>
              <w:tr2bl w:val="nil"/>
            </w:tcBorders>
            <w:shd w:val="clear" w:color="auto" w:fill="auto"/>
            <w:vAlign w:val="center"/>
          </w:tcPr>
          <w:p w14:paraId="3BAE0240">
            <w:pPr>
              <w:widowControl w:val="0"/>
              <w:snapToGrid w:val="0"/>
              <w:jc w:val="center"/>
              <w:rPr>
                <w:rFonts w:ascii="Times New Roman" w:hAnsi="Times New Roman" w:eastAsia="宋体" w:cs="Times New Roman"/>
                <w:caps w:val="0"/>
                <w:smallCaps w:val="0"/>
                <w:color w:val="auto"/>
                <w:spacing w:val="0"/>
                <w:sz w:val="21"/>
                <w:highlight w:val="none"/>
              </w:rPr>
            </w:pPr>
          </w:p>
        </w:tc>
        <w:tc>
          <w:tcPr>
            <w:tcW w:w="1949" w:type="dxa"/>
            <w:gridSpan w:val="2"/>
            <w:vMerge w:val="continue"/>
            <w:tcBorders>
              <w:tl2br w:val="nil"/>
              <w:tr2bl w:val="nil"/>
            </w:tcBorders>
            <w:shd w:val="clear" w:color="auto" w:fill="auto"/>
            <w:vAlign w:val="center"/>
          </w:tcPr>
          <w:p w14:paraId="7E028DCC">
            <w:pPr>
              <w:widowControl w:val="0"/>
              <w:snapToGrid w:val="0"/>
              <w:jc w:val="center"/>
              <w:rPr>
                <w:rFonts w:ascii="Times New Roman" w:hAnsi="Times New Roman" w:eastAsia="宋体" w:cs="Times New Roman"/>
                <w:caps w:val="0"/>
                <w:smallCaps w:val="0"/>
                <w:color w:val="auto"/>
                <w:spacing w:val="0"/>
                <w:sz w:val="21"/>
                <w:highlight w:val="none"/>
              </w:rPr>
            </w:pPr>
          </w:p>
        </w:tc>
        <w:tc>
          <w:tcPr>
            <w:tcW w:w="2517" w:type="dxa"/>
            <w:vMerge w:val="continue"/>
            <w:tcBorders>
              <w:tl2br w:val="nil"/>
              <w:tr2bl w:val="nil"/>
            </w:tcBorders>
            <w:shd w:val="clear" w:color="auto" w:fill="auto"/>
            <w:vAlign w:val="center"/>
          </w:tcPr>
          <w:p w14:paraId="2E9AD035">
            <w:pPr>
              <w:widowControl w:val="0"/>
              <w:snapToGrid w:val="0"/>
              <w:jc w:val="center"/>
              <w:rPr>
                <w:rFonts w:ascii="Times New Roman" w:hAnsi="Times New Roman" w:eastAsia="宋体" w:cs="Times New Roman"/>
                <w:caps w:val="0"/>
                <w:smallCaps w:val="0"/>
                <w:color w:val="auto"/>
                <w:spacing w:val="0"/>
                <w:sz w:val="21"/>
                <w:highlight w:val="none"/>
              </w:rPr>
            </w:pPr>
          </w:p>
        </w:tc>
      </w:tr>
      <w:tr w14:paraId="2F468E2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8DD8654">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6EDCFE53">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ZnTe膜层溅射后清洗废水</w:t>
            </w:r>
          </w:p>
        </w:tc>
        <w:tc>
          <w:tcPr>
            <w:tcW w:w="1047" w:type="dxa"/>
            <w:tcBorders>
              <w:tl2br w:val="nil"/>
              <w:tr2bl w:val="nil"/>
            </w:tcBorders>
            <w:shd w:val="clear" w:color="auto" w:fill="auto"/>
            <w:vAlign w:val="center"/>
          </w:tcPr>
          <w:p w14:paraId="64B3BD09">
            <w:pPr>
              <w:pStyle w:val="105"/>
              <w:widowControl w:val="0"/>
              <w:jc w:val="center"/>
              <w:rPr>
                <w:rFonts w:ascii="Times New Roman" w:hAnsi="Times New Roman" w:cs="Times New Roman"/>
                <w:caps w:val="0"/>
                <w:smallCaps w:val="0"/>
                <w:color w:val="auto"/>
                <w:spacing w:val="0"/>
                <w:sz w:val="21"/>
                <w:szCs w:val="21"/>
                <w:highlight w:val="none"/>
                <w:lang w:bidi="ar"/>
              </w:rPr>
            </w:pPr>
            <w:r>
              <w:rPr>
                <w:rFonts w:hint="eastAsia" w:ascii="Times New Roman" w:hAnsi="Times New Roman" w:cs="Times New Roman"/>
                <w:caps w:val="0"/>
                <w:smallCaps w:val="0"/>
                <w:color w:val="auto"/>
                <w:spacing w:val="0"/>
                <w:position w:val="2"/>
                <w:sz w:val="21"/>
                <w:highlight w:val="none"/>
              </w:rPr>
              <w:t>Cd</w:t>
            </w:r>
            <w:r>
              <w:rPr>
                <w:rFonts w:hint="eastAsia" w:ascii="Times New Roman" w:hAnsi="Times New Roman" w:cs="Times New Roman"/>
                <w:caps w:val="0"/>
                <w:smallCaps w:val="0"/>
                <w:color w:val="auto"/>
                <w:spacing w:val="0"/>
                <w:position w:val="2"/>
                <w:sz w:val="21"/>
                <w:highlight w:val="none"/>
                <w:vertAlign w:val="superscript"/>
              </w:rPr>
              <w:t>2+</w:t>
            </w:r>
          </w:p>
        </w:tc>
        <w:tc>
          <w:tcPr>
            <w:tcW w:w="1442" w:type="dxa"/>
            <w:tcBorders>
              <w:tl2br w:val="nil"/>
              <w:tr2bl w:val="nil"/>
            </w:tcBorders>
            <w:shd w:val="clear" w:color="auto" w:fill="auto"/>
            <w:vAlign w:val="center"/>
          </w:tcPr>
          <w:p w14:paraId="09C9BD4D">
            <w:pPr>
              <w:spacing w:line="320" w:lineRule="exact"/>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属于低浓度废水，进入低浓度废水收集池采用“pH调节+TMF膜系统”进行预处理</w:t>
            </w:r>
          </w:p>
        </w:tc>
        <w:tc>
          <w:tcPr>
            <w:tcW w:w="2970" w:type="dxa"/>
            <w:gridSpan w:val="4"/>
            <w:vMerge w:val="continue"/>
            <w:tcBorders>
              <w:tl2br w:val="nil"/>
              <w:tr2bl w:val="nil"/>
            </w:tcBorders>
            <w:shd w:val="clear" w:color="auto" w:fill="auto"/>
            <w:vAlign w:val="center"/>
          </w:tcPr>
          <w:p w14:paraId="44A83F5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2853" w:type="dxa"/>
            <w:gridSpan w:val="3"/>
            <w:vMerge w:val="continue"/>
            <w:tcBorders>
              <w:tl2br w:val="nil"/>
              <w:tr2bl w:val="nil"/>
            </w:tcBorders>
            <w:shd w:val="clear" w:color="auto" w:fill="auto"/>
            <w:vAlign w:val="center"/>
          </w:tcPr>
          <w:p w14:paraId="7AE07111">
            <w:pPr>
              <w:widowControl w:val="0"/>
              <w:snapToGrid w:val="0"/>
              <w:jc w:val="center"/>
              <w:rPr>
                <w:rFonts w:ascii="Times New Roman" w:hAnsi="Times New Roman" w:eastAsia="宋体" w:cs="Times New Roman"/>
                <w:caps w:val="0"/>
                <w:smallCaps w:val="0"/>
                <w:color w:val="auto"/>
                <w:spacing w:val="0"/>
                <w:sz w:val="21"/>
                <w:highlight w:val="none"/>
              </w:rPr>
            </w:pPr>
          </w:p>
        </w:tc>
        <w:tc>
          <w:tcPr>
            <w:tcW w:w="1949" w:type="dxa"/>
            <w:gridSpan w:val="2"/>
            <w:vMerge w:val="continue"/>
            <w:tcBorders>
              <w:tl2br w:val="nil"/>
              <w:tr2bl w:val="nil"/>
            </w:tcBorders>
            <w:shd w:val="clear" w:color="auto" w:fill="auto"/>
            <w:vAlign w:val="center"/>
          </w:tcPr>
          <w:p w14:paraId="5CCAADBC">
            <w:pPr>
              <w:widowControl w:val="0"/>
              <w:snapToGrid w:val="0"/>
              <w:jc w:val="center"/>
              <w:rPr>
                <w:rFonts w:ascii="Times New Roman" w:hAnsi="Times New Roman" w:eastAsia="宋体" w:cs="Times New Roman"/>
                <w:caps w:val="0"/>
                <w:smallCaps w:val="0"/>
                <w:color w:val="auto"/>
                <w:spacing w:val="0"/>
                <w:sz w:val="21"/>
                <w:highlight w:val="none"/>
              </w:rPr>
            </w:pPr>
          </w:p>
        </w:tc>
        <w:tc>
          <w:tcPr>
            <w:tcW w:w="2517" w:type="dxa"/>
            <w:vMerge w:val="continue"/>
            <w:tcBorders>
              <w:tl2br w:val="nil"/>
              <w:tr2bl w:val="nil"/>
            </w:tcBorders>
            <w:shd w:val="clear" w:color="auto" w:fill="auto"/>
            <w:vAlign w:val="center"/>
          </w:tcPr>
          <w:p w14:paraId="074E8233">
            <w:pPr>
              <w:widowControl w:val="0"/>
              <w:snapToGrid w:val="0"/>
              <w:jc w:val="center"/>
              <w:rPr>
                <w:rFonts w:ascii="Times New Roman" w:hAnsi="Times New Roman" w:eastAsia="宋体" w:cs="Times New Roman"/>
                <w:caps w:val="0"/>
                <w:smallCaps w:val="0"/>
                <w:color w:val="auto"/>
                <w:spacing w:val="0"/>
                <w:sz w:val="21"/>
                <w:highlight w:val="none"/>
              </w:rPr>
            </w:pPr>
          </w:p>
        </w:tc>
      </w:tr>
      <w:tr w14:paraId="694818F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1BA3497F">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18EB2649">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en-US"/>
              </w:rPr>
              <w:t>显影</w:t>
            </w:r>
            <w:r>
              <w:rPr>
                <w:rFonts w:ascii="Times New Roman" w:hAnsi="Times New Roman" w:cs="Times New Roman"/>
                <w:caps w:val="0"/>
                <w:smallCaps w:val="0"/>
                <w:color w:val="auto"/>
                <w:spacing w:val="0"/>
                <w:sz w:val="21"/>
                <w:szCs w:val="21"/>
                <w:highlight w:val="none"/>
              </w:rPr>
              <w:t>及显影</w:t>
            </w:r>
            <w:r>
              <w:rPr>
                <w:rFonts w:ascii="Times New Roman" w:hAnsi="Times New Roman" w:cs="Times New Roman"/>
                <w:caps w:val="0"/>
                <w:smallCaps w:val="0"/>
                <w:color w:val="auto"/>
                <w:spacing w:val="0"/>
                <w:sz w:val="21"/>
                <w:szCs w:val="21"/>
                <w:highlight w:val="none"/>
                <w:lang w:eastAsia="en-US"/>
              </w:rPr>
              <w:t>清洗废水</w:t>
            </w:r>
          </w:p>
        </w:tc>
        <w:tc>
          <w:tcPr>
            <w:tcW w:w="1047" w:type="dxa"/>
            <w:tcBorders>
              <w:tl2br w:val="nil"/>
              <w:tr2bl w:val="nil"/>
            </w:tcBorders>
            <w:shd w:val="clear" w:color="auto" w:fill="auto"/>
            <w:vAlign w:val="center"/>
          </w:tcPr>
          <w:p w14:paraId="30FB85BB">
            <w:pPr>
              <w:pStyle w:val="105"/>
              <w:widowControl w:val="0"/>
              <w:jc w:val="center"/>
              <w:rPr>
                <w:rFonts w:ascii="Times New Roman" w:hAnsi="Times New Roman" w:cs="Times New Roman"/>
                <w:caps w:val="0"/>
                <w:smallCaps w:val="0"/>
                <w:color w:val="auto"/>
                <w:spacing w:val="0"/>
                <w:sz w:val="21"/>
                <w:szCs w:val="21"/>
                <w:highlight w:val="none"/>
                <w:lang w:bidi="ar"/>
              </w:rPr>
            </w:pPr>
            <w:r>
              <w:rPr>
                <w:rFonts w:ascii="Times New Roman" w:hAnsi="Times New Roman" w:cs="Times New Roman"/>
                <w:caps w:val="0"/>
                <w:smallCaps w:val="0"/>
                <w:color w:val="auto"/>
                <w:spacing w:val="0"/>
                <w:sz w:val="21"/>
                <w:highlight w:val="none"/>
              </w:rPr>
              <w:t>COD、SS、</w:t>
            </w:r>
            <w:r>
              <w:rPr>
                <w:rFonts w:hint="eastAsia" w:ascii="Times New Roman" w:hAnsi="Times New Roman" w:cs="Times New Roman"/>
                <w:caps w:val="0"/>
                <w:smallCaps w:val="0"/>
                <w:color w:val="auto"/>
                <w:spacing w:val="0"/>
                <w:position w:val="2"/>
                <w:sz w:val="21"/>
                <w:highlight w:val="none"/>
              </w:rPr>
              <w:t>Cd</w:t>
            </w:r>
            <w:r>
              <w:rPr>
                <w:rFonts w:hint="eastAsia" w:ascii="Times New Roman" w:hAnsi="Times New Roman" w:cs="Times New Roman"/>
                <w:caps w:val="0"/>
                <w:smallCaps w:val="0"/>
                <w:color w:val="auto"/>
                <w:spacing w:val="0"/>
                <w:position w:val="2"/>
                <w:sz w:val="21"/>
                <w:highlight w:val="none"/>
                <w:vertAlign w:val="superscript"/>
              </w:rPr>
              <w:t>2+</w:t>
            </w:r>
            <w:r>
              <w:rPr>
                <w:rFonts w:hint="eastAsia" w:ascii="Times New Roman" w:hAnsi="Times New Roman" w:cs="Times New Roman"/>
                <w:caps w:val="0"/>
                <w:smallCaps w:val="0"/>
                <w:color w:val="auto"/>
                <w:spacing w:val="0"/>
                <w:position w:val="2"/>
                <w:sz w:val="21"/>
                <w:highlight w:val="none"/>
              </w:rPr>
              <w:t>、</w:t>
            </w:r>
            <w:r>
              <w:rPr>
                <w:rFonts w:ascii="Times New Roman" w:hAnsi="Times New Roman" w:cs="Times New Roman"/>
                <w:caps w:val="0"/>
                <w:smallCaps w:val="0"/>
                <w:color w:val="auto"/>
                <w:spacing w:val="0"/>
                <w:position w:val="2"/>
                <w:sz w:val="21"/>
                <w:szCs w:val="21"/>
                <w:highlight w:val="none"/>
                <w:lang w:eastAsia="en-US"/>
              </w:rPr>
              <w:t>H</w:t>
            </w:r>
            <w:r>
              <w:rPr>
                <w:rFonts w:ascii="Times New Roman" w:hAnsi="Times New Roman" w:cs="Times New Roman"/>
                <w:caps w:val="0"/>
                <w:smallCaps w:val="0"/>
                <w:color w:val="auto"/>
                <w:spacing w:val="0"/>
                <w:sz w:val="13"/>
                <w:szCs w:val="13"/>
                <w:highlight w:val="none"/>
                <w:lang w:eastAsia="en-US"/>
              </w:rPr>
              <w:t>2</w:t>
            </w:r>
            <w:r>
              <w:rPr>
                <w:rFonts w:ascii="Times New Roman" w:hAnsi="Times New Roman" w:cs="Times New Roman"/>
                <w:caps w:val="0"/>
                <w:smallCaps w:val="0"/>
                <w:color w:val="auto"/>
                <w:spacing w:val="0"/>
                <w:position w:val="2"/>
                <w:sz w:val="21"/>
                <w:szCs w:val="21"/>
                <w:highlight w:val="none"/>
                <w:lang w:eastAsia="en-US"/>
              </w:rPr>
              <w:t>O</w:t>
            </w:r>
            <w:r>
              <w:rPr>
                <w:rFonts w:ascii="Times New Roman" w:hAnsi="Times New Roman" w:cs="Times New Roman"/>
                <w:caps w:val="0"/>
                <w:smallCaps w:val="0"/>
                <w:color w:val="auto"/>
                <w:spacing w:val="0"/>
                <w:sz w:val="13"/>
                <w:szCs w:val="13"/>
                <w:highlight w:val="none"/>
                <w:lang w:eastAsia="en-US"/>
              </w:rPr>
              <w:t>2</w:t>
            </w:r>
          </w:p>
        </w:tc>
        <w:tc>
          <w:tcPr>
            <w:tcW w:w="1442" w:type="dxa"/>
            <w:tcBorders>
              <w:tl2br w:val="nil"/>
              <w:tr2bl w:val="nil"/>
            </w:tcBorders>
            <w:shd w:val="clear" w:color="auto" w:fill="auto"/>
            <w:vAlign w:val="center"/>
          </w:tcPr>
          <w:p w14:paraId="6068B373">
            <w:pPr>
              <w:spacing w:line="320" w:lineRule="exact"/>
              <w:jc w:val="both"/>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显影废水和光刻胶清洗废水单独进入显影废水收集池，采用“</w:t>
            </w:r>
            <w:r>
              <w:rPr>
                <w:rFonts w:hint="eastAsia" w:ascii="Times New Roman" w:hAnsi="Times New Roman" w:eastAsia="宋体" w:cs="Times New Roman"/>
                <w:caps w:val="0"/>
                <w:smallCaps w:val="0"/>
                <w:color w:val="auto"/>
                <w:spacing w:val="0"/>
                <w:sz w:val="21"/>
                <w:highlight w:val="none"/>
              </w:rPr>
              <w:t>预</w:t>
            </w:r>
            <w:r>
              <w:rPr>
                <w:rFonts w:ascii="Times New Roman" w:hAnsi="Times New Roman" w:eastAsia="宋体" w:cs="Times New Roman"/>
                <w:caps w:val="0"/>
                <w:smallCaps w:val="0"/>
                <w:color w:val="auto"/>
                <w:spacing w:val="0"/>
                <w:sz w:val="21"/>
                <w:highlight w:val="none"/>
              </w:rPr>
              <w:t>沉淀+催化</w:t>
            </w:r>
            <w:r>
              <w:rPr>
                <w:rFonts w:hint="eastAsia" w:ascii="Times New Roman" w:hAnsi="Times New Roman" w:eastAsia="宋体" w:cs="Times New Roman"/>
                <w:caps w:val="0"/>
                <w:smallCaps w:val="0"/>
                <w:color w:val="auto"/>
                <w:spacing w:val="0"/>
                <w:sz w:val="21"/>
                <w:highlight w:val="none"/>
                <w:lang w:val="en-US" w:eastAsia="zh-CN"/>
              </w:rPr>
              <w:t>系统（光催化+电催化）</w:t>
            </w:r>
            <w:r>
              <w:rPr>
                <w:rFonts w:ascii="Times New Roman" w:hAnsi="Times New Roman" w:eastAsia="宋体" w:cs="Times New Roman"/>
                <w:caps w:val="0"/>
                <w:smallCaps w:val="0"/>
                <w:color w:val="auto"/>
                <w:spacing w:val="0"/>
                <w:sz w:val="21"/>
                <w:highlight w:val="none"/>
              </w:rPr>
              <w:t>+气浮+</w:t>
            </w:r>
            <w:r>
              <w:rPr>
                <w:rFonts w:hint="eastAsia" w:ascii="Times New Roman" w:hAnsi="Times New Roman" w:eastAsia="宋体" w:cs="Times New Roman"/>
                <w:caps w:val="0"/>
                <w:smallCaps w:val="0"/>
                <w:color w:val="auto"/>
                <w:spacing w:val="0"/>
                <w:sz w:val="21"/>
                <w:highlight w:val="none"/>
                <w:lang w:val="en-US" w:eastAsia="zh-CN"/>
              </w:rPr>
              <w:t>好氧处理+厌氧处理</w:t>
            </w:r>
            <w:r>
              <w:rPr>
                <w:rFonts w:ascii="Times New Roman" w:hAnsi="Times New Roman" w:eastAsia="宋体" w:cs="Times New Roman"/>
                <w:caps w:val="0"/>
                <w:smallCaps w:val="0"/>
                <w:color w:val="auto"/>
                <w:spacing w:val="0"/>
                <w:sz w:val="21"/>
                <w:highlight w:val="none"/>
              </w:rPr>
              <w:t>+MBR系统”进行预处理，之后与含镉废水共同进入后续深度处理。</w:t>
            </w:r>
          </w:p>
        </w:tc>
        <w:tc>
          <w:tcPr>
            <w:tcW w:w="2970" w:type="dxa"/>
            <w:gridSpan w:val="4"/>
            <w:vMerge w:val="continue"/>
            <w:tcBorders>
              <w:tl2br w:val="nil"/>
              <w:tr2bl w:val="nil"/>
            </w:tcBorders>
            <w:shd w:val="clear" w:color="auto" w:fill="auto"/>
            <w:vAlign w:val="center"/>
          </w:tcPr>
          <w:p w14:paraId="0BBCC60F">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2853" w:type="dxa"/>
            <w:gridSpan w:val="3"/>
            <w:vMerge w:val="continue"/>
            <w:tcBorders>
              <w:tl2br w:val="nil"/>
              <w:tr2bl w:val="nil"/>
            </w:tcBorders>
            <w:shd w:val="clear" w:color="auto" w:fill="auto"/>
            <w:vAlign w:val="center"/>
          </w:tcPr>
          <w:p w14:paraId="6AC28DCC">
            <w:pPr>
              <w:widowControl w:val="0"/>
              <w:snapToGrid w:val="0"/>
              <w:jc w:val="center"/>
              <w:rPr>
                <w:rFonts w:ascii="Times New Roman" w:hAnsi="Times New Roman" w:eastAsia="宋体" w:cs="Times New Roman"/>
                <w:caps w:val="0"/>
                <w:smallCaps w:val="0"/>
                <w:color w:val="auto"/>
                <w:spacing w:val="0"/>
                <w:sz w:val="21"/>
                <w:highlight w:val="none"/>
              </w:rPr>
            </w:pPr>
          </w:p>
        </w:tc>
        <w:tc>
          <w:tcPr>
            <w:tcW w:w="1949" w:type="dxa"/>
            <w:gridSpan w:val="2"/>
            <w:vMerge w:val="continue"/>
            <w:tcBorders>
              <w:tl2br w:val="nil"/>
              <w:tr2bl w:val="nil"/>
            </w:tcBorders>
            <w:shd w:val="clear" w:color="auto" w:fill="auto"/>
            <w:vAlign w:val="center"/>
          </w:tcPr>
          <w:p w14:paraId="0130A1EA">
            <w:pPr>
              <w:widowControl w:val="0"/>
              <w:snapToGrid w:val="0"/>
              <w:jc w:val="center"/>
              <w:rPr>
                <w:rFonts w:ascii="Times New Roman" w:hAnsi="Times New Roman" w:eastAsia="宋体" w:cs="Times New Roman"/>
                <w:caps w:val="0"/>
                <w:smallCaps w:val="0"/>
                <w:color w:val="auto"/>
                <w:spacing w:val="0"/>
                <w:sz w:val="21"/>
                <w:highlight w:val="none"/>
              </w:rPr>
            </w:pPr>
          </w:p>
        </w:tc>
        <w:tc>
          <w:tcPr>
            <w:tcW w:w="2517" w:type="dxa"/>
            <w:vMerge w:val="continue"/>
            <w:tcBorders>
              <w:tl2br w:val="nil"/>
              <w:tr2bl w:val="nil"/>
            </w:tcBorders>
            <w:shd w:val="clear" w:color="auto" w:fill="auto"/>
            <w:vAlign w:val="center"/>
          </w:tcPr>
          <w:p w14:paraId="2BD75620">
            <w:pPr>
              <w:widowControl w:val="0"/>
              <w:snapToGrid w:val="0"/>
              <w:jc w:val="center"/>
              <w:rPr>
                <w:rFonts w:ascii="Times New Roman" w:hAnsi="Times New Roman" w:eastAsia="宋体" w:cs="Times New Roman"/>
                <w:caps w:val="0"/>
                <w:smallCaps w:val="0"/>
                <w:color w:val="auto"/>
                <w:spacing w:val="0"/>
                <w:sz w:val="21"/>
                <w:highlight w:val="none"/>
              </w:rPr>
            </w:pPr>
          </w:p>
        </w:tc>
      </w:tr>
      <w:tr w14:paraId="0FEF05F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C353049">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tcBorders>
              <w:tl2br w:val="nil"/>
              <w:tr2bl w:val="nil"/>
            </w:tcBorders>
            <w:shd w:val="clear" w:color="auto" w:fill="auto"/>
            <w:vAlign w:val="center"/>
          </w:tcPr>
          <w:p w14:paraId="45131C63">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背电极镀膜前清洗废水</w:t>
            </w:r>
          </w:p>
        </w:tc>
        <w:tc>
          <w:tcPr>
            <w:tcW w:w="1047" w:type="dxa"/>
            <w:tcBorders>
              <w:tl2br w:val="nil"/>
              <w:tr2bl w:val="nil"/>
            </w:tcBorders>
            <w:shd w:val="clear" w:color="auto" w:fill="auto"/>
            <w:vAlign w:val="center"/>
          </w:tcPr>
          <w:p w14:paraId="3A28F9FB">
            <w:pPr>
              <w:pStyle w:val="105"/>
              <w:widowControl w:val="0"/>
              <w:jc w:val="center"/>
              <w:rPr>
                <w:rFonts w:ascii="Times New Roman" w:hAnsi="Times New Roman" w:cs="Times New Roman"/>
                <w:caps w:val="0"/>
                <w:smallCaps w:val="0"/>
                <w:color w:val="auto"/>
                <w:spacing w:val="0"/>
                <w:sz w:val="21"/>
                <w:szCs w:val="21"/>
                <w:highlight w:val="none"/>
                <w:lang w:bidi="ar"/>
              </w:rPr>
            </w:pPr>
            <w:r>
              <w:rPr>
                <w:rFonts w:hint="eastAsia" w:ascii="Times New Roman" w:hAnsi="Times New Roman" w:cs="Times New Roman"/>
                <w:caps w:val="0"/>
                <w:smallCaps w:val="0"/>
                <w:color w:val="auto"/>
                <w:spacing w:val="0"/>
                <w:position w:val="2"/>
                <w:sz w:val="21"/>
                <w:highlight w:val="none"/>
              </w:rPr>
              <w:t>Cd</w:t>
            </w:r>
            <w:r>
              <w:rPr>
                <w:rFonts w:hint="eastAsia" w:ascii="Times New Roman" w:hAnsi="Times New Roman" w:cs="Times New Roman"/>
                <w:caps w:val="0"/>
                <w:smallCaps w:val="0"/>
                <w:color w:val="auto"/>
                <w:spacing w:val="0"/>
                <w:position w:val="2"/>
                <w:sz w:val="21"/>
                <w:highlight w:val="none"/>
                <w:vertAlign w:val="superscript"/>
              </w:rPr>
              <w:t>2+</w:t>
            </w:r>
          </w:p>
        </w:tc>
        <w:tc>
          <w:tcPr>
            <w:tcW w:w="1442" w:type="dxa"/>
            <w:tcBorders>
              <w:tl2br w:val="nil"/>
              <w:tr2bl w:val="nil"/>
            </w:tcBorders>
            <w:shd w:val="clear" w:color="auto" w:fill="auto"/>
            <w:vAlign w:val="center"/>
          </w:tcPr>
          <w:p w14:paraId="676DF089">
            <w:pPr>
              <w:spacing w:line="320" w:lineRule="exact"/>
              <w:rPr>
                <w:rFonts w:ascii="Times New Roman" w:hAnsi="Times New Roman" w:eastAsia="宋体" w:cs="Times New Roman"/>
                <w:caps w:val="0"/>
                <w:smallCaps w:val="0"/>
                <w:color w:val="auto"/>
                <w:spacing w:val="0"/>
                <w:kern w:val="0"/>
                <w:sz w:val="21"/>
                <w:highlight w:val="none"/>
                <w:lang w:bidi="ar"/>
              </w:rPr>
            </w:pPr>
            <w:r>
              <w:rPr>
                <w:rFonts w:ascii="Times New Roman" w:hAnsi="Times New Roman" w:eastAsia="宋体" w:cs="Times New Roman"/>
                <w:caps w:val="0"/>
                <w:smallCaps w:val="0"/>
                <w:color w:val="auto"/>
                <w:spacing w:val="0"/>
                <w:sz w:val="21"/>
                <w:highlight w:val="none"/>
              </w:rPr>
              <w:t>属于低浓度废水，进入低浓度废水收集池采用“pH调节+TMF膜系统”进行预处理</w:t>
            </w:r>
          </w:p>
        </w:tc>
        <w:tc>
          <w:tcPr>
            <w:tcW w:w="2970" w:type="dxa"/>
            <w:gridSpan w:val="4"/>
            <w:vMerge w:val="continue"/>
            <w:tcBorders>
              <w:tl2br w:val="nil"/>
              <w:tr2bl w:val="nil"/>
            </w:tcBorders>
            <w:shd w:val="clear" w:color="auto" w:fill="auto"/>
            <w:vAlign w:val="center"/>
          </w:tcPr>
          <w:p w14:paraId="207C79BC">
            <w:pPr>
              <w:widowControl w:val="0"/>
              <w:snapToGrid w:val="0"/>
              <w:jc w:val="center"/>
              <w:textAlignment w:val="center"/>
              <w:rPr>
                <w:rFonts w:ascii="Times New Roman" w:hAnsi="Times New Roman" w:eastAsia="宋体" w:cs="Times New Roman"/>
                <w:caps w:val="0"/>
                <w:smallCaps w:val="0"/>
                <w:color w:val="auto"/>
                <w:spacing w:val="0"/>
                <w:sz w:val="21"/>
                <w:highlight w:val="none"/>
              </w:rPr>
            </w:pPr>
          </w:p>
        </w:tc>
        <w:tc>
          <w:tcPr>
            <w:tcW w:w="2853" w:type="dxa"/>
            <w:gridSpan w:val="3"/>
            <w:vMerge w:val="continue"/>
            <w:tcBorders>
              <w:tl2br w:val="nil"/>
              <w:tr2bl w:val="nil"/>
            </w:tcBorders>
            <w:shd w:val="clear" w:color="auto" w:fill="auto"/>
            <w:vAlign w:val="center"/>
          </w:tcPr>
          <w:p w14:paraId="487D2AD5">
            <w:pPr>
              <w:widowControl w:val="0"/>
              <w:snapToGrid w:val="0"/>
              <w:jc w:val="center"/>
              <w:rPr>
                <w:rFonts w:ascii="Times New Roman" w:hAnsi="Times New Roman" w:eastAsia="宋体" w:cs="Times New Roman"/>
                <w:caps w:val="0"/>
                <w:smallCaps w:val="0"/>
                <w:color w:val="auto"/>
                <w:spacing w:val="0"/>
                <w:sz w:val="21"/>
                <w:highlight w:val="none"/>
              </w:rPr>
            </w:pPr>
          </w:p>
        </w:tc>
        <w:tc>
          <w:tcPr>
            <w:tcW w:w="927" w:type="dxa"/>
            <w:tcBorders>
              <w:tl2br w:val="nil"/>
              <w:tr2bl w:val="nil"/>
            </w:tcBorders>
            <w:shd w:val="clear" w:color="auto" w:fill="auto"/>
            <w:vAlign w:val="center"/>
          </w:tcPr>
          <w:p w14:paraId="49BC9C5B">
            <w:pPr>
              <w:widowControl w:val="0"/>
              <w:snapToGrid w:val="0"/>
              <w:jc w:val="center"/>
              <w:rPr>
                <w:rFonts w:ascii="Times New Roman" w:hAnsi="Times New Roman" w:eastAsia="宋体" w:cs="Times New Roman"/>
                <w:caps w:val="0"/>
                <w:smallCaps w:val="0"/>
                <w:color w:val="auto"/>
                <w:spacing w:val="0"/>
                <w:sz w:val="21"/>
                <w:highlight w:val="none"/>
              </w:rPr>
            </w:pPr>
          </w:p>
        </w:tc>
        <w:tc>
          <w:tcPr>
            <w:tcW w:w="1022" w:type="dxa"/>
            <w:tcBorders>
              <w:tl2br w:val="nil"/>
              <w:tr2bl w:val="nil"/>
            </w:tcBorders>
            <w:shd w:val="clear" w:color="auto" w:fill="auto"/>
            <w:vAlign w:val="center"/>
          </w:tcPr>
          <w:p w14:paraId="6979392B">
            <w:pPr>
              <w:widowControl w:val="0"/>
              <w:snapToGrid w:val="0"/>
              <w:jc w:val="center"/>
              <w:rPr>
                <w:rFonts w:ascii="Times New Roman" w:hAnsi="Times New Roman" w:eastAsia="宋体" w:cs="Times New Roman"/>
                <w:caps w:val="0"/>
                <w:smallCaps w:val="0"/>
                <w:color w:val="auto"/>
                <w:spacing w:val="0"/>
                <w:sz w:val="21"/>
                <w:highlight w:val="none"/>
              </w:rPr>
            </w:pPr>
          </w:p>
        </w:tc>
        <w:tc>
          <w:tcPr>
            <w:tcW w:w="2517" w:type="dxa"/>
            <w:tcBorders>
              <w:tl2br w:val="nil"/>
              <w:tr2bl w:val="nil"/>
            </w:tcBorders>
            <w:shd w:val="clear" w:color="auto" w:fill="auto"/>
            <w:vAlign w:val="center"/>
          </w:tcPr>
          <w:p w14:paraId="3CF35B9C">
            <w:pPr>
              <w:widowControl w:val="0"/>
              <w:snapToGrid w:val="0"/>
              <w:jc w:val="center"/>
              <w:rPr>
                <w:rFonts w:ascii="Times New Roman" w:hAnsi="Times New Roman" w:eastAsia="宋体" w:cs="Times New Roman"/>
                <w:caps w:val="0"/>
                <w:smallCaps w:val="0"/>
                <w:color w:val="auto"/>
                <w:spacing w:val="0"/>
                <w:sz w:val="21"/>
                <w:highlight w:val="none"/>
              </w:rPr>
            </w:pPr>
          </w:p>
        </w:tc>
      </w:tr>
      <w:tr w14:paraId="5F6FA719">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tcBorders>
              <w:tl2br w:val="nil"/>
              <w:tr2bl w:val="nil"/>
            </w:tcBorders>
            <w:shd w:val="clear" w:color="auto" w:fill="auto"/>
            <w:vAlign w:val="center"/>
          </w:tcPr>
          <w:p w14:paraId="1A85DA1C">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噪声</w:t>
            </w:r>
          </w:p>
        </w:tc>
        <w:tc>
          <w:tcPr>
            <w:tcW w:w="940" w:type="dxa"/>
            <w:tcBorders>
              <w:tl2br w:val="nil"/>
              <w:tr2bl w:val="nil"/>
            </w:tcBorders>
            <w:shd w:val="clear" w:color="auto" w:fill="auto"/>
            <w:vAlign w:val="center"/>
          </w:tcPr>
          <w:p w14:paraId="6C87E4FD">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设备运行</w:t>
            </w:r>
          </w:p>
        </w:tc>
        <w:tc>
          <w:tcPr>
            <w:tcW w:w="1047" w:type="dxa"/>
            <w:tcBorders>
              <w:tl2br w:val="nil"/>
              <w:tr2bl w:val="nil"/>
            </w:tcBorders>
            <w:shd w:val="clear" w:color="auto" w:fill="auto"/>
            <w:vAlign w:val="center"/>
          </w:tcPr>
          <w:p w14:paraId="2F2322CD">
            <w:pPr>
              <w:pStyle w:val="105"/>
              <w:widowControl w:val="0"/>
              <w:jc w:val="center"/>
              <w:rPr>
                <w:rFonts w:ascii="Times New Roman" w:hAnsi="Times New Roman" w:cs="Times New Roman"/>
                <w:caps w:val="0"/>
                <w:smallCaps w:val="0"/>
                <w:color w:val="auto"/>
                <w:spacing w:val="0"/>
                <w:position w:val="2"/>
                <w:sz w:val="21"/>
                <w:highlight w:val="none"/>
              </w:rPr>
            </w:pPr>
            <w:r>
              <w:rPr>
                <w:rFonts w:ascii="Times New Roman" w:hAnsi="Times New Roman" w:cs="Times New Roman"/>
                <w:caps w:val="0"/>
                <w:smallCaps w:val="0"/>
                <w:color w:val="auto"/>
                <w:spacing w:val="0"/>
                <w:position w:val="2"/>
                <w:sz w:val="21"/>
                <w:highlight w:val="none"/>
              </w:rPr>
              <w:t>Leq</w:t>
            </w:r>
          </w:p>
        </w:tc>
        <w:tc>
          <w:tcPr>
            <w:tcW w:w="7265" w:type="dxa"/>
            <w:gridSpan w:val="8"/>
            <w:tcBorders>
              <w:tl2br w:val="nil"/>
              <w:tr2bl w:val="nil"/>
            </w:tcBorders>
            <w:shd w:val="clear" w:color="auto" w:fill="auto"/>
            <w:vAlign w:val="center"/>
          </w:tcPr>
          <w:p w14:paraId="3D5DC30F">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基础减振，厂房隔声，定期维护保养等措施</w:t>
            </w:r>
          </w:p>
        </w:tc>
        <w:tc>
          <w:tcPr>
            <w:tcW w:w="4466" w:type="dxa"/>
            <w:gridSpan w:val="3"/>
            <w:tcBorders>
              <w:tl2br w:val="nil"/>
              <w:tr2bl w:val="nil"/>
            </w:tcBorders>
            <w:shd w:val="clear" w:color="auto" w:fill="auto"/>
            <w:vAlign w:val="center"/>
          </w:tcPr>
          <w:p w14:paraId="48653417">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《工业企业厂界环境噪声排放标准》(GB12348-2008)3类标准</w:t>
            </w:r>
          </w:p>
        </w:tc>
      </w:tr>
      <w:tr w14:paraId="52A1E42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restart"/>
            <w:tcBorders>
              <w:tl2br w:val="nil"/>
              <w:tr2bl w:val="nil"/>
            </w:tcBorders>
            <w:shd w:val="clear" w:color="auto" w:fill="auto"/>
            <w:vAlign w:val="center"/>
          </w:tcPr>
          <w:p w14:paraId="64929FD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固体废物</w:t>
            </w:r>
          </w:p>
        </w:tc>
        <w:tc>
          <w:tcPr>
            <w:tcW w:w="940" w:type="dxa"/>
            <w:vMerge w:val="restart"/>
            <w:tcBorders>
              <w:tl2br w:val="nil"/>
              <w:tr2bl w:val="nil"/>
            </w:tcBorders>
            <w:shd w:val="clear" w:color="auto" w:fill="auto"/>
            <w:vAlign w:val="center"/>
          </w:tcPr>
          <w:p w14:paraId="3965B8B4">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一般固体废物</w:t>
            </w:r>
          </w:p>
        </w:tc>
        <w:tc>
          <w:tcPr>
            <w:tcW w:w="1047" w:type="dxa"/>
            <w:tcBorders>
              <w:tl2br w:val="nil"/>
              <w:tr2bl w:val="nil"/>
            </w:tcBorders>
            <w:shd w:val="clear" w:color="auto" w:fill="auto"/>
            <w:vAlign w:val="center"/>
          </w:tcPr>
          <w:p w14:paraId="7EE03FAD">
            <w:pPr>
              <w:pStyle w:val="195"/>
              <w:widowControl w:val="0"/>
              <w:jc w:val="center"/>
              <w:rPr>
                <w:rFonts w:ascii="Times New Roman" w:hAnsi="Times New Roman" w:cs="Times New Roman"/>
                <w:caps w:val="0"/>
                <w:smallCaps w:val="0"/>
                <w:color w:val="auto"/>
                <w:spacing w:val="0"/>
                <w:position w:val="2"/>
                <w:sz w:val="21"/>
                <w:highlight w:val="none"/>
                <w:lang w:eastAsia="zh-CN"/>
              </w:rPr>
            </w:pPr>
            <w:r>
              <w:rPr>
                <w:rFonts w:ascii="Times New Roman" w:hAnsi="Times New Roman" w:cs="Times New Roman"/>
                <w:caps w:val="0"/>
                <w:smallCaps w:val="0"/>
                <w:color w:val="auto"/>
                <w:spacing w:val="0"/>
                <w:highlight w:val="none"/>
              </w:rPr>
              <w:t>废玻璃基板</w:t>
            </w:r>
          </w:p>
        </w:tc>
        <w:tc>
          <w:tcPr>
            <w:tcW w:w="1442" w:type="dxa"/>
            <w:tcBorders>
              <w:tl2br w:val="nil"/>
              <w:tr2bl w:val="nil"/>
            </w:tcBorders>
            <w:shd w:val="clear" w:color="auto" w:fill="auto"/>
            <w:vAlign w:val="center"/>
          </w:tcPr>
          <w:p w14:paraId="1F6BFBBB">
            <w:pPr>
              <w:pStyle w:val="195"/>
              <w:widowControl w:val="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highlight w:val="none"/>
              </w:rPr>
              <w:t>外售回收单位</w:t>
            </w:r>
          </w:p>
        </w:tc>
        <w:tc>
          <w:tcPr>
            <w:tcW w:w="2970" w:type="dxa"/>
            <w:gridSpan w:val="4"/>
            <w:tcBorders>
              <w:tl2br w:val="nil"/>
              <w:tr2bl w:val="nil"/>
            </w:tcBorders>
            <w:shd w:val="clear" w:color="auto" w:fill="auto"/>
            <w:vAlign w:val="center"/>
          </w:tcPr>
          <w:p w14:paraId="361666A8">
            <w:pPr>
              <w:widowControl w:val="0"/>
              <w:snapToGrid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0"/>
                <w:szCs w:val="20"/>
                <w:highlight w:val="none"/>
              </w:rPr>
              <w:t>9</w:t>
            </w:r>
            <w:r>
              <w:rPr>
                <w:rFonts w:ascii="Times New Roman" w:hAnsi="Times New Roman" w:eastAsia="宋体" w:cs="Times New Roman"/>
                <w:caps w:val="0"/>
                <w:smallCaps w:val="0"/>
                <w:color w:val="auto"/>
                <w:spacing w:val="0"/>
                <w:sz w:val="20"/>
                <w:szCs w:val="20"/>
                <w:highlight w:val="none"/>
              </w:rPr>
              <w:t>00-004-S17</w:t>
            </w:r>
          </w:p>
        </w:tc>
        <w:tc>
          <w:tcPr>
            <w:tcW w:w="2853" w:type="dxa"/>
            <w:gridSpan w:val="3"/>
            <w:tcBorders>
              <w:tl2br w:val="nil"/>
              <w:tr2bl w:val="nil"/>
            </w:tcBorders>
            <w:shd w:val="clear" w:color="auto" w:fill="auto"/>
            <w:vAlign w:val="center"/>
          </w:tcPr>
          <w:p w14:paraId="30387B09">
            <w:pPr>
              <w:widowControl w:val="0"/>
              <w:jc w:val="center"/>
              <w:rPr>
                <w:rFonts w:hint="default" w:ascii="Times New Roman" w:hAnsi="Times New Roman" w:eastAsia="新宋体" w:cs="Times New Roman"/>
                <w:caps w:val="0"/>
                <w:smallCaps w:val="0"/>
                <w:color w:val="auto"/>
                <w:spacing w:val="0"/>
                <w:sz w:val="21"/>
                <w:highlight w:val="none"/>
                <w:lang w:val="en-US" w:eastAsia="zh-CN"/>
              </w:rPr>
            </w:pPr>
            <w:r>
              <w:rPr>
                <w:rFonts w:ascii="Times New Roman" w:hAnsi="Times New Roman" w:eastAsia="宋体" w:cs="Times New Roman"/>
                <w:caps w:val="0"/>
                <w:smallCaps w:val="0"/>
                <w:color w:val="auto"/>
                <w:spacing w:val="0"/>
                <w:sz w:val="20"/>
                <w:szCs w:val="20"/>
                <w:highlight w:val="none"/>
              </w:rPr>
              <w:t>213.19</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restart"/>
            <w:tcBorders>
              <w:tl2br w:val="nil"/>
              <w:tr2bl w:val="nil"/>
            </w:tcBorders>
            <w:shd w:val="clear" w:color="auto" w:fill="auto"/>
            <w:vAlign w:val="center"/>
          </w:tcPr>
          <w:p w14:paraId="235293C6">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《一般工业固体废物贮存和填埋污染控制标准》(GB18599-2020)</w:t>
            </w:r>
          </w:p>
          <w:p w14:paraId="7E812588">
            <w:pPr>
              <w:widowControl w:val="0"/>
              <w:snapToGrid w:val="0"/>
              <w:jc w:val="center"/>
              <w:rPr>
                <w:rFonts w:ascii="Times New Roman" w:hAnsi="Times New Roman" w:eastAsia="宋体" w:cs="Times New Roman"/>
                <w:caps w:val="0"/>
                <w:smallCaps w:val="0"/>
                <w:color w:val="auto"/>
                <w:spacing w:val="0"/>
                <w:sz w:val="21"/>
                <w:highlight w:val="none"/>
              </w:rPr>
            </w:pPr>
          </w:p>
        </w:tc>
      </w:tr>
      <w:tr w14:paraId="238CF10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8E6D08E">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193CB6A">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314B4A23">
            <w:pPr>
              <w:pStyle w:val="195"/>
              <w:widowControl w:val="0"/>
              <w:jc w:val="center"/>
              <w:rPr>
                <w:rFonts w:ascii="Times New Roman" w:hAnsi="Times New Roman" w:cs="Times New Roman"/>
                <w:caps w:val="0"/>
                <w:smallCaps w:val="0"/>
                <w:color w:val="auto"/>
                <w:spacing w:val="0"/>
                <w:position w:val="2"/>
                <w:sz w:val="21"/>
                <w:highlight w:val="none"/>
                <w:lang w:eastAsia="zh-CN"/>
              </w:rPr>
            </w:pPr>
            <w:r>
              <w:rPr>
                <w:rFonts w:ascii="Times New Roman" w:hAnsi="Times New Roman" w:cs="Times New Roman"/>
                <w:caps w:val="0"/>
                <w:smallCaps w:val="0"/>
                <w:color w:val="auto"/>
                <w:spacing w:val="0"/>
                <w:highlight w:val="none"/>
              </w:rPr>
              <w:t>废靶材</w:t>
            </w:r>
          </w:p>
        </w:tc>
        <w:tc>
          <w:tcPr>
            <w:tcW w:w="1442" w:type="dxa"/>
            <w:tcBorders>
              <w:tl2br w:val="nil"/>
              <w:tr2bl w:val="nil"/>
            </w:tcBorders>
            <w:shd w:val="clear" w:color="auto" w:fill="auto"/>
            <w:vAlign w:val="center"/>
          </w:tcPr>
          <w:p w14:paraId="6E63F3C6">
            <w:pPr>
              <w:pStyle w:val="195"/>
              <w:widowControl w:val="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highlight w:val="none"/>
              </w:rPr>
              <w:t>由厂家回收处置</w:t>
            </w:r>
          </w:p>
        </w:tc>
        <w:tc>
          <w:tcPr>
            <w:tcW w:w="2970" w:type="dxa"/>
            <w:gridSpan w:val="4"/>
            <w:tcBorders>
              <w:tl2br w:val="nil"/>
              <w:tr2bl w:val="nil"/>
            </w:tcBorders>
            <w:shd w:val="clear" w:color="auto" w:fill="auto"/>
            <w:vAlign w:val="center"/>
          </w:tcPr>
          <w:p w14:paraId="04D9B88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0"/>
                <w:szCs w:val="20"/>
                <w:highlight w:val="none"/>
              </w:rPr>
              <w:t>900-002-S17</w:t>
            </w:r>
          </w:p>
        </w:tc>
        <w:tc>
          <w:tcPr>
            <w:tcW w:w="2853" w:type="dxa"/>
            <w:gridSpan w:val="3"/>
            <w:tcBorders>
              <w:tl2br w:val="nil"/>
              <w:tr2bl w:val="nil"/>
            </w:tcBorders>
            <w:shd w:val="clear" w:color="auto" w:fill="auto"/>
            <w:vAlign w:val="center"/>
          </w:tcPr>
          <w:p w14:paraId="16A6DE6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0"/>
                <w:szCs w:val="20"/>
                <w:highlight w:val="none"/>
              </w:rPr>
              <w:t>0.50</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68CB3404">
            <w:pPr>
              <w:widowControl w:val="0"/>
              <w:snapToGrid w:val="0"/>
              <w:jc w:val="center"/>
              <w:rPr>
                <w:rFonts w:ascii="Times New Roman" w:hAnsi="Times New Roman" w:eastAsia="宋体" w:cs="Times New Roman"/>
                <w:caps w:val="0"/>
                <w:smallCaps w:val="0"/>
                <w:color w:val="auto"/>
                <w:spacing w:val="0"/>
                <w:sz w:val="21"/>
                <w:highlight w:val="none"/>
              </w:rPr>
            </w:pPr>
          </w:p>
        </w:tc>
      </w:tr>
      <w:tr w14:paraId="665CB628">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7591CCC">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F614011">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66C9D0A8">
            <w:pPr>
              <w:pStyle w:val="195"/>
              <w:widowControl w:val="0"/>
              <w:jc w:val="center"/>
              <w:rPr>
                <w:rFonts w:ascii="Times New Roman" w:hAnsi="Times New Roman" w:cs="Times New Roman"/>
                <w:caps w:val="0"/>
                <w:smallCaps w:val="0"/>
                <w:color w:val="auto"/>
                <w:spacing w:val="0"/>
                <w:position w:val="2"/>
                <w:sz w:val="21"/>
                <w:highlight w:val="none"/>
                <w:lang w:eastAsia="zh-CN"/>
              </w:rPr>
            </w:pPr>
            <w:r>
              <w:rPr>
                <w:rFonts w:ascii="Times New Roman" w:hAnsi="Times New Roman" w:cs="Times New Roman"/>
                <w:caps w:val="0"/>
                <w:smallCaps w:val="0"/>
                <w:color w:val="auto"/>
                <w:spacing w:val="0"/>
                <w:highlight w:val="none"/>
              </w:rPr>
              <w:t>废防溅射板</w:t>
            </w:r>
          </w:p>
        </w:tc>
        <w:tc>
          <w:tcPr>
            <w:tcW w:w="1442" w:type="dxa"/>
            <w:tcBorders>
              <w:tl2br w:val="nil"/>
              <w:tr2bl w:val="nil"/>
            </w:tcBorders>
            <w:shd w:val="clear" w:color="auto" w:fill="auto"/>
            <w:vAlign w:val="center"/>
          </w:tcPr>
          <w:p w14:paraId="7ECDC258">
            <w:pPr>
              <w:pStyle w:val="195"/>
              <w:widowControl w:val="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highlight w:val="none"/>
              </w:rPr>
              <w:t>由厂家回收处置</w:t>
            </w:r>
          </w:p>
        </w:tc>
        <w:tc>
          <w:tcPr>
            <w:tcW w:w="2970" w:type="dxa"/>
            <w:gridSpan w:val="4"/>
            <w:tcBorders>
              <w:tl2br w:val="nil"/>
              <w:tr2bl w:val="nil"/>
            </w:tcBorders>
            <w:shd w:val="clear" w:color="auto" w:fill="auto"/>
            <w:vAlign w:val="center"/>
          </w:tcPr>
          <w:p w14:paraId="392B5BC9">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0"/>
                <w:szCs w:val="20"/>
                <w:highlight w:val="none"/>
              </w:rPr>
              <w:t>900-002-S17</w:t>
            </w:r>
          </w:p>
        </w:tc>
        <w:tc>
          <w:tcPr>
            <w:tcW w:w="2853" w:type="dxa"/>
            <w:gridSpan w:val="3"/>
            <w:tcBorders>
              <w:tl2br w:val="nil"/>
              <w:tr2bl w:val="nil"/>
            </w:tcBorders>
            <w:shd w:val="clear" w:color="auto" w:fill="auto"/>
            <w:vAlign w:val="center"/>
          </w:tcPr>
          <w:p w14:paraId="6459F330">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0"/>
                <w:szCs w:val="20"/>
                <w:highlight w:val="none"/>
              </w:rPr>
              <w:t>0.1</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6990ECC4">
            <w:pPr>
              <w:widowControl w:val="0"/>
              <w:snapToGrid w:val="0"/>
              <w:jc w:val="center"/>
              <w:rPr>
                <w:rFonts w:ascii="Times New Roman" w:hAnsi="Times New Roman" w:eastAsia="宋体" w:cs="Times New Roman"/>
                <w:caps w:val="0"/>
                <w:smallCaps w:val="0"/>
                <w:color w:val="auto"/>
                <w:spacing w:val="0"/>
                <w:sz w:val="21"/>
                <w:highlight w:val="none"/>
              </w:rPr>
            </w:pPr>
          </w:p>
        </w:tc>
      </w:tr>
      <w:tr w14:paraId="2CEDE358">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197D559B">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C379816">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7BBF971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废弃包装物（不沾染危险废物）</w:t>
            </w:r>
          </w:p>
        </w:tc>
        <w:tc>
          <w:tcPr>
            <w:tcW w:w="1442" w:type="dxa"/>
            <w:tcBorders>
              <w:tl2br w:val="nil"/>
              <w:tr2bl w:val="nil"/>
            </w:tcBorders>
            <w:shd w:val="clear" w:color="auto" w:fill="auto"/>
            <w:vAlign w:val="center"/>
          </w:tcPr>
          <w:p w14:paraId="1CDA0BE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集中收集外售</w:t>
            </w:r>
          </w:p>
        </w:tc>
        <w:tc>
          <w:tcPr>
            <w:tcW w:w="2970" w:type="dxa"/>
            <w:gridSpan w:val="4"/>
            <w:tcBorders>
              <w:tl2br w:val="nil"/>
              <w:tr2bl w:val="nil"/>
            </w:tcBorders>
            <w:shd w:val="clear" w:color="auto" w:fill="auto"/>
            <w:vAlign w:val="center"/>
          </w:tcPr>
          <w:p w14:paraId="0521A747">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0"/>
                <w:szCs w:val="20"/>
                <w:highlight w:val="none"/>
              </w:rPr>
              <w:t>900-005-S17</w:t>
            </w:r>
          </w:p>
        </w:tc>
        <w:tc>
          <w:tcPr>
            <w:tcW w:w="2853" w:type="dxa"/>
            <w:gridSpan w:val="3"/>
            <w:tcBorders>
              <w:tl2br w:val="nil"/>
              <w:tr2bl w:val="nil"/>
            </w:tcBorders>
            <w:shd w:val="clear" w:color="auto" w:fill="auto"/>
            <w:vAlign w:val="center"/>
          </w:tcPr>
          <w:p w14:paraId="2060957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0.2</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196534CD">
            <w:pPr>
              <w:widowControl w:val="0"/>
              <w:snapToGrid w:val="0"/>
              <w:jc w:val="center"/>
              <w:rPr>
                <w:rFonts w:ascii="Times New Roman" w:hAnsi="Times New Roman" w:eastAsia="宋体" w:cs="Times New Roman"/>
                <w:caps w:val="0"/>
                <w:smallCaps w:val="0"/>
                <w:color w:val="auto"/>
                <w:spacing w:val="0"/>
                <w:sz w:val="21"/>
                <w:highlight w:val="none"/>
              </w:rPr>
            </w:pPr>
          </w:p>
        </w:tc>
      </w:tr>
      <w:tr w14:paraId="1C81DDF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57F9E58">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7D0737D0">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7F78A2D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废渗透膜</w:t>
            </w:r>
          </w:p>
        </w:tc>
        <w:tc>
          <w:tcPr>
            <w:tcW w:w="1442" w:type="dxa"/>
            <w:tcBorders>
              <w:tl2br w:val="nil"/>
              <w:tr2bl w:val="nil"/>
            </w:tcBorders>
            <w:shd w:val="clear" w:color="auto" w:fill="auto"/>
            <w:vAlign w:val="center"/>
          </w:tcPr>
          <w:p w14:paraId="3A785FD3">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由厂家回收处置</w:t>
            </w:r>
          </w:p>
        </w:tc>
        <w:tc>
          <w:tcPr>
            <w:tcW w:w="2970" w:type="dxa"/>
            <w:gridSpan w:val="4"/>
            <w:tcBorders>
              <w:tl2br w:val="nil"/>
              <w:tr2bl w:val="nil"/>
            </w:tcBorders>
            <w:shd w:val="clear" w:color="auto" w:fill="auto"/>
            <w:vAlign w:val="center"/>
          </w:tcPr>
          <w:p w14:paraId="4B23A963">
            <w:pPr>
              <w:widowControl w:val="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position w:val="1"/>
                <w:sz w:val="20"/>
                <w:szCs w:val="20"/>
                <w:highlight w:val="none"/>
              </w:rPr>
              <w:t>900-099-S59</w:t>
            </w:r>
          </w:p>
        </w:tc>
        <w:tc>
          <w:tcPr>
            <w:tcW w:w="2853" w:type="dxa"/>
            <w:gridSpan w:val="3"/>
            <w:tcBorders>
              <w:tl2br w:val="nil"/>
              <w:tr2bl w:val="nil"/>
            </w:tcBorders>
            <w:shd w:val="clear" w:color="auto" w:fill="auto"/>
            <w:vAlign w:val="center"/>
          </w:tcPr>
          <w:p w14:paraId="14DDF8BF">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0.5</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1BCF525E">
            <w:pPr>
              <w:widowControl w:val="0"/>
              <w:snapToGrid w:val="0"/>
              <w:jc w:val="center"/>
              <w:rPr>
                <w:rFonts w:ascii="Times New Roman" w:hAnsi="Times New Roman" w:eastAsia="宋体" w:cs="Times New Roman"/>
                <w:caps w:val="0"/>
                <w:smallCaps w:val="0"/>
                <w:color w:val="auto"/>
                <w:spacing w:val="0"/>
                <w:sz w:val="21"/>
                <w:highlight w:val="none"/>
              </w:rPr>
            </w:pPr>
          </w:p>
        </w:tc>
      </w:tr>
      <w:tr w14:paraId="28FE89E8">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C3C5CD3">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2E20EF94">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44E9BBFD">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废离子交换树脂</w:t>
            </w:r>
          </w:p>
        </w:tc>
        <w:tc>
          <w:tcPr>
            <w:tcW w:w="1442" w:type="dxa"/>
            <w:tcBorders>
              <w:tl2br w:val="nil"/>
              <w:tr2bl w:val="nil"/>
            </w:tcBorders>
            <w:shd w:val="clear" w:color="auto" w:fill="auto"/>
            <w:vAlign w:val="center"/>
          </w:tcPr>
          <w:p w14:paraId="336946A5">
            <w:pPr>
              <w:pStyle w:val="195"/>
              <w:widowControl w:val="0"/>
              <w:jc w:val="center"/>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lang w:eastAsia="zh-CN"/>
              </w:rPr>
              <w:t>由厂家回收处置</w:t>
            </w:r>
          </w:p>
        </w:tc>
        <w:tc>
          <w:tcPr>
            <w:tcW w:w="2970" w:type="dxa"/>
            <w:gridSpan w:val="4"/>
            <w:tcBorders>
              <w:tl2br w:val="nil"/>
              <w:tr2bl w:val="nil"/>
            </w:tcBorders>
            <w:shd w:val="clear" w:color="auto" w:fill="auto"/>
            <w:vAlign w:val="center"/>
          </w:tcPr>
          <w:p w14:paraId="6EAD9B5C">
            <w:pPr>
              <w:widowControl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0"/>
                <w:szCs w:val="20"/>
                <w:highlight w:val="none"/>
              </w:rPr>
              <w:t>900-008-S59</w:t>
            </w:r>
          </w:p>
        </w:tc>
        <w:tc>
          <w:tcPr>
            <w:tcW w:w="2853" w:type="dxa"/>
            <w:gridSpan w:val="3"/>
            <w:tcBorders>
              <w:tl2br w:val="nil"/>
              <w:tr2bl w:val="nil"/>
            </w:tcBorders>
            <w:shd w:val="clear" w:color="auto" w:fill="auto"/>
            <w:vAlign w:val="center"/>
          </w:tcPr>
          <w:p w14:paraId="2E0CF91A">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0.1</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5344BC72">
            <w:pPr>
              <w:widowControl w:val="0"/>
              <w:snapToGrid w:val="0"/>
              <w:jc w:val="center"/>
              <w:rPr>
                <w:rFonts w:ascii="Times New Roman" w:hAnsi="Times New Roman" w:eastAsia="宋体" w:cs="Times New Roman"/>
                <w:caps w:val="0"/>
                <w:smallCaps w:val="0"/>
                <w:color w:val="auto"/>
                <w:spacing w:val="0"/>
                <w:sz w:val="21"/>
                <w:highlight w:val="none"/>
              </w:rPr>
            </w:pPr>
          </w:p>
        </w:tc>
      </w:tr>
      <w:tr w14:paraId="5675143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696ED30A">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restart"/>
            <w:tcBorders>
              <w:tl2br w:val="nil"/>
              <w:tr2bl w:val="nil"/>
            </w:tcBorders>
            <w:shd w:val="clear" w:color="auto" w:fill="auto"/>
            <w:vAlign w:val="center"/>
          </w:tcPr>
          <w:p w14:paraId="76E365EE">
            <w:pPr>
              <w:pStyle w:val="105"/>
              <w:widowControl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rPr>
              <w:t>危险废物</w:t>
            </w:r>
          </w:p>
        </w:tc>
        <w:tc>
          <w:tcPr>
            <w:tcW w:w="1047" w:type="dxa"/>
            <w:tcBorders>
              <w:tl2br w:val="nil"/>
              <w:tr2bl w:val="nil"/>
            </w:tcBorders>
            <w:shd w:val="clear" w:color="auto" w:fill="auto"/>
            <w:vAlign w:val="center"/>
          </w:tcPr>
          <w:p w14:paraId="37F2ADA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废真空罩</w:t>
            </w:r>
          </w:p>
        </w:tc>
        <w:tc>
          <w:tcPr>
            <w:tcW w:w="1442" w:type="dxa"/>
            <w:vMerge w:val="restart"/>
            <w:tcBorders>
              <w:tl2br w:val="nil"/>
              <w:tr2bl w:val="nil"/>
            </w:tcBorders>
            <w:shd w:val="clear" w:color="auto" w:fill="auto"/>
            <w:vAlign w:val="center"/>
          </w:tcPr>
          <w:p w14:paraId="5DA2164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危险废物贮存库，有资质单位处置</w:t>
            </w:r>
          </w:p>
        </w:tc>
        <w:tc>
          <w:tcPr>
            <w:tcW w:w="2970" w:type="dxa"/>
            <w:gridSpan w:val="4"/>
            <w:tcBorders>
              <w:tl2br w:val="nil"/>
              <w:tr2bl w:val="nil"/>
            </w:tcBorders>
            <w:shd w:val="clear" w:color="auto" w:fill="auto"/>
            <w:vAlign w:val="center"/>
          </w:tcPr>
          <w:p w14:paraId="0E43B8D0">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7B426BE9">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0.1</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restart"/>
            <w:tcBorders>
              <w:tl2br w:val="nil"/>
              <w:tr2bl w:val="nil"/>
            </w:tcBorders>
            <w:shd w:val="clear" w:color="auto" w:fill="auto"/>
            <w:vAlign w:val="center"/>
          </w:tcPr>
          <w:p w14:paraId="6B9C76FF">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《危险废物贮存污染控制标准》(GB18597-2023)</w:t>
            </w:r>
          </w:p>
          <w:p w14:paraId="2B5AC418">
            <w:pPr>
              <w:widowControl w:val="0"/>
              <w:snapToGrid w:val="0"/>
              <w:jc w:val="center"/>
              <w:rPr>
                <w:rFonts w:ascii="Times New Roman" w:hAnsi="Times New Roman" w:eastAsia="宋体" w:cs="Times New Roman"/>
                <w:caps w:val="0"/>
                <w:smallCaps w:val="0"/>
                <w:color w:val="auto"/>
                <w:spacing w:val="0"/>
                <w:sz w:val="21"/>
                <w:highlight w:val="none"/>
              </w:rPr>
            </w:pPr>
          </w:p>
        </w:tc>
      </w:tr>
      <w:tr w14:paraId="73216CC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6955E5EF">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E37E5CE">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07D4F85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废石墨舟</w:t>
            </w:r>
          </w:p>
        </w:tc>
        <w:tc>
          <w:tcPr>
            <w:tcW w:w="1442" w:type="dxa"/>
            <w:vMerge w:val="continue"/>
            <w:tcBorders>
              <w:tl2br w:val="nil"/>
              <w:tr2bl w:val="nil"/>
            </w:tcBorders>
            <w:shd w:val="clear" w:color="auto" w:fill="auto"/>
            <w:vAlign w:val="center"/>
          </w:tcPr>
          <w:p w14:paraId="50464587">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04060046">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77343106">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0.05</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1320E13F">
            <w:pPr>
              <w:widowControl w:val="0"/>
              <w:snapToGrid w:val="0"/>
              <w:jc w:val="center"/>
              <w:rPr>
                <w:rFonts w:ascii="Times New Roman" w:hAnsi="Times New Roman" w:eastAsia="宋体" w:cs="Times New Roman"/>
                <w:caps w:val="0"/>
                <w:smallCaps w:val="0"/>
                <w:color w:val="auto"/>
                <w:spacing w:val="0"/>
                <w:sz w:val="21"/>
                <w:highlight w:val="none"/>
              </w:rPr>
            </w:pPr>
          </w:p>
        </w:tc>
      </w:tr>
      <w:tr w14:paraId="40E5828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52C9049">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0FF7170F">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690CD61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废电池组</w:t>
            </w:r>
          </w:p>
          <w:p w14:paraId="2D821F0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件、破裂</w:t>
            </w:r>
          </w:p>
          <w:p w14:paraId="3AE6C42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玻璃</w:t>
            </w:r>
          </w:p>
        </w:tc>
        <w:tc>
          <w:tcPr>
            <w:tcW w:w="1442" w:type="dxa"/>
            <w:vMerge w:val="continue"/>
            <w:tcBorders>
              <w:tl2br w:val="nil"/>
              <w:tr2bl w:val="nil"/>
            </w:tcBorders>
            <w:shd w:val="clear" w:color="auto" w:fill="auto"/>
            <w:vAlign w:val="center"/>
          </w:tcPr>
          <w:p w14:paraId="2E815641">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637A01EB">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5F6F79A2">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61.26</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0A477B96">
            <w:pPr>
              <w:widowControl w:val="0"/>
              <w:snapToGrid w:val="0"/>
              <w:jc w:val="center"/>
              <w:rPr>
                <w:rFonts w:ascii="Times New Roman" w:hAnsi="Times New Roman" w:eastAsia="宋体" w:cs="Times New Roman"/>
                <w:caps w:val="0"/>
                <w:smallCaps w:val="0"/>
                <w:color w:val="auto"/>
                <w:spacing w:val="0"/>
                <w:sz w:val="21"/>
                <w:highlight w:val="none"/>
              </w:rPr>
            </w:pPr>
          </w:p>
        </w:tc>
      </w:tr>
      <w:tr w14:paraId="073D2FA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45630B20">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481EA2E3">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24A84DE2">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废UV</w:t>
            </w:r>
          </w:p>
          <w:p w14:paraId="75A15EA4">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灯管</w:t>
            </w:r>
          </w:p>
        </w:tc>
        <w:tc>
          <w:tcPr>
            <w:tcW w:w="1442" w:type="dxa"/>
            <w:vMerge w:val="continue"/>
            <w:tcBorders>
              <w:tl2br w:val="nil"/>
              <w:tr2bl w:val="nil"/>
            </w:tcBorders>
            <w:shd w:val="clear" w:color="auto" w:fill="auto"/>
            <w:vAlign w:val="center"/>
          </w:tcPr>
          <w:p w14:paraId="067A575D">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74226DF7">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HW29，900-023-29</w:t>
            </w:r>
          </w:p>
        </w:tc>
        <w:tc>
          <w:tcPr>
            <w:tcW w:w="2853" w:type="dxa"/>
            <w:gridSpan w:val="3"/>
            <w:tcBorders>
              <w:tl2br w:val="nil"/>
              <w:tr2bl w:val="nil"/>
            </w:tcBorders>
            <w:shd w:val="clear" w:color="auto" w:fill="auto"/>
            <w:vAlign w:val="center"/>
          </w:tcPr>
          <w:p w14:paraId="12AD2F81">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0.01</w:t>
            </w:r>
            <w:r>
              <w:rPr>
                <w:rStyle w:val="47"/>
                <w:rFonts w:hint="default" w:ascii="Times New Roman" w:hAnsi="Times New Roman" w:cs="Times New Roman"/>
                <w:caps w:val="0"/>
                <w:smallCaps w:val="0"/>
                <w:color w:val="auto"/>
                <w:spacing w:val="0"/>
                <w:highlight w:val="none"/>
                <w:lang w:val="en-US" w:eastAsia="zh-CN"/>
              </w:rPr>
              <w:t>t/</w:t>
            </w:r>
            <w:r>
              <w:rPr>
                <w:rStyle w:val="47"/>
                <w:rFonts w:hint="eastAsia" w:ascii="Times New Roman" w:hAnsi="Times New Roman" w:cs="Times New Roman"/>
                <w:caps w:val="0"/>
                <w:smallCaps w:val="0"/>
                <w:color w:val="auto"/>
                <w:spacing w:val="0"/>
                <w:highlight w:val="none"/>
                <w:lang w:val="en-US" w:eastAsia="zh-CN"/>
              </w:rPr>
              <w:t>3</w:t>
            </w:r>
            <w:r>
              <w:rPr>
                <w:rStyle w:val="47"/>
                <w:rFonts w:hint="default" w:ascii="Times New Roman" w:hAnsi="Times New Roman" w:cs="Times New Roman"/>
                <w:caps w:val="0"/>
                <w:smallCaps w:val="0"/>
                <w:color w:val="auto"/>
                <w:spacing w:val="0"/>
                <w:highlight w:val="none"/>
                <w:lang w:val="en-US" w:eastAsia="zh-CN"/>
              </w:rPr>
              <w:t>a</w:t>
            </w:r>
          </w:p>
        </w:tc>
        <w:tc>
          <w:tcPr>
            <w:tcW w:w="4466" w:type="dxa"/>
            <w:gridSpan w:val="3"/>
            <w:vMerge w:val="continue"/>
            <w:tcBorders>
              <w:tl2br w:val="nil"/>
              <w:tr2bl w:val="nil"/>
            </w:tcBorders>
            <w:shd w:val="clear" w:color="auto" w:fill="auto"/>
            <w:vAlign w:val="center"/>
          </w:tcPr>
          <w:p w14:paraId="01F86F7A">
            <w:pPr>
              <w:widowControl w:val="0"/>
              <w:snapToGrid w:val="0"/>
              <w:jc w:val="center"/>
              <w:rPr>
                <w:rFonts w:ascii="Times New Roman" w:hAnsi="Times New Roman" w:eastAsia="宋体" w:cs="Times New Roman"/>
                <w:caps w:val="0"/>
                <w:smallCaps w:val="0"/>
                <w:color w:val="auto"/>
                <w:spacing w:val="0"/>
                <w:sz w:val="21"/>
                <w:highlight w:val="none"/>
              </w:rPr>
            </w:pPr>
          </w:p>
        </w:tc>
      </w:tr>
      <w:tr w14:paraId="0DD734D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6B49149">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29DEFFBD">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26ED68BF">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润滑油</w:t>
            </w:r>
          </w:p>
        </w:tc>
        <w:tc>
          <w:tcPr>
            <w:tcW w:w="1442" w:type="dxa"/>
            <w:vMerge w:val="continue"/>
            <w:tcBorders>
              <w:tl2br w:val="nil"/>
              <w:tr2bl w:val="nil"/>
            </w:tcBorders>
            <w:shd w:val="clear" w:color="auto" w:fill="auto"/>
            <w:vAlign w:val="center"/>
          </w:tcPr>
          <w:p w14:paraId="4B121F24">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0A0CC921">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HW08，900-249-08</w:t>
            </w:r>
          </w:p>
        </w:tc>
        <w:tc>
          <w:tcPr>
            <w:tcW w:w="2853" w:type="dxa"/>
            <w:gridSpan w:val="3"/>
            <w:tcBorders>
              <w:tl2br w:val="nil"/>
              <w:tr2bl w:val="nil"/>
            </w:tcBorders>
            <w:shd w:val="clear" w:color="auto" w:fill="auto"/>
            <w:vAlign w:val="center"/>
          </w:tcPr>
          <w:p w14:paraId="2820A7C2">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0.1</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1D1C646B">
            <w:pPr>
              <w:widowControl w:val="0"/>
              <w:snapToGrid w:val="0"/>
              <w:jc w:val="center"/>
              <w:rPr>
                <w:rFonts w:ascii="Times New Roman" w:hAnsi="Times New Roman" w:eastAsia="宋体" w:cs="Times New Roman"/>
                <w:caps w:val="0"/>
                <w:smallCaps w:val="0"/>
                <w:color w:val="auto"/>
                <w:spacing w:val="0"/>
                <w:sz w:val="21"/>
                <w:highlight w:val="none"/>
              </w:rPr>
            </w:pPr>
          </w:p>
        </w:tc>
      </w:tr>
      <w:tr w14:paraId="7B1200C3">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7603D463">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58CC1E6">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3B0DA6F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废劳保用品</w:t>
            </w:r>
          </w:p>
        </w:tc>
        <w:tc>
          <w:tcPr>
            <w:tcW w:w="1442" w:type="dxa"/>
            <w:vMerge w:val="continue"/>
            <w:tcBorders>
              <w:tl2br w:val="nil"/>
              <w:tr2bl w:val="nil"/>
            </w:tcBorders>
            <w:shd w:val="clear" w:color="auto" w:fill="auto"/>
            <w:vAlign w:val="center"/>
          </w:tcPr>
          <w:p w14:paraId="6DA91818">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0D317512">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HW49，900-047-49</w:t>
            </w:r>
          </w:p>
        </w:tc>
        <w:tc>
          <w:tcPr>
            <w:tcW w:w="2853" w:type="dxa"/>
            <w:gridSpan w:val="3"/>
            <w:tcBorders>
              <w:tl2br w:val="nil"/>
              <w:tr2bl w:val="nil"/>
            </w:tcBorders>
            <w:shd w:val="clear" w:color="auto" w:fill="auto"/>
            <w:vAlign w:val="center"/>
          </w:tcPr>
          <w:p w14:paraId="3324D4E2">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0.1</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7D8D00C2">
            <w:pPr>
              <w:widowControl w:val="0"/>
              <w:snapToGrid w:val="0"/>
              <w:jc w:val="center"/>
              <w:rPr>
                <w:rFonts w:ascii="Times New Roman" w:hAnsi="Times New Roman" w:eastAsia="宋体" w:cs="Times New Roman"/>
                <w:caps w:val="0"/>
                <w:smallCaps w:val="0"/>
                <w:color w:val="auto"/>
                <w:spacing w:val="0"/>
                <w:sz w:val="21"/>
                <w:highlight w:val="none"/>
              </w:rPr>
            </w:pPr>
          </w:p>
        </w:tc>
      </w:tr>
      <w:tr w14:paraId="31B1182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69661474">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726698C9">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0339D903">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废</w:t>
            </w:r>
            <w:r>
              <w:rPr>
                <w:rFonts w:ascii="Times New Roman" w:hAnsi="Times New Roman" w:cs="Times New Roman"/>
                <w:caps w:val="0"/>
                <w:smallCaps w:val="0"/>
                <w:color w:val="auto"/>
                <w:spacing w:val="0"/>
                <w:highlight w:val="none"/>
                <w:lang w:eastAsia="zh-CN"/>
              </w:rPr>
              <w:t>包装材料</w:t>
            </w:r>
          </w:p>
        </w:tc>
        <w:tc>
          <w:tcPr>
            <w:tcW w:w="1442" w:type="dxa"/>
            <w:vMerge w:val="continue"/>
            <w:tcBorders>
              <w:tl2br w:val="nil"/>
              <w:tr2bl w:val="nil"/>
            </w:tcBorders>
            <w:shd w:val="clear" w:color="auto" w:fill="auto"/>
            <w:vAlign w:val="center"/>
          </w:tcPr>
          <w:p w14:paraId="6E612299">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76B312AF">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HW49，900-047-49</w:t>
            </w:r>
          </w:p>
        </w:tc>
        <w:tc>
          <w:tcPr>
            <w:tcW w:w="2853" w:type="dxa"/>
            <w:gridSpan w:val="3"/>
            <w:tcBorders>
              <w:tl2br w:val="nil"/>
              <w:tr2bl w:val="nil"/>
            </w:tcBorders>
            <w:shd w:val="clear" w:color="auto" w:fill="auto"/>
            <w:vAlign w:val="center"/>
          </w:tcPr>
          <w:p w14:paraId="4D57F5AA">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0.4</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1DAAA773">
            <w:pPr>
              <w:widowControl w:val="0"/>
              <w:snapToGrid w:val="0"/>
              <w:jc w:val="center"/>
              <w:rPr>
                <w:rFonts w:ascii="Times New Roman" w:hAnsi="Times New Roman" w:eastAsia="宋体" w:cs="Times New Roman"/>
                <w:caps w:val="0"/>
                <w:smallCaps w:val="0"/>
                <w:color w:val="auto"/>
                <w:spacing w:val="0"/>
                <w:sz w:val="21"/>
                <w:highlight w:val="none"/>
              </w:rPr>
            </w:pPr>
          </w:p>
        </w:tc>
      </w:tr>
      <w:tr w14:paraId="6580803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CE6C067">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64DBC36F">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0FC984E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废铅蓄电池</w:t>
            </w:r>
          </w:p>
        </w:tc>
        <w:tc>
          <w:tcPr>
            <w:tcW w:w="1442" w:type="dxa"/>
            <w:tcBorders>
              <w:tl2br w:val="nil"/>
              <w:tr2bl w:val="nil"/>
            </w:tcBorders>
            <w:shd w:val="clear" w:color="auto" w:fill="auto"/>
            <w:vAlign w:val="center"/>
          </w:tcPr>
          <w:p w14:paraId="7DF1A31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不在厂区暂存，直接由厂家回收</w:t>
            </w:r>
          </w:p>
        </w:tc>
        <w:tc>
          <w:tcPr>
            <w:tcW w:w="2970" w:type="dxa"/>
            <w:gridSpan w:val="4"/>
            <w:tcBorders>
              <w:tl2br w:val="nil"/>
              <w:tr2bl w:val="nil"/>
            </w:tcBorders>
            <w:shd w:val="clear" w:color="auto" w:fill="auto"/>
            <w:vAlign w:val="center"/>
          </w:tcPr>
          <w:p w14:paraId="67711F59">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HW31，900-052-31</w:t>
            </w:r>
          </w:p>
        </w:tc>
        <w:tc>
          <w:tcPr>
            <w:tcW w:w="2853" w:type="dxa"/>
            <w:gridSpan w:val="3"/>
            <w:tcBorders>
              <w:tl2br w:val="nil"/>
              <w:tr2bl w:val="nil"/>
            </w:tcBorders>
            <w:shd w:val="clear" w:color="auto" w:fill="auto"/>
            <w:vAlign w:val="center"/>
          </w:tcPr>
          <w:p w14:paraId="65FBF32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0.1</w:t>
            </w:r>
            <w:r>
              <w:rPr>
                <w:rStyle w:val="47"/>
                <w:rFonts w:hint="default" w:ascii="Times New Roman" w:hAnsi="Times New Roman" w:cs="Times New Roman"/>
                <w:caps w:val="0"/>
                <w:smallCaps w:val="0"/>
                <w:color w:val="auto"/>
                <w:spacing w:val="0"/>
                <w:highlight w:val="none"/>
                <w:lang w:val="en-US" w:eastAsia="zh-CN"/>
              </w:rPr>
              <w:t>t/</w:t>
            </w:r>
            <w:r>
              <w:rPr>
                <w:rStyle w:val="47"/>
                <w:rFonts w:hint="eastAsia" w:ascii="Times New Roman" w:hAnsi="Times New Roman" w:cs="Times New Roman"/>
                <w:caps w:val="0"/>
                <w:smallCaps w:val="0"/>
                <w:color w:val="auto"/>
                <w:spacing w:val="0"/>
                <w:highlight w:val="none"/>
                <w:lang w:val="en-US" w:eastAsia="zh-CN"/>
              </w:rPr>
              <w:t>3</w:t>
            </w:r>
            <w:r>
              <w:rPr>
                <w:rStyle w:val="47"/>
                <w:rFonts w:hint="default" w:ascii="Times New Roman" w:hAnsi="Times New Roman" w:cs="Times New Roman"/>
                <w:caps w:val="0"/>
                <w:smallCaps w:val="0"/>
                <w:color w:val="auto"/>
                <w:spacing w:val="0"/>
                <w:highlight w:val="none"/>
                <w:lang w:val="en-US" w:eastAsia="zh-CN"/>
              </w:rPr>
              <w:t>a</w:t>
            </w:r>
          </w:p>
        </w:tc>
        <w:tc>
          <w:tcPr>
            <w:tcW w:w="4466" w:type="dxa"/>
            <w:gridSpan w:val="3"/>
            <w:vMerge w:val="continue"/>
            <w:tcBorders>
              <w:tl2br w:val="nil"/>
              <w:tr2bl w:val="nil"/>
            </w:tcBorders>
            <w:shd w:val="clear" w:color="auto" w:fill="auto"/>
            <w:vAlign w:val="center"/>
          </w:tcPr>
          <w:p w14:paraId="23E7328B">
            <w:pPr>
              <w:widowControl w:val="0"/>
              <w:snapToGrid w:val="0"/>
              <w:jc w:val="center"/>
              <w:rPr>
                <w:rFonts w:ascii="Times New Roman" w:hAnsi="Times New Roman" w:eastAsia="宋体" w:cs="Times New Roman"/>
                <w:caps w:val="0"/>
                <w:smallCaps w:val="0"/>
                <w:color w:val="auto"/>
                <w:spacing w:val="0"/>
                <w:sz w:val="21"/>
                <w:highlight w:val="none"/>
              </w:rPr>
            </w:pPr>
          </w:p>
        </w:tc>
      </w:tr>
      <w:tr w14:paraId="65666A4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5A23BA5D">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44A19FFE">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6C0A445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实验废液</w:t>
            </w:r>
          </w:p>
        </w:tc>
        <w:tc>
          <w:tcPr>
            <w:tcW w:w="1442" w:type="dxa"/>
            <w:vMerge w:val="restart"/>
            <w:tcBorders>
              <w:tl2br w:val="nil"/>
              <w:tr2bl w:val="nil"/>
            </w:tcBorders>
            <w:shd w:val="clear" w:color="auto" w:fill="auto"/>
            <w:vAlign w:val="center"/>
          </w:tcPr>
          <w:p w14:paraId="76A86DDE">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危险废物贮存库，</w:t>
            </w:r>
            <w:r>
              <w:rPr>
                <w:rFonts w:hint="eastAsia" w:ascii="Times New Roman" w:hAnsi="Times New Roman" w:cs="Times New Roman"/>
                <w:caps w:val="0"/>
                <w:smallCaps w:val="0"/>
                <w:color w:val="auto"/>
                <w:spacing w:val="0"/>
                <w:highlight w:val="none"/>
                <w:lang w:val="en-US" w:eastAsia="zh-CN"/>
              </w:rPr>
              <w:t>由</w:t>
            </w:r>
            <w:r>
              <w:rPr>
                <w:rFonts w:ascii="Times New Roman" w:hAnsi="Times New Roman" w:cs="Times New Roman"/>
                <w:caps w:val="0"/>
                <w:smallCaps w:val="0"/>
                <w:color w:val="auto"/>
                <w:spacing w:val="0"/>
                <w:highlight w:val="none"/>
                <w:lang w:eastAsia="zh-CN"/>
              </w:rPr>
              <w:t>有资质单位处置</w:t>
            </w:r>
          </w:p>
        </w:tc>
        <w:tc>
          <w:tcPr>
            <w:tcW w:w="2970" w:type="dxa"/>
            <w:gridSpan w:val="4"/>
            <w:tcBorders>
              <w:tl2br w:val="nil"/>
              <w:tr2bl w:val="nil"/>
            </w:tcBorders>
            <w:shd w:val="clear" w:color="auto" w:fill="auto"/>
            <w:vAlign w:val="center"/>
          </w:tcPr>
          <w:p w14:paraId="545B7C80">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HW49，900-047-49</w:t>
            </w:r>
          </w:p>
        </w:tc>
        <w:tc>
          <w:tcPr>
            <w:tcW w:w="2853" w:type="dxa"/>
            <w:gridSpan w:val="3"/>
            <w:tcBorders>
              <w:tl2br w:val="nil"/>
              <w:tr2bl w:val="nil"/>
            </w:tcBorders>
            <w:shd w:val="clear" w:color="auto" w:fill="auto"/>
            <w:vAlign w:val="center"/>
          </w:tcPr>
          <w:p w14:paraId="15207F9D">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0.01</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4E3671B7">
            <w:pPr>
              <w:widowControl w:val="0"/>
              <w:snapToGrid w:val="0"/>
              <w:jc w:val="center"/>
              <w:rPr>
                <w:rFonts w:ascii="Times New Roman" w:hAnsi="Times New Roman" w:eastAsia="宋体" w:cs="Times New Roman"/>
                <w:caps w:val="0"/>
                <w:smallCaps w:val="0"/>
                <w:color w:val="auto"/>
                <w:spacing w:val="0"/>
                <w:sz w:val="21"/>
                <w:highlight w:val="none"/>
              </w:rPr>
            </w:pPr>
          </w:p>
        </w:tc>
      </w:tr>
      <w:tr w14:paraId="11B77EF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2A934DA9">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788482DA">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3B5EB9F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w:t>
            </w:r>
          </w:p>
          <w:p w14:paraId="24F466CD">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膜、废反</w:t>
            </w:r>
          </w:p>
          <w:p w14:paraId="65D19EE6">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渗透膜</w:t>
            </w:r>
          </w:p>
        </w:tc>
        <w:tc>
          <w:tcPr>
            <w:tcW w:w="1442" w:type="dxa"/>
            <w:vMerge w:val="continue"/>
            <w:tcBorders>
              <w:tl2br w:val="nil"/>
              <w:tr2bl w:val="nil"/>
            </w:tcBorders>
            <w:shd w:val="clear" w:color="auto" w:fill="auto"/>
            <w:vAlign w:val="center"/>
          </w:tcPr>
          <w:p w14:paraId="065A904B">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5AE40EFE">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27137801">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0.5</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5F4CDB16">
            <w:pPr>
              <w:widowControl w:val="0"/>
              <w:snapToGrid w:val="0"/>
              <w:jc w:val="center"/>
              <w:rPr>
                <w:rFonts w:ascii="Times New Roman" w:hAnsi="Times New Roman" w:eastAsia="宋体" w:cs="Times New Roman"/>
                <w:caps w:val="0"/>
                <w:smallCaps w:val="0"/>
                <w:color w:val="auto"/>
                <w:spacing w:val="0"/>
                <w:sz w:val="21"/>
                <w:highlight w:val="none"/>
              </w:rPr>
            </w:pPr>
          </w:p>
        </w:tc>
      </w:tr>
      <w:tr w14:paraId="32C95260">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86749D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70A976F2">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6030C2D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污泥、蒸发结晶盐</w:t>
            </w:r>
          </w:p>
        </w:tc>
        <w:tc>
          <w:tcPr>
            <w:tcW w:w="1442" w:type="dxa"/>
            <w:vMerge w:val="continue"/>
            <w:tcBorders>
              <w:tl2br w:val="nil"/>
              <w:tr2bl w:val="nil"/>
            </w:tcBorders>
            <w:shd w:val="clear" w:color="auto" w:fill="auto"/>
            <w:vAlign w:val="center"/>
          </w:tcPr>
          <w:p w14:paraId="7754A296">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48F8D7CB">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30C7DC78">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1.5</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584A7F44">
            <w:pPr>
              <w:widowControl w:val="0"/>
              <w:snapToGrid w:val="0"/>
              <w:jc w:val="center"/>
              <w:rPr>
                <w:rFonts w:ascii="Times New Roman" w:hAnsi="Times New Roman" w:eastAsia="宋体" w:cs="Times New Roman"/>
                <w:caps w:val="0"/>
                <w:smallCaps w:val="0"/>
                <w:color w:val="auto"/>
                <w:spacing w:val="0"/>
                <w:sz w:val="21"/>
                <w:highlight w:val="none"/>
              </w:rPr>
            </w:pPr>
          </w:p>
        </w:tc>
      </w:tr>
      <w:tr w14:paraId="5F31778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029B19BC">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C1D9BA3">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21EC7A50">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rPr>
              <w:t>收尘灰</w:t>
            </w:r>
          </w:p>
        </w:tc>
        <w:tc>
          <w:tcPr>
            <w:tcW w:w="1442" w:type="dxa"/>
            <w:vMerge w:val="continue"/>
            <w:tcBorders>
              <w:tl2br w:val="nil"/>
              <w:tr2bl w:val="nil"/>
            </w:tcBorders>
            <w:shd w:val="clear" w:color="auto" w:fill="auto"/>
            <w:vAlign w:val="center"/>
          </w:tcPr>
          <w:p w14:paraId="7B491F1D">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5FBE0FD0">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0552EFB9">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3.</w:t>
            </w:r>
            <w:r>
              <w:rPr>
                <w:rFonts w:hint="eastAsia" w:ascii="Times New Roman" w:hAnsi="Times New Roman" w:eastAsia="宋体" w:cs="Times New Roman"/>
                <w:caps w:val="0"/>
                <w:smallCaps w:val="0"/>
                <w:color w:val="auto"/>
                <w:spacing w:val="0"/>
                <w:sz w:val="20"/>
                <w:szCs w:val="20"/>
                <w:highlight w:val="none"/>
                <w:lang w:val="en-US" w:eastAsia="zh-CN"/>
              </w:rPr>
              <w:t>80</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33F32840">
            <w:pPr>
              <w:widowControl w:val="0"/>
              <w:snapToGrid w:val="0"/>
              <w:jc w:val="center"/>
              <w:rPr>
                <w:rFonts w:ascii="Times New Roman" w:hAnsi="Times New Roman" w:eastAsia="宋体" w:cs="Times New Roman"/>
                <w:caps w:val="0"/>
                <w:smallCaps w:val="0"/>
                <w:color w:val="auto"/>
                <w:spacing w:val="0"/>
                <w:sz w:val="21"/>
                <w:highlight w:val="none"/>
              </w:rPr>
            </w:pPr>
          </w:p>
        </w:tc>
      </w:tr>
      <w:tr w14:paraId="2BB6E80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14F517A0">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555290AC">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7A6845BA">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废过滤器</w:t>
            </w:r>
          </w:p>
        </w:tc>
        <w:tc>
          <w:tcPr>
            <w:tcW w:w="1442" w:type="dxa"/>
            <w:vMerge w:val="continue"/>
            <w:tcBorders>
              <w:tl2br w:val="nil"/>
              <w:tr2bl w:val="nil"/>
            </w:tcBorders>
            <w:shd w:val="clear" w:color="auto" w:fill="auto"/>
            <w:vAlign w:val="center"/>
          </w:tcPr>
          <w:p w14:paraId="4E44CEA7">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35F24D24">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HW26，384-002-26</w:t>
            </w:r>
          </w:p>
        </w:tc>
        <w:tc>
          <w:tcPr>
            <w:tcW w:w="2853" w:type="dxa"/>
            <w:gridSpan w:val="3"/>
            <w:tcBorders>
              <w:tl2br w:val="nil"/>
              <w:tr2bl w:val="nil"/>
            </w:tcBorders>
            <w:shd w:val="clear" w:color="auto" w:fill="auto"/>
            <w:vAlign w:val="center"/>
          </w:tcPr>
          <w:p w14:paraId="5E7BCEBB">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0.5</w:t>
            </w:r>
            <w:r>
              <w:rPr>
                <w:rStyle w:val="47"/>
                <w:rFonts w:hint="default" w:ascii="Times New Roman" w:hAnsi="Times New Roman" w:cs="Times New Roman"/>
                <w:caps w:val="0"/>
                <w:smallCaps w:val="0"/>
                <w:color w:val="auto"/>
                <w:spacing w:val="0"/>
                <w:highlight w:val="none"/>
                <w:lang w:val="en-US" w:eastAsia="zh-CN"/>
              </w:rPr>
              <w:t>t/</w:t>
            </w:r>
            <w:r>
              <w:rPr>
                <w:rStyle w:val="47"/>
                <w:rFonts w:hint="eastAsia" w:ascii="Times New Roman" w:hAnsi="Times New Roman" w:cs="Times New Roman"/>
                <w:caps w:val="0"/>
                <w:smallCaps w:val="0"/>
                <w:color w:val="auto"/>
                <w:spacing w:val="0"/>
                <w:highlight w:val="none"/>
                <w:lang w:val="en-US" w:eastAsia="zh-CN"/>
              </w:rPr>
              <w:t>3</w:t>
            </w:r>
            <w:r>
              <w:rPr>
                <w:rStyle w:val="47"/>
                <w:rFonts w:hint="default" w:ascii="Times New Roman" w:hAnsi="Times New Roman" w:cs="Times New Roman"/>
                <w:caps w:val="0"/>
                <w:smallCaps w:val="0"/>
                <w:color w:val="auto"/>
                <w:spacing w:val="0"/>
                <w:highlight w:val="none"/>
                <w:lang w:val="en-US" w:eastAsia="zh-CN"/>
              </w:rPr>
              <w:t>a</w:t>
            </w:r>
          </w:p>
        </w:tc>
        <w:tc>
          <w:tcPr>
            <w:tcW w:w="4466" w:type="dxa"/>
            <w:gridSpan w:val="3"/>
            <w:vMerge w:val="continue"/>
            <w:tcBorders>
              <w:tl2br w:val="nil"/>
              <w:tr2bl w:val="nil"/>
            </w:tcBorders>
            <w:shd w:val="clear" w:color="auto" w:fill="auto"/>
            <w:vAlign w:val="center"/>
          </w:tcPr>
          <w:p w14:paraId="38ECCCA9">
            <w:pPr>
              <w:widowControl w:val="0"/>
              <w:snapToGrid w:val="0"/>
              <w:jc w:val="center"/>
              <w:rPr>
                <w:rFonts w:ascii="Times New Roman" w:hAnsi="Times New Roman" w:eastAsia="宋体" w:cs="Times New Roman"/>
                <w:caps w:val="0"/>
                <w:smallCaps w:val="0"/>
                <w:color w:val="auto"/>
                <w:spacing w:val="0"/>
                <w:sz w:val="21"/>
                <w:highlight w:val="none"/>
              </w:rPr>
            </w:pPr>
          </w:p>
        </w:tc>
      </w:tr>
      <w:tr w14:paraId="38016CE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56" w:type="dxa"/>
            <w:vMerge w:val="continue"/>
            <w:tcBorders>
              <w:tl2br w:val="nil"/>
              <w:tr2bl w:val="nil"/>
            </w:tcBorders>
            <w:shd w:val="clear" w:color="auto" w:fill="auto"/>
            <w:vAlign w:val="center"/>
          </w:tcPr>
          <w:p w14:paraId="38DDE9F6">
            <w:pPr>
              <w:widowControl w:val="0"/>
              <w:snapToGrid w:val="0"/>
              <w:jc w:val="center"/>
              <w:rPr>
                <w:rFonts w:ascii="Times New Roman" w:hAnsi="Times New Roman" w:eastAsia="宋体" w:cs="Times New Roman"/>
                <w:caps w:val="0"/>
                <w:smallCaps w:val="0"/>
                <w:color w:val="auto"/>
                <w:spacing w:val="0"/>
                <w:sz w:val="21"/>
                <w:highlight w:val="none"/>
              </w:rPr>
            </w:pPr>
          </w:p>
        </w:tc>
        <w:tc>
          <w:tcPr>
            <w:tcW w:w="940" w:type="dxa"/>
            <w:vMerge w:val="continue"/>
            <w:tcBorders>
              <w:tl2br w:val="nil"/>
              <w:tr2bl w:val="nil"/>
            </w:tcBorders>
            <w:shd w:val="clear" w:color="auto" w:fill="auto"/>
            <w:vAlign w:val="center"/>
          </w:tcPr>
          <w:p w14:paraId="79C30214">
            <w:pPr>
              <w:pStyle w:val="105"/>
              <w:widowControl w:val="0"/>
              <w:jc w:val="center"/>
              <w:rPr>
                <w:rFonts w:ascii="Times New Roman" w:hAnsi="Times New Roman" w:cs="Times New Roman"/>
                <w:caps w:val="0"/>
                <w:smallCaps w:val="0"/>
                <w:color w:val="auto"/>
                <w:spacing w:val="0"/>
                <w:sz w:val="21"/>
                <w:szCs w:val="21"/>
                <w:highlight w:val="none"/>
              </w:rPr>
            </w:pPr>
          </w:p>
        </w:tc>
        <w:tc>
          <w:tcPr>
            <w:tcW w:w="1047" w:type="dxa"/>
            <w:tcBorders>
              <w:tl2br w:val="nil"/>
              <w:tr2bl w:val="nil"/>
            </w:tcBorders>
            <w:shd w:val="clear" w:color="auto" w:fill="auto"/>
            <w:vAlign w:val="center"/>
          </w:tcPr>
          <w:p w14:paraId="0D3B8038">
            <w:pPr>
              <w:pStyle w:val="195"/>
              <w:widowControl w:val="0"/>
              <w:jc w:val="center"/>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废活性炭</w:t>
            </w:r>
          </w:p>
        </w:tc>
        <w:tc>
          <w:tcPr>
            <w:tcW w:w="1442" w:type="dxa"/>
            <w:vMerge w:val="continue"/>
            <w:tcBorders>
              <w:tl2br w:val="nil"/>
              <w:tr2bl w:val="nil"/>
            </w:tcBorders>
            <w:shd w:val="clear" w:color="auto" w:fill="auto"/>
            <w:vAlign w:val="center"/>
          </w:tcPr>
          <w:p w14:paraId="4EDA71F1">
            <w:pPr>
              <w:pStyle w:val="195"/>
              <w:widowControl w:val="0"/>
              <w:jc w:val="center"/>
              <w:rPr>
                <w:rFonts w:ascii="Times New Roman" w:hAnsi="Times New Roman" w:cs="Times New Roman"/>
                <w:caps w:val="0"/>
                <w:smallCaps w:val="0"/>
                <w:color w:val="auto"/>
                <w:spacing w:val="0"/>
                <w:highlight w:val="none"/>
                <w:lang w:eastAsia="zh-CN"/>
              </w:rPr>
            </w:pPr>
          </w:p>
        </w:tc>
        <w:tc>
          <w:tcPr>
            <w:tcW w:w="2970" w:type="dxa"/>
            <w:gridSpan w:val="4"/>
            <w:tcBorders>
              <w:tl2br w:val="nil"/>
              <w:tr2bl w:val="nil"/>
            </w:tcBorders>
            <w:shd w:val="clear" w:color="auto" w:fill="auto"/>
            <w:vAlign w:val="center"/>
          </w:tcPr>
          <w:p w14:paraId="7D8E6BAB">
            <w:pPr>
              <w:widowControl w:val="0"/>
              <w:jc w:val="center"/>
              <w:rPr>
                <w:rFonts w:ascii="Times New Roman" w:hAnsi="Times New Roman" w:eastAsia="宋体" w:cs="Times New Roman"/>
                <w:caps w:val="0"/>
                <w:smallCaps w:val="0"/>
                <w:color w:val="auto"/>
                <w:spacing w:val="0"/>
                <w:position w:val="1"/>
                <w:sz w:val="20"/>
                <w:szCs w:val="20"/>
                <w:highlight w:val="none"/>
              </w:rPr>
            </w:pPr>
            <w:r>
              <w:rPr>
                <w:rFonts w:ascii="Times New Roman" w:hAnsi="Times New Roman" w:eastAsia="宋体" w:cs="Times New Roman"/>
                <w:caps w:val="0"/>
                <w:smallCaps w:val="0"/>
                <w:color w:val="auto"/>
                <w:spacing w:val="0"/>
                <w:sz w:val="20"/>
                <w:szCs w:val="20"/>
                <w:highlight w:val="none"/>
              </w:rPr>
              <w:t>HW49，900-039-49</w:t>
            </w:r>
          </w:p>
        </w:tc>
        <w:tc>
          <w:tcPr>
            <w:tcW w:w="2853" w:type="dxa"/>
            <w:gridSpan w:val="3"/>
            <w:tcBorders>
              <w:tl2br w:val="nil"/>
              <w:tr2bl w:val="nil"/>
            </w:tcBorders>
            <w:shd w:val="clear" w:color="auto" w:fill="auto"/>
            <w:vAlign w:val="center"/>
          </w:tcPr>
          <w:p w14:paraId="7AB9CCCD">
            <w:pPr>
              <w:widowControl w:val="0"/>
              <w:jc w:val="center"/>
              <w:rPr>
                <w:rFonts w:ascii="Times New Roman" w:hAnsi="Times New Roman" w:eastAsia="宋体" w:cs="Times New Roman"/>
                <w:caps w:val="0"/>
                <w:smallCaps w:val="0"/>
                <w:color w:val="auto"/>
                <w:spacing w:val="0"/>
                <w:sz w:val="20"/>
                <w:szCs w:val="20"/>
                <w:highlight w:val="none"/>
              </w:rPr>
            </w:pPr>
            <w:r>
              <w:rPr>
                <w:rFonts w:ascii="Times New Roman" w:hAnsi="Times New Roman" w:eastAsia="宋体" w:cs="Times New Roman"/>
                <w:caps w:val="0"/>
                <w:smallCaps w:val="0"/>
                <w:color w:val="auto"/>
                <w:spacing w:val="0"/>
                <w:sz w:val="20"/>
                <w:szCs w:val="20"/>
                <w:highlight w:val="none"/>
              </w:rPr>
              <w:t>1.5</w:t>
            </w:r>
            <w:r>
              <w:rPr>
                <w:rStyle w:val="47"/>
                <w:rFonts w:hint="default" w:ascii="Times New Roman" w:hAnsi="Times New Roman" w:cs="Times New Roman"/>
                <w:caps w:val="0"/>
                <w:smallCaps w:val="0"/>
                <w:color w:val="auto"/>
                <w:spacing w:val="0"/>
                <w:highlight w:val="none"/>
                <w:lang w:val="en-US" w:eastAsia="zh-CN"/>
              </w:rPr>
              <w:t>t/a</w:t>
            </w:r>
          </w:p>
        </w:tc>
        <w:tc>
          <w:tcPr>
            <w:tcW w:w="4466" w:type="dxa"/>
            <w:gridSpan w:val="3"/>
            <w:vMerge w:val="continue"/>
            <w:tcBorders>
              <w:tl2br w:val="nil"/>
              <w:tr2bl w:val="nil"/>
            </w:tcBorders>
            <w:shd w:val="clear" w:color="auto" w:fill="auto"/>
            <w:vAlign w:val="center"/>
          </w:tcPr>
          <w:p w14:paraId="08F4F75E">
            <w:pPr>
              <w:widowControl w:val="0"/>
              <w:snapToGrid w:val="0"/>
              <w:jc w:val="center"/>
              <w:rPr>
                <w:rFonts w:ascii="Times New Roman" w:hAnsi="Times New Roman" w:eastAsia="宋体" w:cs="Times New Roman"/>
                <w:caps w:val="0"/>
                <w:smallCaps w:val="0"/>
                <w:color w:val="auto"/>
                <w:spacing w:val="0"/>
                <w:sz w:val="21"/>
                <w:highlight w:val="none"/>
              </w:rPr>
            </w:pPr>
          </w:p>
        </w:tc>
      </w:tr>
    </w:tbl>
    <w:p w14:paraId="1A4C1753">
      <w:pPr>
        <w:pStyle w:val="13"/>
        <w:rPr>
          <w:rFonts w:ascii="Times New Roman" w:hAnsi="Times New Roman" w:eastAsia="宋体" w:cs="Times New Roman"/>
          <w:caps w:val="0"/>
          <w:smallCaps w:val="0"/>
          <w:color w:val="auto"/>
          <w:spacing w:val="0"/>
          <w:highlight w:val="none"/>
        </w:rPr>
      </w:pPr>
    </w:p>
    <w:p w14:paraId="363DFE9F">
      <w:pPr>
        <w:rPr>
          <w:rFonts w:ascii="Times New Roman" w:hAnsi="Times New Roman" w:eastAsia="宋体" w:cs="Times New Roman"/>
          <w:caps w:val="0"/>
          <w:smallCaps w:val="0"/>
          <w:color w:val="auto"/>
          <w:spacing w:val="0"/>
          <w:highlight w:val="none"/>
        </w:rPr>
      </w:pPr>
    </w:p>
    <w:p w14:paraId="2AF74F95">
      <w:pPr>
        <w:rPr>
          <w:rFonts w:ascii="Times New Roman" w:hAnsi="Times New Roman" w:eastAsia="宋体" w:cs="Times New Roman"/>
          <w:caps w:val="0"/>
          <w:smallCaps w:val="0"/>
          <w:color w:val="auto"/>
          <w:spacing w:val="0"/>
          <w:highlight w:val="none"/>
        </w:rPr>
      </w:pPr>
    </w:p>
    <w:p w14:paraId="7BBECB53">
      <w:pPr>
        <w:rPr>
          <w:rFonts w:ascii="Times New Roman" w:hAnsi="Times New Roman" w:eastAsia="宋体" w:cs="Times New Roman"/>
          <w:caps w:val="0"/>
          <w:smallCaps w:val="0"/>
          <w:color w:val="auto"/>
          <w:spacing w:val="0"/>
          <w:highlight w:val="none"/>
        </w:rPr>
        <w:sectPr>
          <w:pgSz w:w="16838" w:h="11905" w:orient="landscape"/>
          <w:pgMar w:top="1797" w:right="1440" w:bottom="1797" w:left="1440" w:header="850" w:footer="992" w:gutter="0"/>
          <w:pgBorders>
            <w:top w:val="none" w:sz="0" w:space="0"/>
            <w:left w:val="none" w:sz="0" w:space="0"/>
            <w:bottom w:val="none" w:sz="0" w:space="0"/>
            <w:right w:val="none" w:sz="0" w:space="0"/>
          </w:pgBorders>
          <w:cols w:space="0" w:num="1"/>
          <w:docGrid w:type="lines" w:linePitch="346" w:charSpace="0"/>
        </w:sectPr>
      </w:pPr>
    </w:p>
    <w:p w14:paraId="2171E250">
      <w:pPr>
        <w:pStyle w:val="5"/>
        <w:rPr>
          <w:rFonts w:eastAsia="宋体"/>
          <w:caps w:val="0"/>
          <w:smallCaps w:val="0"/>
          <w:color w:val="auto"/>
          <w:spacing w:val="0"/>
          <w:highlight w:val="none"/>
        </w:rPr>
      </w:pPr>
      <w:bookmarkStart w:id="288" w:name="_Toc3967036"/>
      <w:bookmarkStart w:id="289" w:name="_Toc7341660"/>
      <w:bookmarkStart w:id="290" w:name="_Toc16376"/>
      <w:bookmarkStart w:id="291" w:name="_Toc10682"/>
      <w:r>
        <w:rPr>
          <w:rFonts w:eastAsia="宋体"/>
          <w:caps w:val="0"/>
          <w:smallCaps w:val="0"/>
          <w:color w:val="auto"/>
          <w:spacing w:val="0"/>
          <w:highlight w:val="none"/>
        </w:rPr>
        <w:t>8.3.2总量控制</w:t>
      </w:r>
      <w:bookmarkEnd w:id="288"/>
      <w:bookmarkEnd w:id="289"/>
      <w:bookmarkEnd w:id="290"/>
      <w:bookmarkEnd w:id="291"/>
    </w:p>
    <w:p w14:paraId="1F62617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bookmarkStart w:id="292" w:name="_Toc28492"/>
      <w:r>
        <w:rPr>
          <w:rFonts w:ascii="Times New Roman" w:hAnsi="Times New Roman" w:eastAsia="宋体" w:cs="Times New Roman"/>
          <w:caps w:val="0"/>
          <w:smallCaps w:val="0"/>
          <w:color w:val="auto"/>
          <w:spacing w:val="0"/>
          <w:szCs w:val="24"/>
          <w:highlight w:val="none"/>
        </w:rPr>
        <w:t>（1）总量控制意义</w:t>
      </w:r>
      <w:bookmarkEnd w:id="292"/>
    </w:p>
    <w:p w14:paraId="01ECCC8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实施总量控制将促进资源、能源的合理利用和优化配置，加速产业结构的调整，实现经济增长方式的根本转变；实施总量控制可以较好地协调经济发展与环境保护之间的关系，推动可持续发展战略的实行。</w:t>
      </w:r>
    </w:p>
    <w:p w14:paraId="1A54F0B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（2）总量控制因子：根据《建设项目主要污染物排放总量指标审核及管理暂行办法》(环发</w:t>
      </w:r>
      <w:r>
        <w:rPr>
          <w:rFonts w:hint="eastAsia" w:ascii="Times New Roman" w:hAnsi="Times New Roman" w:eastAsia="宋体" w:cs="Times New Roman"/>
          <w:caps w:val="0"/>
          <w:smallCaps w:val="0"/>
          <w:color w:val="auto"/>
          <w:spacing w:val="0"/>
          <w:szCs w:val="24"/>
          <w:highlight w:val="none"/>
        </w:rPr>
        <w:t>〔2014〕19号</w:t>
      </w:r>
      <w:r>
        <w:rPr>
          <w:rFonts w:ascii="Times New Roman" w:hAnsi="Times New Roman" w:eastAsia="宋体" w:cs="Times New Roman"/>
          <w:caps w:val="0"/>
          <w:smallCaps w:val="0"/>
          <w:color w:val="auto"/>
          <w:spacing w:val="0"/>
          <w:szCs w:val="24"/>
          <w:highlight w:val="none"/>
        </w:rPr>
        <w:t>)的要求、国家“十四五”总量控制指标及项目所在地政策要求，本项目总量控制指标为</w:t>
      </w:r>
      <w:r>
        <w:rPr>
          <w:rFonts w:hint="eastAsia" w:ascii="Times New Roman" w:hAnsi="Times New Roman" w:eastAsia="宋体" w:cs="Times New Roman"/>
          <w:caps w:val="0"/>
          <w:smallCaps w:val="0"/>
          <w:color w:val="auto"/>
          <w:spacing w:val="0"/>
          <w:szCs w:val="24"/>
          <w:highlight w:val="none"/>
          <w:lang w:val="en-US" w:eastAsia="zh-CN"/>
        </w:rPr>
        <w:t>挥发性有机物和氮氧化物</w:t>
      </w:r>
      <w:r>
        <w:rPr>
          <w:rFonts w:ascii="Times New Roman" w:hAnsi="Times New Roman" w:eastAsia="宋体" w:cs="Times New Roman"/>
          <w:caps w:val="0"/>
          <w:smallCaps w:val="0"/>
          <w:color w:val="auto"/>
          <w:spacing w:val="0"/>
          <w:szCs w:val="24"/>
          <w:highlight w:val="none"/>
        </w:rPr>
        <w:t>。</w:t>
      </w:r>
    </w:p>
    <w:p w14:paraId="318F53EE">
      <w:pPr>
        <w:widowControl w:val="0"/>
        <w:spacing w:line="360" w:lineRule="auto"/>
        <w:ind w:firstLine="480" w:firstLineChars="200"/>
        <w:jc w:val="both"/>
        <w:rPr>
          <w:rFonts w:hint="eastAsia" w:eastAsia="宋体"/>
          <w:caps w:val="0"/>
          <w:smallCaps w:val="0"/>
          <w:color w:val="auto"/>
          <w:spacing w:val="0"/>
          <w:highlight w:val="none"/>
          <w:lang w:eastAsia="zh-CN"/>
        </w:rPr>
      </w:pPr>
      <w:r>
        <w:rPr>
          <w:rFonts w:ascii="Times New Roman" w:hAnsi="Times New Roman" w:eastAsia="宋体" w:cs="Times New Roman"/>
          <w:caps w:val="0"/>
          <w:smallCaps w:val="0"/>
          <w:color w:val="auto"/>
          <w:spacing w:val="0"/>
          <w:szCs w:val="24"/>
          <w:highlight w:val="none"/>
        </w:rPr>
        <w:t>（3）总量控制建议指标：依据工程分析，项目采取有效的污染防治措施后本项目产生的废气、废水污染物均能做到达标排放，且治理技术、措施可行；固废处置率</w:t>
      </w:r>
      <w:r>
        <w:rPr>
          <w:rFonts w:hint="default" w:ascii="Times New Roman" w:hAnsi="Times New Roman" w:eastAsia="宋体" w:cs="Times New Roman"/>
          <w:caps w:val="0"/>
          <w:smallCaps w:val="0"/>
          <w:color w:val="auto"/>
          <w:spacing w:val="0"/>
          <w:szCs w:val="24"/>
          <w:highlight w:val="none"/>
        </w:rPr>
        <w:t>100%。综上，项目设置总量控制指标为：</w:t>
      </w:r>
      <w:r>
        <w:rPr>
          <w:rFonts w:hint="eastAsia" w:ascii="Times New Roman" w:hAnsi="Times New Roman" w:eastAsia="宋体" w:cs="Times New Roman"/>
          <w:caps w:val="0"/>
          <w:smallCaps w:val="0"/>
          <w:color w:val="auto"/>
          <w:spacing w:val="0"/>
          <w:highlight w:val="none"/>
          <w:lang w:val="en-US" w:eastAsia="zh-CN"/>
        </w:rPr>
        <w:t>挥发性有机物</w:t>
      </w:r>
      <w:r>
        <w:rPr>
          <w:rFonts w:hint="default" w:ascii="Times New Roman" w:hAnsi="Times New Roman" w:eastAsia="宋体" w:cs="Times New Roman"/>
          <w:caps w:val="0"/>
          <w:smallCaps w:val="0"/>
          <w:color w:val="auto"/>
          <w:spacing w:val="0"/>
          <w:highlight w:val="none"/>
        </w:rPr>
        <w:t>0.00792t/a、</w:t>
      </w:r>
      <w:r>
        <w:rPr>
          <w:rFonts w:hint="eastAsia" w:ascii="Times New Roman" w:hAnsi="Times New Roman" w:eastAsia="宋体" w:cs="Times New Roman"/>
          <w:caps w:val="0"/>
          <w:smallCaps w:val="0"/>
          <w:color w:val="auto"/>
          <w:spacing w:val="0"/>
          <w:highlight w:val="none"/>
          <w:lang w:val="en-US" w:eastAsia="zh-CN"/>
        </w:rPr>
        <w:t>氮氧化物0.0686t</w:t>
      </w:r>
      <w:r>
        <w:rPr>
          <w:rFonts w:hint="default" w:ascii="Times New Roman" w:hAnsi="Times New Roman" w:eastAsia="宋体" w:cs="Times New Roman"/>
          <w:caps w:val="0"/>
          <w:smallCaps w:val="0"/>
          <w:color w:val="auto"/>
          <w:spacing w:val="0"/>
          <w:highlight w:val="none"/>
        </w:rPr>
        <w:t>/a</w:t>
      </w:r>
      <w:r>
        <w:rPr>
          <w:rFonts w:hint="default" w:ascii="Times New Roman" w:hAnsi="Times New Roman" w:eastAsia="宋体" w:cs="Times New Roman"/>
          <w:caps w:val="0"/>
          <w:smallCaps w:val="0"/>
          <w:color w:val="auto"/>
          <w:spacing w:val="0"/>
          <w:highlight w:val="none"/>
          <w:lang w:eastAsia="zh-CN"/>
        </w:rPr>
        <w:t>。</w:t>
      </w:r>
    </w:p>
    <w:p w14:paraId="5E072DC9">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本项目为太阳能电池项目，属电气机械和器材制造业，不</w:t>
      </w:r>
      <w:r>
        <w:rPr>
          <w:rFonts w:hint="eastAsia" w:ascii="Times New Roman" w:hAnsi="Times New Roman" w:eastAsia="宋体" w:cs="Times New Roman"/>
          <w:caps w:val="0"/>
          <w:smallCaps w:val="0"/>
          <w:color w:val="auto"/>
          <w:spacing w:val="0"/>
          <w:szCs w:val="24"/>
          <w:highlight w:val="none"/>
          <w:lang w:eastAsia="zh-CN"/>
        </w:rPr>
        <w:t>属于</w:t>
      </w:r>
      <w:r>
        <w:rPr>
          <w:rFonts w:ascii="Times New Roman" w:hAnsi="Times New Roman" w:eastAsia="宋体" w:cs="Times New Roman"/>
          <w:caps w:val="0"/>
          <w:smallCaps w:val="0"/>
          <w:color w:val="auto"/>
          <w:spacing w:val="0"/>
          <w:szCs w:val="24"/>
          <w:highlight w:val="none"/>
        </w:rPr>
        <w:t>《关于加强涉重金属行业污染防控的意见》(生态环境部环土壤</w:t>
      </w:r>
      <w:r>
        <w:rPr>
          <w:rFonts w:hint="eastAsia" w:ascii="Times New Roman" w:hAnsi="Times New Roman" w:eastAsia="宋体" w:cs="Times New Roman"/>
          <w:caps w:val="0"/>
          <w:smallCaps w:val="0"/>
          <w:color w:val="auto"/>
          <w:spacing w:val="0"/>
          <w:szCs w:val="24"/>
          <w:highlight w:val="none"/>
        </w:rPr>
        <w:t>〔2018〕22号</w:t>
      </w:r>
      <w:r>
        <w:rPr>
          <w:rFonts w:ascii="Times New Roman" w:hAnsi="Times New Roman" w:eastAsia="宋体" w:cs="Times New Roman"/>
          <w:caps w:val="0"/>
          <w:smallCaps w:val="0"/>
          <w:color w:val="auto"/>
          <w:spacing w:val="0"/>
          <w:szCs w:val="24"/>
          <w:highlight w:val="none"/>
        </w:rPr>
        <w:t>)中重点行业，建设单位无需生态环境部主管部门申请重金属排放总量。</w:t>
      </w:r>
    </w:p>
    <w:p w14:paraId="60268994">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本项目新增污染物排放总量应向环境保护行政主管部门申报，由行政主管部门在区域内平衡解决。</w:t>
      </w:r>
    </w:p>
    <w:p w14:paraId="5ACDDEE2">
      <w:pPr>
        <w:pStyle w:val="4"/>
        <w:widowControl w:val="0"/>
        <w:rPr>
          <w:rFonts w:eastAsia="宋体"/>
          <w:caps w:val="0"/>
          <w:smallCaps w:val="0"/>
          <w:color w:val="auto"/>
          <w:spacing w:val="0"/>
          <w:highlight w:val="none"/>
        </w:rPr>
      </w:pPr>
      <w:bookmarkStart w:id="293" w:name="_Toc2641"/>
      <w:bookmarkStart w:id="294" w:name="_Toc27937"/>
      <w:bookmarkStart w:id="295" w:name="_Toc21361"/>
      <w:bookmarkStart w:id="296" w:name="_Toc31404"/>
      <w:r>
        <w:rPr>
          <w:rFonts w:eastAsia="宋体"/>
          <w:caps w:val="0"/>
          <w:smallCaps w:val="0"/>
          <w:color w:val="auto"/>
          <w:spacing w:val="0"/>
          <w:highlight w:val="none"/>
        </w:rPr>
        <w:t>8.4环境监测</w:t>
      </w:r>
      <w:bookmarkEnd w:id="293"/>
      <w:bookmarkEnd w:id="294"/>
      <w:bookmarkEnd w:id="295"/>
      <w:bookmarkEnd w:id="296"/>
    </w:p>
    <w:p w14:paraId="7BD5BF61">
      <w:pPr>
        <w:pStyle w:val="5"/>
        <w:rPr>
          <w:rFonts w:eastAsia="宋体"/>
          <w:caps w:val="0"/>
          <w:smallCaps w:val="0"/>
          <w:color w:val="auto"/>
          <w:spacing w:val="0"/>
          <w:highlight w:val="none"/>
        </w:rPr>
      </w:pPr>
      <w:bookmarkStart w:id="297" w:name="_Toc3967038"/>
      <w:bookmarkStart w:id="298" w:name="_Toc7341662"/>
      <w:bookmarkStart w:id="299" w:name="_Toc14361"/>
      <w:bookmarkStart w:id="300" w:name="_Toc2665"/>
      <w:r>
        <w:rPr>
          <w:rFonts w:eastAsia="宋体"/>
          <w:caps w:val="0"/>
          <w:smallCaps w:val="0"/>
          <w:color w:val="auto"/>
          <w:spacing w:val="0"/>
          <w:highlight w:val="none"/>
        </w:rPr>
        <w:t>8.4.1环境监测的意义</w:t>
      </w:r>
      <w:bookmarkEnd w:id="297"/>
      <w:bookmarkEnd w:id="298"/>
      <w:bookmarkEnd w:id="299"/>
      <w:bookmarkEnd w:id="300"/>
    </w:p>
    <w:p w14:paraId="41100AC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环境监测（包括污染源监测）是企业环境保护的重要组成部分，也是企业的一项规范化制度。通过环境监测，进行数据整理分析，建立监测档案，可为污染源治理，掌握污染物排放变化规律提供依据，为上级生态环境部门进行区域环境规划、管理执法提供依据。同时，环境监测也是企业实现污染物总量控制，做到清洁生产的重要保证手段之一。</w:t>
      </w:r>
    </w:p>
    <w:p w14:paraId="07D40326">
      <w:pPr>
        <w:pStyle w:val="5"/>
        <w:rPr>
          <w:rFonts w:eastAsia="宋体"/>
          <w:caps w:val="0"/>
          <w:smallCaps w:val="0"/>
          <w:color w:val="auto"/>
          <w:spacing w:val="0"/>
          <w:highlight w:val="none"/>
        </w:rPr>
      </w:pPr>
      <w:bookmarkStart w:id="301" w:name="_Toc216266110"/>
      <w:bookmarkStart w:id="302" w:name="_Toc234557320"/>
      <w:bookmarkStart w:id="303" w:name="_Toc240893590"/>
      <w:bookmarkStart w:id="304" w:name="_Toc3967040"/>
      <w:bookmarkStart w:id="305" w:name="_Toc7341664"/>
      <w:bookmarkStart w:id="306" w:name="_Toc673"/>
      <w:bookmarkStart w:id="307" w:name="_Toc29155"/>
      <w:r>
        <w:rPr>
          <w:rFonts w:eastAsia="宋体"/>
          <w:caps w:val="0"/>
          <w:smallCaps w:val="0"/>
          <w:color w:val="auto"/>
          <w:spacing w:val="0"/>
          <w:highlight w:val="none"/>
        </w:rPr>
        <w:t>8.</w:t>
      </w:r>
      <w:bookmarkStart w:id="308" w:name="_Toc158875997"/>
      <w:r>
        <w:rPr>
          <w:rFonts w:eastAsia="宋体"/>
          <w:caps w:val="0"/>
          <w:smallCaps w:val="0"/>
          <w:color w:val="auto"/>
          <w:spacing w:val="0"/>
          <w:highlight w:val="none"/>
        </w:rPr>
        <w:t>4.2运营期监测计划</w:t>
      </w:r>
      <w:bookmarkEnd w:id="301"/>
      <w:bookmarkEnd w:id="302"/>
      <w:bookmarkEnd w:id="303"/>
      <w:bookmarkEnd w:id="304"/>
      <w:bookmarkEnd w:id="305"/>
      <w:bookmarkEnd w:id="306"/>
      <w:bookmarkEnd w:id="307"/>
    </w:p>
    <w:bookmarkEnd w:id="308"/>
    <w:p w14:paraId="7F3F5C58">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为了掌握本项目的污染物排放状况及其对周边环境质量的影响等情况，按照相关法律法规和技术规范，组织</w:t>
      </w:r>
      <w:r>
        <w:rPr>
          <w:rFonts w:hint="eastAsia" w:ascii="Times New Roman" w:hAnsi="Times New Roman" w:eastAsia="宋体" w:cs="Times New Roman"/>
          <w:caps w:val="0"/>
          <w:smallCaps w:val="0"/>
          <w:color w:val="auto"/>
          <w:spacing w:val="0"/>
          <w:highlight w:val="none"/>
        </w:rPr>
        <w:t>开展</w:t>
      </w:r>
      <w:r>
        <w:rPr>
          <w:rFonts w:ascii="Times New Roman" w:hAnsi="Times New Roman" w:eastAsia="宋体" w:cs="Times New Roman"/>
          <w:caps w:val="0"/>
          <w:smallCaps w:val="0"/>
          <w:color w:val="auto"/>
          <w:spacing w:val="0"/>
          <w:highlight w:val="none"/>
        </w:rPr>
        <w:t>环境监测活动，同时为了及时有效地控制污染，防止污染事故发生，本项目环境监测工作委托有资质的环境监测部门或其他有监测资质的第三方进行。</w:t>
      </w:r>
    </w:p>
    <w:p w14:paraId="12A9FE7E">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本项目建成后，需对项目污染源定期进行监测，依据《排污单位自行监测技术指南-电池工业》(HJ1204-2021)和《排污单位自行监测技术指南-总则》(HJ819-2017)，本项目运营期环境监测方案具体见表8.4-1。</w:t>
      </w:r>
    </w:p>
    <w:p w14:paraId="51799F0A">
      <w:pPr>
        <w:spacing w:line="360" w:lineRule="auto"/>
        <w:rPr>
          <w:rFonts w:ascii="Times New Roman" w:hAnsi="Times New Roman" w:eastAsia="宋体" w:cs="Times New Roman"/>
          <w:caps w:val="0"/>
          <w:smallCaps w:val="0"/>
          <w:color w:val="auto"/>
          <w:spacing w:val="0"/>
          <w:highlight w:val="none"/>
        </w:rPr>
      </w:pPr>
    </w:p>
    <w:p w14:paraId="639DE204">
      <w:pPr>
        <w:spacing w:line="360" w:lineRule="auto"/>
        <w:ind w:firstLine="480"/>
        <w:jc w:val="center"/>
        <w:rPr>
          <w:rFonts w:ascii="Times New Roman" w:hAnsi="Times New Roman" w:eastAsia="宋体" w:cs="Times New Roman"/>
          <w:caps w:val="0"/>
          <w:smallCaps w:val="0"/>
          <w:color w:val="auto"/>
          <w:spacing w:val="0"/>
          <w:highlight w:val="none"/>
        </w:rPr>
        <w:sectPr>
          <w:pgSz w:w="11905" w:h="16838"/>
          <w:pgMar w:top="1440" w:right="1797" w:bottom="1440" w:left="1797" w:header="850" w:footer="992" w:gutter="0"/>
          <w:pgBorders>
            <w:top w:val="none" w:sz="0" w:space="0"/>
            <w:left w:val="none" w:sz="0" w:space="0"/>
            <w:bottom w:val="none" w:sz="0" w:space="0"/>
            <w:right w:val="none" w:sz="0" w:space="0"/>
          </w:pgBorders>
          <w:cols w:space="0" w:num="1"/>
          <w:docGrid w:type="lines" w:linePitch="346" w:charSpace="0"/>
        </w:sectPr>
      </w:pPr>
    </w:p>
    <w:p w14:paraId="01B851D3">
      <w:pPr>
        <w:pStyle w:val="22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表8.4-1本项目运行期的监测计划</w:t>
      </w:r>
    </w:p>
    <w:tbl>
      <w:tblPr>
        <w:tblStyle w:val="37"/>
        <w:tblW w:w="1417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6"/>
        <w:gridCol w:w="426"/>
        <w:gridCol w:w="425"/>
        <w:gridCol w:w="255"/>
        <w:gridCol w:w="425"/>
        <w:gridCol w:w="1828"/>
        <w:gridCol w:w="4065"/>
        <w:gridCol w:w="2400"/>
        <w:gridCol w:w="3676"/>
      </w:tblGrid>
      <w:tr w14:paraId="69AE05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76" w:type="dxa"/>
            <w:tcBorders>
              <w:tl2br w:val="nil"/>
              <w:tr2bl w:val="nil"/>
            </w:tcBorders>
            <w:vAlign w:val="center"/>
          </w:tcPr>
          <w:p w14:paraId="139B3876">
            <w:pPr>
              <w:pStyle w:val="230"/>
              <w:rPr>
                <w:caps w:val="0"/>
                <w:smallCaps w:val="0"/>
                <w:color w:val="auto"/>
                <w:spacing w:val="0"/>
                <w:highlight w:val="none"/>
              </w:rPr>
            </w:pPr>
            <w:r>
              <w:rPr>
                <w:caps w:val="0"/>
                <w:smallCaps w:val="0"/>
                <w:color w:val="auto"/>
                <w:spacing w:val="0"/>
                <w:highlight w:val="none"/>
              </w:rPr>
              <w:t>项目</w:t>
            </w:r>
          </w:p>
        </w:tc>
        <w:tc>
          <w:tcPr>
            <w:tcW w:w="1531" w:type="dxa"/>
            <w:gridSpan w:val="4"/>
            <w:tcBorders>
              <w:tl2br w:val="nil"/>
              <w:tr2bl w:val="nil"/>
            </w:tcBorders>
            <w:vAlign w:val="center"/>
          </w:tcPr>
          <w:p w14:paraId="6CE24B4C">
            <w:pPr>
              <w:pStyle w:val="230"/>
              <w:rPr>
                <w:caps w:val="0"/>
                <w:smallCaps w:val="0"/>
                <w:color w:val="auto"/>
                <w:spacing w:val="0"/>
                <w:highlight w:val="none"/>
              </w:rPr>
            </w:pPr>
            <w:r>
              <w:rPr>
                <w:caps w:val="0"/>
                <w:smallCaps w:val="0"/>
                <w:color w:val="auto"/>
                <w:spacing w:val="0"/>
                <w:highlight w:val="none"/>
              </w:rPr>
              <w:t>分类</w:t>
            </w:r>
          </w:p>
        </w:tc>
        <w:tc>
          <w:tcPr>
            <w:tcW w:w="1828" w:type="dxa"/>
            <w:tcBorders>
              <w:tl2br w:val="nil"/>
              <w:tr2bl w:val="nil"/>
            </w:tcBorders>
            <w:vAlign w:val="center"/>
          </w:tcPr>
          <w:p w14:paraId="30A31587">
            <w:pPr>
              <w:pStyle w:val="230"/>
              <w:rPr>
                <w:caps w:val="0"/>
                <w:smallCaps w:val="0"/>
                <w:color w:val="auto"/>
                <w:spacing w:val="0"/>
                <w:highlight w:val="none"/>
              </w:rPr>
            </w:pPr>
            <w:r>
              <w:rPr>
                <w:caps w:val="0"/>
                <w:smallCaps w:val="0"/>
                <w:color w:val="auto"/>
                <w:spacing w:val="0"/>
                <w:highlight w:val="none"/>
              </w:rPr>
              <w:t>监测点位</w:t>
            </w:r>
          </w:p>
        </w:tc>
        <w:tc>
          <w:tcPr>
            <w:tcW w:w="4065" w:type="dxa"/>
            <w:tcBorders>
              <w:tl2br w:val="nil"/>
              <w:tr2bl w:val="nil"/>
            </w:tcBorders>
            <w:vAlign w:val="center"/>
          </w:tcPr>
          <w:p w14:paraId="6CC52D44">
            <w:pPr>
              <w:pStyle w:val="230"/>
              <w:rPr>
                <w:caps w:val="0"/>
                <w:smallCaps w:val="0"/>
                <w:color w:val="auto"/>
                <w:spacing w:val="0"/>
                <w:highlight w:val="none"/>
              </w:rPr>
            </w:pPr>
            <w:r>
              <w:rPr>
                <w:caps w:val="0"/>
                <w:smallCaps w:val="0"/>
                <w:color w:val="auto"/>
                <w:spacing w:val="0"/>
                <w:highlight w:val="none"/>
              </w:rPr>
              <w:t>监测指标</w:t>
            </w:r>
          </w:p>
        </w:tc>
        <w:tc>
          <w:tcPr>
            <w:tcW w:w="2400" w:type="dxa"/>
            <w:tcBorders>
              <w:tl2br w:val="nil"/>
              <w:tr2bl w:val="nil"/>
            </w:tcBorders>
            <w:vAlign w:val="center"/>
          </w:tcPr>
          <w:p w14:paraId="2427C493">
            <w:pPr>
              <w:pStyle w:val="230"/>
              <w:rPr>
                <w:caps w:val="0"/>
                <w:smallCaps w:val="0"/>
                <w:color w:val="auto"/>
                <w:spacing w:val="0"/>
                <w:highlight w:val="none"/>
              </w:rPr>
            </w:pPr>
            <w:r>
              <w:rPr>
                <w:caps w:val="0"/>
                <w:smallCaps w:val="0"/>
                <w:color w:val="auto"/>
                <w:spacing w:val="0"/>
                <w:highlight w:val="none"/>
              </w:rPr>
              <w:t>监测频率</w:t>
            </w:r>
          </w:p>
        </w:tc>
        <w:tc>
          <w:tcPr>
            <w:tcW w:w="3676" w:type="dxa"/>
            <w:tcBorders>
              <w:tl2br w:val="nil"/>
              <w:tr2bl w:val="nil"/>
            </w:tcBorders>
            <w:vAlign w:val="center"/>
          </w:tcPr>
          <w:p w14:paraId="6779C558">
            <w:pPr>
              <w:pStyle w:val="230"/>
              <w:rPr>
                <w:caps w:val="0"/>
                <w:smallCaps w:val="0"/>
                <w:color w:val="auto"/>
                <w:spacing w:val="0"/>
                <w:highlight w:val="none"/>
              </w:rPr>
            </w:pPr>
            <w:r>
              <w:rPr>
                <w:caps w:val="0"/>
                <w:smallCaps w:val="0"/>
                <w:color w:val="auto"/>
                <w:spacing w:val="0"/>
                <w:highlight w:val="none"/>
              </w:rPr>
              <w:t>执行排放标准</w:t>
            </w:r>
          </w:p>
        </w:tc>
      </w:tr>
      <w:tr w14:paraId="18B875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restart"/>
            <w:tcBorders>
              <w:tl2br w:val="nil"/>
              <w:tr2bl w:val="nil"/>
            </w:tcBorders>
            <w:vAlign w:val="center"/>
          </w:tcPr>
          <w:p w14:paraId="7E018215">
            <w:pPr>
              <w:pStyle w:val="230"/>
              <w:rPr>
                <w:caps w:val="0"/>
                <w:smallCaps w:val="0"/>
                <w:color w:val="auto"/>
                <w:spacing w:val="0"/>
                <w:highlight w:val="none"/>
              </w:rPr>
            </w:pPr>
            <w:r>
              <w:rPr>
                <w:caps w:val="0"/>
                <w:smallCaps w:val="0"/>
                <w:color w:val="auto"/>
                <w:spacing w:val="0"/>
                <w:highlight w:val="none"/>
              </w:rPr>
              <w:t>废</w:t>
            </w:r>
          </w:p>
          <w:p w14:paraId="4957AF1F">
            <w:pPr>
              <w:pStyle w:val="230"/>
              <w:rPr>
                <w:caps w:val="0"/>
                <w:smallCaps w:val="0"/>
                <w:color w:val="auto"/>
                <w:spacing w:val="0"/>
                <w:highlight w:val="none"/>
              </w:rPr>
            </w:pPr>
            <w:r>
              <w:rPr>
                <w:caps w:val="0"/>
                <w:smallCaps w:val="0"/>
                <w:color w:val="auto"/>
                <w:spacing w:val="0"/>
                <w:highlight w:val="none"/>
              </w:rPr>
              <w:t>气</w:t>
            </w:r>
          </w:p>
        </w:tc>
        <w:tc>
          <w:tcPr>
            <w:tcW w:w="426" w:type="dxa"/>
            <w:vMerge w:val="restart"/>
            <w:tcBorders>
              <w:tl2br w:val="nil"/>
              <w:tr2bl w:val="nil"/>
            </w:tcBorders>
            <w:vAlign w:val="center"/>
          </w:tcPr>
          <w:p w14:paraId="42665DB5">
            <w:pPr>
              <w:pStyle w:val="230"/>
              <w:rPr>
                <w:caps w:val="0"/>
                <w:smallCaps w:val="0"/>
                <w:color w:val="auto"/>
                <w:spacing w:val="0"/>
                <w:highlight w:val="none"/>
              </w:rPr>
            </w:pPr>
            <w:r>
              <w:rPr>
                <w:caps w:val="0"/>
                <w:smallCaps w:val="0"/>
                <w:color w:val="auto"/>
                <w:spacing w:val="0"/>
                <w:highlight w:val="none"/>
              </w:rPr>
              <w:t>污</w:t>
            </w:r>
          </w:p>
          <w:p w14:paraId="3D7B444E">
            <w:pPr>
              <w:pStyle w:val="230"/>
              <w:rPr>
                <w:caps w:val="0"/>
                <w:smallCaps w:val="0"/>
                <w:color w:val="auto"/>
                <w:spacing w:val="0"/>
                <w:highlight w:val="none"/>
              </w:rPr>
            </w:pPr>
            <w:r>
              <w:rPr>
                <w:caps w:val="0"/>
                <w:smallCaps w:val="0"/>
                <w:color w:val="auto"/>
                <w:spacing w:val="0"/>
                <w:highlight w:val="none"/>
              </w:rPr>
              <w:t>染</w:t>
            </w:r>
          </w:p>
          <w:p w14:paraId="4B5CF77A">
            <w:pPr>
              <w:pStyle w:val="230"/>
              <w:rPr>
                <w:caps w:val="0"/>
                <w:smallCaps w:val="0"/>
                <w:color w:val="auto"/>
                <w:spacing w:val="0"/>
                <w:highlight w:val="none"/>
              </w:rPr>
            </w:pPr>
            <w:r>
              <w:rPr>
                <w:caps w:val="0"/>
                <w:smallCaps w:val="0"/>
                <w:color w:val="auto"/>
                <w:spacing w:val="0"/>
                <w:highlight w:val="none"/>
              </w:rPr>
              <w:t>源</w:t>
            </w:r>
          </w:p>
        </w:tc>
        <w:tc>
          <w:tcPr>
            <w:tcW w:w="425" w:type="dxa"/>
            <w:vMerge w:val="restart"/>
            <w:tcBorders>
              <w:tl2br w:val="nil"/>
              <w:tr2bl w:val="nil"/>
            </w:tcBorders>
            <w:vAlign w:val="center"/>
          </w:tcPr>
          <w:p w14:paraId="418823E2">
            <w:pPr>
              <w:pStyle w:val="230"/>
              <w:rPr>
                <w:caps w:val="0"/>
                <w:smallCaps w:val="0"/>
                <w:color w:val="auto"/>
                <w:spacing w:val="0"/>
                <w:highlight w:val="none"/>
              </w:rPr>
            </w:pPr>
            <w:r>
              <w:rPr>
                <w:caps w:val="0"/>
                <w:smallCaps w:val="0"/>
                <w:color w:val="auto"/>
                <w:spacing w:val="0"/>
                <w:highlight w:val="none"/>
              </w:rPr>
              <w:t>有</w:t>
            </w:r>
          </w:p>
          <w:p w14:paraId="16566CCB">
            <w:pPr>
              <w:pStyle w:val="230"/>
              <w:rPr>
                <w:caps w:val="0"/>
                <w:smallCaps w:val="0"/>
                <w:color w:val="auto"/>
                <w:spacing w:val="0"/>
                <w:highlight w:val="none"/>
              </w:rPr>
            </w:pPr>
            <w:r>
              <w:rPr>
                <w:caps w:val="0"/>
                <w:smallCaps w:val="0"/>
                <w:color w:val="auto"/>
                <w:spacing w:val="0"/>
                <w:highlight w:val="none"/>
              </w:rPr>
              <w:t>组</w:t>
            </w:r>
          </w:p>
          <w:p w14:paraId="31172D64">
            <w:pPr>
              <w:pStyle w:val="230"/>
              <w:rPr>
                <w:caps w:val="0"/>
                <w:smallCaps w:val="0"/>
                <w:color w:val="auto"/>
                <w:spacing w:val="0"/>
                <w:highlight w:val="none"/>
              </w:rPr>
            </w:pPr>
            <w:r>
              <w:rPr>
                <w:caps w:val="0"/>
                <w:smallCaps w:val="0"/>
                <w:color w:val="auto"/>
                <w:spacing w:val="0"/>
                <w:highlight w:val="none"/>
              </w:rPr>
              <w:t>织</w:t>
            </w:r>
          </w:p>
        </w:tc>
        <w:tc>
          <w:tcPr>
            <w:tcW w:w="680" w:type="dxa"/>
            <w:gridSpan w:val="2"/>
            <w:vMerge w:val="restart"/>
            <w:tcBorders>
              <w:tl2br w:val="nil"/>
              <w:tr2bl w:val="nil"/>
            </w:tcBorders>
            <w:vAlign w:val="center"/>
          </w:tcPr>
          <w:p w14:paraId="1727B4F9">
            <w:pPr>
              <w:pStyle w:val="230"/>
              <w:rPr>
                <w:caps w:val="0"/>
                <w:smallCaps w:val="0"/>
                <w:color w:val="auto"/>
                <w:spacing w:val="0"/>
                <w:highlight w:val="none"/>
              </w:rPr>
            </w:pPr>
            <w:r>
              <w:rPr>
                <w:caps w:val="0"/>
                <w:smallCaps w:val="0"/>
                <w:color w:val="auto"/>
                <w:spacing w:val="0"/>
                <w:highlight w:val="none"/>
              </w:rPr>
              <w:t>取样监测</w:t>
            </w:r>
          </w:p>
        </w:tc>
        <w:tc>
          <w:tcPr>
            <w:tcW w:w="1828" w:type="dxa"/>
            <w:tcBorders>
              <w:tl2br w:val="nil"/>
              <w:tr2bl w:val="nil"/>
            </w:tcBorders>
            <w:vAlign w:val="center"/>
          </w:tcPr>
          <w:p w14:paraId="57CCEFEE">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DA001</w:t>
            </w:r>
          </w:p>
        </w:tc>
        <w:tc>
          <w:tcPr>
            <w:tcW w:w="4065" w:type="dxa"/>
            <w:tcBorders>
              <w:tl2br w:val="nil"/>
              <w:tr2bl w:val="nil"/>
            </w:tcBorders>
            <w:vAlign w:val="center"/>
          </w:tcPr>
          <w:p w14:paraId="0566279B">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颗粒物</w:t>
            </w:r>
          </w:p>
        </w:tc>
        <w:tc>
          <w:tcPr>
            <w:tcW w:w="2400" w:type="dxa"/>
            <w:tcBorders>
              <w:tl2br w:val="nil"/>
              <w:tr2bl w:val="nil"/>
            </w:tcBorders>
            <w:vAlign w:val="center"/>
          </w:tcPr>
          <w:p w14:paraId="2D8EB24A">
            <w:pPr>
              <w:pStyle w:val="195"/>
              <w:widowControl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restart"/>
            <w:tcBorders>
              <w:tl2br w:val="nil"/>
              <w:tr2bl w:val="nil"/>
            </w:tcBorders>
            <w:vAlign w:val="center"/>
          </w:tcPr>
          <w:p w14:paraId="7A167571">
            <w:pPr>
              <w:pStyle w:val="230"/>
              <w:rPr>
                <w:caps w:val="0"/>
                <w:smallCaps w:val="0"/>
                <w:color w:val="auto"/>
                <w:spacing w:val="0"/>
                <w:highlight w:val="none"/>
              </w:rPr>
            </w:pPr>
            <w:r>
              <w:rPr>
                <w:caps w:val="0"/>
                <w:smallCaps w:val="0"/>
                <w:color w:val="auto"/>
                <w:spacing w:val="0"/>
                <w:highlight w:val="none"/>
              </w:rPr>
              <w:t>《电池工业污染物标准》（GB30484-2013）表5</w:t>
            </w:r>
          </w:p>
        </w:tc>
      </w:tr>
      <w:tr w14:paraId="61E874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022A779C">
            <w:pPr>
              <w:pStyle w:val="230"/>
              <w:rPr>
                <w:caps w:val="0"/>
                <w:smallCaps w:val="0"/>
                <w:color w:val="auto"/>
                <w:spacing w:val="0"/>
                <w:highlight w:val="none"/>
              </w:rPr>
            </w:pPr>
          </w:p>
        </w:tc>
        <w:tc>
          <w:tcPr>
            <w:tcW w:w="426" w:type="dxa"/>
            <w:vMerge w:val="continue"/>
            <w:tcBorders>
              <w:tl2br w:val="nil"/>
              <w:tr2bl w:val="nil"/>
            </w:tcBorders>
            <w:vAlign w:val="center"/>
          </w:tcPr>
          <w:p w14:paraId="639E83FC">
            <w:pPr>
              <w:pStyle w:val="230"/>
              <w:rPr>
                <w:caps w:val="0"/>
                <w:smallCaps w:val="0"/>
                <w:color w:val="auto"/>
                <w:spacing w:val="0"/>
                <w:highlight w:val="none"/>
              </w:rPr>
            </w:pPr>
          </w:p>
        </w:tc>
        <w:tc>
          <w:tcPr>
            <w:tcW w:w="425" w:type="dxa"/>
            <w:vMerge w:val="continue"/>
            <w:tcBorders>
              <w:tl2br w:val="nil"/>
              <w:tr2bl w:val="nil"/>
            </w:tcBorders>
            <w:vAlign w:val="center"/>
          </w:tcPr>
          <w:p w14:paraId="6E411542">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3865735F">
            <w:pPr>
              <w:pStyle w:val="230"/>
              <w:rPr>
                <w:caps w:val="0"/>
                <w:smallCaps w:val="0"/>
                <w:color w:val="auto"/>
                <w:spacing w:val="0"/>
                <w:highlight w:val="none"/>
              </w:rPr>
            </w:pPr>
          </w:p>
        </w:tc>
        <w:tc>
          <w:tcPr>
            <w:tcW w:w="1828" w:type="dxa"/>
            <w:tcBorders>
              <w:tl2br w:val="nil"/>
              <w:tr2bl w:val="nil"/>
            </w:tcBorders>
            <w:vAlign w:val="center"/>
          </w:tcPr>
          <w:p w14:paraId="557CF962">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DA002</w:t>
            </w:r>
          </w:p>
        </w:tc>
        <w:tc>
          <w:tcPr>
            <w:tcW w:w="4065" w:type="dxa"/>
            <w:tcBorders>
              <w:tl2br w:val="nil"/>
              <w:tr2bl w:val="nil"/>
            </w:tcBorders>
            <w:vAlign w:val="center"/>
          </w:tcPr>
          <w:p w14:paraId="140E0224">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sz w:val="21"/>
                <w:szCs w:val="21"/>
                <w:highlight w:val="none"/>
                <w:lang w:eastAsia="zh-CN"/>
              </w:rPr>
              <w:t>颗粒物</w:t>
            </w:r>
          </w:p>
        </w:tc>
        <w:tc>
          <w:tcPr>
            <w:tcW w:w="2400" w:type="dxa"/>
            <w:tcBorders>
              <w:tl2br w:val="nil"/>
              <w:tr2bl w:val="nil"/>
            </w:tcBorders>
            <w:vAlign w:val="center"/>
          </w:tcPr>
          <w:p w14:paraId="31098C38">
            <w:pPr>
              <w:pStyle w:val="195"/>
              <w:widowControl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continue"/>
            <w:tcBorders>
              <w:tl2br w:val="nil"/>
              <w:tr2bl w:val="nil"/>
            </w:tcBorders>
            <w:vAlign w:val="center"/>
          </w:tcPr>
          <w:p w14:paraId="1638DAEC">
            <w:pPr>
              <w:pStyle w:val="230"/>
              <w:rPr>
                <w:caps w:val="0"/>
                <w:smallCaps w:val="0"/>
                <w:color w:val="auto"/>
                <w:spacing w:val="0"/>
                <w:highlight w:val="none"/>
              </w:rPr>
            </w:pPr>
          </w:p>
        </w:tc>
      </w:tr>
      <w:tr w14:paraId="41495D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7F670E6A">
            <w:pPr>
              <w:pStyle w:val="230"/>
              <w:rPr>
                <w:caps w:val="0"/>
                <w:smallCaps w:val="0"/>
                <w:color w:val="auto"/>
                <w:spacing w:val="0"/>
                <w:highlight w:val="none"/>
              </w:rPr>
            </w:pPr>
          </w:p>
        </w:tc>
        <w:tc>
          <w:tcPr>
            <w:tcW w:w="426" w:type="dxa"/>
            <w:vMerge w:val="continue"/>
            <w:tcBorders>
              <w:tl2br w:val="nil"/>
              <w:tr2bl w:val="nil"/>
            </w:tcBorders>
            <w:vAlign w:val="center"/>
          </w:tcPr>
          <w:p w14:paraId="225060A4">
            <w:pPr>
              <w:pStyle w:val="230"/>
              <w:rPr>
                <w:caps w:val="0"/>
                <w:smallCaps w:val="0"/>
                <w:color w:val="auto"/>
                <w:spacing w:val="0"/>
                <w:highlight w:val="none"/>
              </w:rPr>
            </w:pPr>
          </w:p>
        </w:tc>
        <w:tc>
          <w:tcPr>
            <w:tcW w:w="425" w:type="dxa"/>
            <w:vMerge w:val="continue"/>
            <w:tcBorders>
              <w:tl2br w:val="nil"/>
              <w:tr2bl w:val="nil"/>
            </w:tcBorders>
            <w:vAlign w:val="center"/>
          </w:tcPr>
          <w:p w14:paraId="54C0BF56">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29706F8B">
            <w:pPr>
              <w:pStyle w:val="230"/>
              <w:rPr>
                <w:caps w:val="0"/>
                <w:smallCaps w:val="0"/>
                <w:color w:val="auto"/>
                <w:spacing w:val="0"/>
                <w:highlight w:val="none"/>
              </w:rPr>
            </w:pPr>
          </w:p>
        </w:tc>
        <w:tc>
          <w:tcPr>
            <w:tcW w:w="1828" w:type="dxa"/>
            <w:tcBorders>
              <w:tl2br w:val="nil"/>
              <w:tr2bl w:val="nil"/>
            </w:tcBorders>
            <w:vAlign w:val="center"/>
          </w:tcPr>
          <w:p w14:paraId="63035F7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DA003</w:t>
            </w:r>
          </w:p>
        </w:tc>
        <w:tc>
          <w:tcPr>
            <w:tcW w:w="4065" w:type="dxa"/>
            <w:tcBorders>
              <w:tl2br w:val="nil"/>
              <w:tr2bl w:val="nil"/>
            </w:tcBorders>
            <w:vAlign w:val="center"/>
          </w:tcPr>
          <w:p w14:paraId="4EC28DB2">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颗粒物</w:t>
            </w:r>
          </w:p>
        </w:tc>
        <w:tc>
          <w:tcPr>
            <w:tcW w:w="2400" w:type="dxa"/>
            <w:tcBorders>
              <w:tl2br w:val="nil"/>
              <w:tr2bl w:val="nil"/>
            </w:tcBorders>
            <w:vAlign w:val="center"/>
          </w:tcPr>
          <w:p w14:paraId="30975217">
            <w:pPr>
              <w:pStyle w:val="195"/>
              <w:widowControl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continue"/>
            <w:tcBorders>
              <w:tl2br w:val="nil"/>
              <w:tr2bl w:val="nil"/>
            </w:tcBorders>
            <w:vAlign w:val="center"/>
          </w:tcPr>
          <w:p w14:paraId="5A8F0E36">
            <w:pPr>
              <w:pStyle w:val="230"/>
              <w:rPr>
                <w:caps w:val="0"/>
                <w:smallCaps w:val="0"/>
                <w:color w:val="auto"/>
                <w:spacing w:val="0"/>
                <w:highlight w:val="none"/>
              </w:rPr>
            </w:pPr>
          </w:p>
        </w:tc>
      </w:tr>
      <w:tr w14:paraId="13AC03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2D6472C0">
            <w:pPr>
              <w:pStyle w:val="230"/>
              <w:rPr>
                <w:caps w:val="0"/>
                <w:smallCaps w:val="0"/>
                <w:color w:val="auto"/>
                <w:spacing w:val="0"/>
                <w:highlight w:val="none"/>
              </w:rPr>
            </w:pPr>
          </w:p>
        </w:tc>
        <w:tc>
          <w:tcPr>
            <w:tcW w:w="426" w:type="dxa"/>
            <w:vMerge w:val="continue"/>
            <w:tcBorders>
              <w:tl2br w:val="nil"/>
              <w:tr2bl w:val="nil"/>
            </w:tcBorders>
            <w:vAlign w:val="center"/>
          </w:tcPr>
          <w:p w14:paraId="53080EBA">
            <w:pPr>
              <w:pStyle w:val="230"/>
              <w:rPr>
                <w:caps w:val="0"/>
                <w:smallCaps w:val="0"/>
                <w:color w:val="auto"/>
                <w:spacing w:val="0"/>
                <w:highlight w:val="none"/>
              </w:rPr>
            </w:pPr>
          </w:p>
        </w:tc>
        <w:tc>
          <w:tcPr>
            <w:tcW w:w="425" w:type="dxa"/>
            <w:vMerge w:val="continue"/>
            <w:tcBorders>
              <w:tl2br w:val="nil"/>
              <w:tr2bl w:val="nil"/>
            </w:tcBorders>
            <w:vAlign w:val="center"/>
          </w:tcPr>
          <w:p w14:paraId="5A10CAC4">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013A14FA">
            <w:pPr>
              <w:pStyle w:val="230"/>
              <w:rPr>
                <w:caps w:val="0"/>
                <w:smallCaps w:val="0"/>
                <w:color w:val="auto"/>
                <w:spacing w:val="0"/>
                <w:highlight w:val="none"/>
              </w:rPr>
            </w:pPr>
          </w:p>
        </w:tc>
        <w:tc>
          <w:tcPr>
            <w:tcW w:w="1828" w:type="dxa"/>
            <w:tcBorders>
              <w:tl2br w:val="nil"/>
              <w:tr2bl w:val="nil"/>
            </w:tcBorders>
            <w:vAlign w:val="center"/>
          </w:tcPr>
          <w:p w14:paraId="4C983045">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DA004</w:t>
            </w:r>
          </w:p>
        </w:tc>
        <w:tc>
          <w:tcPr>
            <w:tcW w:w="4065" w:type="dxa"/>
            <w:tcBorders>
              <w:tl2br w:val="nil"/>
              <w:tr2bl w:val="nil"/>
            </w:tcBorders>
            <w:vAlign w:val="center"/>
          </w:tcPr>
          <w:p w14:paraId="2F0C2F2A">
            <w:pPr>
              <w:widowControl w:val="0"/>
              <w:snapToGrid w:val="0"/>
              <w:ind w:firstLine="420" w:firstLineChars="20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颗粒物</w:t>
            </w:r>
          </w:p>
        </w:tc>
        <w:tc>
          <w:tcPr>
            <w:tcW w:w="2400" w:type="dxa"/>
            <w:tcBorders>
              <w:tl2br w:val="nil"/>
              <w:tr2bl w:val="nil"/>
            </w:tcBorders>
            <w:vAlign w:val="center"/>
          </w:tcPr>
          <w:p w14:paraId="2BCBC555">
            <w:pPr>
              <w:pStyle w:val="195"/>
              <w:widowControl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continue"/>
            <w:tcBorders>
              <w:tl2br w:val="nil"/>
              <w:tr2bl w:val="nil"/>
            </w:tcBorders>
            <w:vAlign w:val="center"/>
          </w:tcPr>
          <w:p w14:paraId="334AAB88">
            <w:pPr>
              <w:pStyle w:val="230"/>
              <w:rPr>
                <w:caps w:val="0"/>
                <w:smallCaps w:val="0"/>
                <w:color w:val="auto"/>
                <w:spacing w:val="0"/>
                <w:highlight w:val="none"/>
              </w:rPr>
            </w:pPr>
          </w:p>
        </w:tc>
      </w:tr>
      <w:tr w14:paraId="7F19C8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43B2CC37">
            <w:pPr>
              <w:pStyle w:val="230"/>
              <w:rPr>
                <w:caps w:val="0"/>
                <w:smallCaps w:val="0"/>
                <w:color w:val="auto"/>
                <w:spacing w:val="0"/>
                <w:highlight w:val="none"/>
              </w:rPr>
            </w:pPr>
          </w:p>
        </w:tc>
        <w:tc>
          <w:tcPr>
            <w:tcW w:w="426" w:type="dxa"/>
            <w:vMerge w:val="continue"/>
            <w:tcBorders>
              <w:tl2br w:val="nil"/>
              <w:tr2bl w:val="nil"/>
            </w:tcBorders>
            <w:vAlign w:val="center"/>
          </w:tcPr>
          <w:p w14:paraId="40E29C6A">
            <w:pPr>
              <w:pStyle w:val="230"/>
              <w:rPr>
                <w:caps w:val="0"/>
                <w:smallCaps w:val="0"/>
                <w:color w:val="auto"/>
                <w:spacing w:val="0"/>
                <w:highlight w:val="none"/>
              </w:rPr>
            </w:pPr>
          </w:p>
        </w:tc>
        <w:tc>
          <w:tcPr>
            <w:tcW w:w="425" w:type="dxa"/>
            <w:vMerge w:val="continue"/>
            <w:tcBorders>
              <w:tl2br w:val="nil"/>
              <w:tr2bl w:val="nil"/>
            </w:tcBorders>
            <w:vAlign w:val="center"/>
          </w:tcPr>
          <w:p w14:paraId="2154C891">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4F54D8A1">
            <w:pPr>
              <w:pStyle w:val="230"/>
              <w:rPr>
                <w:caps w:val="0"/>
                <w:smallCaps w:val="0"/>
                <w:color w:val="auto"/>
                <w:spacing w:val="0"/>
                <w:highlight w:val="none"/>
              </w:rPr>
            </w:pPr>
          </w:p>
        </w:tc>
        <w:tc>
          <w:tcPr>
            <w:tcW w:w="1828" w:type="dxa"/>
            <w:tcBorders>
              <w:tl2br w:val="nil"/>
              <w:tr2bl w:val="nil"/>
            </w:tcBorders>
            <w:vAlign w:val="center"/>
          </w:tcPr>
          <w:p w14:paraId="6961FE0F">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DA0</w:t>
            </w:r>
            <w:r>
              <w:rPr>
                <w:rFonts w:ascii="Times New Roman" w:hAnsi="Times New Roman" w:eastAsia="宋体" w:cs="Times New Roman"/>
                <w:caps w:val="0"/>
                <w:smallCaps w:val="0"/>
                <w:color w:val="auto"/>
                <w:spacing w:val="0"/>
                <w:sz w:val="21"/>
                <w:highlight w:val="none"/>
                <w:shd w:val="clear"/>
              </w:rPr>
              <w:t>0</w:t>
            </w:r>
            <w:r>
              <w:rPr>
                <w:rFonts w:hint="eastAsia" w:ascii="Times New Roman" w:hAnsi="Times New Roman" w:eastAsia="宋体" w:cs="Times New Roman"/>
                <w:caps w:val="0"/>
                <w:smallCaps w:val="0"/>
                <w:color w:val="auto"/>
                <w:spacing w:val="0"/>
                <w:sz w:val="21"/>
                <w:highlight w:val="none"/>
                <w:shd w:val="clear"/>
                <w:lang w:val="en-US" w:eastAsia="zh-CN"/>
              </w:rPr>
              <w:t>5</w:t>
            </w:r>
          </w:p>
        </w:tc>
        <w:tc>
          <w:tcPr>
            <w:tcW w:w="4065" w:type="dxa"/>
            <w:tcBorders>
              <w:tl2br w:val="nil"/>
              <w:tr2bl w:val="nil"/>
            </w:tcBorders>
            <w:vAlign w:val="center"/>
          </w:tcPr>
          <w:p w14:paraId="07F23F1C">
            <w:pPr>
              <w:widowControl w:val="0"/>
              <w:snapToGrid w:val="0"/>
              <w:ind w:firstLine="420" w:firstLineChars="20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颗粒物</w:t>
            </w:r>
          </w:p>
        </w:tc>
        <w:tc>
          <w:tcPr>
            <w:tcW w:w="2400" w:type="dxa"/>
            <w:tcBorders>
              <w:tl2br w:val="nil"/>
              <w:tr2bl w:val="nil"/>
            </w:tcBorders>
            <w:vAlign w:val="center"/>
          </w:tcPr>
          <w:p w14:paraId="60F64336">
            <w:pPr>
              <w:pStyle w:val="195"/>
              <w:widowControl w:val="0"/>
              <w:snapToGrid w:val="0"/>
              <w:jc w:val="center"/>
              <w:rPr>
                <w:rFonts w:ascii="Times New Roman" w:hAnsi="Times New Roman" w:cs="Times New Roman"/>
                <w:caps w:val="0"/>
                <w:smallCaps w:val="0"/>
                <w:color w:val="auto"/>
                <w:spacing w:val="0"/>
                <w:position w:val="1"/>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continue"/>
            <w:tcBorders>
              <w:tl2br w:val="nil"/>
              <w:tr2bl w:val="nil"/>
            </w:tcBorders>
            <w:vAlign w:val="center"/>
          </w:tcPr>
          <w:p w14:paraId="33947D96">
            <w:pPr>
              <w:pStyle w:val="230"/>
              <w:rPr>
                <w:caps w:val="0"/>
                <w:smallCaps w:val="0"/>
                <w:color w:val="auto"/>
                <w:spacing w:val="0"/>
                <w:highlight w:val="none"/>
              </w:rPr>
            </w:pPr>
          </w:p>
        </w:tc>
      </w:tr>
      <w:tr w14:paraId="511A06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7E5FDA94">
            <w:pPr>
              <w:pStyle w:val="230"/>
              <w:rPr>
                <w:caps w:val="0"/>
                <w:smallCaps w:val="0"/>
                <w:color w:val="auto"/>
                <w:spacing w:val="0"/>
                <w:highlight w:val="none"/>
              </w:rPr>
            </w:pPr>
          </w:p>
        </w:tc>
        <w:tc>
          <w:tcPr>
            <w:tcW w:w="426" w:type="dxa"/>
            <w:vMerge w:val="continue"/>
            <w:tcBorders>
              <w:tl2br w:val="nil"/>
              <w:tr2bl w:val="nil"/>
            </w:tcBorders>
            <w:vAlign w:val="center"/>
          </w:tcPr>
          <w:p w14:paraId="425BDD43">
            <w:pPr>
              <w:pStyle w:val="230"/>
              <w:rPr>
                <w:caps w:val="0"/>
                <w:smallCaps w:val="0"/>
                <w:color w:val="auto"/>
                <w:spacing w:val="0"/>
                <w:highlight w:val="none"/>
              </w:rPr>
            </w:pPr>
          </w:p>
        </w:tc>
        <w:tc>
          <w:tcPr>
            <w:tcW w:w="425" w:type="dxa"/>
            <w:vMerge w:val="continue"/>
            <w:tcBorders>
              <w:tl2br w:val="nil"/>
              <w:tr2bl w:val="nil"/>
            </w:tcBorders>
            <w:vAlign w:val="center"/>
          </w:tcPr>
          <w:p w14:paraId="3E327D47">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1561E3F7">
            <w:pPr>
              <w:pStyle w:val="230"/>
              <w:rPr>
                <w:caps w:val="0"/>
                <w:smallCaps w:val="0"/>
                <w:color w:val="auto"/>
                <w:spacing w:val="0"/>
                <w:highlight w:val="none"/>
              </w:rPr>
            </w:pPr>
          </w:p>
        </w:tc>
        <w:tc>
          <w:tcPr>
            <w:tcW w:w="1828" w:type="dxa"/>
            <w:tcBorders>
              <w:tl2br w:val="nil"/>
              <w:tr2bl w:val="nil"/>
            </w:tcBorders>
            <w:vAlign w:val="center"/>
          </w:tcPr>
          <w:p w14:paraId="27BE665D">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DA006</w:t>
            </w:r>
          </w:p>
        </w:tc>
        <w:tc>
          <w:tcPr>
            <w:tcW w:w="4065" w:type="dxa"/>
            <w:tcBorders>
              <w:tl2br w:val="nil"/>
              <w:tr2bl w:val="nil"/>
            </w:tcBorders>
            <w:vAlign w:val="center"/>
          </w:tcPr>
          <w:p w14:paraId="75955515">
            <w:pPr>
              <w:widowControl w:val="0"/>
              <w:snapToGrid w:val="0"/>
              <w:ind w:firstLine="420" w:firstLineChars="20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颗粒物</w:t>
            </w:r>
          </w:p>
        </w:tc>
        <w:tc>
          <w:tcPr>
            <w:tcW w:w="2400" w:type="dxa"/>
            <w:tcBorders>
              <w:tl2br w:val="nil"/>
              <w:tr2bl w:val="nil"/>
            </w:tcBorders>
            <w:vAlign w:val="center"/>
          </w:tcPr>
          <w:p w14:paraId="42A835E8">
            <w:pPr>
              <w:pStyle w:val="195"/>
              <w:widowControl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continue"/>
            <w:tcBorders>
              <w:tl2br w:val="nil"/>
              <w:tr2bl w:val="nil"/>
            </w:tcBorders>
            <w:vAlign w:val="center"/>
          </w:tcPr>
          <w:p w14:paraId="27ADE950">
            <w:pPr>
              <w:pStyle w:val="230"/>
              <w:rPr>
                <w:caps w:val="0"/>
                <w:smallCaps w:val="0"/>
                <w:color w:val="auto"/>
                <w:spacing w:val="0"/>
                <w:highlight w:val="none"/>
              </w:rPr>
            </w:pPr>
          </w:p>
        </w:tc>
      </w:tr>
      <w:tr w14:paraId="4CFF07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60FD4510">
            <w:pPr>
              <w:pStyle w:val="230"/>
              <w:rPr>
                <w:caps w:val="0"/>
                <w:smallCaps w:val="0"/>
                <w:color w:val="auto"/>
                <w:spacing w:val="0"/>
                <w:highlight w:val="none"/>
              </w:rPr>
            </w:pPr>
          </w:p>
        </w:tc>
        <w:tc>
          <w:tcPr>
            <w:tcW w:w="426" w:type="dxa"/>
            <w:vMerge w:val="continue"/>
            <w:tcBorders>
              <w:tl2br w:val="nil"/>
              <w:tr2bl w:val="nil"/>
            </w:tcBorders>
            <w:vAlign w:val="center"/>
          </w:tcPr>
          <w:p w14:paraId="2D44355A">
            <w:pPr>
              <w:pStyle w:val="230"/>
              <w:rPr>
                <w:caps w:val="0"/>
                <w:smallCaps w:val="0"/>
                <w:color w:val="auto"/>
                <w:spacing w:val="0"/>
                <w:highlight w:val="none"/>
              </w:rPr>
            </w:pPr>
          </w:p>
        </w:tc>
        <w:tc>
          <w:tcPr>
            <w:tcW w:w="425" w:type="dxa"/>
            <w:vMerge w:val="continue"/>
            <w:tcBorders>
              <w:tl2br w:val="nil"/>
              <w:tr2bl w:val="nil"/>
            </w:tcBorders>
            <w:vAlign w:val="center"/>
          </w:tcPr>
          <w:p w14:paraId="2272C2EA">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49A060F5">
            <w:pPr>
              <w:pStyle w:val="230"/>
              <w:rPr>
                <w:caps w:val="0"/>
                <w:smallCaps w:val="0"/>
                <w:color w:val="auto"/>
                <w:spacing w:val="0"/>
                <w:highlight w:val="none"/>
              </w:rPr>
            </w:pPr>
          </w:p>
        </w:tc>
        <w:tc>
          <w:tcPr>
            <w:tcW w:w="1828" w:type="dxa"/>
            <w:tcBorders>
              <w:tl2br w:val="nil"/>
              <w:tr2bl w:val="nil"/>
            </w:tcBorders>
            <w:vAlign w:val="center"/>
          </w:tcPr>
          <w:p w14:paraId="73322134">
            <w:pPr>
              <w:widowControl w:val="0"/>
              <w:snapToGrid w:val="0"/>
              <w:jc w:val="center"/>
              <w:rPr>
                <w:rFonts w:hint="eastAsia" w:ascii="Times New Roman" w:hAnsi="Times New Roman" w:eastAsia="宋体" w:cs="Times New Roman"/>
                <w:caps w:val="0"/>
                <w:smallCaps w:val="0"/>
                <w:color w:val="auto"/>
                <w:spacing w:val="0"/>
                <w:sz w:val="21"/>
                <w:highlight w:val="none"/>
                <w:lang w:eastAsia="zh-CN"/>
              </w:rPr>
            </w:pPr>
            <w:r>
              <w:rPr>
                <w:rFonts w:ascii="Times New Roman" w:hAnsi="Times New Roman" w:eastAsia="宋体" w:cs="Times New Roman"/>
                <w:caps w:val="0"/>
                <w:smallCaps w:val="0"/>
                <w:color w:val="auto"/>
                <w:spacing w:val="0"/>
                <w:sz w:val="21"/>
                <w:highlight w:val="none"/>
              </w:rPr>
              <w:t>DA00</w:t>
            </w:r>
            <w:r>
              <w:rPr>
                <w:rFonts w:hint="eastAsia" w:ascii="Times New Roman" w:hAnsi="Times New Roman" w:eastAsia="宋体" w:cs="Times New Roman"/>
                <w:caps w:val="0"/>
                <w:smallCaps w:val="0"/>
                <w:color w:val="auto"/>
                <w:spacing w:val="0"/>
                <w:sz w:val="21"/>
                <w:highlight w:val="none"/>
                <w:lang w:val="en-US" w:eastAsia="zh-CN"/>
              </w:rPr>
              <w:t>8</w:t>
            </w:r>
          </w:p>
        </w:tc>
        <w:tc>
          <w:tcPr>
            <w:tcW w:w="4065" w:type="dxa"/>
            <w:tcBorders>
              <w:tl2br w:val="nil"/>
              <w:tr2bl w:val="nil"/>
            </w:tcBorders>
            <w:vAlign w:val="center"/>
          </w:tcPr>
          <w:p w14:paraId="2D6A92E1">
            <w:pPr>
              <w:widowControl w:val="0"/>
              <w:snapToGrid w:val="0"/>
              <w:ind w:firstLine="420" w:firstLineChars="200"/>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氨气、硫化氢、臭气浓度</w:t>
            </w:r>
          </w:p>
        </w:tc>
        <w:tc>
          <w:tcPr>
            <w:tcW w:w="2400" w:type="dxa"/>
            <w:tcBorders>
              <w:tl2br w:val="nil"/>
              <w:tr2bl w:val="nil"/>
            </w:tcBorders>
            <w:vAlign w:val="center"/>
          </w:tcPr>
          <w:p w14:paraId="6DF34702">
            <w:pPr>
              <w:pStyle w:val="195"/>
              <w:widowControl w:val="0"/>
              <w:snapToGrid w:val="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1次/半年</w:t>
            </w:r>
          </w:p>
        </w:tc>
        <w:tc>
          <w:tcPr>
            <w:tcW w:w="3676" w:type="dxa"/>
            <w:tcBorders>
              <w:tl2br w:val="nil"/>
              <w:tr2bl w:val="nil"/>
            </w:tcBorders>
            <w:vAlign w:val="center"/>
          </w:tcPr>
          <w:p w14:paraId="2ECE5C42">
            <w:pPr>
              <w:pStyle w:val="230"/>
              <w:rPr>
                <w:caps w:val="0"/>
                <w:smallCaps w:val="0"/>
                <w:color w:val="auto"/>
                <w:spacing w:val="0"/>
                <w:highlight w:val="none"/>
              </w:rPr>
            </w:pPr>
            <w:r>
              <w:rPr>
                <w:caps w:val="0"/>
                <w:smallCaps w:val="0"/>
                <w:color w:val="auto"/>
                <w:spacing w:val="0"/>
                <w:highlight w:val="none"/>
              </w:rPr>
              <w:t>《恶臭污染物排放标准》（GB14554-93）表2</w:t>
            </w:r>
          </w:p>
        </w:tc>
      </w:tr>
      <w:tr w14:paraId="5F2FC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3DA23DBE">
            <w:pPr>
              <w:pStyle w:val="230"/>
              <w:rPr>
                <w:caps w:val="0"/>
                <w:smallCaps w:val="0"/>
                <w:color w:val="auto"/>
                <w:spacing w:val="0"/>
                <w:highlight w:val="none"/>
              </w:rPr>
            </w:pPr>
          </w:p>
        </w:tc>
        <w:tc>
          <w:tcPr>
            <w:tcW w:w="426" w:type="dxa"/>
            <w:vMerge w:val="continue"/>
            <w:tcBorders>
              <w:tl2br w:val="nil"/>
              <w:tr2bl w:val="nil"/>
            </w:tcBorders>
            <w:vAlign w:val="center"/>
          </w:tcPr>
          <w:p w14:paraId="2E9AFEC9">
            <w:pPr>
              <w:pStyle w:val="230"/>
              <w:rPr>
                <w:caps w:val="0"/>
                <w:smallCaps w:val="0"/>
                <w:color w:val="auto"/>
                <w:spacing w:val="0"/>
                <w:highlight w:val="none"/>
              </w:rPr>
            </w:pPr>
          </w:p>
        </w:tc>
        <w:tc>
          <w:tcPr>
            <w:tcW w:w="425" w:type="dxa"/>
            <w:tcBorders>
              <w:tl2br w:val="nil"/>
              <w:tr2bl w:val="nil"/>
            </w:tcBorders>
            <w:vAlign w:val="center"/>
          </w:tcPr>
          <w:p w14:paraId="1EF819DA">
            <w:pPr>
              <w:pStyle w:val="230"/>
              <w:rPr>
                <w:caps w:val="0"/>
                <w:smallCaps w:val="0"/>
                <w:color w:val="auto"/>
                <w:spacing w:val="0"/>
                <w:highlight w:val="none"/>
              </w:rPr>
            </w:pPr>
            <w:r>
              <w:rPr>
                <w:caps w:val="0"/>
                <w:smallCaps w:val="0"/>
                <w:color w:val="auto"/>
                <w:spacing w:val="0"/>
                <w:highlight w:val="none"/>
              </w:rPr>
              <w:t>无</w:t>
            </w:r>
          </w:p>
          <w:p w14:paraId="66F40C68">
            <w:pPr>
              <w:pStyle w:val="230"/>
              <w:rPr>
                <w:caps w:val="0"/>
                <w:smallCaps w:val="0"/>
                <w:color w:val="auto"/>
                <w:spacing w:val="0"/>
                <w:highlight w:val="none"/>
              </w:rPr>
            </w:pPr>
            <w:r>
              <w:rPr>
                <w:caps w:val="0"/>
                <w:smallCaps w:val="0"/>
                <w:color w:val="auto"/>
                <w:spacing w:val="0"/>
                <w:highlight w:val="none"/>
              </w:rPr>
              <w:t>组</w:t>
            </w:r>
          </w:p>
          <w:p w14:paraId="2AA38F32">
            <w:pPr>
              <w:pStyle w:val="230"/>
              <w:rPr>
                <w:caps w:val="0"/>
                <w:smallCaps w:val="0"/>
                <w:color w:val="auto"/>
                <w:spacing w:val="0"/>
                <w:highlight w:val="none"/>
              </w:rPr>
            </w:pPr>
            <w:r>
              <w:rPr>
                <w:caps w:val="0"/>
                <w:smallCaps w:val="0"/>
                <w:color w:val="auto"/>
                <w:spacing w:val="0"/>
                <w:highlight w:val="none"/>
              </w:rPr>
              <w:t>织</w:t>
            </w:r>
          </w:p>
        </w:tc>
        <w:tc>
          <w:tcPr>
            <w:tcW w:w="680" w:type="dxa"/>
            <w:gridSpan w:val="2"/>
            <w:tcBorders>
              <w:tl2br w:val="nil"/>
              <w:tr2bl w:val="nil"/>
            </w:tcBorders>
            <w:vAlign w:val="center"/>
          </w:tcPr>
          <w:p w14:paraId="0BFD27A9">
            <w:pPr>
              <w:pStyle w:val="230"/>
              <w:rPr>
                <w:caps w:val="0"/>
                <w:smallCaps w:val="0"/>
                <w:color w:val="auto"/>
                <w:spacing w:val="0"/>
                <w:highlight w:val="none"/>
              </w:rPr>
            </w:pPr>
            <w:r>
              <w:rPr>
                <w:caps w:val="0"/>
                <w:smallCaps w:val="0"/>
                <w:color w:val="auto"/>
                <w:spacing w:val="0"/>
                <w:highlight w:val="none"/>
              </w:rPr>
              <w:t>取样监测</w:t>
            </w:r>
          </w:p>
        </w:tc>
        <w:tc>
          <w:tcPr>
            <w:tcW w:w="1828" w:type="dxa"/>
            <w:tcBorders>
              <w:tl2br w:val="nil"/>
              <w:tr2bl w:val="nil"/>
            </w:tcBorders>
            <w:vAlign w:val="center"/>
          </w:tcPr>
          <w:p w14:paraId="2A1DD60E">
            <w:pPr>
              <w:pStyle w:val="230"/>
              <w:rPr>
                <w:caps w:val="0"/>
                <w:smallCaps w:val="0"/>
                <w:color w:val="auto"/>
                <w:spacing w:val="0"/>
                <w:highlight w:val="none"/>
              </w:rPr>
            </w:pPr>
            <w:r>
              <w:rPr>
                <w:caps w:val="0"/>
                <w:smallCaps w:val="0"/>
                <w:color w:val="auto"/>
                <w:spacing w:val="0"/>
                <w:highlight w:val="none"/>
              </w:rPr>
              <w:t>厂界</w:t>
            </w:r>
          </w:p>
        </w:tc>
        <w:tc>
          <w:tcPr>
            <w:tcW w:w="4065" w:type="dxa"/>
            <w:tcBorders>
              <w:tl2br w:val="nil"/>
              <w:tr2bl w:val="nil"/>
            </w:tcBorders>
            <w:vAlign w:val="center"/>
          </w:tcPr>
          <w:p w14:paraId="74E61B37">
            <w:pPr>
              <w:pStyle w:val="230"/>
              <w:rPr>
                <w:color w:val="auto"/>
                <w:highlight w:val="none"/>
              </w:rPr>
            </w:pPr>
            <w:r>
              <w:rPr>
                <w:caps w:val="0"/>
                <w:smallCaps w:val="0"/>
                <w:color w:val="auto"/>
                <w:spacing w:val="0"/>
                <w:highlight w:val="none"/>
              </w:rPr>
              <w:t>颗粒物、镉及其化合物、非甲烷总烃、</w:t>
            </w:r>
            <w:r>
              <w:rPr>
                <w:rFonts w:hint="eastAsia"/>
                <w:caps w:val="0"/>
                <w:smallCaps w:val="0"/>
                <w:color w:val="auto"/>
                <w:spacing w:val="0"/>
                <w:highlight w:val="none"/>
                <w:lang w:val="en-US" w:eastAsia="zh-CN"/>
              </w:rPr>
              <w:t>氮氧化物、氯化氢、</w:t>
            </w:r>
            <w:r>
              <w:rPr>
                <w:caps w:val="0"/>
                <w:smallCaps w:val="0"/>
                <w:color w:val="auto"/>
                <w:spacing w:val="0"/>
                <w:highlight w:val="none"/>
              </w:rPr>
              <w:t>氨气、</w:t>
            </w:r>
            <w:r>
              <w:rPr>
                <w:rFonts w:hint="eastAsia"/>
                <w:caps w:val="0"/>
                <w:smallCaps w:val="0"/>
                <w:color w:val="auto"/>
                <w:spacing w:val="0"/>
                <w:highlight w:val="none"/>
              </w:rPr>
              <w:t>硫化氢、臭气浓度</w:t>
            </w:r>
          </w:p>
        </w:tc>
        <w:tc>
          <w:tcPr>
            <w:tcW w:w="2400" w:type="dxa"/>
            <w:tcBorders>
              <w:tl2br w:val="nil"/>
              <w:tr2bl w:val="nil"/>
            </w:tcBorders>
            <w:vAlign w:val="center"/>
          </w:tcPr>
          <w:p w14:paraId="2C82BB34">
            <w:pPr>
              <w:pStyle w:val="230"/>
              <w:rPr>
                <w:caps w:val="0"/>
                <w:smallCaps w:val="0"/>
                <w:color w:val="auto"/>
                <w:spacing w:val="0"/>
                <w:highlight w:val="none"/>
              </w:rPr>
            </w:pPr>
            <w:r>
              <w:rPr>
                <w:caps w:val="0"/>
                <w:smallCaps w:val="0"/>
                <w:color w:val="auto"/>
                <w:spacing w:val="0"/>
                <w:highlight w:val="none"/>
              </w:rPr>
              <w:t>1次/年</w:t>
            </w:r>
          </w:p>
        </w:tc>
        <w:tc>
          <w:tcPr>
            <w:tcW w:w="3676" w:type="dxa"/>
            <w:tcBorders>
              <w:tl2br w:val="nil"/>
              <w:tr2bl w:val="nil"/>
            </w:tcBorders>
            <w:vAlign w:val="center"/>
          </w:tcPr>
          <w:p w14:paraId="44A7775C">
            <w:pPr>
              <w:pStyle w:val="230"/>
              <w:rPr>
                <w:caps w:val="0"/>
                <w:smallCaps w:val="0"/>
                <w:color w:val="auto"/>
                <w:spacing w:val="0"/>
                <w:highlight w:val="none"/>
              </w:rPr>
            </w:pPr>
            <w:r>
              <w:rPr>
                <w:caps w:val="0"/>
                <w:smallCaps w:val="0"/>
                <w:color w:val="auto"/>
                <w:spacing w:val="0"/>
                <w:highlight w:val="none"/>
              </w:rPr>
              <w:t>《电池工业污染物标准》（GB30484-2013）表6；《恶臭污染物排放标准》（GB14554-93）表2</w:t>
            </w:r>
          </w:p>
        </w:tc>
      </w:tr>
      <w:tr w14:paraId="266F4D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restart"/>
            <w:tcBorders>
              <w:tl2br w:val="nil"/>
              <w:tr2bl w:val="nil"/>
            </w:tcBorders>
            <w:vAlign w:val="center"/>
          </w:tcPr>
          <w:p w14:paraId="4F14A661">
            <w:pPr>
              <w:pStyle w:val="230"/>
              <w:rPr>
                <w:caps w:val="0"/>
                <w:smallCaps w:val="0"/>
                <w:color w:val="auto"/>
                <w:spacing w:val="0"/>
                <w:highlight w:val="none"/>
              </w:rPr>
            </w:pPr>
            <w:r>
              <w:rPr>
                <w:caps w:val="0"/>
                <w:smallCaps w:val="0"/>
                <w:color w:val="auto"/>
                <w:spacing w:val="0"/>
                <w:highlight w:val="none"/>
              </w:rPr>
              <w:t>废</w:t>
            </w:r>
          </w:p>
          <w:p w14:paraId="6578BA98">
            <w:pPr>
              <w:pStyle w:val="230"/>
              <w:rPr>
                <w:caps w:val="0"/>
                <w:smallCaps w:val="0"/>
                <w:color w:val="auto"/>
                <w:spacing w:val="0"/>
                <w:highlight w:val="none"/>
              </w:rPr>
            </w:pPr>
            <w:r>
              <w:rPr>
                <w:caps w:val="0"/>
                <w:smallCaps w:val="0"/>
                <w:color w:val="auto"/>
                <w:spacing w:val="0"/>
                <w:highlight w:val="none"/>
              </w:rPr>
              <w:t>水</w:t>
            </w:r>
          </w:p>
        </w:tc>
        <w:tc>
          <w:tcPr>
            <w:tcW w:w="851" w:type="dxa"/>
            <w:gridSpan w:val="2"/>
            <w:vMerge w:val="restart"/>
            <w:tcBorders>
              <w:tl2br w:val="nil"/>
              <w:tr2bl w:val="nil"/>
            </w:tcBorders>
            <w:vAlign w:val="center"/>
          </w:tcPr>
          <w:p w14:paraId="1329FE24">
            <w:pPr>
              <w:pStyle w:val="230"/>
              <w:rPr>
                <w:caps w:val="0"/>
                <w:smallCaps w:val="0"/>
                <w:color w:val="auto"/>
                <w:spacing w:val="0"/>
                <w:highlight w:val="none"/>
              </w:rPr>
            </w:pPr>
            <w:r>
              <w:rPr>
                <w:caps w:val="0"/>
                <w:smallCaps w:val="0"/>
                <w:color w:val="auto"/>
                <w:spacing w:val="0"/>
                <w:highlight w:val="none"/>
              </w:rPr>
              <w:t>污染源</w:t>
            </w:r>
          </w:p>
        </w:tc>
        <w:tc>
          <w:tcPr>
            <w:tcW w:w="680" w:type="dxa"/>
            <w:gridSpan w:val="2"/>
            <w:vMerge w:val="restart"/>
            <w:tcBorders>
              <w:tl2br w:val="nil"/>
              <w:tr2bl w:val="nil"/>
            </w:tcBorders>
            <w:vAlign w:val="center"/>
          </w:tcPr>
          <w:p w14:paraId="246DCA7D">
            <w:pPr>
              <w:pStyle w:val="230"/>
              <w:rPr>
                <w:caps w:val="0"/>
                <w:smallCaps w:val="0"/>
                <w:color w:val="auto"/>
                <w:spacing w:val="0"/>
                <w:highlight w:val="none"/>
              </w:rPr>
            </w:pPr>
            <w:r>
              <w:rPr>
                <w:caps w:val="0"/>
                <w:smallCaps w:val="0"/>
                <w:color w:val="auto"/>
                <w:spacing w:val="0"/>
                <w:highlight w:val="none"/>
              </w:rPr>
              <w:t>取样监测</w:t>
            </w:r>
          </w:p>
        </w:tc>
        <w:tc>
          <w:tcPr>
            <w:tcW w:w="1828" w:type="dxa"/>
            <w:vMerge w:val="restart"/>
            <w:tcBorders>
              <w:tl2br w:val="nil"/>
              <w:tr2bl w:val="nil"/>
            </w:tcBorders>
            <w:vAlign w:val="center"/>
          </w:tcPr>
          <w:p w14:paraId="71E0721E">
            <w:pPr>
              <w:pStyle w:val="230"/>
              <w:rPr>
                <w:caps w:val="0"/>
                <w:smallCaps w:val="0"/>
                <w:color w:val="auto"/>
                <w:spacing w:val="0"/>
                <w:highlight w:val="none"/>
              </w:rPr>
            </w:pPr>
            <w:r>
              <w:rPr>
                <w:caps w:val="0"/>
                <w:smallCaps w:val="0"/>
                <w:color w:val="auto"/>
                <w:spacing w:val="0"/>
                <w:highlight w:val="none"/>
              </w:rPr>
              <w:t>厂区排放口</w:t>
            </w:r>
          </w:p>
        </w:tc>
        <w:tc>
          <w:tcPr>
            <w:tcW w:w="4065" w:type="dxa"/>
            <w:tcBorders>
              <w:tl2br w:val="nil"/>
              <w:tr2bl w:val="nil"/>
            </w:tcBorders>
            <w:vAlign w:val="center"/>
          </w:tcPr>
          <w:p w14:paraId="38CB62A8">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pH</w:t>
            </w:r>
            <w:r>
              <w:rPr>
                <w:rFonts w:ascii="Times New Roman" w:hAnsi="Times New Roman" w:cs="Times New Roman"/>
                <w:caps w:val="0"/>
                <w:smallCaps w:val="0"/>
                <w:color w:val="auto"/>
                <w:spacing w:val="0"/>
                <w:sz w:val="21"/>
                <w:szCs w:val="21"/>
                <w:highlight w:val="none"/>
              </w:rPr>
              <w:t>值、COD、悬浮物、氨氮</w:t>
            </w:r>
          </w:p>
        </w:tc>
        <w:tc>
          <w:tcPr>
            <w:tcW w:w="2400" w:type="dxa"/>
            <w:tcBorders>
              <w:tl2br w:val="nil"/>
              <w:tr2bl w:val="nil"/>
            </w:tcBorders>
            <w:vAlign w:val="center"/>
          </w:tcPr>
          <w:p w14:paraId="30D7B5BD">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position w:val="1"/>
                <w:sz w:val="21"/>
                <w:szCs w:val="21"/>
                <w:highlight w:val="none"/>
              </w:rPr>
              <w:t>1次/半年</w:t>
            </w:r>
          </w:p>
        </w:tc>
        <w:tc>
          <w:tcPr>
            <w:tcW w:w="3676" w:type="dxa"/>
            <w:vMerge w:val="restart"/>
            <w:tcBorders>
              <w:tl2br w:val="nil"/>
              <w:tr2bl w:val="nil"/>
            </w:tcBorders>
            <w:vAlign w:val="center"/>
          </w:tcPr>
          <w:p w14:paraId="6F98AE0D">
            <w:pPr>
              <w:pStyle w:val="230"/>
              <w:rPr>
                <w:caps w:val="0"/>
                <w:smallCaps w:val="0"/>
                <w:color w:val="auto"/>
                <w:spacing w:val="0"/>
                <w:highlight w:val="none"/>
              </w:rPr>
            </w:pPr>
            <w:r>
              <w:rPr>
                <w:caps w:val="0"/>
                <w:smallCaps w:val="0"/>
                <w:color w:val="auto"/>
                <w:spacing w:val="0"/>
                <w:highlight w:val="none"/>
              </w:rPr>
              <w:t>《电池工业污染物排放标准》（GB30484-2013）表2太阳电池间接排放标准限值</w:t>
            </w:r>
          </w:p>
        </w:tc>
      </w:tr>
      <w:tr w14:paraId="57F32D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1A870AFE">
            <w:pPr>
              <w:pStyle w:val="230"/>
              <w:rPr>
                <w:caps w:val="0"/>
                <w:smallCaps w:val="0"/>
                <w:color w:val="auto"/>
                <w:spacing w:val="0"/>
                <w:highlight w:val="none"/>
              </w:rPr>
            </w:pPr>
          </w:p>
        </w:tc>
        <w:tc>
          <w:tcPr>
            <w:tcW w:w="851" w:type="dxa"/>
            <w:gridSpan w:val="2"/>
            <w:vMerge w:val="continue"/>
            <w:tcBorders>
              <w:tl2br w:val="nil"/>
              <w:tr2bl w:val="nil"/>
            </w:tcBorders>
            <w:vAlign w:val="center"/>
          </w:tcPr>
          <w:p w14:paraId="3CA3D482">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592F66B0">
            <w:pPr>
              <w:pStyle w:val="230"/>
              <w:rPr>
                <w:caps w:val="0"/>
                <w:smallCaps w:val="0"/>
                <w:color w:val="auto"/>
                <w:spacing w:val="0"/>
                <w:highlight w:val="none"/>
              </w:rPr>
            </w:pPr>
          </w:p>
        </w:tc>
        <w:tc>
          <w:tcPr>
            <w:tcW w:w="1828" w:type="dxa"/>
            <w:vMerge w:val="continue"/>
            <w:tcBorders>
              <w:tl2br w:val="nil"/>
              <w:tr2bl w:val="nil"/>
            </w:tcBorders>
            <w:vAlign w:val="center"/>
          </w:tcPr>
          <w:p w14:paraId="5534FA7A">
            <w:pPr>
              <w:pStyle w:val="230"/>
              <w:rPr>
                <w:caps w:val="0"/>
                <w:smallCaps w:val="0"/>
                <w:color w:val="auto"/>
                <w:spacing w:val="0"/>
                <w:highlight w:val="none"/>
              </w:rPr>
            </w:pPr>
          </w:p>
        </w:tc>
        <w:tc>
          <w:tcPr>
            <w:tcW w:w="4065" w:type="dxa"/>
            <w:tcBorders>
              <w:tl2br w:val="nil"/>
              <w:tr2bl w:val="nil"/>
            </w:tcBorders>
            <w:vAlign w:val="center"/>
          </w:tcPr>
          <w:p w14:paraId="40964B7B">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总氮、总磷、动植物油</w:t>
            </w:r>
          </w:p>
        </w:tc>
        <w:tc>
          <w:tcPr>
            <w:tcW w:w="2400" w:type="dxa"/>
            <w:tcBorders>
              <w:tl2br w:val="nil"/>
              <w:tr2bl w:val="nil"/>
            </w:tcBorders>
            <w:vAlign w:val="center"/>
          </w:tcPr>
          <w:p w14:paraId="3CCA9A29">
            <w:pPr>
              <w:pStyle w:val="195"/>
              <w:widowControl w:val="0"/>
              <w:snapToGrid w:val="0"/>
              <w:ind w:firstLine="420" w:firstLineChars="200"/>
              <w:jc w:val="center"/>
              <w:rPr>
                <w:rFonts w:ascii="Times New Roman" w:hAnsi="Times New Roman" w:cs="Times New Roman"/>
                <w:caps w:val="0"/>
                <w:smallCaps w:val="0"/>
                <w:color w:val="auto"/>
                <w:spacing w:val="0"/>
                <w:sz w:val="21"/>
                <w:szCs w:val="21"/>
                <w:highlight w:val="none"/>
              </w:rPr>
            </w:pPr>
            <w:r>
              <w:rPr>
                <w:rFonts w:ascii="Times New Roman" w:hAnsi="Times New Roman" w:cs="Times New Roman"/>
                <w:caps w:val="0"/>
                <w:smallCaps w:val="0"/>
                <w:color w:val="auto"/>
                <w:spacing w:val="0"/>
                <w:position w:val="1"/>
                <w:sz w:val="21"/>
                <w:szCs w:val="21"/>
                <w:highlight w:val="none"/>
              </w:rPr>
              <w:t>1次/年</w:t>
            </w:r>
          </w:p>
        </w:tc>
        <w:tc>
          <w:tcPr>
            <w:tcW w:w="3676" w:type="dxa"/>
            <w:vMerge w:val="continue"/>
            <w:tcBorders>
              <w:tl2br w:val="nil"/>
              <w:tr2bl w:val="nil"/>
            </w:tcBorders>
            <w:vAlign w:val="center"/>
          </w:tcPr>
          <w:p w14:paraId="54E7B82E">
            <w:pPr>
              <w:pStyle w:val="230"/>
              <w:rPr>
                <w:caps w:val="0"/>
                <w:smallCaps w:val="0"/>
                <w:color w:val="auto"/>
                <w:spacing w:val="0"/>
                <w:highlight w:val="none"/>
              </w:rPr>
            </w:pPr>
          </w:p>
        </w:tc>
      </w:tr>
      <w:tr w14:paraId="256793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vMerge w:val="continue"/>
            <w:tcBorders>
              <w:tl2br w:val="nil"/>
              <w:tr2bl w:val="nil"/>
            </w:tcBorders>
            <w:vAlign w:val="center"/>
          </w:tcPr>
          <w:p w14:paraId="163ECB0A">
            <w:pPr>
              <w:pStyle w:val="230"/>
              <w:rPr>
                <w:caps w:val="0"/>
                <w:smallCaps w:val="0"/>
                <w:color w:val="auto"/>
                <w:spacing w:val="0"/>
                <w:highlight w:val="none"/>
              </w:rPr>
            </w:pPr>
          </w:p>
        </w:tc>
        <w:tc>
          <w:tcPr>
            <w:tcW w:w="851" w:type="dxa"/>
            <w:gridSpan w:val="2"/>
            <w:vMerge w:val="continue"/>
            <w:tcBorders>
              <w:tl2br w:val="nil"/>
              <w:tr2bl w:val="nil"/>
            </w:tcBorders>
            <w:vAlign w:val="center"/>
          </w:tcPr>
          <w:p w14:paraId="0D5EC9B2">
            <w:pPr>
              <w:pStyle w:val="230"/>
              <w:rPr>
                <w:caps w:val="0"/>
                <w:smallCaps w:val="0"/>
                <w:color w:val="auto"/>
                <w:spacing w:val="0"/>
                <w:highlight w:val="none"/>
              </w:rPr>
            </w:pPr>
          </w:p>
        </w:tc>
        <w:tc>
          <w:tcPr>
            <w:tcW w:w="680" w:type="dxa"/>
            <w:gridSpan w:val="2"/>
            <w:vMerge w:val="continue"/>
            <w:tcBorders>
              <w:tl2br w:val="nil"/>
              <w:tr2bl w:val="nil"/>
            </w:tcBorders>
            <w:vAlign w:val="center"/>
          </w:tcPr>
          <w:p w14:paraId="4B4599C2">
            <w:pPr>
              <w:pStyle w:val="230"/>
              <w:rPr>
                <w:caps w:val="0"/>
                <w:smallCaps w:val="0"/>
                <w:color w:val="auto"/>
                <w:spacing w:val="0"/>
                <w:highlight w:val="none"/>
              </w:rPr>
            </w:pPr>
          </w:p>
        </w:tc>
        <w:tc>
          <w:tcPr>
            <w:tcW w:w="1828" w:type="dxa"/>
            <w:tcBorders>
              <w:tl2br w:val="nil"/>
              <w:tr2bl w:val="nil"/>
            </w:tcBorders>
            <w:vAlign w:val="center"/>
          </w:tcPr>
          <w:p w14:paraId="26B0D760">
            <w:pPr>
              <w:pStyle w:val="230"/>
              <w:rPr>
                <w:caps w:val="0"/>
                <w:smallCaps w:val="0"/>
                <w:color w:val="auto"/>
                <w:spacing w:val="0"/>
                <w:highlight w:val="none"/>
              </w:rPr>
            </w:pPr>
            <w:r>
              <w:rPr>
                <w:caps w:val="0"/>
                <w:smallCaps w:val="0"/>
                <w:color w:val="auto"/>
                <w:spacing w:val="0"/>
                <w:highlight w:val="none"/>
              </w:rPr>
              <w:t>雨水排放口</w:t>
            </w:r>
          </w:p>
        </w:tc>
        <w:tc>
          <w:tcPr>
            <w:tcW w:w="4065" w:type="dxa"/>
            <w:tcBorders>
              <w:tl2br w:val="nil"/>
              <w:tr2bl w:val="nil"/>
            </w:tcBorders>
            <w:vAlign w:val="center"/>
          </w:tcPr>
          <w:p w14:paraId="2B7333F7">
            <w:pPr>
              <w:pStyle w:val="230"/>
              <w:rPr>
                <w:caps w:val="0"/>
                <w:smallCaps w:val="0"/>
                <w:color w:val="auto"/>
                <w:spacing w:val="0"/>
                <w:highlight w:val="none"/>
              </w:rPr>
            </w:pPr>
            <w:r>
              <w:rPr>
                <w:caps w:val="0"/>
                <w:smallCaps w:val="0"/>
                <w:color w:val="auto"/>
                <w:spacing w:val="0"/>
                <w:highlight w:val="none"/>
              </w:rPr>
              <w:t>pH值、总镉</w:t>
            </w:r>
          </w:p>
        </w:tc>
        <w:tc>
          <w:tcPr>
            <w:tcW w:w="2400" w:type="dxa"/>
            <w:tcBorders>
              <w:tl2br w:val="nil"/>
              <w:tr2bl w:val="nil"/>
            </w:tcBorders>
            <w:vAlign w:val="center"/>
          </w:tcPr>
          <w:p w14:paraId="3F3729D1">
            <w:pPr>
              <w:pStyle w:val="230"/>
              <w:tabs>
                <w:tab w:val="center" w:pos="806"/>
                <w:tab w:val="right" w:pos="1494"/>
              </w:tabs>
              <w:jc w:val="left"/>
              <w:rPr>
                <w:caps w:val="0"/>
                <w:smallCaps w:val="0"/>
                <w:color w:val="auto"/>
                <w:spacing w:val="0"/>
                <w:highlight w:val="none"/>
              </w:rPr>
            </w:pPr>
            <w:r>
              <w:rPr>
                <w:caps w:val="0"/>
                <w:smallCaps w:val="0"/>
                <w:color w:val="auto"/>
                <w:spacing w:val="0"/>
                <w:highlight w:val="none"/>
              </w:rPr>
              <w:t>1次/</w:t>
            </w:r>
            <w:r>
              <w:rPr>
                <w:rFonts w:hint="eastAsia"/>
                <w:caps w:val="0"/>
                <w:smallCaps w:val="0"/>
                <w:color w:val="auto"/>
                <w:spacing w:val="0"/>
                <w:highlight w:val="none"/>
              </w:rPr>
              <w:t>月</w:t>
            </w:r>
            <w:r>
              <w:rPr>
                <w:caps w:val="0"/>
                <w:smallCaps w:val="0"/>
                <w:color w:val="auto"/>
                <w:spacing w:val="0"/>
                <w:highlight w:val="none"/>
              </w:rPr>
              <w:tab/>
            </w:r>
            <w:r>
              <w:rPr>
                <w:caps w:val="0"/>
                <w:smallCaps w:val="0"/>
                <w:color w:val="auto"/>
                <w:spacing w:val="0"/>
                <w:highlight w:val="none"/>
              </w:rPr>
              <w:t>（有流动水排放时）；监测一年无异常情况，每季度</w:t>
            </w:r>
            <w:r>
              <w:rPr>
                <w:caps w:val="0"/>
                <w:smallCaps w:val="0"/>
                <w:color w:val="auto"/>
                <w:spacing w:val="0"/>
                <w:highlight w:val="none"/>
              </w:rPr>
              <w:t>开展一次监测</w:t>
            </w:r>
          </w:p>
        </w:tc>
        <w:tc>
          <w:tcPr>
            <w:tcW w:w="3676" w:type="dxa"/>
            <w:tcBorders>
              <w:tl2br w:val="nil"/>
              <w:tr2bl w:val="nil"/>
            </w:tcBorders>
            <w:vAlign w:val="center"/>
          </w:tcPr>
          <w:p w14:paraId="3D834AE8">
            <w:pPr>
              <w:pStyle w:val="230"/>
              <w:rPr>
                <w:caps w:val="0"/>
                <w:smallCaps w:val="0"/>
                <w:color w:val="auto"/>
                <w:spacing w:val="0"/>
                <w:highlight w:val="none"/>
              </w:rPr>
            </w:pPr>
            <w:r>
              <w:rPr>
                <w:caps w:val="0"/>
                <w:smallCaps w:val="0"/>
                <w:color w:val="auto"/>
                <w:spacing w:val="0"/>
                <w:highlight w:val="none"/>
              </w:rPr>
              <w:t>-</w:t>
            </w:r>
          </w:p>
        </w:tc>
      </w:tr>
      <w:tr w14:paraId="1B0759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tcBorders>
              <w:tl2br w:val="nil"/>
              <w:tr2bl w:val="nil"/>
            </w:tcBorders>
            <w:vAlign w:val="center"/>
          </w:tcPr>
          <w:p w14:paraId="48248EE1">
            <w:pPr>
              <w:pStyle w:val="230"/>
              <w:rPr>
                <w:caps w:val="0"/>
                <w:smallCaps w:val="0"/>
                <w:color w:val="auto"/>
                <w:spacing w:val="0"/>
                <w:highlight w:val="none"/>
              </w:rPr>
            </w:pPr>
            <w:r>
              <w:rPr>
                <w:caps w:val="0"/>
                <w:smallCaps w:val="0"/>
                <w:color w:val="auto"/>
                <w:spacing w:val="0"/>
                <w:highlight w:val="none"/>
              </w:rPr>
              <w:t>地下水</w:t>
            </w:r>
          </w:p>
        </w:tc>
        <w:tc>
          <w:tcPr>
            <w:tcW w:w="851" w:type="dxa"/>
            <w:gridSpan w:val="2"/>
            <w:tcBorders>
              <w:tl2br w:val="nil"/>
              <w:tr2bl w:val="nil"/>
            </w:tcBorders>
            <w:vAlign w:val="center"/>
          </w:tcPr>
          <w:p w14:paraId="2051741D">
            <w:pPr>
              <w:pStyle w:val="230"/>
              <w:rPr>
                <w:caps w:val="0"/>
                <w:smallCaps w:val="0"/>
                <w:color w:val="auto"/>
                <w:spacing w:val="0"/>
                <w:highlight w:val="none"/>
              </w:rPr>
            </w:pPr>
            <w:r>
              <w:rPr>
                <w:caps w:val="0"/>
                <w:smallCaps w:val="0"/>
                <w:color w:val="auto"/>
                <w:spacing w:val="0"/>
                <w:highlight w:val="none"/>
              </w:rPr>
              <w:t>环境</w:t>
            </w:r>
          </w:p>
          <w:p w14:paraId="32527782">
            <w:pPr>
              <w:pStyle w:val="230"/>
              <w:rPr>
                <w:caps w:val="0"/>
                <w:smallCaps w:val="0"/>
                <w:color w:val="auto"/>
                <w:spacing w:val="0"/>
                <w:highlight w:val="none"/>
              </w:rPr>
            </w:pPr>
            <w:r>
              <w:rPr>
                <w:caps w:val="0"/>
                <w:smallCaps w:val="0"/>
                <w:color w:val="auto"/>
                <w:spacing w:val="0"/>
                <w:highlight w:val="none"/>
              </w:rPr>
              <w:t>质量</w:t>
            </w:r>
          </w:p>
        </w:tc>
        <w:tc>
          <w:tcPr>
            <w:tcW w:w="680" w:type="dxa"/>
            <w:gridSpan w:val="2"/>
            <w:tcBorders>
              <w:tl2br w:val="nil"/>
              <w:tr2bl w:val="nil"/>
            </w:tcBorders>
            <w:vAlign w:val="center"/>
          </w:tcPr>
          <w:p w14:paraId="2B32A391">
            <w:pPr>
              <w:pStyle w:val="230"/>
              <w:rPr>
                <w:caps w:val="0"/>
                <w:smallCaps w:val="0"/>
                <w:color w:val="auto"/>
                <w:spacing w:val="0"/>
                <w:highlight w:val="none"/>
              </w:rPr>
            </w:pPr>
            <w:r>
              <w:rPr>
                <w:caps w:val="0"/>
                <w:smallCaps w:val="0"/>
                <w:color w:val="auto"/>
                <w:spacing w:val="0"/>
                <w:highlight w:val="none"/>
              </w:rPr>
              <w:t>取样监测</w:t>
            </w:r>
          </w:p>
        </w:tc>
        <w:tc>
          <w:tcPr>
            <w:tcW w:w="1828" w:type="dxa"/>
            <w:tcBorders>
              <w:tl2br w:val="nil"/>
              <w:tr2bl w:val="nil"/>
            </w:tcBorders>
            <w:vAlign w:val="center"/>
          </w:tcPr>
          <w:p w14:paraId="73711D3E">
            <w:pPr>
              <w:pStyle w:val="230"/>
              <w:rPr>
                <w:caps w:val="0"/>
                <w:smallCaps w:val="0"/>
                <w:color w:val="auto"/>
                <w:spacing w:val="0"/>
                <w:highlight w:val="none"/>
              </w:rPr>
            </w:pPr>
            <w:r>
              <w:rPr>
                <w:caps w:val="0"/>
                <w:smallCaps w:val="0"/>
                <w:color w:val="auto"/>
                <w:spacing w:val="0"/>
                <w:highlight w:val="none"/>
              </w:rPr>
              <w:t>设置1眼监测井</w:t>
            </w:r>
            <w:r>
              <w:rPr>
                <w:rFonts w:hint="eastAsia" w:ascii="Times New Roman" w:hAnsi="Times New Roman" w:cs="Times New Roman"/>
                <w:caps w:val="0"/>
                <w:smallCaps w:val="0"/>
                <w:color w:val="auto"/>
                <w:spacing w:val="0"/>
                <w:sz w:val="21"/>
                <w:szCs w:val="21"/>
                <w:highlight w:val="none"/>
                <w:lang w:eastAsia="zh-CN"/>
              </w:rPr>
              <w:t>（130.46725964，46.81778654）</w:t>
            </w:r>
          </w:p>
        </w:tc>
        <w:tc>
          <w:tcPr>
            <w:tcW w:w="4065" w:type="dxa"/>
            <w:tcBorders>
              <w:tl2br w:val="nil"/>
              <w:tr2bl w:val="nil"/>
            </w:tcBorders>
            <w:vAlign w:val="center"/>
          </w:tcPr>
          <w:p w14:paraId="11BCCB3F">
            <w:pPr>
              <w:pStyle w:val="230"/>
              <w:rPr>
                <w:caps w:val="0"/>
                <w:smallCaps w:val="0"/>
                <w:color w:val="auto"/>
                <w:spacing w:val="0"/>
                <w:highlight w:val="none"/>
              </w:rPr>
            </w:pPr>
            <w:r>
              <w:rPr>
                <w:rFonts w:hint="eastAsia" w:ascii="Times New Roman" w:hAnsi="Times New Roman" w:cs="Times New Roman"/>
                <w:caps w:val="0"/>
                <w:smallCaps w:val="0"/>
                <w:color w:val="auto"/>
                <w:spacing w:val="0"/>
                <w:sz w:val="21"/>
                <w:szCs w:val="21"/>
                <w:highlight w:val="none"/>
                <w:lang w:val="en-US" w:eastAsia="zh-CN"/>
              </w:rPr>
              <w:t>pH，</w:t>
            </w:r>
            <w:r>
              <w:rPr>
                <w:rFonts w:hint="eastAsia" w:ascii="Times New Roman" w:hAnsi="Times New Roman" w:cs="Times New Roman"/>
                <w:caps w:val="0"/>
                <w:smallCaps w:val="0"/>
                <w:color w:val="auto"/>
                <w:spacing w:val="0"/>
                <w:sz w:val="21"/>
                <w:szCs w:val="21"/>
                <w:highlight w:val="none"/>
                <w:lang w:eastAsia="zh-CN"/>
              </w:rPr>
              <w:t>镉，</w:t>
            </w:r>
            <w:r>
              <w:rPr>
                <w:rFonts w:hint="eastAsia" w:ascii="Times New Roman" w:hAnsi="Times New Roman" w:cs="Times New Roman"/>
                <w:caps w:val="0"/>
                <w:smallCaps w:val="0"/>
                <w:color w:val="auto"/>
                <w:spacing w:val="0"/>
                <w:sz w:val="21"/>
                <w:szCs w:val="21"/>
                <w:highlight w:val="none"/>
                <w:lang w:val="en-US" w:eastAsia="zh-CN"/>
              </w:rPr>
              <w:t>氯化物，氨氮，耗氧量，溶解性总固体，总硬度</w:t>
            </w:r>
          </w:p>
        </w:tc>
        <w:tc>
          <w:tcPr>
            <w:tcW w:w="2400" w:type="dxa"/>
            <w:tcBorders>
              <w:tl2br w:val="nil"/>
              <w:tr2bl w:val="nil"/>
            </w:tcBorders>
          </w:tcPr>
          <w:p w14:paraId="2B6AA2C9">
            <w:pPr>
              <w:pStyle w:val="195"/>
              <w:widowControl w:val="0"/>
              <w:spacing w:before="135" w:line="275" w:lineRule="exact"/>
              <w:ind w:left="361" w:firstLine="420" w:firstLineChars="200"/>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position w:val="1"/>
                <w:sz w:val="21"/>
                <w:szCs w:val="21"/>
                <w:highlight w:val="none"/>
              </w:rPr>
              <w:t>1次/年</w:t>
            </w:r>
          </w:p>
        </w:tc>
        <w:tc>
          <w:tcPr>
            <w:tcW w:w="3676" w:type="dxa"/>
            <w:tcBorders>
              <w:tl2br w:val="nil"/>
              <w:tr2bl w:val="nil"/>
            </w:tcBorders>
          </w:tcPr>
          <w:p w14:paraId="0048B2F0">
            <w:pPr>
              <w:pStyle w:val="195"/>
              <w:widowControl w:val="0"/>
              <w:spacing w:before="32" w:line="222" w:lineRule="auto"/>
              <w:ind w:left="606"/>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sz w:val="21"/>
                <w:szCs w:val="21"/>
                <w:highlight w:val="none"/>
                <w:lang w:eastAsia="zh-CN"/>
              </w:rPr>
              <w:t>《地下水质量标准》</w:t>
            </w:r>
          </w:p>
          <w:p w14:paraId="26F2DC3E">
            <w:pPr>
              <w:pStyle w:val="195"/>
              <w:widowControl w:val="0"/>
              <w:spacing w:line="264" w:lineRule="exact"/>
              <w:ind w:left="308" w:firstLine="420" w:firstLineChars="200"/>
              <w:rPr>
                <w:rFonts w:ascii="Times New Roman" w:hAnsi="Times New Roman" w:cs="Times New Roman"/>
                <w:caps w:val="0"/>
                <w:smallCaps w:val="0"/>
                <w:color w:val="auto"/>
                <w:spacing w:val="0"/>
                <w:sz w:val="21"/>
                <w:szCs w:val="21"/>
                <w:highlight w:val="none"/>
                <w:lang w:eastAsia="zh-CN"/>
              </w:rPr>
            </w:pPr>
            <w:r>
              <w:rPr>
                <w:rFonts w:ascii="Times New Roman" w:hAnsi="Times New Roman" w:cs="Times New Roman"/>
                <w:caps w:val="0"/>
                <w:smallCaps w:val="0"/>
                <w:color w:val="auto"/>
                <w:spacing w:val="0"/>
                <w:position w:val="2"/>
                <w:sz w:val="21"/>
                <w:szCs w:val="21"/>
                <w:highlight w:val="none"/>
                <w:lang w:eastAsia="zh-CN"/>
              </w:rPr>
              <w:t>(GB/T14848-2017)Ⅲ类标准</w:t>
            </w:r>
          </w:p>
        </w:tc>
      </w:tr>
      <w:tr w14:paraId="2AC25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tcBorders>
              <w:tl2br w:val="nil"/>
              <w:tr2bl w:val="nil"/>
            </w:tcBorders>
            <w:vAlign w:val="center"/>
          </w:tcPr>
          <w:p w14:paraId="7120D974">
            <w:pPr>
              <w:pStyle w:val="230"/>
              <w:rPr>
                <w:caps w:val="0"/>
                <w:smallCaps w:val="0"/>
                <w:color w:val="auto"/>
                <w:spacing w:val="0"/>
                <w:highlight w:val="none"/>
              </w:rPr>
            </w:pPr>
            <w:r>
              <w:rPr>
                <w:caps w:val="0"/>
                <w:smallCaps w:val="0"/>
                <w:color w:val="auto"/>
                <w:spacing w:val="0"/>
                <w:highlight w:val="none"/>
              </w:rPr>
              <w:t>噪声</w:t>
            </w:r>
          </w:p>
        </w:tc>
        <w:tc>
          <w:tcPr>
            <w:tcW w:w="1531" w:type="dxa"/>
            <w:gridSpan w:val="4"/>
            <w:tcBorders>
              <w:tl2br w:val="nil"/>
              <w:tr2bl w:val="nil"/>
            </w:tcBorders>
            <w:vAlign w:val="center"/>
          </w:tcPr>
          <w:p w14:paraId="4700F289">
            <w:pPr>
              <w:pStyle w:val="230"/>
              <w:rPr>
                <w:caps w:val="0"/>
                <w:smallCaps w:val="0"/>
                <w:color w:val="auto"/>
                <w:spacing w:val="0"/>
                <w:highlight w:val="none"/>
              </w:rPr>
            </w:pPr>
            <w:r>
              <w:rPr>
                <w:caps w:val="0"/>
                <w:smallCaps w:val="0"/>
                <w:color w:val="auto"/>
                <w:spacing w:val="0"/>
                <w:highlight w:val="none"/>
              </w:rPr>
              <w:t>厂界噪声</w:t>
            </w:r>
          </w:p>
        </w:tc>
        <w:tc>
          <w:tcPr>
            <w:tcW w:w="1828" w:type="dxa"/>
            <w:tcBorders>
              <w:tl2br w:val="nil"/>
              <w:tr2bl w:val="nil"/>
            </w:tcBorders>
            <w:vAlign w:val="center"/>
          </w:tcPr>
          <w:p w14:paraId="213246D9">
            <w:pPr>
              <w:pStyle w:val="230"/>
              <w:rPr>
                <w:caps w:val="0"/>
                <w:smallCaps w:val="0"/>
                <w:color w:val="auto"/>
                <w:spacing w:val="0"/>
                <w:highlight w:val="none"/>
              </w:rPr>
            </w:pPr>
            <w:r>
              <w:rPr>
                <w:caps w:val="0"/>
                <w:smallCaps w:val="0"/>
                <w:color w:val="auto"/>
                <w:spacing w:val="0"/>
                <w:highlight w:val="none"/>
              </w:rPr>
              <w:t>厂界</w:t>
            </w:r>
          </w:p>
        </w:tc>
        <w:tc>
          <w:tcPr>
            <w:tcW w:w="4065" w:type="dxa"/>
            <w:tcBorders>
              <w:tl2br w:val="nil"/>
              <w:tr2bl w:val="nil"/>
            </w:tcBorders>
            <w:vAlign w:val="center"/>
          </w:tcPr>
          <w:p w14:paraId="672DF51D">
            <w:pPr>
              <w:pStyle w:val="230"/>
              <w:rPr>
                <w:caps w:val="0"/>
                <w:smallCaps w:val="0"/>
                <w:color w:val="auto"/>
                <w:spacing w:val="0"/>
                <w:highlight w:val="none"/>
              </w:rPr>
            </w:pPr>
            <w:r>
              <w:rPr>
                <w:caps w:val="0"/>
                <w:smallCaps w:val="0"/>
                <w:color w:val="auto"/>
                <w:spacing w:val="0"/>
                <w:highlight w:val="none"/>
              </w:rPr>
              <w:t>等效A声级（Leq（A））昼、夜</w:t>
            </w:r>
          </w:p>
        </w:tc>
        <w:tc>
          <w:tcPr>
            <w:tcW w:w="2400" w:type="dxa"/>
            <w:tcBorders>
              <w:tl2br w:val="nil"/>
              <w:tr2bl w:val="nil"/>
            </w:tcBorders>
            <w:vAlign w:val="center"/>
          </w:tcPr>
          <w:p w14:paraId="63453365">
            <w:pPr>
              <w:pStyle w:val="230"/>
              <w:rPr>
                <w:caps w:val="0"/>
                <w:smallCaps w:val="0"/>
                <w:color w:val="auto"/>
                <w:spacing w:val="0"/>
                <w:highlight w:val="none"/>
              </w:rPr>
            </w:pPr>
            <w:r>
              <w:rPr>
                <w:caps w:val="0"/>
                <w:smallCaps w:val="0"/>
                <w:color w:val="auto"/>
                <w:spacing w:val="0"/>
                <w:highlight w:val="none"/>
              </w:rPr>
              <w:t>1次/季</w:t>
            </w:r>
          </w:p>
        </w:tc>
        <w:tc>
          <w:tcPr>
            <w:tcW w:w="3676" w:type="dxa"/>
            <w:tcBorders>
              <w:tl2br w:val="nil"/>
              <w:tr2bl w:val="nil"/>
            </w:tcBorders>
            <w:vAlign w:val="center"/>
          </w:tcPr>
          <w:p w14:paraId="7DE8EB0D">
            <w:pPr>
              <w:pStyle w:val="230"/>
              <w:rPr>
                <w:caps w:val="0"/>
                <w:smallCaps w:val="0"/>
                <w:color w:val="auto"/>
                <w:spacing w:val="0"/>
                <w:highlight w:val="none"/>
              </w:rPr>
            </w:pPr>
            <w:r>
              <w:rPr>
                <w:caps w:val="0"/>
                <w:smallCaps w:val="0"/>
                <w:color w:val="auto"/>
                <w:spacing w:val="0"/>
                <w:highlight w:val="none"/>
              </w:rPr>
              <w:t>《工业企业厂界环境噪声排放标准》（GB12348-2008）中3</w:t>
            </w:r>
            <w:r>
              <w:rPr>
                <w:rFonts w:hint="eastAsia"/>
                <w:caps w:val="0"/>
                <w:smallCaps w:val="0"/>
                <w:color w:val="auto"/>
                <w:spacing w:val="0"/>
                <w:highlight w:val="none"/>
                <w:lang w:eastAsia="zh-CN"/>
              </w:rPr>
              <w:t>、</w:t>
            </w:r>
            <w:r>
              <w:rPr>
                <w:rFonts w:hint="eastAsia"/>
                <w:caps w:val="0"/>
                <w:smallCaps w:val="0"/>
                <w:color w:val="auto"/>
                <w:spacing w:val="0"/>
                <w:highlight w:val="none"/>
                <w:lang w:val="en-US" w:eastAsia="zh-CN"/>
              </w:rPr>
              <w:t>4</w:t>
            </w:r>
            <w:r>
              <w:rPr>
                <w:caps w:val="0"/>
                <w:smallCaps w:val="0"/>
                <w:color w:val="auto"/>
                <w:spacing w:val="0"/>
                <w:highlight w:val="none"/>
              </w:rPr>
              <w:t>类</w:t>
            </w:r>
          </w:p>
        </w:tc>
      </w:tr>
      <w:tr w14:paraId="10419A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6" w:type="dxa"/>
            <w:tcBorders>
              <w:tl2br w:val="nil"/>
              <w:tr2bl w:val="nil"/>
            </w:tcBorders>
            <w:vAlign w:val="center"/>
          </w:tcPr>
          <w:p w14:paraId="7A9DD144">
            <w:pPr>
              <w:pStyle w:val="230"/>
              <w:rPr>
                <w:caps w:val="0"/>
                <w:smallCaps w:val="0"/>
                <w:color w:val="auto"/>
                <w:spacing w:val="0"/>
                <w:highlight w:val="none"/>
              </w:rPr>
            </w:pPr>
            <w:r>
              <w:rPr>
                <w:caps w:val="0"/>
                <w:smallCaps w:val="0"/>
                <w:color w:val="auto"/>
                <w:spacing w:val="0"/>
                <w:highlight w:val="none"/>
              </w:rPr>
              <w:t>土壤</w:t>
            </w:r>
          </w:p>
        </w:tc>
        <w:tc>
          <w:tcPr>
            <w:tcW w:w="1106" w:type="dxa"/>
            <w:gridSpan w:val="3"/>
            <w:tcBorders>
              <w:tl2br w:val="nil"/>
              <w:tr2bl w:val="nil"/>
            </w:tcBorders>
            <w:vAlign w:val="center"/>
          </w:tcPr>
          <w:p w14:paraId="5E67864C">
            <w:pPr>
              <w:pStyle w:val="230"/>
              <w:rPr>
                <w:caps w:val="0"/>
                <w:smallCaps w:val="0"/>
                <w:color w:val="auto"/>
                <w:spacing w:val="0"/>
                <w:highlight w:val="none"/>
              </w:rPr>
            </w:pPr>
            <w:r>
              <w:rPr>
                <w:caps w:val="0"/>
                <w:smallCaps w:val="0"/>
                <w:color w:val="auto"/>
                <w:spacing w:val="0"/>
                <w:highlight w:val="none"/>
              </w:rPr>
              <w:t>环境</w:t>
            </w:r>
          </w:p>
          <w:p w14:paraId="6CF928F1">
            <w:pPr>
              <w:pStyle w:val="230"/>
              <w:rPr>
                <w:caps w:val="0"/>
                <w:smallCaps w:val="0"/>
                <w:color w:val="auto"/>
                <w:spacing w:val="0"/>
                <w:highlight w:val="none"/>
              </w:rPr>
            </w:pPr>
            <w:r>
              <w:rPr>
                <w:caps w:val="0"/>
                <w:smallCaps w:val="0"/>
                <w:color w:val="auto"/>
                <w:spacing w:val="0"/>
                <w:highlight w:val="none"/>
              </w:rPr>
              <w:t>质量</w:t>
            </w:r>
          </w:p>
        </w:tc>
        <w:tc>
          <w:tcPr>
            <w:tcW w:w="425" w:type="dxa"/>
            <w:tcBorders>
              <w:tl2br w:val="nil"/>
              <w:tr2bl w:val="nil"/>
            </w:tcBorders>
            <w:vAlign w:val="center"/>
          </w:tcPr>
          <w:p w14:paraId="2B1DF482">
            <w:pPr>
              <w:pStyle w:val="230"/>
              <w:rPr>
                <w:caps w:val="0"/>
                <w:smallCaps w:val="0"/>
                <w:color w:val="auto"/>
                <w:spacing w:val="0"/>
                <w:highlight w:val="none"/>
              </w:rPr>
            </w:pPr>
            <w:r>
              <w:rPr>
                <w:caps w:val="0"/>
                <w:smallCaps w:val="0"/>
                <w:color w:val="auto"/>
                <w:spacing w:val="0"/>
                <w:highlight w:val="none"/>
              </w:rPr>
              <w:t>取样监测</w:t>
            </w:r>
          </w:p>
        </w:tc>
        <w:tc>
          <w:tcPr>
            <w:tcW w:w="1828" w:type="dxa"/>
            <w:tcBorders>
              <w:tl2br w:val="nil"/>
              <w:tr2bl w:val="nil"/>
            </w:tcBorders>
            <w:vAlign w:val="center"/>
          </w:tcPr>
          <w:p w14:paraId="42AA394B">
            <w:pPr>
              <w:pStyle w:val="230"/>
              <w:rPr>
                <w:caps w:val="0"/>
                <w:smallCaps w:val="0"/>
                <w:color w:val="auto"/>
                <w:spacing w:val="0"/>
                <w:highlight w:val="none"/>
              </w:rPr>
            </w:pPr>
            <w:r>
              <w:rPr>
                <w:caps w:val="0"/>
                <w:smallCaps w:val="0"/>
                <w:color w:val="auto"/>
                <w:spacing w:val="0"/>
                <w:highlight w:val="none"/>
              </w:rPr>
              <w:t>厂区东侧空地</w:t>
            </w:r>
          </w:p>
        </w:tc>
        <w:tc>
          <w:tcPr>
            <w:tcW w:w="4065" w:type="dxa"/>
            <w:tcBorders>
              <w:tl2br w:val="nil"/>
              <w:tr2bl w:val="nil"/>
            </w:tcBorders>
            <w:vAlign w:val="center"/>
          </w:tcPr>
          <w:p w14:paraId="5EC5C970">
            <w:pPr>
              <w:pStyle w:val="230"/>
              <w:rPr>
                <w:caps w:val="0"/>
                <w:smallCaps w:val="0"/>
                <w:color w:val="auto"/>
                <w:spacing w:val="0"/>
                <w:highlight w:val="none"/>
              </w:rPr>
            </w:pPr>
            <w:r>
              <w:rPr>
                <w:caps w:val="0"/>
                <w:smallCaps w:val="0"/>
                <w:color w:val="auto"/>
                <w:spacing w:val="0"/>
                <w:highlight w:val="none"/>
              </w:rPr>
              <w:t>pH、总镉</w:t>
            </w:r>
          </w:p>
        </w:tc>
        <w:tc>
          <w:tcPr>
            <w:tcW w:w="2400" w:type="dxa"/>
            <w:tcBorders>
              <w:tl2br w:val="nil"/>
              <w:tr2bl w:val="nil"/>
            </w:tcBorders>
            <w:vAlign w:val="center"/>
          </w:tcPr>
          <w:p w14:paraId="35CE5039">
            <w:pPr>
              <w:pStyle w:val="230"/>
              <w:rPr>
                <w:caps w:val="0"/>
                <w:smallCaps w:val="0"/>
                <w:color w:val="auto"/>
                <w:spacing w:val="0"/>
                <w:highlight w:val="none"/>
              </w:rPr>
            </w:pPr>
            <w:r>
              <w:rPr>
                <w:caps w:val="0"/>
                <w:smallCaps w:val="0"/>
                <w:color w:val="auto"/>
                <w:spacing w:val="0"/>
                <w:highlight w:val="none"/>
              </w:rPr>
              <w:t>1次/年</w:t>
            </w:r>
          </w:p>
        </w:tc>
        <w:tc>
          <w:tcPr>
            <w:tcW w:w="3676" w:type="dxa"/>
            <w:tcBorders>
              <w:tl2br w:val="nil"/>
              <w:tr2bl w:val="nil"/>
            </w:tcBorders>
            <w:vAlign w:val="center"/>
          </w:tcPr>
          <w:p w14:paraId="07B3C976">
            <w:pPr>
              <w:pStyle w:val="230"/>
              <w:rPr>
                <w:caps w:val="0"/>
                <w:smallCaps w:val="0"/>
                <w:color w:val="auto"/>
                <w:spacing w:val="0"/>
                <w:highlight w:val="none"/>
              </w:rPr>
            </w:pPr>
            <w:r>
              <w:rPr>
                <w:caps w:val="0"/>
                <w:smallCaps w:val="0"/>
                <w:color w:val="auto"/>
                <w:spacing w:val="0"/>
                <w:highlight w:val="none"/>
              </w:rPr>
              <w:t>《土壤环境质量建设用地土壤污染风险管控标准（试行）》（GB36600-2018）</w:t>
            </w:r>
          </w:p>
        </w:tc>
      </w:tr>
    </w:tbl>
    <w:p w14:paraId="3167254D">
      <w:pPr>
        <w:spacing w:line="360" w:lineRule="auto"/>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注：雨水排放口有流动水排放时开展监测，排放期间按日监测，如监测1年无异常情况，每季度第一次有流动水排放时按日开展监测。</w:t>
      </w:r>
    </w:p>
    <w:p w14:paraId="63A34C1C">
      <w:pPr>
        <w:spacing w:line="360" w:lineRule="auto"/>
        <w:rPr>
          <w:rFonts w:ascii="Times New Roman" w:hAnsi="Times New Roman" w:eastAsia="宋体" w:cs="Times New Roman"/>
          <w:caps w:val="0"/>
          <w:smallCaps w:val="0"/>
          <w:color w:val="auto"/>
          <w:spacing w:val="0"/>
          <w:sz w:val="21"/>
          <w:highlight w:val="none"/>
        </w:rPr>
      </w:pPr>
    </w:p>
    <w:p w14:paraId="27AADBD7">
      <w:pPr>
        <w:spacing w:line="360" w:lineRule="auto"/>
        <w:rPr>
          <w:rFonts w:ascii="Times New Roman" w:hAnsi="Times New Roman" w:eastAsia="宋体" w:cs="Times New Roman"/>
          <w:caps w:val="0"/>
          <w:smallCaps w:val="0"/>
          <w:color w:val="auto"/>
          <w:spacing w:val="0"/>
          <w:sz w:val="21"/>
          <w:highlight w:val="none"/>
        </w:rPr>
      </w:pPr>
    </w:p>
    <w:p w14:paraId="3F2A4CF6">
      <w:pPr>
        <w:spacing w:line="360" w:lineRule="auto"/>
        <w:rPr>
          <w:rFonts w:ascii="Times New Roman" w:hAnsi="Times New Roman" w:eastAsia="宋体" w:cs="Times New Roman"/>
          <w:caps w:val="0"/>
          <w:smallCaps w:val="0"/>
          <w:color w:val="auto"/>
          <w:spacing w:val="0"/>
          <w:sz w:val="21"/>
          <w:highlight w:val="none"/>
        </w:rPr>
        <w:sectPr>
          <w:pgSz w:w="16838" w:h="11905" w:orient="landscape"/>
          <w:pgMar w:top="1797" w:right="1440" w:bottom="1797" w:left="1440" w:header="850" w:footer="992" w:gutter="0"/>
          <w:pgBorders>
            <w:top w:val="none" w:sz="0" w:space="0"/>
            <w:left w:val="none" w:sz="0" w:space="0"/>
            <w:bottom w:val="none" w:sz="0" w:space="0"/>
            <w:right w:val="none" w:sz="0" w:space="0"/>
          </w:pgBorders>
          <w:cols w:space="0" w:num="1"/>
          <w:docGrid w:type="lines" w:linePitch="346" w:charSpace="0"/>
        </w:sectPr>
      </w:pPr>
    </w:p>
    <w:p w14:paraId="3CACED1F">
      <w:pPr>
        <w:pStyle w:val="5"/>
        <w:rPr>
          <w:rFonts w:eastAsia="宋体"/>
          <w:caps w:val="0"/>
          <w:smallCaps w:val="0"/>
          <w:color w:val="auto"/>
          <w:spacing w:val="0"/>
          <w:highlight w:val="none"/>
        </w:rPr>
      </w:pPr>
      <w:bookmarkStart w:id="309" w:name="_Toc3967041"/>
      <w:bookmarkStart w:id="310" w:name="_Toc7341665"/>
      <w:bookmarkStart w:id="311" w:name="_Toc8102"/>
      <w:bookmarkStart w:id="312" w:name="_Toc23570"/>
      <w:r>
        <w:rPr>
          <w:rFonts w:eastAsia="宋体"/>
          <w:caps w:val="0"/>
          <w:smallCaps w:val="0"/>
          <w:color w:val="auto"/>
          <w:spacing w:val="0"/>
          <w:highlight w:val="none"/>
        </w:rPr>
        <w:t>8.4.3监测数据的管理与公开</w:t>
      </w:r>
      <w:bookmarkEnd w:id="309"/>
      <w:bookmarkEnd w:id="310"/>
      <w:bookmarkEnd w:id="311"/>
      <w:bookmarkEnd w:id="312"/>
    </w:p>
    <w:p w14:paraId="7FAA6A59">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bookmarkStart w:id="313" w:name="_Toc3967042"/>
      <w:bookmarkStart w:id="314" w:name="_Toc7341666"/>
      <w:bookmarkStart w:id="315" w:name="_Toc32295"/>
      <w:r>
        <w:rPr>
          <w:rFonts w:ascii="Times New Roman" w:hAnsi="Times New Roman" w:eastAsia="宋体" w:cs="Times New Roman"/>
          <w:caps w:val="0"/>
          <w:smallCaps w:val="0"/>
          <w:color w:val="auto"/>
          <w:spacing w:val="0"/>
          <w:szCs w:val="24"/>
          <w:highlight w:val="none"/>
        </w:rPr>
        <w:t>根据</w:t>
      </w:r>
      <w:r>
        <w:rPr>
          <w:rFonts w:ascii="Times New Roman" w:hAnsi="Times New Roman" w:eastAsia="宋体" w:cs="Times New Roman"/>
          <w:caps w:val="0"/>
          <w:smallCaps w:val="0"/>
          <w:color w:val="auto"/>
          <w:spacing w:val="0"/>
          <w:szCs w:val="24"/>
          <w:highlight w:val="none"/>
        </w:rPr>
        <w:t>《</w:t>
      </w:r>
      <w:r>
        <w:rPr>
          <w:rFonts w:hint="default" w:ascii="Times New Roman" w:hAnsi="Times New Roman" w:eastAsia="宋体" w:cs="Times New Roman"/>
          <w:caps w:val="0"/>
          <w:smallCaps w:val="0"/>
          <w:color w:val="auto"/>
          <w:spacing w:val="0"/>
          <w:szCs w:val="24"/>
          <w:highlight w:val="none"/>
        </w:rPr>
        <w:t>企业环境信息依法披露管理办法》</w:t>
      </w:r>
      <w:r>
        <w:rPr>
          <w:rFonts w:ascii="Times New Roman" w:hAnsi="Times New Roman" w:eastAsia="宋体" w:cs="Times New Roman"/>
          <w:caps w:val="0"/>
          <w:smallCaps w:val="0"/>
          <w:color w:val="auto"/>
          <w:spacing w:val="0"/>
          <w:szCs w:val="24"/>
          <w:highlight w:val="none"/>
        </w:rPr>
        <w:t>要求，本项目信息公开内容如下：</w:t>
      </w:r>
    </w:p>
    <w:p w14:paraId="2368E00F">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（1）建设单位应将自行监测工作开展情况及监测结果向社会公众公开，公开内容应包括：</w:t>
      </w:r>
    </w:p>
    <w:p w14:paraId="59E3D8E4">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①基础信息：企业名称、法人代表、所属行业、地理位置、生产周期、联系方式、委托监测机构名称等；</w:t>
      </w:r>
    </w:p>
    <w:p w14:paraId="2C7FBC2F">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②自行监测方案；</w:t>
      </w:r>
    </w:p>
    <w:p w14:paraId="6A1A6E68">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③自行监测结果：全部监测点位、监测时间、污染物种类及浓度、标准限值、达标情况、超标倍数、污染物排放方式及排放去向；</w:t>
      </w:r>
    </w:p>
    <w:p w14:paraId="6D686642">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④未开展自行监测的原因；</w:t>
      </w:r>
    </w:p>
    <w:p w14:paraId="3D561B7D">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⑤污染源监测年度报告。</w:t>
      </w:r>
    </w:p>
    <w:p w14:paraId="1884C56B">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（2）企业可通过对外网站、报纸、广播、电视等便于公众知晓的方式公开自行监测信息。同时，应当在省级或地市级环境保护主管部门统一组织建立的公布平台上公开自行监测信息，并至少保存一年。</w:t>
      </w:r>
    </w:p>
    <w:p w14:paraId="13D0199C">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（3）企业自行监测信息按以下要求的时限公开：</w:t>
      </w:r>
    </w:p>
    <w:p w14:paraId="3FDB0DC5">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①企业基础信息应随监测数据一并公布，基础信息、自行监测方案如有调整变化时，应于变更后的五日内公布最新内容；</w:t>
      </w:r>
    </w:p>
    <w:p w14:paraId="68E045DF">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②手工监测数据应于每次监测完成后的次日公布；</w:t>
      </w:r>
    </w:p>
    <w:p w14:paraId="19EFBD36">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③自动监测数据应实时公布监测结果，其中废水自动监测设备为每2小时均值，废气自动监测设备为每1小时均值；</w:t>
      </w:r>
    </w:p>
    <w:p w14:paraId="67706225">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④每年一月底前公布上年度自行监测年度报告。</w:t>
      </w:r>
    </w:p>
    <w:p w14:paraId="782616E8">
      <w:pPr>
        <w:pStyle w:val="5"/>
        <w:widowControl w:val="0"/>
        <w:rPr>
          <w:rFonts w:eastAsia="宋体"/>
          <w:caps w:val="0"/>
          <w:smallCaps w:val="0"/>
          <w:color w:val="auto"/>
          <w:spacing w:val="0"/>
          <w:sz w:val="30"/>
          <w:szCs w:val="30"/>
          <w:highlight w:val="none"/>
        </w:rPr>
      </w:pPr>
      <w:bookmarkStart w:id="316" w:name="_Toc19874"/>
      <w:r>
        <w:rPr>
          <w:rFonts w:eastAsia="宋体"/>
          <w:caps w:val="0"/>
          <w:smallCaps w:val="0"/>
          <w:color w:val="auto"/>
          <w:spacing w:val="0"/>
          <w:sz w:val="30"/>
          <w:szCs w:val="30"/>
          <w:highlight w:val="none"/>
        </w:rPr>
        <w:t>8.4.4监测方式与方法</w:t>
      </w:r>
      <w:bookmarkEnd w:id="313"/>
      <w:bookmarkEnd w:id="314"/>
      <w:bookmarkEnd w:id="315"/>
      <w:bookmarkEnd w:id="316"/>
    </w:p>
    <w:p w14:paraId="7B18BD9C">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环境监测应采用国家规定的监测分析方法进行，统计和保管监测数据，如遇异常情况应及时处理，确保全厂所排的各项污染物符合本报告所提的排放标准，定期向上级主管部门上报本单位的环境污染情况报表。</w:t>
      </w:r>
    </w:p>
    <w:p w14:paraId="1D23945D">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本项目单位无法完成的监测项目需委托有相关资质单位进行监测。</w:t>
      </w:r>
    </w:p>
    <w:p w14:paraId="6AA9CDA5">
      <w:pPr>
        <w:pStyle w:val="4"/>
        <w:widowControl w:val="0"/>
        <w:rPr>
          <w:rFonts w:eastAsia="宋体"/>
          <w:caps w:val="0"/>
          <w:smallCaps w:val="0"/>
          <w:color w:val="auto"/>
          <w:spacing w:val="0"/>
          <w:highlight w:val="none"/>
        </w:rPr>
      </w:pPr>
      <w:bookmarkStart w:id="317" w:name="_Toc29387"/>
      <w:r>
        <w:rPr>
          <w:rFonts w:eastAsia="宋体"/>
          <w:caps w:val="0"/>
          <w:smallCaps w:val="0"/>
          <w:color w:val="auto"/>
          <w:spacing w:val="0"/>
          <w:highlight w:val="none"/>
        </w:rPr>
        <w:t>8.5排污口规范化管理</w:t>
      </w:r>
      <w:bookmarkEnd w:id="261"/>
      <w:bookmarkEnd w:id="262"/>
      <w:bookmarkEnd w:id="317"/>
    </w:p>
    <w:p w14:paraId="1103AFD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排污口是企业排放污染物进入环境的通道，强化排污口的管理是实施污染物总量控制的基础工作之一，也是区域环境管理逐步实现污染物排放科学化、定量化的重要手段。</w:t>
      </w:r>
    </w:p>
    <w:p w14:paraId="0E0CEBD3">
      <w:pPr>
        <w:pStyle w:val="5"/>
        <w:widowControl w:val="0"/>
        <w:rPr>
          <w:rFonts w:eastAsia="宋体"/>
          <w:caps w:val="0"/>
          <w:smallCaps w:val="0"/>
          <w:color w:val="auto"/>
          <w:spacing w:val="0"/>
          <w:sz w:val="30"/>
          <w:szCs w:val="30"/>
          <w:highlight w:val="none"/>
        </w:rPr>
      </w:pPr>
      <w:bookmarkStart w:id="318" w:name="_Toc14130"/>
      <w:r>
        <w:rPr>
          <w:rFonts w:eastAsia="宋体"/>
          <w:caps w:val="0"/>
          <w:smallCaps w:val="0"/>
          <w:color w:val="auto"/>
          <w:spacing w:val="0"/>
          <w:sz w:val="30"/>
          <w:szCs w:val="30"/>
          <w:highlight w:val="none"/>
        </w:rPr>
        <w:t>8.5.1排污口规范化管理的基本原则</w:t>
      </w:r>
      <w:bookmarkEnd w:id="318"/>
    </w:p>
    <w:p w14:paraId="0B1280D5">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（1）向环境排放污染物的排污口必须规范化。</w:t>
      </w:r>
    </w:p>
    <w:p w14:paraId="4DF07E72">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（2）列入总量控制指标污染物中控制因子管理</w:t>
      </w:r>
      <w:r>
        <w:rPr>
          <w:rFonts w:hint="eastAsia" w:ascii="Times New Roman" w:hAnsi="Times New Roman" w:eastAsia="宋体" w:cs="Times New Roman"/>
          <w:caps w:val="0"/>
          <w:smallCaps w:val="0"/>
          <w:color w:val="auto"/>
          <w:spacing w:val="0"/>
          <w:highlight w:val="none"/>
        </w:rPr>
        <w:t>作为</w:t>
      </w:r>
      <w:r>
        <w:rPr>
          <w:rFonts w:ascii="Times New Roman" w:hAnsi="Times New Roman" w:eastAsia="宋体" w:cs="Times New Roman"/>
          <w:caps w:val="0"/>
          <w:smallCaps w:val="0"/>
          <w:color w:val="auto"/>
          <w:spacing w:val="0"/>
          <w:highlight w:val="none"/>
        </w:rPr>
        <w:t>重点。</w:t>
      </w:r>
    </w:p>
    <w:p w14:paraId="62B6E5EA">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（3）排污口应便于采样与计量监测，便于日常现场监督检查。</w:t>
      </w:r>
    </w:p>
    <w:p w14:paraId="494A6D5C">
      <w:pPr>
        <w:pStyle w:val="5"/>
        <w:widowControl w:val="0"/>
        <w:rPr>
          <w:rFonts w:eastAsia="宋体"/>
          <w:caps w:val="0"/>
          <w:smallCaps w:val="0"/>
          <w:color w:val="auto"/>
          <w:spacing w:val="0"/>
          <w:sz w:val="30"/>
          <w:szCs w:val="30"/>
          <w:highlight w:val="none"/>
        </w:rPr>
      </w:pPr>
      <w:bookmarkStart w:id="319" w:name="_Toc10756"/>
      <w:r>
        <w:rPr>
          <w:rFonts w:eastAsia="宋体"/>
          <w:caps w:val="0"/>
          <w:smallCaps w:val="0"/>
          <w:color w:val="auto"/>
          <w:spacing w:val="0"/>
          <w:sz w:val="30"/>
          <w:szCs w:val="30"/>
          <w:highlight w:val="none"/>
        </w:rPr>
        <w:t>8.5.2排污口的技术要求</w:t>
      </w:r>
      <w:bookmarkEnd w:id="319"/>
    </w:p>
    <w:p w14:paraId="2D2A3F7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（1）排污口的设置必须合理确定，按照环监(96)470号文件、原国家环境保护总局环发〔1999〕24号《关于开展排放口规范化整治工作的通知》、《污染源监测技术规范》中的相关规定，进行规范化管理。</w:t>
      </w:r>
    </w:p>
    <w:p w14:paraId="5A08E52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（2）废气排放口要求在废气处理设施的进气口、排气筒排气口均应设置便于采样、监测的采样口和监测平台，采样口直径不小于40mm。设置规范的、便于测量流量、流速的测速段。</w:t>
      </w:r>
    </w:p>
    <w:p w14:paraId="1B013BE3">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（3）污水排放口要求污水采样点设置应按《污染源监测技术规范》要求，设置在厂区总排口处。</w:t>
      </w:r>
    </w:p>
    <w:p w14:paraId="0319684D">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（4）固体废物储存场要求生活垃圾、一般工业固废和危险废物必须设置专用堆放场所，有防扬散、防流失、防渗漏等措施，设置环境保护图形标志和警示标志</w:t>
      </w:r>
      <w:r>
        <w:rPr>
          <w:rFonts w:ascii="Times New Roman" w:hAnsi="Times New Roman" w:eastAsia="宋体" w:cs="Times New Roman"/>
          <w:caps w:val="0"/>
          <w:smallCaps w:val="0"/>
          <w:color w:val="auto"/>
          <w:spacing w:val="0"/>
          <w:highlight w:val="none"/>
        </w:rPr>
        <w:t>。</w:t>
      </w:r>
    </w:p>
    <w:p w14:paraId="0BBE334C">
      <w:pPr>
        <w:pStyle w:val="5"/>
        <w:widowControl w:val="0"/>
        <w:rPr>
          <w:rFonts w:eastAsia="宋体"/>
          <w:caps w:val="0"/>
          <w:smallCaps w:val="0"/>
          <w:color w:val="auto"/>
          <w:spacing w:val="0"/>
          <w:sz w:val="30"/>
          <w:szCs w:val="30"/>
          <w:highlight w:val="none"/>
        </w:rPr>
      </w:pPr>
      <w:bookmarkStart w:id="320" w:name="_Toc514241326"/>
      <w:bookmarkStart w:id="321" w:name="_Toc511809914"/>
      <w:bookmarkStart w:id="322" w:name="_Toc511756199"/>
      <w:bookmarkStart w:id="323" w:name="_Toc514331096"/>
      <w:bookmarkStart w:id="324" w:name="_Toc15980"/>
      <w:r>
        <w:rPr>
          <w:rFonts w:eastAsia="宋体"/>
          <w:caps w:val="0"/>
          <w:smallCaps w:val="0"/>
          <w:color w:val="auto"/>
          <w:spacing w:val="0"/>
          <w:sz w:val="30"/>
          <w:szCs w:val="30"/>
          <w:highlight w:val="none"/>
        </w:rPr>
        <w:t>8.5.3排污口建档管理</w:t>
      </w:r>
      <w:bookmarkEnd w:id="320"/>
      <w:bookmarkEnd w:id="321"/>
      <w:bookmarkEnd w:id="322"/>
      <w:bookmarkEnd w:id="323"/>
      <w:bookmarkEnd w:id="324"/>
    </w:p>
    <w:p w14:paraId="5DF791E6">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（1）要求使用国家统一印刷的《中华人民共和国规范化排污口标志登记证》，并按要求填写有关内容。</w:t>
      </w:r>
    </w:p>
    <w:p w14:paraId="6D00F213">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（2）排放浓度、排放去向、达标情况及设施运行情况记录于档案。</w:t>
      </w:r>
    </w:p>
    <w:p w14:paraId="0120771B">
      <w:pPr>
        <w:widowControl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具体本项目排放的污染物排放口的污染物种类、允许排放浓度和允许排放量、排放方式、排放去向。见表8.3-1。</w:t>
      </w:r>
    </w:p>
    <w:p w14:paraId="47DE97CF">
      <w:pPr>
        <w:pStyle w:val="5"/>
        <w:widowControl w:val="0"/>
        <w:rPr>
          <w:rFonts w:eastAsia="宋体"/>
          <w:caps w:val="0"/>
          <w:smallCaps w:val="0"/>
          <w:color w:val="auto"/>
          <w:spacing w:val="0"/>
          <w:sz w:val="30"/>
          <w:szCs w:val="30"/>
          <w:highlight w:val="none"/>
        </w:rPr>
      </w:pPr>
      <w:bookmarkStart w:id="325" w:name="_Toc29647"/>
      <w:r>
        <w:rPr>
          <w:rFonts w:eastAsia="宋体"/>
          <w:caps w:val="0"/>
          <w:smallCaps w:val="0"/>
          <w:color w:val="auto"/>
          <w:spacing w:val="0"/>
          <w:sz w:val="30"/>
          <w:szCs w:val="30"/>
          <w:highlight w:val="none"/>
        </w:rPr>
        <w:t>8.5.4排污口规范化管理</w:t>
      </w:r>
      <w:bookmarkEnd w:id="325"/>
    </w:p>
    <w:p w14:paraId="37C5F80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1、排污口规范化内容</w:t>
      </w:r>
    </w:p>
    <w:p w14:paraId="4D2314B5">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根据国家、地方颁布的有关环境保护规定，排气筒、噪声排放源和危险废物临时贮存区等贮存处置场所均应按《环境保护图形标志—排放口(源)》(GB15562.1-1995)要求设立；固体废物贮存(处置)场图形符号按《危险废物识别标志设置技术规范》(HJ1276-2022)、《环境保护图形标志—固体废物贮存(处置)场》(GB15562.2-1995)及2023修改单设立明显标志。排污口具体标识见表8.5-1和表8.5-2。</w:t>
      </w:r>
    </w:p>
    <w:p w14:paraId="33109907">
      <w:pPr>
        <w:widowControl w:val="0"/>
        <w:spacing w:after="36" w:afterLines="15"/>
        <w:ind w:firstLine="482"/>
        <w:jc w:val="center"/>
        <w:rPr>
          <w:rFonts w:ascii="Times New Roman" w:hAnsi="Times New Roman" w:eastAsia="宋体" w:cs="Times New Roman"/>
          <w:b/>
          <w:bCs/>
          <w:iCs/>
          <w:caps w:val="0"/>
          <w:smallCaps w:val="0"/>
          <w:color w:val="auto"/>
          <w:spacing w:val="0"/>
          <w:highlight w:val="none"/>
        </w:rPr>
      </w:pPr>
      <w:r>
        <w:rPr>
          <w:rFonts w:ascii="Times New Roman" w:hAnsi="Times New Roman" w:eastAsia="宋体" w:cs="Times New Roman"/>
          <w:b/>
          <w:bCs/>
          <w:iCs/>
          <w:caps w:val="0"/>
          <w:smallCaps w:val="0"/>
          <w:color w:val="auto"/>
          <w:spacing w:val="0"/>
          <w:highlight w:val="none"/>
        </w:rPr>
        <w:t>表8.5-1环境保护图形符号一览表</w:t>
      </w:r>
    </w:p>
    <w:tbl>
      <w:tblPr>
        <w:tblStyle w:val="176"/>
        <w:tblW w:w="9075" w:type="dxa"/>
        <w:tblInd w:w="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86"/>
        <w:gridCol w:w="1866"/>
        <w:gridCol w:w="2071"/>
        <w:gridCol w:w="2075"/>
        <w:gridCol w:w="2177"/>
      </w:tblGrid>
      <w:tr w14:paraId="772412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886" w:type="dxa"/>
            <w:tcBorders>
              <w:tl2br w:val="nil"/>
              <w:tr2bl w:val="nil"/>
            </w:tcBorders>
          </w:tcPr>
          <w:p w14:paraId="5BED9C5E">
            <w:pPr>
              <w:pStyle w:val="195"/>
              <w:widowControl w:val="0"/>
              <w:spacing w:before="40" w:line="221" w:lineRule="auto"/>
              <w:ind w:left="238"/>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序号</w:t>
            </w:r>
          </w:p>
        </w:tc>
        <w:tc>
          <w:tcPr>
            <w:tcW w:w="1866" w:type="dxa"/>
            <w:tcBorders>
              <w:tl2br w:val="nil"/>
              <w:tr2bl w:val="nil"/>
            </w:tcBorders>
          </w:tcPr>
          <w:p w14:paraId="27BD741D">
            <w:pPr>
              <w:pStyle w:val="195"/>
              <w:widowControl w:val="0"/>
              <w:spacing w:before="40" w:line="221" w:lineRule="auto"/>
              <w:ind w:left="518"/>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标志名称</w:t>
            </w:r>
          </w:p>
        </w:tc>
        <w:tc>
          <w:tcPr>
            <w:tcW w:w="2071" w:type="dxa"/>
            <w:tcBorders>
              <w:tl2br w:val="nil"/>
              <w:tr2bl w:val="nil"/>
            </w:tcBorders>
          </w:tcPr>
          <w:p w14:paraId="4B5D2A03">
            <w:pPr>
              <w:pStyle w:val="195"/>
              <w:widowControl w:val="0"/>
              <w:spacing w:before="40" w:line="221" w:lineRule="auto"/>
              <w:ind w:left="41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提示图形符号</w:t>
            </w:r>
          </w:p>
        </w:tc>
        <w:tc>
          <w:tcPr>
            <w:tcW w:w="2075" w:type="dxa"/>
            <w:tcBorders>
              <w:tl2br w:val="nil"/>
              <w:tr2bl w:val="nil"/>
            </w:tcBorders>
          </w:tcPr>
          <w:p w14:paraId="3B65D81C">
            <w:pPr>
              <w:pStyle w:val="195"/>
              <w:widowControl w:val="0"/>
              <w:spacing w:before="40" w:line="221" w:lineRule="auto"/>
              <w:ind w:left="41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警告图形符号</w:t>
            </w:r>
          </w:p>
        </w:tc>
        <w:tc>
          <w:tcPr>
            <w:tcW w:w="2177" w:type="dxa"/>
            <w:tcBorders>
              <w:tl2br w:val="nil"/>
              <w:tr2bl w:val="nil"/>
            </w:tcBorders>
          </w:tcPr>
          <w:p w14:paraId="0E6C5D40">
            <w:pPr>
              <w:pStyle w:val="195"/>
              <w:widowControl w:val="0"/>
              <w:spacing w:before="40" w:line="221" w:lineRule="auto"/>
              <w:ind w:left="67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功能说明</w:t>
            </w:r>
          </w:p>
        </w:tc>
      </w:tr>
      <w:tr w14:paraId="1DCB78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79" w:hRule="atLeast"/>
        </w:trPr>
        <w:tc>
          <w:tcPr>
            <w:tcW w:w="886" w:type="dxa"/>
            <w:tcBorders>
              <w:tl2br w:val="nil"/>
              <w:tr2bl w:val="nil"/>
            </w:tcBorders>
          </w:tcPr>
          <w:p w14:paraId="644EBF1E">
            <w:pPr>
              <w:widowControl w:val="0"/>
              <w:spacing w:line="410" w:lineRule="auto"/>
              <w:rPr>
                <w:rFonts w:ascii="Times New Roman" w:hAnsi="Times New Roman" w:eastAsia="宋体" w:cs="Times New Roman"/>
                <w:caps w:val="0"/>
                <w:smallCaps w:val="0"/>
                <w:color w:val="auto"/>
                <w:spacing w:val="0"/>
                <w:sz w:val="21"/>
                <w:highlight w:val="none"/>
                <w:lang w:eastAsia="en-US"/>
              </w:rPr>
            </w:pPr>
          </w:p>
          <w:p w14:paraId="6D0EDD66">
            <w:pPr>
              <w:widowControl w:val="0"/>
              <w:spacing w:before="57" w:line="195" w:lineRule="auto"/>
              <w:ind w:left="412"/>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1</w:t>
            </w:r>
          </w:p>
        </w:tc>
        <w:tc>
          <w:tcPr>
            <w:tcW w:w="1866" w:type="dxa"/>
            <w:tcBorders>
              <w:tl2br w:val="nil"/>
              <w:tr2bl w:val="nil"/>
            </w:tcBorders>
          </w:tcPr>
          <w:p w14:paraId="4CF3AAFD">
            <w:pPr>
              <w:widowControl w:val="0"/>
              <w:spacing w:line="364" w:lineRule="auto"/>
              <w:rPr>
                <w:rFonts w:ascii="Times New Roman" w:hAnsi="Times New Roman" w:eastAsia="宋体" w:cs="Times New Roman"/>
                <w:caps w:val="0"/>
                <w:smallCaps w:val="0"/>
                <w:color w:val="auto"/>
                <w:spacing w:val="0"/>
                <w:sz w:val="21"/>
                <w:highlight w:val="none"/>
                <w:lang w:eastAsia="en-US"/>
              </w:rPr>
            </w:pPr>
          </w:p>
          <w:p w14:paraId="0140D3FC">
            <w:pPr>
              <w:pStyle w:val="195"/>
              <w:widowControl w:val="0"/>
              <w:spacing w:before="65" w:line="229" w:lineRule="auto"/>
              <w:ind w:left="41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废气排放口</w:t>
            </w:r>
          </w:p>
        </w:tc>
        <w:tc>
          <w:tcPr>
            <w:tcW w:w="2071" w:type="dxa"/>
            <w:tcBorders>
              <w:tl2br w:val="nil"/>
              <w:tr2bl w:val="nil"/>
            </w:tcBorders>
          </w:tcPr>
          <w:p w14:paraId="263A31F6">
            <w:pPr>
              <w:widowControl w:val="0"/>
              <w:spacing w:before="51" w:line="972" w:lineRule="exact"/>
              <w:ind w:firstLine="546"/>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19"/>
                <w:highlight w:val="none"/>
                <w:lang w:eastAsia="en-US"/>
              </w:rPr>
              <w:drawing>
                <wp:inline distT="0" distB="0" distL="0" distR="0">
                  <wp:extent cx="616585" cy="617220"/>
                  <wp:effectExtent l="0" t="0" r="12065" b="11430"/>
                  <wp:docPr id="8" name="IM 84"/>
                  <wp:cNvGraphicFramePr/>
                  <a:graphic xmlns:a="http://schemas.openxmlformats.org/drawingml/2006/main">
                    <a:graphicData uri="http://schemas.openxmlformats.org/drawingml/2006/picture">
                      <pic:pic xmlns:pic="http://schemas.openxmlformats.org/drawingml/2006/picture">
                        <pic:nvPicPr>
                          <pic:cNvPr id="8" name="IM 84"/>
                          <pic:cNvPicPr/>
                        </pic:nvPicPr>
                        <pic:blipFill>
                          <a:blip r:embed="rId115"/>
                          <a:stretch>
                            <a:fillRect/>
                          </a:stretch>
                        </pic:blipFill>
                        <pic:spPr>
                          <a:xfrm>
                            <a:off x="0" y="0"/>
                            <a:ext cx="617219" cy="617220"/>
                          </a:xfrm>
                          <a:prstGeom prst="rect">
                            <a:avLst/>
                          </a:prstGeom>
                        </pic:spPr>
                      </pic:pic>
                    </a:graphicData>
                  </a:graphic>
                </wp:inline>
              </w:drawing>
            </w:r>
          </w:p>
        </w:tc>
        <w:tc>
          <w:tcPr>
            <w:tcW w:w="2075" w:type="dxa"/>
            <w:tcBorders>
              <w:tl2br w:val="nil"/>
              <w:tr2bl w:val="nil"/>
            </w:tcBorders>
          </w:tcPr>
          <w:p w14:paraId="7066560A">
            <w:pPr>
              <w:widowControl w:val="0"/>
              <w:spacing w:line="1069" w:lineRule="exact"/>
              <w:ind w:firstLine="475"/>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1"/>
                <w:highlight w:val="none"/>
                <w:lang w:eastAsia="en-US"/>
              </w:rPr>
              <w:drawing>
                <wp:inline distT="0" distB="0" distL="0" distR="0">
                  <wp:extent cx="713105" cy="678815"/>
                  <wp:effectExtent l="0" t="0" r="10795" b="6985"/>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16"/>
                          <a:stretch>
                            <a:fillRect/>
                          </a:stretch>
                        </pic:blipFill>
                        <pic:spPr>
                          <a:xfrm>
                            <a:off x="0" y="0"/>
                            <a:ext cx="713232" cy="678815"/>
                          </a:xfrm>
                          <a:prstGeom prst="rect">
                            <a:avLst/>
                          </a:prstGeom>
                        </pic:spPr>
                      </pic:pic>
                    </a:graphicData>
                  </a:graphic>
                </wp:inline>
              </w:drawing>
            </w:r>
          </w:p>
        </w:tc>
        <w:tc>
          <w:tcPr>
            <w:tcW w:w="2177" w:type="dxa"/>
            <w:tcBorders>
              <w:tl2br w:val="nil"/>
              <w:tr2bl w:val="nil"/>
            </w:tcBorders>
          </w:tcPr>
          <w:p w14:paraId="3D221888">
            <w:pPr>
              <w:pStyle w:val="195"/>
              <w:widowControl w:val="0"/>
              <w:spacing w:before="295" w:line="241" w:lineRule="auto"/>
              <w:ind w:left="884" w:right="143" w:hanging="737"/>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表示废气向大气环境排放</w:t>
            </w:r>
          </w:p>
        </w:tc>
      </w:tr>
      <w:tr w14:paraId="1AD4E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9" w:hRule="atLeast"/>
        </w:trPr>
        <w:tc>
          <w:tcPr>
            <w:tcW w:w="886" w:type="dxa"/>
            <w:tcBorders>
              <w:tl2br w:val="nil"/>
              <w:tr2bl w:val="nil"/>
            </w:tcBorders>
          </w:tcPr>
          <w:p w14:paraId="1926D34D">
            <w:pPr>
              <w:widowControl w:val="0"/>
              <w:spacing w:line="406" w:lineRule="auto"/>
              <w:rPr>
                <w:rFonts w:ascii="Times New Roman" w:hAnsi="Times New Roman" w:eastAsia="宋体" w:cs="Times New Roman"/>
                <w:caps w:val="0"/>
                <w:smallCaps w:val="0"/>
                <w:color w:val="auto"/>
                <w:spacing w:val="0"/>
                <w:sz w:val="21"/>
                <w:highlight w:val="none"/>
                <w:lang w:eastAsia="en-US"/>
              </w:rPr>
            </w:pPr>
          </w:p>
          <w:p w14:paraId="64175AA3">
            <w:pPr>
              <w:widowControl w:val="0"/>
              <w:spacing w:before="57" w:line="195" w:lineRule="auto"/>
              <w:ind w:left="391"/>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2</w:t>
            </w:r>
          </w:p>
        </w:tc>
        <w:tc>
          <w:tcPr>
            <w:tcW w:w="1866" w:type="dxa"/>
            <w:tcBorders>
              <w:tl2br w:val="nil"/>
              <w:tr2bl w:val="nil"/>
            </w:tcBorders>
          </w:tcPr>
          <w:p w14:paraId="31D226D4">
            <w:pPr>
              <w:widowControl w:val="0"/>
              <w:spacing w:line="361" w:lineRule="auto"/>
              <w:rPr>
                <w:rFonts w:ascii="Times New Roman" w:hAnsi="Times New Roman" w:eastAsia="宋体" w:cs="Times New Roman"/>
                <w:caps w:val="0"/>
                <w:smallCaps w:val="0"/>
                <w:color w:val="auto"/>
                <w:spacing w:val="0"/>
                <w:sz w:val="21"/>
                <w:highlight w:val="none"/>
                <w:lang w:eastAsia="en-US"/>
              </w:rPr>
            </w:pPr>
          </w:p>
          <w:p w14:paraId="52C3C825">
            <w:pPr>
              <w:pStyle w:val="195"/>
              <w:widowControl w:val="0"/>
              <w:spacing w:before="65" w:line="228" w:lineRule="auto"/>
              <w:ind w:left="41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废水排放口</w:t>
            </w:r>
          </w:p>
        </w:tc>
        <w:tc>
          <w:tcPr>
            <w:tcW w:w="2071" w:type="dxa"/>
            <w:tcBorders>
              <w:tl2br w:val="nil"/>
              <w:tr2bl w:val="nil"/>
            </w:tcBorders>
          </w:tcPr>
          <w:p w14:paraId="7A9022FA">
            <w:pPr>
              <w:widowControl w:val="0"/>
              <w:spacing w:line="1059" w:lineRule="exact"/>
              <w:ind w:firstLine="493"/>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1"/>
                <w:highlight w:val="none"/>
                <w:lang w:eastAsia="en-US"/>
              </w:rPr>
              <w:drawing>
                <wp:inline distT="0" distB="0" distL="0" distR="0">
                  <wp:extent cx="685800" cy="672465"/>
                  <wp:effectExtent l="0" t="0" r="0" b="13335"/>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17"/>
                          <a:stretch>
                            <a:fillRect/>
                          </a:stretch>
                        </pic:blipFill>
                        <pic:spPr>
                          <a:xfrm>
                            <a:off x="0" y="0"/>
                            <a:ext cx="685800" cy="672465"/>
                          </a:xfrm>
                          <a:prstGeom prst="rect">
                            <a:avLst/>
                          </a:prstGeom>
                        </pic:spPr>
                      </pic:pic>
                    </a:graphicData>
                  </a:graphic>
                </wp:inline>
              </w:drawing>
            </w:r>
          </w:p>
        </w:tc>
        <w:tc>
          <w:tcPr>
            <w:tcW w:w="2075" w:type="dxa"/>
            <w:tcBorders>
              <w:tl2br w:val="nil"/>
              <w:tr2bl w:val="nil"/>
            </w:tcBorders>
          </w:tcPr>
          <w:p w14:paraId="4FC6914B">
            <w:pPr>
              <w:widowControl w:val="0"/>
              <w:spacing w:before="45" w:line="976" w:lineRule="exact"/>
              <w:ind w:firstLine="486"/>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19"/>
                <w:highlight w:val="none"/>
                <w:lang w:eastAsia="en-US"/>
              </w:rPr>
              <w:drawing>
                <wp:inline distT="0" distB="0" distL="0" distR="0">
                  <wp:extent cx="697865" cy="619760"/>
                  <wp:effectExtent l="0" t="0" r="6985" b="8890"/>
                  <wp:docPr id="19" name="IM 90"/>
                  <wp:cNvGraphicFramePr/>
                  <a:graphic xmlns:a="http://schemas.openxmlformats.org/drawingml/2006/main">
                    <a:graphicData uri="http://schemas.openxmlformats.org/drawingml/2006/picture">
                      <pic:pic xmlns:pic="http://schemas.openxmlformats.org/drawingml/2006/picture">
                        <pic:nvPicPr>
                          <pic:cNvPr id="19" name="IM 90"/>
                          <pic:cNvPicPr/>
                        </pic:nvPicPr>
                        <pic:blipFill>
                          <a:blip r:embed="rId118"/>
                          <a:stretch>
                            <a:fillRect/>
                          </a:stretch>
                        </pic:blipFill>
                        <pic:spPr>
                          <a:xfrm>
                            <a:off x="0" y="0"/>
                            <a:ext cx="697991" cy="620267"/>
                          </a:xfrm>
                          <a:prstGeom prst="rect">
                            <a:avLst/>
                          </a:prstGeom>
                        </pic:spPr>
                      </pic:pic>
                    </a:graphicData>
                  </a:graphic>
                </wp:inline>
              </w:drawing>
            </w:r>
          </w:p>
        </w:tc>
        <w:tc>
          <w:tcPr>
            <w:tcW w:w="2177" w:type="dxa"/>
            <w:tcBorders>
              <w:tl2br w:val="nil"/>
              <w:tr2bl w:val="nil"/>
            </w:tcBorders>
          </w:tcPr>
          <w:p w14:paraId="333E3037">
            <w:pPr>
              <w:widowControl w:val="0"/>
              <w:spacing w:line="361" w:lineRule="auto"/>
              <w:rPr>
                <w:rFonts w:ascii="Times New Roman" w:hAnsi="Times New Roman" w:eastAsia="宋体" w:cs="Times New Roman"/>
                <w:caps w:val="0"/>
                <w:smallCaps w:val="0"/>
                <w:color w:val="auto"/>
                <w:spacing w:val="0"/>
                <w:sz w:val="21"/>
                <w:highlight w:val="none"/>
                <w:lang w:eastAsia="en-US"/>
              </w:rPr>
            </w:pPr>
          </w:p>
          <w:p w14:paraId="5345813A">
            <w:pPr>
              <w:pStyle w:val="195"/>
              <w:widowControl w:val="0"/>
              <w:spacing w:before="65" w:line="228" w:lineRule="auto"/>
              <w:ind w:left="14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表示污水向水体排放</w:t>
            </w:r>
          </w:p>
        </w:tc>
      </w:tr>
      <w:tr w14:paraId="512181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94" w:hRule="atLeast"/>
        </w:trPr>
        <w:tc>
          <w:tcPr>
            <w:tcW w:w="886" w:type="dxa"/>
            <w:tcBorders>
              <w:tl2br w:val="nil"/>
              <w:tr2bl w:val="nil"/>
            </w:tcBorders>
          </w:tcPr>
          <w:p w14:paraId="7FB1D6F2">
            <w:pPr>
              <w:widowControl w:val="0"/>
              <w:spacing w:line="417" w:lineRule="auto"/>
              <w:rPr>
                <w:rFonts w:ascii="Times New Roman" w:hAnsi="Times New Roman" w:eastAsia="宋体" w:cs="Times New Roman"/>
                <w:caps w:val="0"/>
                <w:smallCaps w:val="0"/>
                <w:color w:val="auto"/>
                <w:spacing w:val="0"/>
                <w:sz w:val="21"/>
                <w:highlight w:val="none"/>
                <w:lang w:eastAsia="en-US"/>
              </w:rPr>
            </w:pPr>
          </w:p>
          <w:p w14:paraId="49482102">
            <w:pPr>
              <w:widowControl w:val="0"/>
              <w:spacing w:before="57" w:line="195" w:lineRule="auto"/>
              <w:ind w:left="396"/>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3</w:t>
            </w:r>
          </w:p>
        </w:tc>
        <w:tc>
          <w:tcPr>
            <w:tcW w:w="1866" w:type="dxa"/>
            <w:tcBorders>
              <w:tl2br w:val="nil"/>
              <w:tr2bl w:val="nil"/>
            </w:tcBorders>
          </w:tcPr>
          <w:p w14:paraId="60A7217A">
            <w:pPr>
              <w:widowControl w:val="0"/>
              <w:spacing w:line="374" w:lineRule="auto"/>
              <w:rPr>
                <w:rFonts w:ascii="Times New Roman" w:hAnsi="Times New Roman" w:eastAsia="宋体" w:cs="Times New Roman"/>
                <w:caps w:val="0"/>
                <w:smallCaps w:val="0"/>
                <w:color w:val="auto"/>
                <w:spacing w:val="0"/>
                <w:sz w:val="21"/>
                <w:highlight w:val="none"/>
                <w:lang w:eastAsia="en-US"/>
              </w:rPr>
            </w:pPr>
          </w:p>
          <w:p w14:paraId="259E415A">
            <w:pPr>
              <w:pStyle w:val="195"/>
              <w:widowControl w:val="0"/>
              <w:spacing w:before="65" w:line="229" w:lineRule="auto"/>
              <w:ind w:left="309"/>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一般固体废物</w:t>
            </w:r>
          </w:p>
        </w:tc>
        <w:tc>
          <w:tcPr>
            <w:tcW w:w="2071" w:type="dxa"/>
            <w:tcBorders>
              <w:tl2br w:val="nil"/>
              <w:tr2bl w:val="nil"/>
            </w:tcBorders>
          </w:tcPr>
          <w:p w14:paraId="155065E0">
            <w:pPr>
              <w:widowControl w:val="0"/>
              <w:spacing w:before="36" w:line="1020" w:lineRule="exact"/>
              <w:ind w:firstLine="522"/>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0"/>
                <w:highlight w:val="none"/>
                <w:lang w:eastAsia="en-US"/>
              </w:rPr>
              <w:drawing>
                <wp:inline distT="0" distB="0" distL="0" distR="0">
                  <wp:extent cx="647700" cy="647700"/>
                  <wp:effectExtent l="0" t="0" r="0" b="0"/>
                  <wp:docPr id="21" name="IM 92"/>
                  <wp:cNvGraphicFramePr/>
                  <a:graphic xmlns:a="http://schemas.openxmlformats.org/drawingml/2006/main">
                    <a:graphicData uri="http://schemas.openxmlformats.org/drawingml/2006/picture">
                      <pic:pic xmlns:pic="http://schemas.openxmlformats.org/drawingml/2006/picture">
                        <pic:nvPicPr>
                          <pic:cNvPr id="21" name="IM 92"/>
                          <pic:cNvPicPr/>
                        </pic:nvPicPr>
                        <pic:blipFill>
                          <a:blip r:embed="rId119"/>
                          <a:stretch>
                            <a:fillRect/>
                          </a:stretch>
                        </pic:blipFill>
                        <pic:spPr>
                          <a:xfrm>
                            <a:off x="0" y="0"/>
                            <a:ext cx="647700" cy="647700"/>
                          </a:xfrm>
                          <a:prstGeom prst="rect">
                            <a:avLst/>
                          </a:prstGeom>
                        </pic:spPr>
                      </pic:pic>
                    </a:graphicData>
                  </a:graphic>
                </wp:inline>
              </w:drawing>
            </w:r>
          </w:p>
        </w:tc>
        <w:tc>
          <w:tcPr>
            <w:tcW w:w="2075" w:type="dxa"/>
            <w:tcBorders>
              <w:tl2br w:val="nil"/>
              <w:tr2bl w:val="nil"/>
            </w:tcBorders>
          </w:tcPr>
          <w:p w14:paraId="04A80117">
            <w:pPr>
              <w:widowControl w:val="0"/>
              <w:spacing w:line="1083" w:lineRule="exact"/>
              <w:ind w:firstLine="460"/>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1"/>
                <w:highlight w:val="none"/>
                <w:lang w:eastAsia="en-US"/>
              </w:rPr>
              <w:drawing>
                <wp:inline distT="0" distB="0" distL="0" distR="0">
                  <wp:extent cx="729615" cy="687705"/>
                  <wp:effectExtent l="0" t="0" r="13335" b="17145"/>
                  <wp:docPr id="22" name="IM 94"/>
                  <wp:cNvGraphicFramePr/>
                  <a:graphic xmlns:a="http://schemas.openxmlformats.org/drawingml/2006/main">
                    <a:graphicData uri="http://schemas.openxmlformats.org/drawingml/2006/picture">
                      <pic:pic xmlns:pic="http://schemas.openxmlformats.org/drawingml/2006/picture">
                        <pic:nvPicPr>
                          <pic:cNvPr id="22" name="IM 94"/>
                          <pic:cNvPicPr/>
                        </pic:nvPicPr>
                        <pic:blipFill>
                          <a:blip r:embed="rId120"/>
                          <a:stretch>
                            <a:fillRect/>
                          </a:stretch>
                        </pic:blipFill>
                        <pic:spPr>
                          <a:xfrm>
                            <a:off x="0" y="0"/>
                            <a:ext cx="729996" cy="687959"/>
                          </a:xfrm>
                          <a:prstGeom prst="rect">
                            <a:avLst/>
                          </a:prstGeom>
                        </pic:spPr>
                      </pic:pic>
                    </a:graphicData>
                  </a:graphic>
                </wp:inline>
              </w:drawing>
            </w:r>
          </w:p>
        </w:tc>
        <w:tc>
          <w:tcPr>
            <w:tcW w:w="2177" w:type="dxa"/>
            <w:tcBorders>
              <w:tl2br w:val="nil"/>
              <w:tr2bl w:val="nil"/>
            </w:tcBorders>
          </w:tcPr>
          <w:p w14:paraId="29C5D86D">
            <w:pPr>
              <w:widowControl w:val="0"/>
              <w:spacing w:line="241" w:lineRule="auto"/>
              <w:rPr>
                <w:rFonts w:ascii="Times New Roman" w:hAnsi="Times New Roman" w:eastAsia="宋体" w:cs="Times New Roman"/>
                <w:caps w:val="0"/>
                <w:smallCaps w:val="0"/>
                <w:color w:val="auto"/>
                <w:spacing w:val="0"/>
                <w:sz w:val="21"/>
                <w:highlight w:val="none"/>
                <w:lang w:eastAsia="en-US"/>
              </w:rPr>
            </w:pPr>
          </w:p>
          <w:p w14:paraId="245E4741">
            <w:pPr>
              <w:pStyle w:val="195"/>
              <w:widowControl w:val="0"/>
              <w:spacing w:before="65" w:line="239" w:lineRule="auto"/>
              <w:ind w:left="567" w:right="143" w:hanging="420"/>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表示一般固体废物贮存、处置场</w:t>
            </w:r>
          </w:p>
        </w:tc>
      </w:tr>
      <w:tr w14:paraId="3E209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4" w:hRule="atLeast"/>
        </w:trPr>
        <w:tc>
          <w:tcPr>
            <w:tcW w:w="886" w:type="dxa"/>
            <w:tcBorders>
              <w:tl2br w:val="nil"/>
              <w:tr2bl w:val="nil"/>
            </w:tcBorders>
          </w:tcPr>
          <w:p w14:paraId="72EECA0D">
            <w:pPr>
              <w:widowControl w:val="0"/>
              <w:spacing w:line="434" w:lineRule="auto"/>
              <w:rPr>
                <w:rFonts w:ascii="Times New Roman" w:hAnsi="Times New Roman" w:eastAsia="宋体" w:cs="Times New Roman"/>
                <w:caps w:val="0"/>
                <w:smallCaps w:val="0"/>
                <w:color w:val="auto"/>
                <w:spacing w:val="0"/>
                <w:sz w:val="21"/>
                <w:highlight w:val="none"/>
                <w:lang w:eastAsia="en-US"/>
              </w:rPr>
            </w:pPr>
          </w:p>
          <w:p w14:paraId="4D2D1F02">
            <w:pPr>
              <w:widowControl w:val="0"/>
              <w:spacing w:before="57" w:line="195" w:lineRule="auto"/>
              <w:ind w:left="390"/>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4</w:t>
            </w:r>
          </w:p>
        </w:tc>
        <w:tc>
          <w:tcPr>
            <w:tcW w:w="1866" w:type="dxa"/>
            <w:tcBorders>
              <w:tl2br w:val="nil"/>
              <w:tr2bl w:val="nil"/>
            </w:tcBorders>
          </w:tcPr>
          <w:p w14:paraId="52809CBB">
            <w:pPr>
              <w:widowControl w:val="0"/>
              <w:spacing w:line="390" w:lineRule="auto"/>
              <w:rPr>
                <w:rFonts w:ascii="Times New Roman" w:hAnsi="Times New Roman" w:eastAsia="宋体" w:cs="Times New Roman"/>
                <w:caps w:val="0"/>
                <w:smallCaps w:val="0"/>
                <w:color w:val="auto"/>
                <w:spacing w:val="0"/>
                <w:sz w:val="21"/>
                <w:highlight w:val="none"/>
                <w:lang w:eastAsia="en-US"/>
              </w:rPr>
            </w:pPr>
          </w:p>
          <w:p w14:paraId="0B596C31">
            <w:pPr>
              <w:pStyle w:val="195"/>
              <w:widowControl w:val="0"/>
              <w:spacing w:before="66" w:line="229" w:lineRule="auto"/>
              <w:ind w:left="42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噪声排放源</w:t>
            </w:r>
          </w:p>
        </w:tc>
        <w:tc>
          <w:tcPr>
            <w:tcW w:w="2071" w:type="dxa"/>
            <w:tcBorders>
              <w:tl2br w:val="nil"/>
              <w:tr2bl w:val="nil"/>
            </w:tcBorders>
          </w:tcPr>
          <w:p w14:paraId="2DCFA426">
            <w:pPr>
              <w:widowControl w:val="0"/>
              <w:spacing w:before="43" w:line="1040" w:lineRule="exact"/>
              <w:ind w:firstLine="513"/>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0"/>
                <w:highlight w:val="none"/>
                <w:lang w:eastAsia="en-US"/>
              </w:rPr>
              <w:drawing>
                <wp:inline distT="0" distB="0" distL="0" distR="0">
                  <wp:extent cx="659765" cy="659765"/>
                  <wp:effectExtent l="0" t="0" r="6985" b="6985"/>
                  <wp:docPr id="24" name="IM 96"/>
                  <wp:cNvGraphicFramePr/>
                  <a:graphic xmlns:a="http://schemas.openxmlformats.org/drawingml/2006/main">
                    <a:graphicData uri="http://schemas.openxmlformats.org/drawingml/2006/picture">
                      <pic:pic xmlns:pic="http://schemas.openxmlformats.org/drawingml/2006/picture">
                        <pic:nvPicPr>
                          <pic:cNvPr id="24" name="IM 96"/>
                          <pic:cNvPicPr/>
                        </pic:nvPicPr>
                        <pic:blipFill>
                          <a:blip r:embed="rId121"/>
                          <a:stretch>
                            <a:fillRect/>
                          </a:stretch>
                        </pic:blipFill>
                        <pic:spPr>
                          <a:xfrm>
                            <a:off x="0" y="0"/>
                            <a:ext cx="659892" cy="659892"/>
                          </a:xfrm>
                          <a:prstGeom prst="rect">
                            <a:avLst/>
                          </a:prstGeom>
                        </pic:spPr>
                      </pic:pic>
                    </a:graphicData>
                  </a:graphic>
                </wp:inline>
              </w:drawing>
            </w:r>
          </w:p>
        </w:tc>
        <w:tc>
          <w:tcPr>
            <w:tcW w:w="2075" w:type="dxa"/>
            <w:tcBorders>
              <w:tl2br w:val="nil"/>
              <w:tr2bl w:val="nil"/>
            </w:tcBorders>
          </w:tcPr>
          <w:p w14:paraId="0BD42E18">
            <w:pPr>
              <w:widowControl w:val="0"/>
              <w:spacing w:line="1113" w:lineRule="exact"/>
              <w:ind w:firstLine="431"/>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2"/>
                <w:highlight w:val="none"/>
                <w:lang w:eastAsia="en-US"/>
              </w:rPr>
              <w:drawing>
                <wp:inline distT="0" distB="0" distL="0" distR="0">
                  <wp:extent cx="767715" cy="706755"/>
                  <wp:effectExtent l="0" t="0" r="13335" b="17145"/>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22"/>
                          <a:stretch>
                            <a:fillRect/>
                          </a:stretch>
                        </pic:blipFill>
                        <pic:spPr>
                          <a:xfrm>
                            <a:off x="0" y="0"/>
                            <a:ext cx="768096" cy="706882"/>
                          </a:xfrm>
                          <a:prstGeom prst="rect">
                            <a:avLst/>
                          </a:prstGeom>
                        </pic:spPr>
                      </pic:pic>
                    </a:graphicData>
                  </a:graphic>
                </wp:inline>
              </w:drawing>
            </w:r>
          </w:p>
        </w:tc>
        <w:tc>
          <w:tcPr>
            <w:tcW w:w="2177" w:type="dxa"/>
            <w:tcBorders>
              <w:tl2br w:val="nil"/>
              <w:tr2bl w:val="nil"/>
            </w:tcBorders>
          </w:tcPr>
          <w:p w14:paraId="07610E54">
            <w:pPr>
              <w:widowControl w:val="0"/>
              <w:spacing w:line="255" w:lineRule="auto"/>
              <w:rPr>
                <w:rFonts w:ascii="Times New Roman" w:hAnsi="Times New Roman" w:eastAsia="宋体" w:cs="Times New Roman"/>
                <w:caps w:val="0"/>
                <w:smallCaps w:val="0"/>
                <w:color w:val="auto"/>
                <w:spacing w:val="0"/>
                <w:sz w:val="21"/>
                <w:highlight w:val="none"/>
                <w:lang w:eastAsia="en-US"/>
              </w:rPr>
            </w:pPr>
          </w:p>
          <w:p w14:paraId="48C49F24">
            <w:pPr>
              <w:pStyle w:val="195"/>
              <w:widowControl w:val="0"/>
              <w:spacing w:before="65" w:line="241" w:lineRule="auto"/>
              <w:ind w:left="987" w:right="143" w:hanging="840"/>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表示噪声向外环境排放</w:t>
            </w:r>
          </w:p>
        </w:tc>
      </w:tr>
      <w:tr w14:paraId="5335F3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17" w:hRule="atLeast"/>
        </w:trPr>
        <w:tc>
          <w:tcPr>
            <w:tcW w:w="886" w:type="dxa"/>
            <w:tcBorders>
              <w:tl2br w:val="nil"/>
              <w:tr2bl w:val="nil"/>
            </w:tcBorders>
          </w:tcPr>
          <w:p w14:paraId="5EB41B2E">
            <w:pPr>
              <w:widowControl w:val="0"/>
              <w:spacing w:line="265" w:lineRule="auto"/>
              <w:rPr>
                <w:rFonts w:ascii="Times New Roman" w:hAnsi="Times New Roman" w:eastAsia="宋体" w:cs="Times New Roman"/>
                <w:caps w:val="0"/>
                <w:smallCaps w:val="0"/>
                <w:color w:val="auto"/>
                <w:spacing w:val="0"/>
                <w:sz w:val="21"/>
                <w:highlight w:val="none"/>
                <w:lang w:eastAsia="en-US"/>
              </w:rPr>
            </w:pPr>
          </w:p>
          <w:p w14:paraId="5011F3B2">
            <w:pPr>
              <w:widowControl w:val="0"/>
              <w:spacing w:line="266" w:lineRule="auto"/>
              <w:rPr>
                <w:rFonts w:ascii="Times New Roman" w:hAnsi="Times New Roman" w:eastAsia="宋体" w:cs="Times New Roman"/>
                <w:caps w:val="0"/>
                <w:smallCaps w:val="0"/>
                <w:color w:val="auto"/>
                <w:spacing w:val="0"/>
                <w:sz w:val="21"/>
                <w:highlight w:val="none"/>
                <w:lang w:eastAsia="en-US"/>
              </w:rPr>
            </w:pPr>
          </w:p>
          <w:p w14:paraId="517CF514">
            <w:pPr>
              <w:widowControl w:val="0"/>
              <w:spacing w:before="57" w:line="192" w:lineRule="auto"/>
              <w:ind w:left="397"/>
              <w:rPr>
                <w:rFonts w:ascii="Times New Roman" w:hAnsi="Times New Roman" w:eastAsia="宋体" w:cs="Times New Roman"/>
                <w:caps w:val="0"/>
                <w:smallCaps w:val="0"/>
                <w:color w:val="auto"/>
                <w:spacing w:val="0"/>
                <w:sz w:val="20"/>
                <w:szCs w:val="20"/>
                <w:highlight w:val="none"/>
                <w:lang w:eastAsia="en-US"/>
              </w:rPr>
            </w:pPr>
            <w:r>
              <w:rPr>
                <w:rFonts w:ascii="Times New Roman" w:hAnsi="Times New Roman" w:eastAsia="宋体" w:cs="Times New Roman"/>
                <w:caps w:val="0"/>
                <w:smallCaps w:val="0"/>
                <w:color w:val="auto"/>
                <w:spacing w:val="0"/>
                <w:sz w:val="20"/>
                <w:szCs w:val="20"/>
                <w:highlight w:val="none"/>
                <w:lang w:eastAsia="en-US"/>
              </w:rPr>
              <w:t>5</w:t>
            </w:r>
          </w:p>
        </w:tc>
        <w:tc>
          <w:tcPr>
            <w:tcW w:w="1866" w:type="dxa"/>
            <w:tcBorders>
              <w:tl2br w:val="nil"/>
              <w:tr2bl w:val="nil"/>
            </w:tcBorders>
          </w:tcPr>
          <w:p w14:paraId="31F8DF5C">
            <w:pPr>
              <w:widowControl w:val="0"/>
              <w:spacing w:line="242" w:lineRule="auto"/>
              <w:rPr>
                <w:rFonts w:ascii="Times New Roman" w:hAnsi="Times New Roman" w:eastAsia="宋体" w:cs="Times New Roman"/>
                <w:caps w:val="0"/>
                <w:smallCaps w:val="0"/>
                <w:color w:val="auto"/>
                <w:spacing w:val="0"/>
                <w:sz w:val="21"/>
                <w:highlight w:val="none"/>
                <w:lang w:eastAsia="en-US"/>
              </w:rPr>
            </w:pPr>
          </w:p>
          <w:p w14:paraId="11A07B2F">
            <w:pPr>
              <w:widowControl w:val="0"/>
              <w:spacing w:line="243" w:lineRule="auto"/>
              <w:rPr>
                <w:rFonts w:ascii="Times New Roman" w:hAnsi="Times New Roman" w:eastAsia="宋体" w:cs="Times New Roman"/>
                <w:caps w:val="0"/>
                <w:smallCaps w:val="0"/>
                <w:color w:val="auto"/>
                <w:spacing w:val="0"/>
                <w:sz w:val="21"/>
                <w:highlight w:val="none"/>
                <w:lang w:eastAsia="en-US"/>
              </w:rPr>
            </w:pPr>
          </w:p>
          <w:p w14:paraId="2F55DFF9">
            <w:pPr>
              <w:pStyle w:val="195"/>
              <w:widowControl w:val="0"/>
              <w:spacing w:before="65" w:line="229" w:lineRule="auto"/>
              <w:ind w:left="52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危险废物</w:t>
            </w:r>
          </w:p>
        </w:tc>
        <w:tc>
          <w:tcPr>
            <w:tcW w:w="2071" w:type="dxa"/>
            <w:tcBorders>
              <w:tl2br w:val="nil"/>
              <w:tr2bl w:val="nil"/>
            </w:tcBorders>
          </w:tcPr>
          <w:p w14:paraId="451451A1">
            <w:pPr>
              <w:widowControl w:val="0"/>
              <w:rPr>
                <w:rFonts w:ascii="Times New Roman" w:hAnsi="Times New Roman" w:eastAsia="宋体" w:cs="Times New Roman"/>
                <w:caps w:val="0"/>
                <w:smallCaps w:val="0"/>
                <w:color w:val="auto"/>
                <w:spacing w:val="0"/>
                <w:sz w:val="21"/>
                <w:highlight w:val="none"/>
                <w:lang w:eastAsia="en-US"/>
              </w:rPr>
            </w:pPr>
          </w:p>
        </w:tc>
        <w:tc>
          <w:tcPr>
            <w:tcW w:w="2075" w:type="dxa"/>
            <w:tcBorders>
              <w:tl2br w:val="nil"/>
              <w:tr2bl w:val="nil"/>
            </w:tcBorders>
          </w:tcPr>
          <w:p w14:paraId="08878C02">
            <w:pPr>
              <w:widowControl w:val="0"/>
              <w:spacing w:before="2" w:line="1305" w:lineRule="exact"/>
              <w:ind w:firstLine="292"/>
              <w:rPr>
                <w:rFonts w:ascii="Times New Roman" w:hAnsi="Times New Roman" w:eastAsia="宋体" w:cs="Times New Roman"/>
                <w:caps w:val="0"/>
                <w:smallCaps w:val="0"/>
                <w:color w:val="auto"/>
                <w:spacing w:val="0"/>
                <w:highlight w:val="none"/>
                <w:lang w:eastAsia="en-US"/>
              </w:rPr>
            </w:pPr>
            <w:r>
              <w:rPr>
                <w:rFonts w:ascii="Times New Roman" w:hAnsi="Times New Roman" w:eastAsia="宋体" w:cs="Times New Roman"/>
                <w:caps w:val="0"/>
                <w:smallCaps w:val="0"/>
                <w:color w:val="auto"/>
                <w:spacing w:val="0"/>
                <w:position w:val="-26"/>
                <w:highlight w:val="none"/>
                <w:lang w:eastAsia="en-US"/>
              </w:rPr>
              <w:drawing>
                <wp:inline distT="0" distB="0" distL="0" distR="0">
                  <wp:extent cx="942975" cy="828040"/>
                  <wp:effectExtent l="0" t="0" r="9525" b="1016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23"/>
                          <a:stretch>
                            <a:fillRect/>
                          </a:stretch>
                        </pic:blipFill>
                        <pic:spPr>
                          <a:xfrm>
                            <a:off x="0" y="0"/>
                            <a:ext cx="943355" cy="828547"/>
                          </a:xfrm>
                          <a:prstGeom prst="rect">
                            <a:avLst/>
                          </a:prstGeom>
                        </pic:spPr>
                      </pic:pic>
                    </a:graphicData>
                  </a:graphic>
                </wp:inline>
              </w:drawing>
            </w:r>
          </w:p>
        </w:tc>
        <w:tc>
          <w:tcPr>
            <w:tcW w:w="2177" w:type="dxa"/>
            <w:tcBorders>
              <w:tl2br w:val="nil"/>
              <w:tr2bl w:val="nil"/>
            </w:tcBorders>
          </w:tcPr>
          <w:p w14:paraId="3FA89E9C">
            <w:pPr>
              <w:widowControl w:val="0"/>
              <w:spacing w:line="348" w:lineRule="auto"/>
              <w:rPr>
                <w:rFonts w:ascii="Times New Roman" w:hAnsi="Times New Roman" w:eastAsia="宋体" w:cs="Times New Roman"/>
                <w:caps w:val="0"/>
                <w:smallCaps w:val="0"/>
                <w:color w:val="auto"/>
                <w:spacing w:val="0"/>
                <w:sz w:val="21"/>
                <w:highlight w:val="none"/>
                <w:lang w:eastAsia="en-US"/>
              </w:rPr>
            </w:pPr>
          </w:p>
          <w:p w14:paraId="5DDC04B9">
            <w:pPr>
              <w:pStyle w:val="195"/>
              <w:widowControl w:val="0"/>
              <w:spacing w:before="65"/>
              <w:ind w:left="783" w:right="177" w:hanging="636"/>
              <w:rPr>
                <w:rFonts w:ascii="Times New Roman" w:hAnsi="Times New Roman" w:cs="Times New Roman"/>
                <w:caps w:val="0"/>
                <w:smallCaps w:val="0"/>
                <w:color w:val="auto"/>
                <w:spacing w:val="0"/>
                <w:highlight w:val="none"/>
                <w:lang w:eastAsia="zh-CN"/>
              </w:rPr>
            </w:pPr>
            <w:r>
              <w:rPr>
                <w:rFonts w:ascii="Times New Roman" w:hAnsi="Times New Roman" w:cs="Times New Roman"/>
                <w:caps w:val="0"/>
                <w:smallCaps w:val="0"/>
                <w:color w:val="auto"/>
                <w:spacing w:val="0"/>
                <w:highlight w:val="none"/>
                <w:lang w:eastAsia="zh-CN"/>
              </w:rPr>
              <w:t>表示危险废物贮存、处置场</w:t>
            </w:r>
          </w:p>
        </w:tc>
      </w:tr>
    </w:tbl>
    <w:p w14:paraId="02A26DC4">
      <w:pPr>
        <w:widowControl w:val="0"/>
        <w:spacing w:after="36" w:afterLines="15"/>
        <w:ind w:firstLine="482"/>
        <w:jc w:val="center"/>
        <w:rPr>
          <w:rFonts w:ascii="Times New Roman" w:hAnsi="Times New Roman" w:eastAsia="宋体" w:cs="Times New Roman"/>
          <w:b/>
          <w:bCs/>
          <w:iCs/>
          <w:caps w:val="0"/>
          <w:smallCaps w:val="0"/>
          <w:color w:val="auto"/>
          <w:spacing w:val="0"/>
          <w:highlight w:val="none"/>
        </w:rPr>
      </w:pPr>
      <w:r>
        <w:rPr>
          <w:rFonts w:ascii="Times New Roman" w:hAnsi="Times New Roman" w:eastAsia="宋体" w:cs="Times New Roman"/>
          <w:b/>
          <w:bCs/>
          <w:iCs/>
          <w:caps w:val="0"/>
          <w:smallCaps w:val="0"/>
          <w:color w:val="auto"/>
          <w:spacing w:val="0"/>
          <w:highlight w:val="none"/>
        </w:rPr>
        <w:t>表8.5-2环境保护图形标志的性状及颜色</w:t>
      </w:r>
    </w:p>
    <w:tbl>
      <w:tblPr>
        <w:tblStyle w:val="176"/>
        <w:tblW w:w="9075" w:type="dxa"/>
        <w:tblInd w:w="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072"/>
        <w:gridCol w:w="2294"/>
        <w:gridCol w:w="2298"/>
        <w:gridCol w:w="2411"/>
      </w:tblGrid>
      <w:tr w14:paraId="1FCB4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72" w:type="dxa"/>
            <w:tcBorders>
              <w:tl2br w:val="nil"/>
              <w:tr2bl w:val="nil"/>
            </w:tcBorders>
          </w:tcPr>
          <w:p w14:paraId="383A0DC4">
            <w:pPr>
              <w:pStyle w:val="195"/>
              <w:widowControl w:val="0"/>
              <w:spacing w:before="39" w:line="220" w:lineRule="auto"/>
              <w:ind w:left="622"/>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标志名称</w:t>
            </w:r>
          </w:p>
        </w:tc>
        <w:tc>
          <w:tcPr>
            <w:tcW w:w="2294" w:type="dxa"/>
            <w:tcBorders>
              <w:tl2br w:val="nil"/>
              <w:tr2bl w:val="nil"/>
            </w:tcBorders>
          </w:tcPr>
          <w:p w14:paraId="4555A347">
            <w:pPr>
              <w:pStyle w:val="195"/>
              <w:widowControl w:val="0"/>
              <w:spacing w:before="39" w:line="220" w:lineRule="auto"/>
              <w:ind w:left="942"/>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性状</w:t>
            </w:r>
          </w:p>
        </w:tc>
        <w:tc>
          <w:tcPr>
            <w:tcW w:w="2298" w:type="dxa"/>
            <w:tcBorders>
              <w:tl2br w:val="nil"/>
              <w:tr2bl w:val="nil"/>
            </w:tcBorders>
          </w:tcPr>
          <w:p w14:paraId="46DCEC60">
            <w:pPr>
              <w:pStyle w:val="195"/>
              <w:widowControl w:val="0"/>
              <w:spacing w:before="39" w:line="220" w:lineRule="auto"/>
              <w:ind w:left="73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背景颜色</w:t>
            </w:r>
          </w:p>
        </w:tc>
        <w:tc>
          <w:tcPr>
            <w:tcW w:w="2411" w:type="dxa"/>
            <w:tcBorders>
              <w:tl2br w:val="nil"/>
              <w:tr2bl w:val="nil"/>
            </w:tcBorders>
          </w:tcPr>
          <w:p w14:paraId="17962D2A">
            <w:pPr>
              <w:pStyle w:val="195"/>
              <w:widowControl w:val="0"/>
              <w:spacing w:before="39" w:line="220" w:lineRule="auto"/>
              <w:ind w:left="810"/>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图形颜色</w:t>
            </w:r>
          </w:p>
        </w:tc>
      </w:tr>
      <w:tr w14:paraId="39DFD4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72" w:type="dxa"/>
            <w:tcBorders>
              <w:tl2br w:val="nil"/>
              <w:tr2bl w:val="nil"/>
            </w:tcBorders>
          </w:tcPr>
          <w:p w14:paraId="1C0BCE0B">
            <w:pPr>
              <w:pStyle w:val="195"/>
              <w:widowControl w:val="0"/>
              <w:spacing w:before="34" w:line="222" w:lineRule="auto"/>
              <w:ind w:left="624"/>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警告标志</w:t>
            </w:r>
          </w:p>
        </w:tc>
        <w:tc>
          <w:tcPr>
            <w:tcW w:w="2294" w:type="dxa"/>
            <w:tcBorders>
              <w:tl2br w:val="nil"/>
              <w:tr2bl w:val="nil"/>
            </w:tcBorders>
          </w:tcPr>
          <w:p w14:paraId="0ECE6312">
            <w:pPr>
              <w:pStyle w:val="195"/>
              <w:widowControl w:val="0"/>
              <w:spacing w:before="34" w:line="222" w:lineRule="auto"/>
              <w:ind w:left="627"/>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三角形边框</w:t>
            </w:r>
          </w:p>
        </w:tc>
        <w:tc>
          <w:tcPr>
            <w:tcW w:w="2298" w:type="dxa"/>
            <w:tcBorders>
              <w:tl2br w:val="nil"/>
              <w:tr2bl w:val="nil"/>
            </w:tcBorders>
          </w:tcPr>
          <w:p w14:paraId="2D700D3E">
            <w:pPr>
              <w:pStyle w:val="195"/>
              <w:widowControl w:val="0"/>
              <w:spacing w:before="34" w:line="222" w:lineRule="auto"/>
              <w:ind w:left="944"/>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黄色</w:t>
            </w:r>
          </w:p>
        </w:tc>
        <w:tc>
          <w:tcPr>
            <w:tcW w:w="2411" w:type="dxa"/>
            <w:tcBorders>
              <w:tl2br w:val="nil"/>
              <w:tr2bl w:val="nil"/>
            </w:tcBorders>
          </w:tcPr>
          <w:p w14:paraId="751E08AC">
            <w:pPr>
              <w:pStyle w:val="195"/>
              <w:widowControl w:val="0"/>
              <w:spacing w:before="34" w:line="222" w:lineRule="auto"/>
              <w:ind w:left="100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黑色</w:t>
            </w:r>
          </w:p>
        </w:tc>
      </w:tr>
      <w:tr w14:paraId="26982F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72" w:type="dxa"/>
            <w:tcBorders>
              <w:tl2br w:val="nil"/>
              <w:tr2bl w:val="nil"/>
            </w:tcBorders>
          </w:tcPr>
          <w:p w14:paraId="03F0CB1A">
            <w:pPr>
              <w:pStyle w:val="195"/>
              <w:widowControl w:val="0"/>
              <w:spacing w:before="41" w:line="222" w:lineRule="auto"/>
              <w:ind w:left="622"/>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提示标志</w:t>
            </w:r>
          </w:p>
        </w:tc>
        <w:tc>
          <w:tcPr>
            <w:tcW w:w="2294" w:type="dxa"/>
            <w:tcBorders>
              <w:tl2br w:val="nil"/>
              <w:tr2bl w:val="nil"/>
            </w:tcBorders>
          </w:tcPr>
          <w:p w14:paraId="1799D94A">
            <w:pPr>
              <w:pStyle w:val="195"/>
              <w:widowControl w:val="0"/>
              <w:spacing w:before="41" w:line="222" w:lineRule="auto"/>
              <w:ind w:left="63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正方形边框</w:t>
            </w:r>
          </w:p>
        </w:tc>
        <w:tc>
          <w:tcPr>
            <w:tcW w:w="2298" w:type="dxa"/>
            <w:tcBorders>
              <w:tl2br w:val="nil"/>
              <w:tr2bl w:val="nil"/>
            </w:tcBorders>
          </w:tcPr>
          <w:p w14:paraId="41BE3479">
            <w:pPr>
              <w:pStyle w:val="195"/>
              <w:widowControl w:val="0"/>
              <w:spacing w:before="41" w:line="222" w:lineRule="auto"/>
              <w:ind w:left="946"/>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绿色</w:t>
            </w:r>
          </w:p>
        </w:tc>
        <w:tc>
          <w:tcPr>
            <w:tcW w:w="2411" w:type="dxa"/>
            <w:tcBorders>
              <w:tl2br w:val="nil"/>
              <w:tr2bl w:val="nil"/>
            </w:tcBorders>
          </w:tcPr>
          <w:p w14:paraId="68404FF4">
            <w:pPr>
              <w:pStyle w:val="195"/>
              <w:widowControl w:val="0"/>
              <w:spacing w:before="41" w:line="222" w:lineRule="auto"/>
              <w:ind w:left="1031"/>
              <w:rPr>
                <w:rFonts w:ascii="Times New Roman" w:hAnsi="Times New Roman" w:cs="Times New Roman"/>
                <w:caps w:val="0"/>
                <w:smallCaps w:val="0"/>
                <w:color w:val="auto"/>
                <w:spacing w:val="0"/>
                <w:highlight w:val="none"/>
              </w:rPr>
            </w:pPr>
            <w:r>
              <w:rPr>
                <w:rFonts w:ascii="Times New Roman" w:hAnsi="Times New Roman" w:cs="Times New Roman"/>
                <w:caps w:val="0"/>
                <w:smallCaps w:val="0"/>
                <w:color w:val="auto"/>
                <w:spacing w:val="0"/>
                <w:highlight w:val="none"/>
              </w:rPr>
              <w:t>白色</w:t>
            </w:r>
          </w:p>
        </w:tc>
      </w:tr>
    </w:tbl>
    <w:p w14:paraId="2F1FA62A">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2、排污口的管理</w:t>
      </w:r>
    </w:p>
    <w:p w14:paraId="372B30EC">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(1)建设单位应在各排污口处设立较明显的排污口标志牌，其上应注明主要排放污染物的名称。标志牌设置位置应距污染物排放口(源)及固体废物贮存(处置)场或采样点较近且醒目处。设置高度一般为：环境保护图形标志牌上缘距离地面2m。</w:t>
      </w:r>
    </w:p>
    <w:p w14:paraId="7E6CE180">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(2)建设单位应如实填写《中华人民共和国规范化排污口标志登记证》的有关内容，由环保主管部门签发登记证。</w:t>
      </w:r>
    </w:p>
    <w:p w14:paraId="353BBD5E">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(3)建设单位应将有关排污口的情况如：排污口的性质、编号、</w:t>
      </w:r>
      <w:r>
        <w:rPr>
          <w:rFonts w:hint="eastAsia" w:ascii="Times New Roman" w:hAnsi="Times New Roman" w:eastAsia="宋体" w:cs="Times New Roman"/>
          <w:caps w:val="0"/>
          <w:smallCaps w:val="0"/>
          <w:color w:val="auto"/>
          <w:spacing w:val="0"/>
          <w:szCs w:val="24"/>
          <w:highlight w:val="none"/>
        </w:rPr>
        <w:t>排污口</w:t>
      </w:r>
      <w:r>
        <w:rPr>
          <w:rFonts w:ascii="Times New Roman" w:hAnsi="Times New Roman" w:eastAsia="宋体" w:cs="Times New Roman"/>
          <w:caps w:val="0"/>
          <w:smallCaps w:val="0"/>
          <w:color w:val="auto"/>
          <w:spacing w:val="0"/>
          <w:szCs w:val="24"/>
          <w:highlight w:val="none"/>
        </w:rPr>
        <w:t>的位置；主要排放的污染物种类、数量、浓度、排放规律、排放去向；污染治理设施的运行情况等</w:t>
      </w:r>
      <w:r>
        <w:rPr>
          <w:rFonts w:hint="eastAsia" w:ascii="Times New Roman" w:hAnsi="Times New Roman" w:eastAsia="宋体" w:cs="Times New Roman"/>
          <w:caps w:val="0"/>
          <w:smallCaps w:val="0"/>
          <w:color w:val="auto"/>
          <w:spacing w:val="0"/>
          <w:szCs w:val="24"/>
          <w:highlight w:val="none"/>
        </w:rPr>
        <w:t>进行</w:t>
      </w:r>
      <w:r>
        <w:rPr>
          <w:rFonts w:ascii="Times New Roman" w:hAnsi="Times New Roman" w:eastAsia="宋体" w:cs="Times New Roman"/>
          <w:caps w:val="0"/>
          <w:smallCaps w:val="0"/>
          <w:color w:val="auto"/>
          <w:spacing w:val="0"/>
          <w:szCs w:val="24"/>
          <w:highlight w:val="none"/>
        </w:rPr>
        <w:t>建档管理，并报送环保主管部门备案。</w:t>
      </w:r>
    </w:p>
    <w:p w14:paraId="5C4CDA62">
      <w:pPr>
        <w:pStyle w:val="4"/>
        <w:widowControl w:val="0"/>
        <w:rPr>
          <w:rFonts w:eastAsia="宋体"/>
          <w:caps w:val="0"/>
          <w:smallCaps w:val="0"/>
          <w:color w:val="auto"/>
          <w:spacing w:val="0"/>
          <w:highlight w:val="none"/>
        </w:rPr>
      </w:pPr>
      <w:bookmarkStart w:id="326" w:name="_Toc505951452"/>
      <w:bookmarkStart w:id="327" w:name="_Toc504746083"/>
      <w:bookmarkStart w:id="328" w:name="_Toc4167"/>
      <w:r>
        <w:rPr>
          <w:rFonts w:eastAsia="宋体"/>
          <w:caps w:val="0"/>
          <w:smallCaps w:val="0"/>
          <w:color w:val="auto"/>
          <w:spacing w:val="0"/>
          <w:highlight w:val="none"/>
        </w:rPr>
        <w:t>8.6环境保护验收</w:t>
      </w:r>
      <w:bookmarkEnd w:id="326"/>
      <w:bookmarkEnd w:id="327"/>
      <w:r>
        <w:rPr>
          <w:rFonts w:eastAsia="宋体"/>
          <w:caps w:val="0"/>
          <w:smallCaps w:val="0"/>
          <w:color w:val="auto"/>
          <w:spacing w:val="0"/>
          <w:highlight w:val="none"/>
        </w:rPr>
        <w:t>建议</w:t>
      </w:r>
      <w:bookmarkEnd w:id="328"/>
    </w:p>
    <w:p w14:paraId="67113FB3">
      <w:pPr>
        <w:pStyle w:val="65"/>
        <w:widowControl w:val="0"/>
        <w:ind w:firstLine="480"/>
        <w:rPr>
          <w:rFonts w:eastAsia="宋体"/>
          <w:caps w:val="0"/>
          <w:smallCaps w:val="0"/>
          <w:color w:val="auto"/>
          <w:spacing w:val="0"/>
          <w:highlight w:val="none"/>
        </w:rPr>
      </w:pPr>
      <w:r>
        <w:rPr>
          <w:rFonts w:eastAsia="宋体"/>
          <w:caps w:val="0"/>
          <w:smallCaps w:val="0"/>
          <w:color w:val="auto"/>
          <w:spacing w:val="0"/>
          <w:highlight w:val="none"/>
        </w:rPr>
        <w:t>建设单位在工程投产后正常生产工况下，应当按照《建设项目竣工环境保护验收暂行办法》规定的程序和标准，组织对配套建设的环境保护设施进行验收，编制验收报告，公开相关信息，接受社会监督，确保建设项目需要配套建设的环境保护设施与主体工程同时投产或者使用。</w:t>
      </w:r>
    </w:p>
    <w:p w14:paraId="47E26AD2">
      <w:pPr>
        <w:widowControl w:val="0"/>
        <w:rPr>
          <w:rFonts w:ascii="Times New Roman" w:hAnsi="Times New Roman" w:eastAsia="宋体" w:cs="Times New Roman"/>
          <w:caps w:val="0"/>
          <w:smallCaps w:val="0"/>
          <w:color w:val="auto"/>
          <w:spacing w:val="0"/>
          <w:highlight w:val="none"/>
        </w:rPr>
        <w:sectPr>
          <w:headerReference r:id="rId16" w:type="default"/>
          <w:footerReference r:id="rId17" w:type="default"/>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12" w:charSpace="0"/>
        </w:sectPr>
      </w:pPr>
      <w:r>
        <w:rPr>
          <w:rFonts w:ascii="Times New Roman" w:hAnsi="Times New Roman" w:eastAsia="宋体" w:cs="Times New Roman"/>
          <w:caps w:val="0"/>
          <w:smallCaps w:val="0"/>
          <w:color w:val="auto"/>
          <w:spacing w:val="0"/>
          <w:highlight w:val="none"/>
        </w:rPr>
        <w:br w:type="page"/>
      </w:r>
    </w:p>
    <w:p w14:paraId="58B15BD7">
      <w:pPr>
        <w:pStyle w:val="51"/>
        <w:jc w:val="center"/>
        <w:rPr>
          <w:rFonts w:ascii="Times New Roman" w:hAnsi="Times New Roman"/>
          <w:b/>
          <w:bCs/>
          <w:iCs/>
          <w:caps w:val="0"/>
          <w:smallCaps w:val="0"/>
          <w:color w:val="auto"/>
          <w:spacing w:val="0"/>
          <w:sz w:val="24"/>
          <w:szCs w:val="21"/>
          <w:highlight w:val="none"/>
        </w:rPr>
      </w:pPr>
      <w:r>
        <w:rPr>
          <w:rFonts w:ascii="Times New Roman" w:hAnsi="Times New Roman"/>
          <w:b/>
          <w:bCs/>
          <w:iCs/>
          <w:caps w:val="0"/>
          <w:smallCaps w:val="0"/>
          <w:color w:val="auto"/>
          <w:spacing w:val="0"/>
          <w:sz w:val="24"/>
          <w:szCs w:val="21"/>
          <w:highlight w:val="none"/>
        </w:rPr>
        <w:t>表8.6-1本项目环保设施竣工验收一览表</w:t>
      </w:r>
    </w:p>
    <w:tbl>
      <w:tblPr>
        <w:tblStyle w:val="3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3660"/>
        <w:gridCol w:w="2811"/>
        <w:gridCol w:w="850"/>
        <w:gridCol w:w="5823"/>
      </w:tblGrid>
      <w:tr w14:paraId="1CC863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662" w:type="pct"/>
            <w:gridSpan w:val="2"/>
            <w:tcBorders>
              <w:tl2br w:val="nil"/>
              <w:tr2bl w:val="nil"/>
            </w:tcBorders>
            <w:vAlign w:val="center"/>
          </w:tcPr>
          <w:p w14:paraId="7BCCBE41">
            <w:pPr>
              <w:pStyle w:val="230"/>
              <w:spacing w:line="240" w:lineRule="auto"/>
              <w:rPr>
                <w:caps w:val="0"/>
                <w:smallCaps w:val="0"/>
                <w:color w:val="auto"/>
                <w:spacing w:val="0"/>
                <w:highlight w:val="none"/>
              </w:rPr>
            </w:pPr>
            <w:r>
              <w:rPr>
                <w:caps w:val="0"/>
                <w:smallCaps w:val="0"/>
                <w:color w:val="auto"/>
                <w:spacing w:val="0"/>
                <w:highlight w:val="none"/>
              </w:rPr>
              <w:t>项目</w:t>
            </w:r>
          </w:p>
        </w:tc>
        <w:tc>
          <w:tcPr>
            <w:tcW w:w="989" w:type="pct"/>
            <w:tcBorders>
              <w:tl2br w:val="nil"/>
              <w:tr2bl w:val="nil"/>
            </w:tcBorders>
            <w:vAlign w:val="center"/>
          </w:tcPr>
          <w:p w14:paraId="09F4EBEE">
            <w:pPr>
              <w:pStyle w:val="230"/>
              <w:spacing w:line="240" w:lineRule="auto"/>
              <w:rPr>
                <w:caps w:val="0"/>
                <w:smallCaps w:val="0"/>
                <w:color w:val="auto"/>
                <w:spacing w:val="0"/>
                <w:highlight w:val="none"/>
              </w:rPr>
            </w:pPr>
            <w:r>
              <w:rPr>
                <w:caps w:val="0"/>
                <w:smallCaps w:val="0"/>
                <w:color w:val="auto"/>
                <w:spacing w:val="0"/>
                <w:highlight w:val="none"/>
              </w:rPr>
              <w:t>环保设施名称</w:t>
            </w:r>
          </w:p>
        </w:tc>
        <w:tc>
          <w:tcPr>
            <w:tcW w:w="299" w:type="pct"/>
            <w:tcBorders>
              <w:tl2br w:val="nil"/>
              <w:tr2bl w:val="nil"/>
            </w:tcBorders>
            <w:vAlign w:val="center"/>
          </w:tcPr>
          <w:p w14:paraId="7496345B">
            <w:pPr>
              <w:pStyle w:val="230"/>
              <w:spacing w:line="240" w:lineRule="auto"/>
              <w:rPr>
                <w:caps w:val="0"/>
                <w:smallCaps w:val="0"/>
                <w:color w:val="auto"/>
                <w:spacing w:val="0"/>
                <w:highlight w:val="none"/>
              </w:rPr>
            </w:pPr>
            <w:r>
              <w:rPr>
                <w:caps w:val="0"/>
                <w:smallCaps w:val="0"/>
                <w:color w:val="auto"/>
                <w:spacing w:val="0"/>
                <w:highlight w:val="none"/>
              </w:rPr>
              <w:t>数量</w:t>
            </w:r>
          </w:p>
        </w:tc>
        <w:tc>
          <w:tcPr>
            <w:tcW w:w="2049" w:type="pct"/>
            <w:tcBorders>
              <w:tl2br w:val="nil"/>
              <w:tr2bl w:val="nil"/>
            </w:tcBorders>
            <w:vAlign w:val="center"/>
          </w:tcPr>
          <w:p w14:paraId="54E8AA33">
            <w:pPr>
              <w:pStyle w:val="230"/>
              <w:spacing w:line="240" w:lineRule="auto"/>
              <w:rPr>
                <w:caps w:val="0"/>
                <w:smallCaps w:val="0"/>
                <w:color w:val="auto"/>
                <w:spacing w:val="0"/>
                <w:highlight w:val="none"/>
              </w:rPr>
            </w:pPr>
            <w:r>
              <w:rPr>
                <w:caps w:val="0"/>
                <w:smallCaps w:val="0"/>
                <w:color w:val="auto"/>
                <w:spacing w:val="0"/>
                <w:highlight w:val="none"/>
              </w:rPr>
              <w:t>治理效果</w:t>
            </w:r>
          </w:p>
        </w:tc>
      </w:tr>
      <w:tr w14:paraId="620BAF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restart"/>
            <w:tcBorders>
              <w:tl2br w:val="nil"/>
              <w:tr2bl w:val="nil"/>
            </w:tcBorders>
            <w:vAlign w:val="center"/>
          </w:tcPr>
          <w:p w14:paraId="135AA933">
            <w:pPr>
              <w:pStyle w:val="230"/>
              <w:spacing w:line="240" w:lineRule="auto"/>
              <w:rPr>
                <w:caps w:val="0"/>
                <w:smallCaps w:val="0"/>
                <w:color w:val="auto"/>
                <w:spacing w:val="0"/>
                <w:highlight w:val="none"/>
              </w:rPr>
            </w:pPr>
            <w:r>
              <w:rPr>
                <w:caps w:val="0"/>
                <w:smallCaps w:val="0"/>
                <w:color w:val="auto"/>
                <w:spacing w:val="0"/>
                <w:highlight w:val="none"/>
              </w:rPr>
              <w:t>废气</w:t>
            </w:r>
          </w:p>
        </w:tc>
        <w:tc>
          <w:tcPr>
            <w:tcW w:w="1287" w:type="pct"/>
            <w:vMerge w:val="restart"/>
            <w:tcBorders>
              <w:tl2br w:val="nil"/>
              <w:tr2bl w:val="nil"/>
            </w:tcBorders>
            <w:vAlign w:val="center"/>
          </w:tcPr>
          <w:p w14:paraId="64341EF9">
            <w:pPr>
              <w:pStyle w:val="13"/>
              <w:widowControl w:val="0"/>
              <w:wordWrap w:val="0"/>
              <w:snapToGrid w:val="0"/>
              <w:spacing w:after="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snapToGrid w:val="0"/>
                <w:color w:val="auto"/>
                <w:spacing w:val="0"/>
                <w:kern w:val="0"/>
                <w:sz w:val="21"/>
                <w:highlight w:val="none"/>
                <w:lang w:bidi="ar"/>
              </w:rPr>
              <w:t>CSS沉积镀膜废气、活化层活化废气、P1激光刻线废气、P4激光清边废气</w:t>
            </w:r>
          </w:p>
        </w:tc>
        <w:tc>
          <w:tcPr>
            <w:tcW w:w="989" w:type="pct"/>
            <w:tcBorders>
              <w:tl2br w:val="nil"/>
              <w:tr2bl w:val="nil"/>
            </w:tcBorders>
            <w:vAlign w:val="center"/>
          </w:tcPr>
          <w:p w14:paraId="11F488E3">
            <w:pPr>
              <w:pStyle w:val="230"/>
              <w:spacing w:line="240" w:lineRule="auto"/>
              <w:rPr>
                <w:caps w:val="0"/>
                <w:smallCaps w:val="0"/>
                <w:color w:val="auto"/>
                <w:spacing w:val="0"/>
                <w:highlight w:val="none"/>
              </w:rPr>
            </w:pPr>
            <w:r>
              <w:rPr>
                <w:rFonts w:hint="default" w:ascii="Times New Roman" w:hAnsi="Times New Roman" w:eastAsia="宋体" w:cs="Times New Roman"/>
                <w:caps w:val="0"/>
                <w:smallCaps w:val="0"/>
                <w:color w:val="auto"/>
                <w:spacing w:val="0"/>
                <w:kern w:val="0"/>
                <w:sz w:val="21"/>
                <w:szCs w:val="21"/>
                <w:highlight w:val="none"/>
                <w:lang w:val="en-US" w:eastAsia="zh-CN" w:bidi="ar"/>
              </w:rPr>
              <w:t>1</w:t>
            </w:r>
            <w:r>
              <w:rPr>
                <w:rFonts w:hint="eastAsia" w:ascii="Times New Roman" w:hAnsi="Times New Roman" w:eastAsia="宋体" w:cs="Times New Roman"/>
                <w:caps w:val="0"/>
                <w:smallCaps w:val="0"/>
                <w:color w:val="auto"/>
                <w:spacing w:val="0"/>
                <w:kern w:val="0"/>
                <w:sz w:val="21"/>
                <w:szCs w:val="21"/>
                <w:highlight w:val="none"/>
                <w:lang w:val="en-US" w:eastAsia="zh-CN" w:bidi="ar"/>
              </w:rPr>
              <w:t>套</w:t>
            </w:r>
            <w:r>
              <w:rPr>
                <w:rFonts w:hint="default" w:ascii="Times New Roman" w:hAnsi="Times New Roman" w:eastAsia="宋体" w:cs="Times New Roman"/>
                <w:caps w:val="0"/>
                <w:smallCaps w:val="0"/>
                <w:color w:val="auto"/>
                <w:spacing w:val="0"/>
                <w:kern w:val="0"/>
                <w:sz w:val="21"/>
                <w:szCs w:val="21"/>
                <w:highlight w:val="none"/>
                <w:lang w:val="en-US" w:eastAsia="zh-CN" w:bidi="ar"/>
              </w:rPr>
              <w:t>E12</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r>
              <w:rPr>
                <w:rFonts w:hint="eastAsia" w:cs="Times New Roman"/>
                <w:caps w:val="0"/>
                <w:smallCaps w:val="0"/>
                <w:color w:val="auto"/>
                <w:spacing w:val="0"/>
                <w:kern w:val="0"/>
                <w:sz w:val="21"/>
                <w:szCs w:val="21"/>
                <w:highlight w:val="none"/>
                <w:lang w:val="en-US" w:eastAsia="zh-CN" w:bidi="ar"/>
              </w:rPr>
              <w:t>、</w:t>
            </w:r>
            <w:r>
              <w:rPr>
                <w:rFonts w:hint="eastAsia" w:ascii="Times New Roman" w:hAnsi="Times New Roman" w:eastAsia="宋体" w:cs="Times New Roman"/>
                <w:caps w:val="0"/>
                <w:smallCaps w:val="0"/>
                <w:color w:val="auto"/>
                <w:spacing w:val="0"/>
                <w:sz w:val="21"/>
                <w:highlight w:val="none"/>
                <w:lang w:val="en-US" w:eastAsia="zh-CN"/>
              </w:rPr>
              <w:t>1套F7级过滤器+E10级高效离子过滤器+H14级高效过滤器</w:t>
            </w:r>
            <w:r>
              <w:rPr>
                <w:rFonts w:hint="eastAsia" w:cs="Times New Roman"/>
                <w:caps w:val="0"/>
                <w:smallCaps w:val="0"/>
                <w:color w:val="auto"/>
                <w:spacing w:val="0"/>
                <w:sz w:val="21"/>
                <w:highlight w:val="none"/>
                <w:lang w:val="en-US" w:eastAsia="zh-CN"/>
              </w:rPr>
              <w:t>、1套</w:t>
            </w: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r>
              <w:rPr>
                <w:rFonts w:hint="eastAsia" w:cs="Times New Roman"/>
                <w:caps w:val="0"/>
                <w:smallCaps w:val="0"/>
                <w:color w:val="auto"/>
                <w:spacing w:val="0"/>
                <w:kern w:val="0"/>
                <w:sz w:val="21"/>
                <w:szCs w:val="21"/>
                <w:highlight w:val="none"/>
                <w:lang w:val="en-US" w:eastAsia="zh-CN" w:bidi="ar"/>
              </w:rPr>
              <w:t>、1套</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299" w:type="pct"/>
            <w:tcBorders>
              <w:tl2br w:val="nil"/>
              <w:tr2bl w:val="nil"/>
            </w:tcBorders>
            <w:vAlign w:val="center"/>
          </w:tcPr>
          <w:p w14:paraId="51FEC46F">
            <w:pPr>
              <w:pStyle w:val="230"/>
              <w:spacing w:line="240" w:lineRule="auto"/>
              <w:rPr>
                <w:caps w:val="0"/>
                <w:smallCaps w:val="0"/>
                <w:color w:val="auto"/>
                <w:spacing w:val="0"/>
                <w:highlight w:val="none"/>
              </w:rPr>
            </w:pPr>
            <w:r>
              <w:rPr>
                <w:caps w:val="0"/>
                <w:smallCaps w:val="0"/>
                <w:color w:val="auto"/>
                <w:spacing w:val="0"/>
                <w:highlight w:val="none"/>
              </w:rPr>
              <w:t>4套</w:t>
            </w:r>
          </w:p>
        </w:tc>
        <w:tc>
          <w:tcPr>
            <w:tcW w:w="2049" w:type="pct"/>
            <w:vMerge w:val="restart"/>
            <w:tcBorders>
              <w:tl2br w:val="nil"/>
              <w:tr2bl w:val="nil"/>
            </w:tcBorders>
            <w:vAlign w:val="center"/>
          </w:tcPr>
          <w:p w14:paraId="7B62E2CB">
            <w:pPr>
              <w:pStyle w:val="230"/>
              <w:spacing w:line="240" w:lineRule="auto"/>
              <w:rPr>
                <w:caps w:val="0"/>
                <w:smallCaps w:val="0"/>
                <w:color w:val="auto"/>
                <w:spacing w:val="0"/>
                <w:highlight w:val="none"/>
              </w:rPr>
            </w:pPr>
            <w:r>
              <w:rPr>
                <w:caps w:val="0"/>
                <w:smallCaps w:val="0"/>
                <w:color w:val="auto"/>
                <w:spacing w:val="0"/>
                <w:highlight w:val="none"/>
              </w:rPr>
              <w:t>颗粒物浓度满足《电池工业污染物标准》（GB30484-2013）表5新建企业大气污染物排放限值</w:t>
            </w:r>
          </w:p>
        </w:tc>
      </w:tr>
      <w:tr w14:paraId="409A1A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6E3ABFF2">
            <w:pPr>
              <w:pStyle w:val="230"/>
              <w:spacing w:line="240" w:lineRule="auto"/>
              <w:rPr>
                <w:caps w:val="0"/>
                <w:smallCaps w:val="0"/>
                <w:color w:val="auto"/>
                <w:spacing w:val="0"/>
                <w:highlight w:val="none"/>
              </w:rPr>
            </w:pPr>
          </w:p>
        </w:tc>
        <w:tc>
          <w:tcPr>
            <w:tcW w:w="1287" w:type="pct"/>
            <w:vMerge w:val="continue"/>
            <w:tcBorders>
              <w:tl2br w:val="nil"/>
              <w:tr2bl w:val="nil"/>
            </w:tcBorders>
            <w:vAlign w:val="center"/>
          </w:tcPr>
          <w:p w14:paraId="11A09E6B">
            <w:pPr>
              <w:pStyle w:val="13"/>
              <w:widowControl w:val="0"/>
              <w:wordWrap w:val="0"/>
              <w:snapToGrid w:val="0"/>
              <w:spacing w:after="0"/>
              <w:jc w:val="center"/>
              <w:rPr>
                <w:rFonts w:ascii="Times New Roman" w:hAnsi="Times New Roman" w:eastAsia="宋体" w:cs="Times New Roman"/>
                <w:caps w:val="0"/>
                <w:smallCaps w:val="0"/>
                <w:color w:val="auto"/>
                <w:spacing w:val="0"/>
                <w:sz w:val="21"/>
                <w:highlight w:val="none"/>
              </w:rPr>
            </w:pPr>
          </w:p>
        </w:tc>
        <w:tc>
          <w:tcPr>
            <w:tcW w:w="989" w:type="pct"/>
            <w:tcBorders>
              <w:tl2br w:val="nil"/>
              <w:tr2bl w:val="nil"/>
            </w:tcBorders>
            <w:vAlign w:val="center"/>
          </w:tcPr>
          <w:p w14:paraId="5E5B1549">
            <w:pPr>
              <w:pStyle w:val="230"/>
              <w:spacing w:line="240" w:lineRule="auto"/>
              <w:rPr>
                <w:caps w:val="0"/>
                <w:smallCaps w:val="0"/>
                <w:color w:val="auto"/>
                <w:spacing w:val="0"/>
                <w:highlight w:val="none"/>
              </w:rPr>
            </w:pPr>
            <w:r>
              <w:rPr>
                <w:caps w:val="0"/>
                <w:smallCaps w:val="0"/>
                <w:color w:val="auto"/>
                <w:spacing w:val="0"/>
                <w:highlight w:val="none"/>
                <w:lang w:eastAsia="en-US" w:bidi="ar"/>
              </w:rPr>
              <w:t>21m</w:t>
            </w:r>
            <w:r>
              <w:rPr>
                <w:caps w:val="0"/>
                <w:smallCaps w:val="0"/>
                <w:color w:val="auto"/>
                <w:spacing w:val="0"/>
                <w:highlight w:val="none"/>
                <w:lang w:bidi="ar"/>
              </w:rPr>
              <w:t>高</w:t>
            </w:r>
            <w:r>
              <w:rPr>
                <w:caps w:val="0"/>
                <w:smallCaps w:val="0"/>
                <w:color w:val="auto"/>
                <w:spacing w:val="0"/>
                <w:highlight w:val="none"/>
                <w:lang w:eastAsia="en-US" w:bidi="ar"/>
              </w:rPr>
              <w:t>排气筒</w:t>
            </w:r>
            <w:r>
              <w:rPr>
                <w:caps w:val="0"/>
                <w:smallCaps w:val="0"/>
                <w:color w:val="auto"/>
                <w:spacing w:val="0"/>
                <w:highlight w:val="none"/>
                <w:lang w:bidi="ar"/>
              </w:rPr>
              <w:t>DA001</w:t>
            </w:r>
          </w:p>
        </w:tc>
        <w:tc>
          <w:tcPr>
            <w:tcW w:w="299" w:type="pct"/>
            <w:tcBorders>
              <w:tl2br w:val="nil"/>
              <w:tr2bl w:val="nil"/>
            </w:tcBorders>
            <w:vAlign w:val="center"/>
          </w:tcPr>
          <w:p w14:paraId="67A9445E">
            <w:pPr>
              <w:pStyle w:val="230"/>
              <w:spacing w:line="240" w:lineRule="auto"/>
              <w:rPr>
                <w:caps w:val="0"/>
                <w:smallCaps w:val="0"/>
                <w:color w:val="auto"/>
                <w:spacing w:val="0"/>
                <w:highlight w:val="none"/>
              </w:rPr>
            </w:pPr>
            <w:r>
              <w:rPr>
                <w:caps w:val="0"/>
                <w:smallCaps w:val="0"/>
                <w:color w:val="auto"/>
                <w:spacing w:val="0"/>
                <w:highlight w:val="none"/>
              </w:rPr>
              <w:t>1根</w:t>
            </w:r>
          </w:p>
        </w:tc>
        <w:tc>
          <w:tcPr>
            <w:tcW w:w="2049" w:type="pct"/>
            <w:vMerge w:val="continue"/>
            <w:tcBorders>
              <w:tl2br w:val="nil"/>
              <w:tr2bl w:val="nil"/>
            </w:tcBorders>
            <w:vAlign w:val="center"/>
          </w:tcPr>
          <w:p w14:paraId="6C8B3363">
            <w:pPr>
              <w:pStyle w:val="230"/>
              <w:spacing w:line="240" w:lineRule="auto"/>
              <w:rPr>
                <w:caps w:val="0"/>
                <w:smallCaps w:val="0"/>
                <w:color w:val="auto"/>
                <w:spacing w:val="0"/>
                <w:highlight w:val="none"/>
              </w:rPr>
            </w:pPr>
          </w:p>
        </w:tc>
      </w:tr>
      <w:tr w14:paraId="0BA15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13DAEC6D">
            <w:pPr>
              <w:pStyle w:val="230"/>
              <w:spacing w:line="240" w:lineRule="auto"/>
              <w:rPr>
                <w:caps w:val="0"/>
                <w:smallCaps w:val="0"/>
                <w:color w:val="auto"/>
                <w:spacing w:val="0"/>
                <w:highlight w:val="none"/>
              </w:rPr>
            </w:pPr>
          </w:p>
        </w:tc>
        <w:tc>
          <w:tcPr>
            <w:tcW w:w="1287" w:type="pct"/>
            <w:tcBorders>
              <w:tl2br w:val="nil"/>
              <w:tr2bl w:val="nil"/>
            </w:tcBorders>
            <w:vAlign w:val="center"/>
          </w:tcPr>
          <w:p w14:paraId="6F99F8DF">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ZnTe膜层溅射废气</w:t>
            </w:r>
          </w:p>
        </w:tc>
        <w:tc>
          <w:tcPr>
            <w:tcW w:w="989" w:type="pct"/>
            <w:tcBorders>
              <w:tl2br w:val="nil"/>
              <w:tr2bl w:val="nil"/>
            </w:tcBorders>
            <w:vAlign w:val="center"/>
          </w:tcPr>
          <w:p w14:paraId="181DE8D9">
            <w:pPr>
              <w:pStyle w:val="230"/>
              <w:spacing w:line="240" w:lineRule="auto"/>
              <w:rPr>
                <w:caps w:val="0"/>
                <w:smallCaps w:val="0"/>
                <w:color w:val="auto"/>
                <w:spacing w:val="0"/>
                <w:highlight w:val="none"/>
              </w:rPr>
            </w:pPr>
            <w:r>
              <w:rPr>
                <w:caps w:val="0"/>
                <w:smallCaps w:val="0"/>
                <w:color w:val="auto"/>
                <w:spacing w:val="0"/>
                <w:highlight w:val="none"/>
                <w:lang w:bidi="ar"/>
              </w:rPr>
              <w:t>H14级高效空气过滤器除尘+21m排气筒DA002排放。</w:t>
            </w:r>
          </w:p>
        </w:tc>
        <w:tc>
          <w:tcPr>
            <w:tcW w:w="299" w:type="pct"/>
            <w:tcBorders>
              <w:tl2br w:val="nil"/>
              <w:tr2bl w:val="nil"/>
            </w:tcBorders>
            <w:vAlign w:val="center"/>
          </w:tcPr>
          <w:p w14:paraId="6F765415">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tcBorders>
              <w:tl2br w:val="nil"/>
              <w:tr2bl w:val="nil"/>
            </w:tcBorders>
            <w:vAlign w:val="center"/>
          </w:tcPr>
          <w:p w14:paraId="2A6D7971">
            <w:pPr>
              <w:pStyle w:val="230"/>
              <w:spacing w:line="240" w:lineRule="auto"/>
              <w:rPr>
                <w:caps w:val="0"/>
                <w:smallCaps w:val="0"/>
                <w:color w:val="auto"/>
                <w:spacing w:val="0"/>
                <w:highlight w:val="none"/>
              </w:rPr>
            </w:pPr>
            <w:r>
              <w:rPr>
                <w:caps w:val="0"/>
                <w:smallCaps w:val="0"/>
                <w:color w:val="auto"/>
                <w:spacing w:val="0"/>
                <w:highlight w:val="none"/>
              </w:rPr>
              <w:t>颗粒物浓度满足《电池工业污染物标准》（GB30484-2013）表5新建企业大气污染物排放限值</w:t>
            </w:r>
          </w:p>
        </w:tc>
      </w:tr>
      <w:tr w14:paraId="418DD4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59920D13">
            <w:pPr>
              <w:pStyle w:val="230"/>
              <w:spacing w:line="240" w:lineRule="auto"/>
              <w:rPr>
                <w:caps w:val="0"/>
                <w:smallCaps w:val="0"/>
                <w:color w:val="auto"/>
                <w:spacing w:val="0"/>
                <w:highlight w:val="none"/>
              </w:rPr>
            </w:pPr>
          </w:p>
        </w:tc>
        <w:tc>
          <w:tcPr>
            <w:tcW w:w="1287" w:type="pct"/>
            <w:tcBorders>
              <w:tl2br w:val="nil"/>
              <w:tr2bl w:val="nil"/>
            </w:tcBorders>
            <w:vAlign w:val="center"/>
          </w:tcPr>
          <w:p w14:paraId="47F1D4A5">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P2激光刻线废气</w:t>
            </w:r>
          </w:p>
        </w:tc>
        <w:tc>
          <w:tcPr>
            <w:tcW w:w="989" w:type="pct"/>
            <w:tcBorders>
              <w:tl2br w:val="nil"/>
              <w:tr2bl w:val="nil"/>
            </w:tcBorders>
            <w:vAlign w:val="center"/>
          </w:tcPr>
          <w:p w14:paraId="7DD9B24D">
            <w:pPr>
              <w:spacing w:line="240" w:lineRule="auto"/>
              <w:jc w:val="center"/>
              <w:rPr>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p>
        </w:tc>
        <w:tc>
          <w:tcPr>
            <w:tcW w:w="299" w:type="pct"/>
            <w:tcBorders>
              <w:tl2br w:val="nil"/>
              <w:tr2bl w:val="nil"/>
            </w:tcBorders>
            <w:vAlign w:val="center"/>
          </w:tcPr>
          <w:p w14:paraId="41995F6C">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vMerge w:val="restart"/>
            <w:tcBorders>
              <w:tl2br w:val="nil"/>
              <w:tr2bl w:val="nil"/>
            </w:tcBorders>
            <w:vAlign w:val="center"/>
          </w:tcPr>
          <w:p w14:paraId="09C203C2">
            <w:pPr>
              <w:pStyle w:val="230"/>
              <w:spacing w:line="240" w:lineRule="auto"/>
              <w:rPr>
                <w:caps w:val="0"/>
                <w:smallCaps w:val="0"/>
                <w:color w:val="auto"/>
                <w:spacing w:val="0"/>
                <w:highlight w:val="none"/>
              </w:rPr>
            </w:pPr>
            <w:r>
              <w:rPr>
                <w:caps w:val="0"/>
                <w:smallCaps w:val="0"/>
                <w:color w:val="auto"/>
                <w:spacing w:val="0"/>
                <w:highlight w:val="none"/>
              </w:rPr>
              <w:t>颗粒物浓度满足《电池工业污染物标准》（GB30484-2013）表5新建企业大气污染物排放限值</w:t>
            </w:r>
          </w:p>
        </w:tc>
      </w:tr>
      <w:tr w14:paraId="7F9780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5B011B38">
            <w:pPr>
              <w:pStyle w:val="230"/>
              <w:spacing w:line="240" w:lineRule="auto"/>
              <w:rPr>
                <w:caps w:val="0"/>
                <w:smallCaps w:val="0"/>
                <w:color w:val="auto"/>
                <w:spacing w:val="0"/>
                <w:highlight w:val="none"/>
              </w:rPr>
            </w:pPr>
          </w:p>
        </w:tc>
        <w:tc>
          <w:tcPr>
            <w:tcW w:w="1287" w:type="pct"/>
            <w:tcBorders>
              <w:tl2br w:val="nil"/>
              <w:tr2bl w:val="nil"/>
            </w:tcBorders>
            <w:vAlign w:val="center"/>
          </w:tcPr>
          <w:p w14:paraId="4595BE49">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P3激光刻线废气</w:t>
            </w:r>
          </w:p>
        </w:tc>
        <w:tc>
          <w:tcPr>
            <w:tcW w:w="989" w:type="pct"/>
            <w:tcBorders>
              <w:tl2br w:val="nil"/>
              <w:tr2bl w:val="nil"/>
            </w:tcBorders>
            <w:vAlign w:val="center"/>
          </w:tcPr>
          <w:p w14:paraId="661DCF65">
            <w:pPr>
              <w:spacing w:line="240" w:lineRule="auto"/>
              <w:jc w:val="center"/>
              <w:rPr>
                <w:caps w:val="0"/>
                <w:smallCaps w:val="0"/>
                <w:color w:val="auto"/>
                <w:spacing w:val="0"/>
                <w:highlight w:val="none"/>
              </w:rPr>
            </w:pPr>
            <w:r>
              <w:rPr>
                <w:rFonts w:hint="eastAsia" w:ascii="Times New Roman" w:hAnsi="Times New Roman" w:eastAsia="宋体" w:cs="Times New Roman"/>
                <w:caps w:val="0"/>
                <w:smallCaps w:val="0"/>
                <w:color w:val="auto"/>
                <w:spacing w:val="0"/>
                <w:kern w:val="0"/>
                <w:sz w:val="21"/>
                <w:szCs w:val="21"/>
                <w:highlight w:val="none"/>
                <w:lang w:val="en-US" w:eastAsia="zh-CN" w:bidi="ar"/>
              </w:rPr>
              <w:t>2级初效过滤器+H14级高效离子过滤器</w:t>
            </w:r>
          </w:p>
        </w:tc>
        <w:tc>
          <w:tcPr>
            <w:tcW w:w="299" w:type="pct"/>
            <w:tcBorders>
              <w:tl2br w:val="nil"/>
              <w:tr2bl w:val="nil"/>
            </w:tcBorders>
            <w:vAlign w:val="center"/>
          </w:tcPr>
          <w:p w14:paraId="1B64B39B">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vMerge w:val="continue"/>
            <w:tcBorders>
              <w:tl2br w:val="nil"/>
              <w:tr2bl w:val="nil"/>
            </w:tcBorders>
            <w:vAlign w:val="center"/>
          </w:tcPr>
          <w:p w14:paraId="192EF5C9">
            <w:pPr>
              <w:pStyle w:val="230"/>
              <w:spacing w:line="240" w:lineRule="auto"/>
              <w:rPr>
                <w:caps w:val="0"/>
                <w:smallCaps w:val="0"/>
                <w:color w:val="auto"/>
                <w:spacing w:val="0"/>
                <w:highlight w:val="none"/>
              </w:rPr>
            </w:pPr>
          </w:p>
        </w:tc>
      </w:tr>
      <w:tr w14:paraId="47B73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4CBFF398">
            <w:pPr>
              <w:pStyle w:val="230"/>
              <w:spacing w:line="240" w:lineRule="auto"/>
              <w:rPr>
                <w:caps w:val="0"/>
                <w:smallCaps w:val="0"/>
                <w:color w:val="auto"/>
                <w:spacing w:val="0"/>
                <w:highlight w:val="none"/>
              </w:rPr>
            </w:pPr>
          </w:p>
        </w:tc>
        <w:tc>
          <w:tcPr>
            <w:tcW w:w="1287" w:type="pct"/>
            <w:tcBorders>
              <w:tl2br w:val="nil"/>
              <w:tr2bl w:val="nil"/>
            </w:tcBorders>
            <w:vAlign w:val="center"/>
          </w:tcPr>
          <w:p w14:paraId="2CF359A8">
            <w:pPr>
              <w:widowControl w:val="0"/>
              <w:snapToGrid w:val="0"/>
              <w:jc w:val="center"/>
              <w:rPr>
                <w:rFonts w:ascii="Times New Roman" w:hAnsi="Times New Roman" w:eastAsia="宋体" w:cs="Times New Roman"/>
                <w:caps w:val="0"/>
                <w:smallCaps w:val="0"/>
                <w:color w:val="auto"/>
                <w:spacing w:val="0"/>
                <w:sz w:val="21"/>
                <w:szCs w:val="21"/>
                <w:highlight w:val="none"/>
              </w:rPr>
            </w:pPr>
            <w:r>
              <w:rPr>
                <w:rFonts w:ascii="Times New Roman" w:hAnsi="Times New Roman" w:eastAsia="宋体" w:cs="Times New Roman"/>
                <w:caps w:val="0"/>
                <w:smallCaps w:val="0"/>
                <w:color w:val="auto"/>
                <w:spacing w:val="0"/>
                <w:kern w:val="0"/>
                <w:sz w:val="21"/>
                <w:highlight w:val="none"/>
                <w:lang w:bidi="ar"/>
              </w:rPr>
              <w:t>背电极磁控溅射废气</w:t>
            </w:r>
          </w:p>
        </w:tc>
        <w:tc>
          <w:tcPr>
            <w:tcW w:w="989" w:type="pct"/>
            <w:tcBorders>
              <w:tl2br w:val="nil"/>
              <w:tr2bl w:val="nil"/>
            </w:tcBorders>
            <w:vAlign w:val="center"/>
          </w:tcPr>
          <w:p w14:paraId="6AD6C929">
            <w:pPr>
              <w:pStyle w:val="230"/>
              <w:spacing w:line="240" w:lineRule="auto"/>
              <w:rPr>
                <w:caps w:val="0"/>
                <w:smallCaps w:val="0"/>
                <w:color w:val="auto"/>
                <w:spacing w:val="0"/>
                <w:highlight w:val="none"/>
              </w:rPr>
            </w:pPr>
            <w:r>
              <w:rPr>
                <w:caps w:val="0"/>
                <w:smallCaps w:val="0"/>
                <w:color w:val="auto"/>
                <w:spacing w:val="0"/>
                <w:highlight w:val="none"/>
                <w:lang w:bidi="ar"/>
              </w:rPr>
              <w:t>H14级高效空气过滤器除尘+21m排气筒</w:t>
            </w:r>
            <w:r>
              <w:rPr>
                <w:caps w:val="0"/>
                <w:smallCaps w:val="0"/>
                <w:color w:val="auto"/>
                <w:spacing w:val="0"/>
                <w:highlight w:val="none"/>
                <w:lang w:bidi="ar"/>
              </w:rPr>
              <w:t>DA00</w:t>
            </w:r>
            <w:r>
              <w:rPr>
                <w:rFonts w:hint="eastAsia"/>
                <w:caps w:val="0"/>
                <w:smallCaps w:val="0"/>
                <w:color w:val="auto"/>
                <w:spacing w:val="0"/>
                <w:highlight w:val="none"/>
                <w:lang w:val="en-US" w:eastAsia="zh-CN" w:bidi="ar"/>
              </w:rPr>
              <w:t>5</w:t>
            </w:r>
            <w:r>
              <w:rPr>
                <w:caps w:val="0"/>
                <w:smallCaps w:val="0"/>
                <w:color w:val="auto"/>
                <w:spacing w:val="0"/>
                <w:highlight w:val="none"/>
                <w:lang w:bidi="ar"/>
              </w:rPr>
              <w:t>排放</w:t>
            </w:r>
          </w:p>
        </w:tc>
        <w:tc>
          <w:tcPr>
            <w:tcW w:w="299" w:type="pct"/>
            <w:tcBorders>
              <w:tl2br w:val="nil"/>
              <w:tr2bl w:val="nil"/>
            </w:tcBorders>
            <w:vAlign w:val="center"/>
          </w:tcPr>
          <w:p w14:paraId="00F64E53">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tcBorders>
              <w:tl2br w:val="nil"/>
              <w:tr2bl w:val="nil"/>
            </w:tcBorders>
            <w:vAlign w:val="center"/>
          </w:tcPr>
          <w:p w14:paraId="37F818AA">
            <w:pPr>
              <w:pStyle w:val="230"/>
              <w:spacing w:line="240" w:lineRule="auto"/>
              <w:rPr>
                <w:rFonts w:hint="eastAsia"/>
                <w:caps w:val="0"/>
                <w:smallCaps w:val="0"/>
                <w:color w:val="auto"/>
                <w:spacing w:val="0"/>
                <w:highlight w:val="none"/>
                <w:lang w:val="en-US" w:eastAsia="zh-CN"/>
              </w:rPr>
            </w:pPr>
            <w:r>
              <w:rPr>
                <w:caps w:val="0"/>
                <w:smallCaps w:val="0"/>
                <w:color w:val="auto"/>
                <w:spacing w:val="0"/>
                <w:highlight w:val="none"/>
              </w:rPr>
              <w:t>颗粒物浓度满足《电池工业污染物标准》（GB30484-2013）表5新建企业大气污染物排放限值</w:t>
            </w:r>
          </w:p>
        </w:tc>
      </w:tr>
      <w:tr w14:paraId="1B3C12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36623A4">
            <w:pPr>
              <w:pStyle w:val="230"/>
              <w:spacing w:line="240" w:lineRule="auto"/>
              <w:rPr>
                <w:caps w:val="0"/>
                <w:smallCaps w:val="0"/>
                <w:color w:val="auto"/>
                <w:spacing w:val="0"/>
                <w:highlight w:val="none"/>
              </w:rPr>
            </w:pPr>
          </w:p>
        </w:tc>
        <w:tc>
          <w:tcPr>
            <w:tcW w:w="1287" w:type="pct"/>
            <w:vMerge w:val="restart"/>
            <w:tcBorders>
              <w:tl2br w:val="nil"/>
              <w:tr2bl w:val="nil"/>
            </w:tcBorders>
            <w:vAlign w:val="center"/>
          </w:tcPr>
          <w:p w14:paraId="5E1ED18F">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kern w:val="0"/>
                <w:sz w:val="21"/>
                <w:highlight w:val="none"/>
                <w:lang w:bidi="ar"/>
              </w:rPr>
              <w:t>P5激光工序废气、P6激光工序废气</w:t>
            </w:r>
          </w:p>
        </w:tc>
        <w:tc>
          <w:tcPr>
            <w:tcW w:w="989" w:type="pct"/>
            <w:tcBorders>
              <w:tl2br w:val="nil"/>
              <w:tr2bl w:val="nil"/>
            </w:tcBorders>
            <w:vAlign w:val="center"/>
          </w:tcPr>
          <w:p w14:paraId="55505C88">
            <w:pPr>
              <w:pStyle w:val="230"/>
              <w:spacing w:line="240" w:lineRule="auto"/>
              <w:rPr>
                <w:caps w:val="0"/>
                <w:smallCaps w:val="0"/>
                <w:color w:val="auto"/>
                <w:spacing w:val="0"/>
                <w:highlight w:val="none"/>
              </w:rPr>
            </w:pPr>
            <w:r>
              <w:rPr>
                <w:rFonts w:hint="eastAsia" w:cs="Times New Roman"/>
                <w:caps w:val="0"/>
                <w:smallCaps w:val="0"/>
                <w:color w:val="auto"/>
                <w:spacing w:val="0"/>
                <w:kern w:val="0"/>
                <w:sz w:val="21"/>
                <w:szCs w:val="21"/>
                <w:highlight w:val="none"/>
                <w:lang w:val="en-US" w:eastAsia="zh-CN" w:bidi="ar"/>
              </w:rPr>
              <w:t>2套</w:t>
            </w:r>
            <w:r>
              <w:rPr>
                <w:rFonts w:hint="eastAsia" w:ascii="Times New Roman" w:hAnsi="Times New Roman" w:eastAsia="宋体" w:cs="Times New Roman"/>
                <w:caps w:val="0"/>
                <w:smallCaps w:val="0"/>
                <w:color w:val="auto"/>
                <w:spacing w:val="0"/>
                <w:kern w:val="0"/>
                <w:sz w:val="21"/>
                <w:szCs w:val="21"/>
                <w:highlight w:val="none"/>
                <w:lang w:val="en-US" w:eastAsia="zh-CN" w:bidi="ar"/>
              </w:rPr>
              <w:t>H13级高效离子过滤器</w:t>
            </w:r>
            <w:r>
              <w:rPr>
                <w:rFonts w:hint="default" w:ascii="Times New Roman" w:hAnsi="Times New Roman" w:eastAsia="宋体" w:cs="Times New Roman"/>
                <w:caps w:val="0"/>
                <w:smallCaps w:val="0"/>
                <w:color w:val="auto"/>
                <w:spacing w:val="0"/>
                <w:kern w:val="0"/>
                <w:sz w:val="21"/>
                <w:szCs w:val="21"/>
                <w:highlight w:val="none"/>
                <w:lang w:val="en-US" w:eastAsia="zh-CN" w:bidi="ar"/>
              </w:rPr>
              <w:t>+H14</w:t>
            </w:r>
            <w:r>
              <w:rPr>
                <w:rFonts w:hint="eastAsia" w:ascii="Times New Roman" w:hAnsi="Times New Roman" w:eastAsia="宋体" w:cs="Times New Roman"/>
                <w:caps w:val="0"/>
                <w:smallCaps w:val="0"/>
                <w:color w:val="auto"/>
                <w:spacing w:val="0"/>
                <w:kern w:val="0"/>
                <w:sz w:val="21"/>
                <w:szCs w:val="21"/>
                <w:highlight w:val="none"/>
                <w:lang w:val="en-US" w:eastAsia="zh-CN" w:bidi="ar"/>
              </w:rPr>
              <w:t>级高效离子过滤器</w:t>
            </w:r>
          </w:p>
        </w:tc>
        <w:tc>
          <w:tcPr>
            <w:tcW w:w="299" w:type="pct"/>
            <w:tcBorders>
              <w:tl2br w:val="nil"/>
              <w:tr2bl w:val="nil"/>
            </w:tcBorders>
            <w:vAlign w:val="center"/>
          </w:tcPr>
          <w:p w14:paraId="60AE673B">
            <w:pPr>
              <w:pStyle w:val="230"/>
              <w:spacing w:line="240" w:lineRule="auto"/>
              <w:rPr>
                <w:caps w:val="0"/>
                <w:smallCaps w:val="0"/>
                <w:color w:val="auto"/>
                <w:spacing w:val="0"/>
                <w:highlight w:val="none"/>
              </w:rPr>
            </w:pPr>
            <w:r>
              <w:rPr>
                <w:caps w:val="0"/>
                <w:smallCaps w:val="0"/>
                <w:color w:val="auto"/>
                <w:spacing w:val="0"/>
                <w:highlight w:val="none"/>
              </w:rPr>
              <w:t>2套</w:t>
            </w:r>
          </w:p>
        </w:tc>
        <w:tc>
          <w:tcPr>
            <w:tcW w:w="2049" w:type="pct"/>
            <w:vMerge w:val="restart"/>
            <w:tcBorders>
              <w:tl2br w:val="nil"/>
              <w:tr2bl w:val="nil"/>
            </w:tcBorders>
            <w:vAlign w:val="center"/>
          </w:tcPr>
          <w:p w14:paraId="74074C2C">
            <w:pPr>
              <w:pStyle w:val="230"/>
              <w:spacing w:line="240" w:lineRule="auto"/>
              <w:rPr>
                <w:caps w:val="0"/>
                <w:smallCaps w:val="0"/>
                <w:color w:val="auto"/>
                <w:spacing w:val="0"/>
                <w:highlight w:val="none"/>
              </w:rPr>
            </w:pPr>
            <w:r>
              <w:rPr>
                <w:caps w:val="0"/>
                <w:smallCaps w:val="0"/>
                <w:color w:val="auto"/>
                <w:spacing w:val="0"/>
                <w:highlight w:val="none"/>
              </w:rPr>
              <w:t>颗粒物浓度满足《电池工业污染物标准》（GB30484-2013）表5新建企业大气污染物排放限值</w:t>
            </w:r>
          </w:p>
        </w:tc>
      </w:tr>
      <w:tr w14:paraId="18D62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26E9912D">
            <w:pPr>
              <w:pStyle w:val="230"/>
              <w:spacing w:line="240" w:lineRule="auto"/>
              <w:rPr>
                <w:caps w:val="0"/>
                <w:smallCaps w:val="0"/>
                <w:color w:val="auto"/>
                <w:spacing w:val="0"/>
                <w:highlight w:val="none"/>
              </w:rPr>
            </w:pPr>
          </w:p>
        </w:tc>
        <w:tc>
          <w:tcPr>
            <w:tcW w:w="1287" w:type="pct"/>
            <w:vMerge w:val="continue"/>
            <w:tcBorders>
              <w:tl2br w:val="nil"/>
              <w:tr2bl w:val="nil"/>
            </w:tcBorders>
            <w:vAlign w:val="center"/>
          </w:tcPr>
          <w:p w14:paraId="5249E3F4">
            <w:pPr>
              <w:widowControl w:val="0"/>
              <w:snapToGrid w:val="0"/>
              <w:jc w:val="center"/>
              <w:rPr>
                <w:rFonts w:ascii="Times New Roman" w:hAnsi="Times New Roman" w:eastAsia="宋体" w:cs="Times New Roman"/>
                <w:caps w:val="0"/>
                <w:smallCaps w:val="0"/>
                <w:color w:val="auto"/>
                <w:spacing w:val="0"/>
                <w:kern w:val="0"/>
                <w:sz w:val="21"/>
                <w:highlight w:val="none"/>
                <w:lang w:bidi="ar"/>
              </w:rPr>
            </w:pPr>
          </w:p>
        </w:tc>
        <w:tc>
          <w:tcPr>
            <w:tcW w:w="989" w:type="pct"/>
            <w:tcBorders>
              <w:tl2br w:val="nil"/>
              <w:tr2bl w:val="nil"/>
            </w:tcBorders>
            <w:vAlign w:val="center"/>
          </w:tcPr>
          <w:p w14:paraId="1188BD59">
            <w:pPr>
              <w:pStyle w:val="230"/>
              <w:spacing w:line="240" w:lineRule="auto"/>
              <w:rPr>
                <w:caps w:val="0"/>
                <w:smallCaps w:val="0"/>
                <w:color w:val="auto"/>
                <w:spacing w:val="0"/>
                <w:highlight w:val="none"/>
              </w:rPr>
            </w:pPr>
            <w:r>
              <w:rPr>
                <w:caps w:val="0"/>
                <w:smallCaps w:val="0"/>
                <w:color w:val="auto"/>
                <w:spacing w:val="0"/>
                <w:highlight w:val="none"/>
                <w:lang w:eastAsia="en-US" w:bidi="ar"/>
              </w:rPr>
              <w:t>21m</w:t>
            </w:r>
            <w:r>
              <w:rPr>
                <w:caps w:val="0"/>
                <w:smallCaps w:val="0"/>
                <w:color w:val="auto"/>
                <w:spacing w:val="0"/>
                <w:highlight w:val="none"/>
                <w:lang w:bidi="ar"/>
              </w:rPr>
              <w:t>高</w:t>
            </w:r>
            <w:r>
              <w:rPr>
                <w:caps w:val="0"/>
                <w:smallCaps w:val="0"/>
                <w:color w:val="auto"/>
                <w:spacing w:val="0"/>
                <w:highlight w:val="none"/>
                <w:lang w:eastAsia="en-US" w:bidi="ar"/>
              </w:rPr>
              <w:t>排气筒</w:t>
            </w:r>
            <w:r>
              <w:rPr>
                <w:caps w:val="0"/>
                <w:smallCaps w:val="0"/>
                <w:color w:val="auto"/>
                <w:spacing w:val="0"/>
                <w:highlight w:val="none"/>
                <w:lang w:bidi="ar"/>
              </w:rPr>
              <w:t>DA006</w:t>
            </w:r>
          </w:p>
        </w:tc>
        <w:tc>
          <w:tcPr>
            <w:tcW w:w="299" w:type="pct"/>
            <w:tcBorders>
              <w:tl2br w:val="nil"/>
              <w:tr2bl w:val="nil"/>
            </w:tcBorders>
            <w:vAlign w:val="center"/>
          </w:tcPr>
          <w:p w14:paraId="3E4F81F3">
            <w:pPr>
              <w:pStyle w:val="230"/>
              <w:spacing w:line="240" w:lineRule="auto"/>
              <w:rPr>
                <w:caps w:val="0"/>
                <w:smallCaps w:val="0"/>
                <w:color w:val="auto"/>
                <w:spacing w:val="0"/>
                <w:highlight w:val="none"/>
              </w:rPr>
            </w:pPr>
            <w:r>
              <w:rPr>
                <w:caps w:val="0"/>
                <w:smallCaps w:val="0"/>
                <w:color w:val="auto"/>
                <w:spacing w:val="0"/>
                <w:highlight w:val="none"/>
              </w:rPr>
              <w:t>1根</w:t>
            </w:r>
          </w:p>
        </w:tc>
        <w:tc>
          <w:tcPr>
            <w:tcW w:w="2049" w:type="pct"/>
            <w:vMerge w:val="continue"/>
            <w:tcBorders>
              <w:tl2br w:val="nil"/>
              <w:tr2bl w:val="nil"/>
            </w:tcBorders>
            <w:vAlign w:val="center"/>
          </w:tcPr>
          <w:p w14:paraId="2B47F405">
            <w:pPr>
              <w:pStyle w:val="230"/>
              <w:spacing w:line="240" w:lineRule="auto"/>
              <w:rPr>
                <w:caps w:val="0"/>
                <w:smallCaps w:val="0"/>
                <w:color w:val="auto"/>
                <w:spacing w:val="0"/>
                <w:highlight w:val="none"/>
              </w:rPr>
            </w:pPr>
          </w:p>
        </w:tc>
      </w:tr>
      <w:tr w14:paraId="22BE3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DBE6FAE">
            <w:pPr>
              <w:pStyle w:val="230"/>
              <w:spacing w:line="240" w:lineRule="auto"/>
              <w:rPr>
                <w:caps w:val="0"/>
                <w:smallCaps w:val="0"/>
                <w:color w:val="auto"/>
                <w:spacing w:val="0"/>
                <w:highlight w:val="none"/>
              </w:rPr>
            </w:pPr>
          </w:p>
        </w:tc>
        <w:tc>
          <w:tcPr>
            <w:tcW w:w="1287" w:type="pct"/>
            <w:tcBorders>
              <w:tl2br w:val="nil"/>
              <w:tr2bl w:val="nil"/>
            </w:tcBorders>
            <w:vAlign w:val="center"/>
          </w:tcPr>
          <w:p w14:paraId="7F18DC1A">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光刻胶干燥曝光废气</w:t>
            </w:r>
          </w:p>
        </w:tc>
        <w:tc>
          <w:tcPr>
            <w:tcW w:w="989" w:type="pct"/>
            <w:tcBorders>
              <w:tl2br w:val="nil"/>
              <w:tr2bl w:val="nil"/>
            </w:tcBorders>
            <w:vAlign w:val="center"/>
          </w:tcPr>
          <w:p w14:paraId="6F2022F8">
            <w:pPr>
              <w:pStyle w:val="230"/>
              <w:spacing w:line="240" w:lineRule="auto"/>
              <w:rPr>
                <w:caps w:val="0"/>
                <w:smallCaps w:val="0"/>
                <w:color w:val="auto"/>
                <w:spacing w:val="0"/>
                <w:highlight w:val="none"/>
              </w:rPr>
            </w:pPr>
            <w:r>
              <w:rPr>
                <w:caps w:val="0"/>
                <w:smallCaps w:val="0"/>
                <w:color w:val="auto"/>
                <w:spacing w:val="0"/>
                <w:highlight w:val="none"/>
              </w:rPr>
              <w:t>二级活性炭吸附处理+21m高排气筒DA007排放。</w:t>
            </w:r>
          </w:p>
        </w:tc>
        <w:tc>
          <w:tcPr>
            <w:tcW w:w="299" w:type="pct"/>
            <w:tcBorders>
              <w:tl2br w:val="nil"/>
              <w:tr2bl w:val="nil"/>
            </w:tcBorders>
            <w:vAlign w:val="center"/>
          </w:tcPr>
          <w:p w14:paraId="5C96B838">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tcBorders>
              <w:tl2br w:val="nil"/>
              <w:tr2bl w:val="nil"/>
            </w:tcBorders>
            <w:vAlign w:val="center"/>
          </w:tcPr>
          <w:p w14:paraId="3771F06A">
            <w:pPr>
              <w:pStyle w:val="230"/>
              <w:spacing w:line="240" w:lineRule="auto"/>
              <w:rPr>
                <w:rFonts w:hint="eastAsia" w:eastAsia="宋体"/>
                <w:caps w:val="0"/>
                <w:smallCaps w:val="0"/>
                <w:color w:val="auto"/>
                <w:spacing w:val="0"/>
                <w:highlight w:val="none"/>
                <w:lang w:eastAsia="zh-CN"/>
              </w:rPr>
            </w:pPr>
            <w:r>
              <w:rPr>
                <w:rFonts w:hint="eastAsia"/>
                <w:caps w:val="0"/>
                <w:smallCaps w:val="0"/>
                <w:color w:val="auto"/>
                <w:spacing w:val="0"/>
                <w:highlight w:val="none"/>
                <w:lang w:val="en-US" w:eastAsia="zh-CN"/>
              </w:rPr>
              <w:t>/</w:t>
            </w:r>
          </w:p>
        </w:tc>
      </w:tr>
      <w:tr w14:paraId="5A723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474CE510">
            <w:pPr>
              <w:pStyle w:val="230"/>
              <w:spacing w:line="240" w:lineRule="auto"/>
              <w:rPr>
                <w:caps w:val="0"/>
                <w:smallCaps w:val="0"/>
                <w:color w:val="auto"/>
                <w:spacing w:val="0"/>
                <w:highlight w:val="none"/>
              </w:rPr>
            </w:pPr>
          </w:p>
        </w:tc>
        <w:tc>
          <w:tcPr>
            <w:tcW w:w="1287" w:type="pct"/>
            <w:tcBorders>
              <w:tl2br w:val="nil"/>
              <w:tr2bl w:val="nil"/>
            </w:tcBorders>
            <w:vAlign w:val="center"/>
          </w:tcPr>
          <w:p w14:paraId="62248995">
            <w:pPr>
              <w:pStyle w:val="194"/>
              <w:widowControl w:val="0"/>
              <w:snapToGrid w:val="0"/>
              <w:spacing w:line="240" w:lineRule="auto"/>
              <w:ind w:firstLine="0" w:firstLineChars="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szCs w:val="21"/>
                <w:highlight w:val="none"/>
              </w:rPr>
              <w:t>活化层清洗+蚀刻废气</w:t>
            </w:r>
          </w:p>
        </w:tc>
        <w:tc>
          <w:tcPr>
            <w:tcW w:w="989" w:type="pct"/>
            <w:vMerge w:val="restart"/>
            <w:tcBorders>
              <w:tl2br w:val="nil"/>
              <w:tr2bl w:val="nil"/>
            </w:tcBorders>
            <w:vAlign w:val="center"/>
          </w:tcPr>
          <w:p w14:paraId="7D1166A3">
            <w:pPr>
              <w:pStyle w:val="230"/>
              <w:spacing w:line="240" w:lineRule="auto"/>
              <w:rPr>
                <w:caps w:val="0"/>
                <w:smallCaps w:val="0"/>
                <w:color w:val="auto"/>
                <w:spacing w:val="0"/>
                <w:highlight w:val="none"/>
              </w:rPr>
            </w:pPr>
            <w:r>
              <w:rPr>
                <w:caps w:val="0"/>
                <w:smallCaps w:val="0"/>
                <w:color w:val="auto"/>
                <w:spacing w:val="0"/>
                <w:highlight w:val="none"/>
              </w:rPr>
              <w:t>二级碱液洗涤塔处理后+活性炭吸附+21m排气筒</w:t>
            </w:r>
            <w:r>
              <w:rPr>
                <w:caps w:val="0"/>
                <w:smallCaps w:val="0"/>
                <w:color w:val="auto"/>
                <w:spacing w:val="0"/>
                <w:highlight w:val="none"/>
              </w:rPr>
              <w:t>DA00</w:t>
            </w:r>
            <w:r>
              <w:rPr>
                <w:rFonts w:hint="eastAsia"/>
                <w:caps w:val="0"/>
                <w:smallCaps w:val="0"/>
                <w:color w:val="auto"/>
                <w:spacing w:val="0"/>
                <w:highlight w:val="none"/>
                <w:lang w:val="en-US" w:eastAsia="zh-CN"/>
              </w:rPr>
              <w:t>8</w:t>
            </w:r>
          </w:p>
        </w:tc>
        <w:tc>
          <w:tcPr>
            <w:tcW w:w="299" w:type="pct"/>
            <w:tcBorders>
              <w:tl2br w:val="nil"/>
              <w:tr2bl w:val="nil"/>
            </w:tcBorders>
            <w:vAlign w:val="center"/>
          </w:tcPr>
          <w:p w14:paraId="2F1E69B9">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tcBorders>
              <w:tl2br w:val="nil"/>
              <w:tr2bl w:val="nil"/>
            </w:tcBorders>
            <w:vAlign w:val="center"/>
          </w:tcPr>
          <w:p w14:paraId="35CDB768">
            <w:pPr>
              <w:pStyle w:val="230"/>
              <w:spacing w:line="240" w:lineRule="auto"/>
              <w:rPr>
                <w:caps w:val="0"/>
                <w:smallCaps w:val="0"/>
                <w:color w:val="auto"/>
                <w:spacing w:val="0"/>
                <w:highlight w:val="none"/>
              </w:rPr>
            </w:pPr>
            <w:r>
              <w:rPr>
                <w:rFonts w:hint="eastAsia"/>
                <w:caps w:val="0"/>
                <w:smallCaps w:val="0"/>
                <w:color w:val="auto"/>
                <w:spacing w:val="0"/>
                <w:highlight w:val="none"/>
                <w:lang w:val="en-US" w:eastAsia="zh-CN"/>
              </w:rPr>
              <w:t>/</w:t>
            </w:r>
          </w:p>
        </w:tc>
      </w:tr>
      <w:tr w14:paraId="261E2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FB03539">
            <w:pPr>
              <w:pStyle w:val="230"/>
              <w:spacing w:line="240" w:lineRule="auto"/>
              <w:rPr>
                <w:caps w:val="0"/>
                <w:smallCaps w:val="0"/>
                <w:color w:val="auto"/>
                <w:spacing w:val="0"/>
                <w:highlight w:val="none"/>
              </w:rPr>
            </w:pPr>
          </w:p>
        </w:tc>
        <w:tc>
          <w:tcPr>
            <w:tcW w:w="1287" w:type="pct"/>
            <w:tcBorders>
              <w:tl2br w:val="nil"/>
              <w:tr2bl w:val="nil"/>
            </w:tcBorders>
            <w:vAlign w:val="center"/>
          </w:tcPr>
          <w:p w14:paraId="4AB7DC9F">
            <w:pPr>
              <w:widowControl w:val="0"/>
              <w:spacing w:line="320" w:lineRule="exact"/>
              <w:jc w:val="center"/>
              <w:rPr>
                <w:rFonts w:ascii="Times New Roman" w:hAnsi="Times New Roman" w:eastAsia="宋体" w:cs="Times New Roman"/>
                <w:caps w:val="0"/>
                <w:smallCaps w:val="0"/>
                <w:color w:val="auto"/>
                <w:spacing w:val="0"/>
                <w:sz w:val="21"/>
                <w:highlight w:val="none"/>
              </w:rPr>
            </w:pPr>
            <w:r>
              <w:rPr>
                <w:rFonts w:hint="eastAsia" w:ascii="Times New Roman" w:hAnsi="Times New Roman" w:eastAsia="宋体" w:cs="Times New Roman"/>
                <w:caps w:val="0"/>
                <w:smallCaps w:val="0"/>
                <w:color w:val="auto"/>
                <w:spacing w:val="0"/>
                <w:sz w:val="21"/>
                <w:highlight w:val="none"/>
              </w:rPr>
              <w:t>污水处理站废气</w:t>
            </w:r>
          </w:p>
        </w:tc>
        <w:tc>
          <w:tcPr>
            <w:tcW w:w="989" w:type="pct"/>
            <w:vMerge w:val="continue"/>
            <w:tcBorders>
              <w:tl2br w:val="nil"/>
              <w:tr2bl w:val="nil"/>
            </w:tcBorders>
            <w:vAlign w:val="center"/>
          </w:tcPr>
          <w:p w14:paraId="1650C321">
            <w:pPr>
              <w:widowControl w:val="0"/>
              <w:spacing w:line="320" w:lineRule="exact"/>
              <w:jc w:val="center"/>
              <w:rPr>
                <w:caps w:val="0"/>
                <w:smallCaps w:val="0"/>
                <w:color w:val="auto"/>
                <w:spacing w:val="0"/>
                <w:highlight w:val="none"/>
              </w:rPr>
            </w:pPr>
          </w:p>
        </w:tc>
        <w:tc>
          <w:tcPr>
            <w:tcW w:w="299" w:type="pct"/>
            <w:tcBorders>
              <w:tl2br w:val="nil"/>
              <w:tr2bl w:val="nil"/>
            </w:tcBorders>
            <w:vAlign w:val="center"/>
          </w:tcPr>
          <w:p w14:paraId="5241746E">
            <w:pPr>
              <w:pStyle w:val="230"/>
              <w:spacing w:line="240" w:lineRule="auto"/>
              <w:rPr>
                <w:caps w:val="0"/>
                <w:smallCaps w:val="0"/>
                <w:color w:val="auto"/>
                <w:spacing w:val="0"/>
                <w:highlight w:val="none"/>
              </w:rPr>
            </w:pPr>
            <w:r>
              <w:rPr>
                <w:rFonts w:hint="eastAsia"/>
                <w:caps w:val="0"/>
                <w:smallCaps w:val="0"/>
                <w:color w:val="auto"/>
                <w:spacing w:val="0"/>
                <w:highlight w:val="none"/>
              </w:rPr>
              <w:t>1套</w:t>
            </w:r>
          </w:p>
        </w:tc>
        <w:tc>
          <w:tcPr>
            <w:tcW w:w="2049" w:type="pct"/>
            <w:tcBorders>
              <w:tl2br w:val="nil"/>
              <w:tr2bl w:val="nil"/>
            </w:tcBorders>
            <w:vAlign w:val="center"/>
          </w:tcPr>
          <w:p w14:paraId="16BB1429">
            <w:pPr>
              <w:pStyle w:val="230"/>
              <w:spacing w:line="240" w:lineRule="auto"/>
              <w:rPr>
                <w:caps w:val="0"/>
                <w:smallCaps w:val="0"/>
                <w:color w:val="auto"/>
                <w:spacing w:val="0"/>
                <w:highlight w:val="none"/>
              </w:rPr>
            </w:pPr>
            <w:r>
              <w:rPr>
                <w:caps w:val="0"/>
                <w:smallCaps w:val="0"/>
                <w:color w:val="auto"/>
                <w:spacing w:val="0"/>
                <w:highlight w:val="none"/>
              </w:rPr>
              <w:t>氨气</w:t>
            </w:r>
            <w:r>
              <w:rPr>
                <w:rFonts w:hint="eastAsia"/>
                <w:caps w:val="0"/>
                <w:smallCaps w:val="0"/>
                <w:color w:val="auto"/>
                <w:spacing w:val="0"/>
                <w:highlight w:val="none"/>
              </w:rPr>
              <w:t>、硫化氢及臭气浓度</w:t>
            </w:r>
            <w:r>
              <w:rPr>
                <w:caps w:val="0"/>
                <w:smallCaps w:val="0"/>
                <w:color w:val="auto"/>
                <w:spacing w:val="0"/>
                <w:highlight w:val="none"/>
              </w:rPr>
              <w:t>排放满足《恶臭污染物排放标准》（GB14554-93）表2中限值要求</w:t>
            </w:r>
          </w:p>
        </w:tc>
      </w:tr>
      <w:tr w14:paraId="157AD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D228AB1">
            <w:pPr>
              <w:pStyle w:val="230"/>
              <w:spacing w:line="240" w:lineRule="auto"/>
              <w:rPr>
                <w:caps w:val="0"/>
                <w:smallCaps w:val="0"/>
                <w:color w:val="auto"/>
                <w:spacing w:val="0"/>
                <w:highlight w:val="none"/>
              </w:rPr>
            </w:pPr>
          </w:p>
        </w:tc>
        <w:tc>
          <w:tcPr>
            <w:tcW w:w="1287" w:type="pct"/>
            <w:tcBorders>
              <w:tl2br w:val="nil"/>
              <w:tr2bl w:val="nil"/>
            </w:tcBorders>
            <w:vAlign w:val="center"/>
          </w:tcPr>
          <w:p w14:paraId="3CDF80C0">
            <w:pPr>
              <w:widowControl w:val="0"/>
              <w:snapToGrid w:val="0"/>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离线实验室废气</w:t>
            </w:r>
          </w:p>
        </w:tc>
        <w:tc>
          <w:tcPr>
            <w:tcW w:w="989" w:type="pct"/>
            <w:tcBorders>
              <w:tl2br w:val="nil"/>
              <w:tr2bl w:val="nil"/>
            </w:tcBorders>
            <w:vAlign w:val="center"/>
          </w:tcPr>
          <w:p w14:paraId="3DEF0E5E">
            <w:pPr>
              <w:pStyle w:val="230"/>
              <w:spacing w:line="240" w:lineRule="auto"/>
              <w:rPr>
                <w:caps w:val="0"/>
                <w:smallCaps w:val="0"/>
                <w:color w:val="auto"/>
                <w:spacing w:val="0"/>
                <w:highlight w:val="none"/>
              </w:rPr>
            </w:pPr>
            <w:r>
              <w:rPr>
                <w:caps w:val="0"/>
                <w:smallCaps w:val="0"/>
                <w:color w:val="auto"/>
                <w:spacing w:val="0"/>
                <w:highlight w:val="none"/>
              </w:rPr>
              <w:t>活性炭吸附+21m高排气筒</w:t>
            </w:r>
            <w:r>
              <w:rPr>
                <w:caps w:val="0"/>
                <w:smallCaps w:val="0"/>
                <w:color w:val="auto"/>
                <w:spacing w:val="0"/>
                <w:highlight w:val="none"/>
              </w:rPr>
              <w:t>DA00</w:t>
            </w:r>
            <w:r>
              <w:rPr>
                <w:rFonts w:hint="eastAsia"/>
                <w:caps w:val="0"/>
                <w:smallCaps w:val="0"/>
                <w:color w:val="auto"/>
                <w:spacing w:val="0"/>
                <w:highlight w:val="none"/>
                <w:lang w:val="en-US" w:eastAsia="zh-CN"/>
              </w:rPr>
              <w:t>9</w:t>
            </w:r>
            <w:r>
              <w:rPr>
                <w:caps w:val="0"/>
                <w:smallCaps w:val="0"/>
                <w:color w:val="auto"/>
                <w:spacing w:val="0"/>
                <w:highlight w:val="none"/>
              </w:rPr>
              <w:t>排放。</w:t>
            </w:r>
          </w:p>
        </w:tc>
        <w:tc>
          <w:tcPr>
            <w:tcW w:w="299" w:type="pct"/>
            <w:tcBorders>
              <w:tl2br w:val="nil"/>
              <w:tr2bl w:val="nil"/>
            </w:tcBorders>
            <w:vAlign w:val="center"/>
          </w:tcPr>
          <w:p w14:paraId="66FA15E5">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tcBorders>
              <w:tl2br w:val="nil"/>
              <w:tr2bl w:val="nil"/>
            </w:tcBorders>
            <w:vAlign w:val="center"/>
          </w:tcPr>
          <w:p w14:paraId="5613824A">
            <w:pPr>
              <w:pStyle w:val="230"/>
              <w:spacing w:line="240" w:lineRule="auto"/>
              <w:rPr>
                <w:rFonts w:hint="eastAsia" w:eastAsia="宋体"/>
                <w:caps w:val="0"/>
                <w:smallCaps w:val="0"/>
                <w:color w:val="auto"/>
                <w:spacing w:val="0"/>
                <w:highlight w:val="none"/>
                <w:lang w:eastAsia="zh-CN"/>
              </w:rPr>
            </w:pPr>
            <w:r>
              <w:rPr>
                <w:rFonts w:hint="eastAsia"/>
                <w:caps w:val="0"/>
                <w:smallCaps w:val="0"/>
                <w:color w:val="auto"/>
                <w:spacing w:val="0"/>
                <w:highlight w:val="none"/>
                <w:lang w:val="en-US" w:eastAsia="zh-CN"/>
              </w:rPr>
              <w:t>/</w:t>
            </w:r>
          </w:p>
        </w:tc>
      </w:tr>
      <w:tr w14:paraId="019C1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57BF82D2">
            <w:pPr>
              <w:pStyle w:val="230"/>
              <w:spacing w:line="240" w:lineRule="auto"/>
              <w:rPr>
                <w:caps w:val="0"/>
                <w:smallCaps w:val="0"/>
                <w:color w:val="auto"/>
                <w:spacing w:val="0"/>
                <w:highlight w:val="none"/>
              </w:rPr>
            </w:pPr>
          </w:p>
        </w:tc>
        <w:tc>
          <w:tcPr>
            <w:tcW w:w="1287" w:type="pct"/>
            <w:tcBorders>
              <w:tl2br w:val="nil"/>
              <w:tr2bl w:val="nil"/>
            </w:tcBorders>
            <w:vAlign w:val="center"/>
          </w:tcPr>
          <w:p w14:paraId="1AD3C58D">
            <w:pPr>
              <w:widowControl w:val="0"/>
              <w:snapToGrid w:val="0"/>
              <w:jc w:val="center"/>
              <w:rPr>
                <w:rFonts w:ascii="Times New Roman" w:hAnsi="Times New Roman" w:eastAsia="宋体" w:cs="Times New Roman"/>
                <w:caps w:val="0"/>
                <w:smallCaps w:val="0"/>
                <w:color w:val="auto"/>
                <w:spacing w:val="0"/>
                <w:kern w:val="0"/>
                <w:sz w:val="21"/>
                <w:highlight w:val="none"/>
                <w:lang w:bidi="ar"/>
              </w:rPr>
            </w:pPr>
            <w:r>
              <w:rPr>
                <w:rFonts w:hint="eastAsia" w:ascii="Times New Roman" w:hAnsi="Times New Roman" w:eastAsia="宋体" w:cs="Times New Roman"/>
                <w:caps w:val="0"/>
                <w:smallCaps w:val="0"/>
                <w:color w:val="auto"/>
                <w:spacing w:val="0"/>
                <w:kern w:val="0"/>
                <w:sz w:val="21"/>
                <w:highlight w:val="none"/>
                <w:lang w:bidi="ar"/>
              </w:rPr>
              <w:t>食堂油烟</w:t>
            </w:r>
          </w:p>
        </w:tc>
        <w:tc>
          <w:tcPr>
            <w:tcW w:w="989" w:type="pct"/>
            <w:tcBorders>
              <w:tl2br w:val="nil"/>
              <w:tr2bl w:val="nil"/>
            </w:tcBorders>
            <w:vAlign w:val="center"/>
          </w:tcPr>
          <w:p w14:paraId="6E7474D0">
            <w:pPr>
              <w:pStyle w:val="230"/>
              <w:spacing w:line="240" w:lineRule="auto"/>
              <w:rPr>
                <w:caps w:val="0"/>
                <w:smallCaps w:val="0"/>
                <w:color w:val="auto"/>
                <w:spacing w:val="0"/>
                <w:highlight w:val="none"/>
                <w:lang w:bidi="ar"/>
              </w:rPr>
            </w:pPr>
            <w:r>
              <w:rPr>
                <w:rFonts w:hint="eastAsia"/>
                <w:caps w:val="0"/>
                <w:smallCaps w:val="0"/>
                <w:color w:val="auto"/>
                <w:spacing w:val="0"/>
                <w:highlight w:val="none"/>
                <w:lang w:bidi="ar"/>
              </w:rPr>
              <w:t>油烟净化装置+油烟排气筒</w:t>
            </w:r>
          </w:p>
        </w:tc>
        <w:tc>
          <w:tcPr>
            <w:tcW w:w="299" w:type="pct"/>
            <w:tcBorders>
              <w:tl2br w:val="nil"/>
              <w:tr2bl w:val="nil"/>
            </w:tcBorders>
            <w:vAlign w:val="center"/>
          </w:tcPr>
          <w:p w14:paraId="359E43A9">
            <w:pPr>
              <w:pStyle w:val="230"/>
              <w:spacing w:line="240" w:lineRule="auto"/>
              <w:rPr>
                <w:caps w:val="0"/>
                <w:smallCaps w:val="0"/>
                <w:color w:val="auto"/>
                <w:spacing w:val="0"/>
                <w:highlight w:val="none"/>
              </w:rPr>
            </w:pPr>
            <w:r>
              <w:rPr>
                <w:rFonts w:hint="eastAsia"/>
                <w:caps w:val="0"/>
                <w:smallCaps w:val="0"/>
                <w:color w:val="auto"/>
                <w:spacing w:val="0"/>
                <w:highlight w:val="none"/>
              </w:rPr>
              <w:t>1套</w:t>
            </w:r>
          </w:p>
        </w:tc>
        <w:tc>
          <w:tcPr>
            <w:tcW w:w="2049" w:type="pct"/>
            <w:tcBorders>
              <w:tl2br w:val="nil"/>
              <w:tr2bl w:val="nil"/>
            </w:tcBorders>
            <w:vAlign w:val="center"/>
          </w:tcPr>
          <w:p w14:paraId="3CB6DB98">
            <w:pPr>
              <w:pStyle w:val="230"/>
              <w:spacing w:line="240" w:lineRule="auto"/>
              <w:rPr>
                <w:caps w:val="0"/>
                <w:smallCaps w:val="0"/>
                <w:color w:val="auto"/>
                <w:spacing w:val="0"/>
                <w:highlight w:val="none"/>
              </w:rPr>
            </w:pPr>
            <w:r>
              <w:rPr>
                <w:rFonts w:hint="eastAsia"/>
                <w:caps w:val="0"/>
                <w:smallCaps w:val="0"/>
                <w:color w:val="auto"/>
                <w:spacing w:val="0"/>
                <w:highlight w:val="none"/>
              </w:rPr>
              <w:t>油烟浓度《饮食业油烟排放标准（试行）(GB18483-2001)》表2中型规模，油烟处理效率不低于75%</w:t>
            </w:r>
          </w:p>
        </w:tc>
      </w:tr>
      <w:tr w14:paraId="03506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restart"/>
            <w:tcBorders>
              <w:tl2br w:val="nil"/>
              <w:tr2bl w:val="nil"/>
            </w:tcBorders>
            <w:vAlign w:val="center"/>
          </w:tcPr>
          <w:p w14:paraId="579A4E84">
            <w:pPr>
              <w:pStyle w:val="230"/>
              <w:spacing w:line="240" w:lineRule="auto"/>
              <w:rPr>
                <w:caps w:val="0"/>
                <w:smallCaps w:val="0"/>
                <w:color w:val="auto"/>
                <w:spacing w:val="0"/>
                <w:highlight w:val="none"/>
              </w:rPr>
            </w:pPr>
            <w:r>
              <w:rPr>
                <w:caps w:val="0"/>
                <w:smallCaps w:val="0"/>
                <w:color w:val="auto"/>
                <w:spacing w:val="0"/>
                <w:highlight w:val="none"/>
              </w:rPr>
              <w:t>废水</w:t>
            </w:r>
          </w:p>
        </w:tc>
        <w:tc>
          <w:tcPr>
            <w:tcW w:w="1287" w:type="pct"/>
            <w:tcBorders>
              <w:tl2br w:val="nil"/>
              <w:tr2bl w:val="nil"/>
            </w:tcBorders>
            <w:vAlign w:val="center"/>
          </w:tcPr>
          <w:p w14:paraId="6218A8D6">
            <w:pPr>
              <w:pStyle w:val="230"/>
              <w:spacing w:line="240" w:lineRule="auto"/>
              <w:rPr>
                <w:caps w:val="0"/>
                <w:smallCaps w:val="0"/>
                <w:color w:val="auto"/>
                <w:spacing w:val="0"/>
                <w:highlight w:val="none"/>
              </w:rPr>
            </w:pPr>
            <w:r>
              <w:rPr>
                <w:bCs/>
                <w:caps w:val="0"/>
                <w:smallCaps w:val="0"/>
                <w:color w:val="auto"/>
                <w:spacing w:val="0"/>
                <w:highlight w:val="none"/>
              </w:rPr>
              <w:t>基板清洗废水</w:t>
            </w:r>
          </w:p>
        </w:tc>
        <w:tc>
          <w:tcPr>
            <w:tcW w:w="989" w:type="pct"/>
            <w:tcBorders>
              <w:tl2br w:val="nil"/>
              <w:tr2bl w:val="nil"/>
            </w:tcBorders>
            <w:vAlign w:val="center"/>
          </w:tcPr>
          <w:p w14:paraId="5BD9150C">
            <w:pPr>
              <w:pStyle w:val="230"/>
              <w:spacing w:line="240" w:lineRule="auto"/>
              <w:rPr>
                <w:caps w:val="0"/>
                <w:smallCaps w:val="0"/>
                <w:color w:val="auto"/>
                <w:spacing w:val="0"/>
                <w:highlight w:val="none"/>
              </w:rPr>
            </w:pPr>
            <w:r>
              <w:rPr>
                <w:bCs/>
                <w:caps w:val="0"/>
                <w:smallCaps w:val="0"/>
                <w:color w:val="auto"/>
                <w:spacing w:val="0"/>
                <w:highlight w:val="none"/>
              </w:rPr>
              <w:t>碱性废水处理系统</w:t>
            </w:r>
          </w:p>
        </w:tc>
        <w:tc>
          <w:tcPr>
            <w:tcW w:w="299" w:type="pct"/>
            <w:tcBorders>
              <w:tl2br w:val="nil"/>
              <w:tr2bl w:val="nil"/>
            </w:tcBorders>
            <w:vAlign w:val="center"/>
          </w:tcPr>
          <w:p w14:paraId="7105D270">
            <w:pPr>
              <w:pStyle w:val="230"/>
              <w:spacing w:line="240" w:lineRule="auto"/>
              <w:rPr>
                <w:caps w:val="0"/>
                <w:smallCaps w:val="0"/>
                <w:color w:val="auto"/>
                <w:spacing w:val="0"/>
                <w:highlight w:val="none"/>
              </w:rPr>
            </w:pPr>
            <w:r>
              <w:rPr>
                <w:caps w:val="0"/>
                <w:smallCaps w:val="0"/>
                <w:color w:val="auto"/>
                <w:spacing w:val="0"/>
                <w:highlight w:val="none"/>
              </w:rPr>
              <w:t>1套</w:t>
            </w:r>
          </w:p>
        </w:tc>
        <w:tc>
          <w:tcPr>
            <w:tcW w:w="2049" w:type="pct"/>
            <w:vMerge w:val="restart"/>
            <w:tcBorders>
              <w:tl2br w:val="nil"/>
              <w:tr2bl w:val="nil"/>
            </w:tcBorders>
            <w:vAlign w:val="center"/>
          </w:tcPr>
          <w:p w14:paraId="7CA4F72C">
            <w:pPr>
              <w:pStyle w:val="230"/>
              <w:spacing w:line="240" w:lineRule="auto"/>
              <w:rPr>
                <w:caps w:val="0"/>
                <w:smallCaps w:val="0"/>
                <w:color w:val="auto"/>
                <w:spacing w:val="0"/>
                <w:highlight w:val="none"/>
              </w:rPr>
            </w:pPr>
            <w:r>
              <w:rPr>
                <w:caps w:val="0"/>
                <w:smallCaps w:val="0"/>
                <w:color w:val="auto"/>
                <w:spacing w:val="0"/>
                <w:highlight w:val="none"/>
              </w:rPr>
              <w:t>《电池工业污染物排放标准》（GB30484-2013）表2太阳电池间接排放标准限值</w:t>
            </w:r>
          </w:p>
        </w:tc>
      </w:tr>
      <w:tr w14:paraId="71B4D7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4F32FD6D">
            <w:pPr>
              <w:pStyle w:val="230"/>
              <w:spacing w:line="240" w:lineRule="auto"/>
              <w:rPr>
                <w:caps w:val="0"/>
                <w:smallCaps w:val="0"/>
                <w:color w:val="auto"/>
                <w:spacing w:val="0"/>
                <w:highlight w:val="none"/>
              </w:rPr>
            </w:pPr>
          </w:p>
        </w:tc>
        <w:tc>
          <w:tcPr>
            <w:tcW w:w="1287" w:type="pct"/>
            <w:tcBorders>
              <w:tl2br w:val="nil"/>
              <w:tr2bl w:val="nil"/>
            </w:tcBorders>
            <w:vAlign w:val="center"/>
          </w:tcPr>
          <w:p w14:paraId="35B92586">
            <w:pPr>
              <w:pStyle w:val="230"/>
              <w:spacing w:line="240" w:lineRule="auto"/>
              <w:rPr>
                <w:caps w:val="0"/>
                <w:smallCaps w:val="0"/>
                <w:color w:val="auto"/>
                <w:spacing w:val="0"/>
                <w:highlight w:val="none"/>
              </w:rPr>
            </w:pPr>
            <w:r>
              <w:rPr>
                <w:bCs/>
                <w:caps w:val="0"/>
                <w:smallCaps w:val="0"/>
                <w:color w:val="auto"/>
                <w:spacing w:val="0"/>
                <w:highlight w:val="none"/>
              </w:rPr>
              <w:t>纯水制备废水</w:t>
            </w:r>
          </w:p>
        </w:tc>
        <w:tc>
          <w:tcPr>
            <w:tcW w:w="989" w:type="pct"/>
            <w:tcBorders>
              <w:tl2br w:val="nil"/>
              <w:tr2bl w:val="nil"/>
            </w:tcBorders>
            <w:vAlign w:val="center"/>
          </w:tcPr>
          <w:p w14:paraId="71140ACF">
            <w:pPr>
              <w:pStyle w:val="230"/>
              <w:spacing w:line="240" w:lineRule="auto"/>
              <w:rPr>
                <w:caps w:val="0"/>
                <w:smallCaps w:val="0"/>
                <w:color w:val="auto"/>
                <w:spacing w:val="0"/>
                <w:highlight w:val="none"/>
              </w:rPr>
            </w:pPr>
            <w:r>
              <w:rPr>
                <w:caps w:val="0"/>
                <w:smallCaps w:val="0"/>
                <w:color w:val="auto"/>
                <w:spacing w:val="0"/>
                <w:highlight w:val="none"/>
              </w:rPr>
              <w:t>/</w:t>
            </w:r>
          </w:p>
        </w:tc>
        <w:tc>
          <w:tcPr>
            <w:tcW w:w="299" w:type="pct"/>
            <w:tcBorders>
              <w:tl2br w:val="nil"/>
              <w:tr2bl w:val="nil"/>
            </w:tcBorders>
            <w:vAlign w:val="center"/>
          </w:tcPr>
          <w:p w14:paraId="0FB6B277">
            <w:pPr>
              <w:pStyle w:val="230"/>
              <w:spacing w:line="240" w:lineRule="auto"/>
              <w:rPr>
                <w:caps w:val="0"/>
                <w:smallCaps w:val="0"/>
                <w:color w:val="auto"/>
                <w:spacing w:val="0"/>
                <w:highlight w:val="none"/>
              </w:rPr>
            </w:pPr>
            <w:r>
              <w:rPr>
                <w:caps w:val="0"/>
                <w:smallCaps w:val="0"/>
                <w:color w:val="auto"/>
                <w:spacing w:val="0"/>
                <w:highlight w:val="none"/>
              </w:rPr>
              <w:t>/</w:t>
            </w:r>
          </w:p>
        </w:tc>
        <w:tc>
          <w:tcPr>
            <w:tcW w:w="2049" w:type="pct"/>
            <w:vMerge w:val="continue"/>
            <w:tcBorders>
              <w:tl2br w:val="nil"/>
              <w:tr2bl w:val="nil"/>
            </w:tcBorders>
            <w:vAlign w:val="center"/>
          </w:tcPr>
          <w:p w14:paraId="56568526">
            <w:pPr>
              <w:pStyle w:val="230"/>
              <w:spacing w:line="240" w:lineRule="auto"/>
              <w:rPr>
                <w:caps w:val="0"/>
                <w:smallCaps w:val="0"/>
                <w:color w:val="auto"/>
                <w:spacing w:val="0"/>
                <w:highlight w:val="none"/>
              </w:rPr>
            </w:pPr>
          </w:p>
        </w:tc>
      </w:tr>
      <w:tr w14:paraId="1E3F78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BEE69BA">
            <w:pPr>
              <w:pStyle w:val="230"/>
              <w:spacing w:line="240" w:lineRule="auto"/>
              <w:rPr>
                <w:caps w:val="0"/>
                <w:smallCaps w:val="0"/>
                <w:color w:val="auto"/>
                <w:spacing w:val="0"/>
                <w:highlight w:val="none"/>
              </w:rPr>
            </w:pPr>
          </w:p>
        </w:tc>
        <w:tc>
          <w:tcPr>
            <w:tcW w:w="1287" w:type="pct"/>
            <w:tcBorders>
              <w:tl2br w:val="nil"/>
              <w:tr2bl w:val="nil"/>
            </w:tcBorders>
            <w:vAlign w:val="center"/>
          </w:tcPr>
          <w:p w14:paraId="4BDF515D">
            <w:pPr>
              <w:pStyle w:val="230"/>
              <w:spacing w:line="240" w:lineRule="auto"/>
              <w:rPr>
                <w:caps w:val="0"/>
                <w:smallCaps w:val="0"/>
                <w:color w:val="auto"/>
                <w:spacing w:val="0"/>
                <w:highlight w:val="none"/>
              </w:rPr>
            </w:pPr>
            <w:r>
              <w:rPr>
                <w:bCs/>
                <w:caps w:val="0"/>
                <w:smallCaps w:val="0"/>
                <w:color w:val="auto"/>
                <w:spacing w:val="0"/>
                <w:highlight w:val="none"/>
              </w:rPr>
              <w:t>显影及显影清洗废水</w:t>
            </w:r>
          </w:p>
        </w:tc>
        <w:tc>
          <w:tcPr>
            <w:tcW w:w="989" w:type="pct"/>
            <w:tcBorders>
              <w:tl2br w:val="nil"/>
              <w:tr2bl w:val="nil"/>
            </w:tcBorders>
            <w:vAlign w:val="center"/>
          </w:tcPr>
          <w:p w14:paraId="06BC9D5C">
            <w:pPr>
              <w:pStyle w:val="230"/>
              <w:spacing w:line="240" w:lineRule="auto"/>
              <w:rPr>
                <w:caps w:val="0"/>
                <w:smallCaps w:val="0"/>
                <w:color w:val="auto"/>
                <w:spacing w:val="0"/>
                <w:highlight w:val="none"/>
              </w:rPr>
            </w:pPr>
            <w:r>
              <w:rPr>
                <w:bCs/>
                <w:caps w:val="0"/>
                <w:smallCaps w:val="0"/>
                <w:color w:val="auto"/>
                <w:spacing w:val="0"/>
                <w:highlight w:val="none"/>
              </w:rPr>
              <w:t>显影废水处理系统</w:t>
            </w:r>
          </w:p>
        </w:tc>
        <w:tc>
          <w:tcPr>
            <w:tcW w:w="299" w:type="pct"/>
            <w:tcBorders>
              <w:tl2br w:val="nil"/>
              <w:tr2bl w:val="nil"/>
            </w:tcBorders>
            <w:vAlign w:val="center"/>
          </w:tcPr>
          <w:p w14:paraId="5FA80A52">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1套</w:t>
            </w:r>
          </w:p>
        </w:tc>
        <w:tc>
          <w:tcPr>
            <w:tcW w:w="2049" w:type="pct"/>
            <w:tcBorders>
              <w:tl2br w:val="nil"/>
              <w:tr2bl w:val="nil"/>
            </w:tcBorders>
            <w:vAlign w:val="center"/>
          </w:tcPr>
          <w:p w14:paraId="2B018026">
            <w:pPr>
              <w:pStyle w:val="230"/>
              <w:spacing w:line="240" w:lineRule="auto"/>
              <w:rPr>
                <w:caps w:val="0"/>
                <w:smallCaps w:val="0"/>
                <w:color w:val="auto"/>
                <w:spacing w:val="0"/>
                <w:highlight w:val="none"/>
              </w:rPr>
            </w:pPr>
            <w:r>
              <w:rPr>
                <w:caps w:val="0"/>
                <w:smallCaps w:val="0"/>
                <w:color w:val="auto"/>
                <w:spacing w:val="0"/>
                <w:highlight w:val="none"/>
              </w:rPr>
              <w:t>/</w:t>
            </w:r>
          </w:p>
        </w:tc>
      </w:tr>
      <w:tr w14:paraId="7A86E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0A78660">
            <w:pPr>
              <w:pStyle w:val="230"/>
              <w:spacing w:line="240" w:lineRule="auto"/>
              <w:rPr>
                <w:caps w:val="0"/>
                <w:smallCaps w:val="0"/>
                <w:color w:val="auto"/>
                <w:spacing w:val="0"/>
                <w:highlight w:val="none"/>
              </w:rPr>
            </w:pPr>
          </w:p>
        </w:tc>
        <w:tc>
          <w:tcPr>
            <w:tcW w:w="1287" w:type="pct"/>
            <w:tcBorders>
              <w:tl2br w:val="nil"/>
              <w:tr2bl w:val="nil"/>
            </w:tcBorders>
            <w:vAlign w:val="center"/>
          </w:tcPr>
          <w:p w14:paraId="52FA6948">
            <w:pPr>
              <w:pStyle w:val="230"/>
              <w:spacing w:line="240" w:lineRule="auto"/>
              <w:rPr>
                <w:bCs/>
                <w:caps w:val="0"/>
                <w:smallCaps w:val="0"/>
                <w:color w:val="auto"/>
                <w:spacing w:val="0"/>
                <w:highlight w:val="none"/>
              </w:rPr>
            </w:pPr>
            <w:r>
              <w:rPr>
                <w:bCs/>
                <w:caps w:val="0"/>
                <w:smallCaps w:val="0"/>
                <w:color w:val="auto"/>
                <w:spacing w:val="0"/>
                <w:highlight w:val="none"/>
              </w:rPr>
              <w:t>涂覆前清洗废水、ZnTe膜层溅射后清洗废水、背电极镀膜前清洗废水及碱性喷淋塔排放废水</w:t>
            </w:r>
          </w:p>
        </w:tc>
        <w:tc>
          <w:tcPr>
            <w:tcW w:w="989" w:type="pct"/>
            <w:tcBorders>
              <w:tl2br w:val="nil"/>
              <w:tr2bl w:val="nil"/>
            </w:tcBorders>
            <w:vAlign w:val="center"/>
          </w:tcPr>
          <w:p w14:paraId="0ACA1C2D">
            <w:pPr>
              <w:pStyle w:val="230"/>
              <w:spacing w:line="240" w:lineRule="auto"/>
              <w:rPr>
                <w:bCs/>
                <w:caps w:val="0"/>
                <w:smallCaps w:val="0"/>
                <w:color w:val="auto"/>
                <w:spacing w:val="0"/>
                <w:highlight w:val="none"/>
              </w:rPr>
            </w:pPr>
            <w:r>
              <w:rPr>
                <w:bCs/>
                <w:caps w:val="0"/>
                <w:smallCaps w:val="0"/>
                <w:color w:val="auto"/>
                <w:spacing w:val="0"/>
                <w:highlight w:val="none"/>
              </w:rPr>
              <w:t>低浓度含镉废水处理系统</w:t>
            </w:r>
          </w:p>
        </w:tc>
        <w:tc>
          <w:tcPr>
            <w:tcW w:w="299" w:type="pct"/>
            <w:tcBorders>
              <w:tl2br w:val="nil"/>
              <w:tr2bl w:val="nil"/>
            </w:tcBorders>
            <w:vAlign w:val="center"/>
          </w:tcPr>
          <w:p w14:paraId="70D0BA66">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1套</w:t>
            </w:r>
          </w:p>
        </w:tc>
        <w:tc>
          <w:tcPr>
            <w:tcW w:w="2049" w:type="pct"/>
            <w:tcBorders>
              <w:tl2br w:val="nil"/>
              <w:tr2bl w:val="nil"/>
            </w:tcBorders>
            <w:vAlign w:val="center"/>
          </w:tcPr>
          <w:p w14:paraId="5BAA9890">
            <w:pPr>
              <w:pStyle w:val="230"/>
              <w:spacing w:line="240" w:lineRule="auto"/>
              <w:rPr>
                <w:caps w:val="0"/>
                <w:smallCaps w:val="0"/>
                <w:color w:val="auto"/>
                <w:spacing w:val="0"/>
                <w:highlight w:val="none"/>
              </w:rPr>
            </w:pPr>
            <w:r>
              <w:rPr>
                <w:caps w:val="0"/>
                <w:smallCaps w:val="0"/>
                <w:color w:val="auto"/>
                <w:spacing w:val="0"/>
                <w:highlight w:val="none"/>
              </w:rPr>
              <w:t>/</w:t>
            </w:r>
          </w:p>
        </w:tc>
      </w:tr>
      <w:tr w14:paraId="107F1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0A3C48B0">
            <w:pPr>
              <w:pStyle w:val="230"/>
              <w:spacing w:line="240" w:lineRule="auto"/>
              <w:rPr>
                <w:caps w:val="0"/>
                <w:smallCaps w:val="0"/>
                <w:color w:val="auto"/>
                <w:spacing w:val="0"/>
                <w:highlight w:val="none"/>
              </w:rPr>
            </w:pPr>
          </w:p>
        </w:tc>
        <w:tc>
          <w:tcPr>
            <w:tcW w:w="1287" w:type="pct"/>
            <w:tcBorders>
              <w:tl2br w:val="nil"/>
              <w:tr2bl w:val="nil"/>
            </w:tcBorders>
            <w:vAlign w:val="center"/>
          </w:tcPr>
          <w:p w14:paraId="28833F4C">
            <w:pPr>
              <w:pStyle w:val="230"/>
              <w:spacing w:line="240" w:lineRule="auto"/>
              <w:rPr>
                <w:bCs/>
                <w:caps w:val="0"/>
                <w:smallCaps w:val="0"/>
                <w:color w:val="auto"/>
                <w:spacing w:val="0"/>
                <w:highlight w:val="none"/>
              </w:rPr>
            </w:pPr>
            <w:r>
              <w:rPr>
                <w:bCs/>
                <w:caps w:val="0"/>
                <w:smallCaps w:val="0"/>
                <w:color w:val="auto"/>
                <w:spacing w:val="0"/>
                <w:highlight w:val="none"/>
              </w:rPr>
              <w:t>活化层喷涂废液及活化层清洗、蚀刻废水</w:t>
            </w:r>
          </w:p>
        </w:tc>
        <w:tc>
          <w:tcPr>
            <w:tcW w:w="989" w:type="pct"/>
            <w:tcBorders>
              <w:tl2br w:val="nil"/>
              <w:tr2bl w:val="nil"/>
            </w:tcBorders>
            <w:vAlign w:val="center"/>
          </w:tcPr>
          <w:p w14:paraId="1A25840E">
            <w:pPr>
              <w:pStyle w:val="230"/>
              <w:spacing w:line="240" w:lineRule="auto"/>
              <w:rPr>
                <w:bCs/>
                <w:caps w:val="0"/>
                <w:smallCaps w:val="0"/>
                <w:color w:val="auto"/>
                <w:spacing w:val="0"/>
                <w:highlight w:val="none"/>
              </w:rPr>
            </w:pPr>
            <w:r>
              <w:rPr>
                <w:bCs/>
                <w:caps w:val="0"/>
                <w:smallCaps w:val="0"/>
                <w:color w:val="auto"/>
                <w:spacing w:val="0"/>
                <w:highlight w:val="none"/>
              </w:rPr>
              <w:t>高浓度含镉废水处理系统</w:t>
            </w:r>
          </w:p>
        </w:tc>
        <w:tc>
          <w:tcPr>
            <w:tcW w:w="299" w:type="pct"/>
            <w:tcBorders>
              <w:tl2br w:val="nil"/>
              <w:tr2bl w:val="nil"/>
            </w:tcBorders>
            <w:vAlign w:val="center"/>
          </w:tcPr>
          <w:p w14:paraId="383F8BCD">
            <w:pPr>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1套</w:t>
            </w:r>
          </w:p>
        </w:tc>
        <w:tc>
          <w:tcPr>
            <w:tcW w:w="2049" w:type="pct"/>
            <w:tcBorders>
              <w:tl2br w:val="nil"/>
              <w:tr2bl w:val="nil"/>
            </w:tcBorders>
            <w:vAlign w:val="center"/>
          </w:tcPr>
          <w:p w14:paraId="15E99AD0">
            <w:pPr>
              <w:pStyle w:val="230"/>
              <w:spacing w:line="240" w:lineRule="auto"/>
              <w:rPr>
                <w:caps w:val="0"/>
                <w:smallCaps w:val="0"/>
                <w:color w:val="auto"/>
                <w:spacing w:val="0"/>
                <w:highlight w:val="none"/>
              </w:rPr>
            </w:pPr>
            <w:r>
              <w:rPr>
                <w:caps w:val="0"/>
                <w:smallCaps w:val="0"/>
                <w:color w:val="auto"/>
                <w:spacing w:val="0"/>
                <w:highlight w:val="none"/>
              </w:rPr>
              <w:t>/</w:t>
            </w:r>
          </w:p>
        </w:tc>
      </w:tr>
      <w:tr w14:paraId="2E96BD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10570E4E">
            <w:pPr>
              <w:pStyle w:val="230"/>
              <w:spacing w:line="240" w:lineRule="auto"/>
              <w:rPr>
                <w:caps w:val="0"/>
                <w:smallCaps w:val="0"/>
                <w:color w:val="auto"/>
                <w:spacing w:val="0"/>
                <w:highlight w:val="none"/>
              </w:rPr>
            </w:pPr>
          </w:p>
        </w:tc>
        <w:tc>
          <w:tcPr>
            <w:tcW w:w="1287" w:type="pct"/>
            <w:tcBorders>
              <w:tl2br w:val="nil"/>
              <w:tr2bl w:val="nil"/>
            </w:tcBorders>
            <w:vAlign w:val="center"/>
          </w:tcPr>
          <w:p w14:paraId="518111C3">
            <w:pPr>
              <w:pStyle w:val="230"/>
              <w:spacing w:line="240" w:lineRule="auto"/>
              <w:rPr>
                <w:caps w:val="0"/>
                <w:smallCaps w:val="0"/>
                <w:color w:val="auto"/>
                <w:spacing w:val="0"/>
                <w:highlight w:val="none"/>
              </w:rPr>
            </w:pPr>
            <w:r>
              <w:rPr>
                <w:caps w:val="0"/>
                <w:smallCaps w:val="0"/>
                <w:color w:val="auto"/>
                <w:spacing w:val="0"/>
                <w:highlight w:val="none"/>
              </w:rPr>
              <w:t>事故废水</w:t>
            </w:r>
          </w:p>
        </w:tc>
        <w:tc>
          <w:tcPr>
            <w:tcW w:w="989" w:type="pct"/>
            <w:tcBorders>
              <w:tl2br w:val="nil"/>
              <w:tr2bl w:val="nil"/>
            </w:tcBorders>
            <w:vAlign w:val="center"/>
          </w:tcPr>
          <w:p w14:paraId="6D3121A8">
            <w:pPr>
              <w:pStyle w:val="230"/>
              <w:spacing w:line="240" w:lineRule="auto"/>
              <w:rPr>
                <w:caps w:val="0"/>
                <w:smallCaps w:val="0"/>
                <w:color w:val="auto"/>
                <w:spacing w:val="0"/>
                <w:highlight w:val="none"/>
              </w:rPr>
            </w:pPr>
            <w:r>
              <w:rPr>
                <w:caps w:val="0"/>
                <w:smallCaps w:val="0"/>
                <w:color w:val="auto"/>
                <w:spacing w:val="0"/>
                <w:highlight w:val="none"/>
              </w:rPr>
              <w:t>事故池</w:t>
            </w:r>
          </w:p>
        </w:tc>
        <w:tc>
          <w:tcPr>
            <w:tcW w:w="299" w:type="pct"/>
            <w:tcBorders>
              <w:tl2br w:val="nil"/>
              <w:tr2bl w:val="nil"/>
            </w:tcBorders>
            <w:vAlign w:val="center"/>
          </w:tcPr>
          <w:p w14:paraId="3FEACE87">
            <w:pPr>
              <w:pStyle w:val="230"/>
              <w:spacing w:line="240" w:lineRule="auto"/>
              <w:rPr>
                <w:caps w:val="0"/>
                <w:smallCaps w:val="0"/>
                <w:color w:val="auto"/>
                <w:spacing w:val="0"/>
                <w:highlight w:val="none"/>
              </w:rPr>
            </w:pPr>
            <w:r>
              <w:rPr>
                <w:caps w:val="0"/>
                <w:smallCaps w:val="0"/>
                <w:color w:val="auto"/>
                <w:spacing w:val="0"/>
                <w:highlight w:val="none"/>
              </w:rPr>
              <w:t>1座</w:t>
            </w:r>
          </w:p>
        </w:tc>
        <w:tc>
          <w:tcPr>
            <w:tcW w:w="2049" w:type="pct"/>
            <w:tcBorders>
              <w:tl2br w:val="nil"/>
              <w:tr2bl w:val="nil"/>
            </w:tcBorders>
            <w:vAlign w:val="center"/>
          </w:tcPr>
          <w:p w14:paraId="7E5EDEDF">
            <w:pPr>
              <w:pStyle w:val="230"/>
              <w:spacing w:line="240" w:lineRule="auto"/>
              <w:rPr>
                <w:caps w:val="0"/>
                <w:smallCaps w:val="0"/>
                <w:color w:val="auto"/>
                <w:spacing w:val="0"/>
                <w:highlight w:val="none"/>
              </w:rPr>
            </w:pPr>
            <w:r>
              <w:rPr>
                <w:caps w:val="0"/>
                <w:smallCaps w:val="0"/>
                <w:color w:val="auto"/>
                <w:spacing w:val="0"/>
                <w:highlight w:val="none"/>
              </w:rPr>
              <w:t>有效容400m</w:t>
            </w:r>
            <w:r>
              <w:rPr>
                <w:caps w:val="0"/>
                <w:smallCaps w:val="0"/>
                <w:color w:val="auto"/>
                <w:spacing w:val="0"/>
                <w:highlight w:val="none"/>
                <w:vertAlign w:val="superscript"/>
              </w:rPr>
              <w:t>3</w:t>
            </w:r>
          </w:p>
        </w:tc>
      </w:tr>
      <w:tr w14:paraId="7E196B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restart"/>
            <w:tcBorders>
              <w:tl2br w:val="nil"/>
              <w:tr2bl w:val="nil"/>
            </w:tcBorders>
            <w:vAlign w:val="center"/>
          </w:tcPr>
          <w:p w14:paraId="7FC67BC2">
            <w:pPr>
              <w:pStyle w:val="230"/>
              <w:spacing w:line="240" w:lineRule="auto"/>
              <w:rPr>
                <w:caps w:val="0"/>
                <w:smallCaps w:val="0"/>
                <w:color w:val="auto"/>
                <w:spacing w:val="0"/>
                <w:highlight w:val="none"/>
              </w:rPr>
            </w:pPr>
            <w:r>
              <w:rPr>
                <w:caps w:val="0"/>
                <w:smallCaps w:val="0"/>
                <w:color w:val="auto"/>
                <w:spacing w:val="0"/>
                <w:highlight w:val="none"/>
              </w:rPr>
              <w:t>噪声</w:t>
            </w:r>
          </w:p>
        </w:tc>
        <w:tc>
          <w:tcPr>
            <w:tcW w:w="1287" w:type="pct"/>
            <w:tcBorders>
              <w:tl2br w:val="nil"/>
              <w:tr2bl w:val="nil"/>
            </w:tcBorders>
            <w:vAlign w:val="center"/>
          </w:tcPr>
          <w:p w14:paraId="7F0AFA40">
            <w:pPr>
              <w:pStyle w:val="66"/>
              <w:widowControl w:val="0"/>
              <w:ind w:left="0"/>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caps w:val="0"/>
                <w:smallCaps w:val="0"/>
                <w:snapToGrid w:val="0"/>
                <w:color w:val="auto"/>
                <w:spacing w:val="0"/>
                <w:kern w:val="0"/>
                <w:szCs w:val="21"/>
                <w:highlight w:val="none"/>
              </w:rPr>
              <w:t>CSS镀膜设备、磁控溅射设备、清洗机、激光器、退火炉、风机以及泵类等</w:t>
            </w:r>
          </w:p>
        </w:tc>
        <w:tc>
          <w:tcPr>
            <w:tcW w:w="989" w:type="pct"/>
            <w:tcBorders>
              <w:tl2br w:val="nil"/>
              <w:tr2bl w:val="nil"/>
            </w:tcBorders>
            <w:vAlign w:val="center"/>
          </w:tcPr>
          <w:p w14:paraId="7AD7AC5F">
            <w:pPr>
              <w:pStyle w:val="65"/>
              <w:widowControl w:val="0"/>
              <w:spacing w:line="240" w:lineRule="auto"/>
              <w:ind w:firstLine="0" w:firstLineChars="0"/>
              <w:jc w:val="center"/>
              <w:rPr>
                <w:rFonts w:eastAsia="宋体"/>
                <w:caps w:val="0"/>
                <w:smallCaps w:val="0"/>
                <w:color w:val="auto"/>
                <w:spacing w:val="0"/>
                <w:sz w:val="21"/>
                <w:highlight w:val="none"/>
              </w:rPr>
            </w:pPr>
            <w:r>
              <w:rPr>
                <w:rFonts w:eastAsia="宋体"/>
                <w:caps w:val="0"/>
                <w:smallCaps w:val="0"/>
                <w:color w:val="auto"/>
                <w:spacing w:val="0"/>
                <w:sz w:val="21"/>
                <w:highlight w:val="none"/>
              </w:rPr>
              <w:t>选购低噪声设备；加强维护和检修；将噪声设备尽量设置在厂区中央，采取隔声等措施；对生产设备等安装减振胶垫；高噪声设备可置于单独隔声间内，并采取隔声、消声、减振、吸声等措施</w:t>
            </w:r>
          </w:p>
        </w:tc>
        <w:tc>
          <w:tcPr>
            <w:tcW w:w="299" w:type="pct"/>
            <w:tcBorders>
              <w:tl2br w:val="nil"/>
              <w:tr2bl w:val="nil"/>
            </w:tcBorders>
            <w:vAlign w:val="center"/>
          </w:tcPr>
          <w:p w14:paraId="6BB5A75F">
            <w:pPr>
              <w:pStyle w:val="230"/>
              <w:spacing w:line="240" w:lineRule="auto"/>
              <w:rPr>
                <w:caps w:val="0"/>
                <w:smallCaps w:val="0"/>
                <w:color w:val="auto"/>
                <w:spacing w:val="0"/>
                <w:highlight w:val="none"/>
              </w:rPr>
            </w:pPr>
            <w:r>
              <w:rPr>
                <w:caps w:val="0"/>
                <w:smallCaps w:val="0"/>
                <w:color w:val="auto"/>
                <w:spacing w:val="0"/>
                <w:highlight w:val="none"/>
              </w:rPr>
              <w:t>/</w:t>
            </w:r>
          </w:p>
        </w:tc>
        <w:tc>
          <w:tcPr>
            <w:tcW w:w="2049" w:type="pct"/>
            <w:tcBorders>
              <w:tl2br w:val="nil"/>
              <w:tr2bl w:val="nil"/>
            </w:tcBorders>
            <w:vAlign w:val="center"/>
          </w:tcPr>
          <w:p w14:paraId="426D61C4">
            <w:pPr>
              <w:pStyle w:val="230"/>
              <w:spacing w:line="240" w:lineRule="auto"/>
              <w:rPr>
                <w:caps w:val="0"/>
                <w:smallCaps w:val="0"/>
                <w:color w:val="auto"/>
                <w:spacing w:val="0"/>
                <w:highlight w:val="none"/>
              </w:rPr>
            </w:pPr>
            <w:r>
              <w:rPr>
                <w:caps w:val="0"/>
                <w:smallCaps w:val="0"/>
                <w:color w:val="auto"/>
                <w:spacing w:val="0"/>
                <w:highlight w:val="none"/>
              </w:rPr>
              <w:t>《工业企业厂界环境噪声排放标准》（GB12348-2008）</w:t>
            </w:r>
          </w:p>
          <w:p w14:paraId="1E219BD8">
            <w:pPr>
              <w:pStyle w:val="230"/>
              <w:spacing w:line="240" w:lineRule="auto"/>
              <w:rPr>
                <w:caps w:val="0"/>
                <w:smallCaps w:val="0"/>
                <w:color w:val="auto"/>
                <w:spacing w:val="0"/>
                <w:highlight w:val="none"/>
              </w:rPr>
            </w:pPr>
            <w:r>
              <w:rPr>
                <w:caps w:val="0"/>
                <w:smallCaps w:val="0"/>
                <w:color w:val="auto"/>
                <w:spacing w:val="0"/>
                <w:highlight w:val="none"/>
              </w:rPr>
              <w:t>3类标准</w:t>
            </w:r>
          </w:p>
        </w:tc>
      </w:tr>
      <w:tr w14:paraId="6C2695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3CFC2029">
            <w:pPr>
              <w:pStyle w:val="230"/>
              <w:spacing w:line="240" w:lineRule="auto"/>
              <w:rPr>
                <w:caps w:val="0"/>
                <w:smallCaps w:val="0"/>
                <w:color w:val="auto"/>
                <w:spacing w:val="0"/>
                <w:highlight w:val="none"/>
              </w:rPr>
            </w:pPr>
          </w:p>
        </w:tc>
        <w:tc>
          <w:tcPr>
            <w:tcW w:w="1287" w:type="pct"/>
            <w:tcBorders>
              <w:tl2br w:val="nil"/>
              <w:tr2bl w:val="nil"/>
            </w:tcBorders>
            <w:vAlign w:val="center"/>
          </w:tcPr>
          <w:p w14:paraId="2160035F">
            <w:pPr>
              <w:widowControl w:val="0"/>
              <w:adjustRightInd w:val="0"/>
              <w:snapToGrid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废靶材、废防溅射板、纯水制备废渗透、废玻璃基板、废背板玻璃、废包装材料</w:t>
            </w:r>
          </w:p>
        </w:tc>
        <w:tc>
          <w:tcPr>
            <w:tcW w:w="989" w:type="pct"/>
            <w:tcBorders>
              <w:tl2br w:val="nil"/>
              <w:tr2bl w:val="nil"/>
            </w:tcBorders>
            <w:vAlign w:val="center"/>
          </w:tcPr>
          <w:p w14:paraId="52745326">
            <w:pPr>
              <w:pStyle w:val="230"/>
              <w:spacing w:line="240" w:lineRule="auto"/>
              <w:rPr>
                <w:caps w:val="0"/>
                <w:smallCaps w:val="0"/>
                <w:color w:val="auto"/>
                <w:spacing w:val="0"/>
                <w:highlight w:val="none"/>
              </w:rPr>
            </w:pPr>
            <w:r>
              <w:rPr>
                <w:caps w:val="0"/>
                <w:smallCaps w:val="0"/>
                <w:color w:val="auto"/>
                <w:spacing w:val="0"/>
                <w:sz w:val="22"/>
                <w:szCs w:val="22"/>
                <w:highlight w:val="none"/>
              </w:rPr>
              <w:t>废靶材、废防溅射板、纯水制备废渗透膜定期由厂家进行回收，废玻璃基板、废背板玻璃、废包装材料定期外售回收单位。</w:t>
            </w:r>
          </w:p>
        </w:tc>
        <w:tc>
          <w:tcPr>
            <w:tcW w:w="299" w:type="pct"/>
            <w:tcBorders>
              <w:tl2br w:val="nil"/>
              <w:tr2bl w:val="nil"/>
            </w:tcBorders>
            <w:vAlign w:val="center"/>
          </w:tcPr>
          <w:p w14:paraId="4B74D4C5">
            <w:pPr>
              <w:pStyle w:val="230"/>
              <w:spacing w:line="240" w:lineRule="auto"/>
              <w:rPr>
                <w:caps w:val="0"/>
                <w:smallCaps w:val="0"/>
                <w:color w:val="auto"/>
                <w:spacing w:val="0"/>
                <w:highlight w:val="none"/>
              </w:rPr>
            </w:pPr>
            <w:r>
              <w:rPr>
                <w:caps w:val="0"/>
                <w:smallCaps w:val="0"/>
                <w:color w:val="auto"/>
                <w:spacing w:val="0"/>
                <w:highlight w:val="none"/>
              </w:rPr>
              <w:t>-</w:t>
            </w:r>
          </w:p>
        </w:tc>
        <w:tc>
          <w:tcPr>
            <w:tcW w:w="2049" w:type="pct"/>
            <w:tcBorders>
              <w:tl2br w:val="nil"/>
              <w:tr2bl w:val="nil"/>
            </w:tcBorders>
            <w:vAlign w:val="center"/>
          </w:tcPr>
          <w:p w14:paraId="5C2902BD">
            <w:pPr>
              <w:pStyle w:val="230"/>
              <w:spacing w:line="240" w:lineRule="auto"/>
              <w:rPr>
                <w:caps w:val="0"/>
                <w:smallCaps w:val="0"/>
                <w:color w:val="auto"/>
                <w:spacing w:val="0"/>
                <w:highlight w:val="none"/>
              </w:rPr>
            </w:pPr>
            <w:r>
              <w:rPr>
                <w:caps w:val="0"/>
                <w:smallCaps w:val="0"/>
                <w:color w:val="auto"/>
                <w:spacing w:val="0"/>
                <w:highlight w:val="none"/>
              </w:rPr>
              <w:t>处置率100%</w:t>
            </w:r>
          </w:p>
        </w:tc>
      </w:tr>
      <w:tr w14:paraId="36054D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27902067">
            <w:pPr>
              <w:pStyle w:val="230"/>
              <w:spacing w:line="240" w:lineRule="auto"/>
              <w:rPr>
                <w:caps w:val="0"/>
                <w:smallCaps w:val="0"/>
                <w:color w:val="auto"/>
                <w:spacing w:val="0"/>
                <w:highlight w:val="none"/>
              </w:rPr>
            </w:pPr>
          </w:p>
        </w:tc>
        <w:tc>
          <w:tcPr>
            <w:tcW w:w="1287" w:type="pct"/>
            <w:tcBorders>
              <w:tl2br w:val="nil"/>
              <w:tr2bl w:val="nil"/>
            </w:tcBorders>
            <w:vAlign w:val="center"/>
          </w:tcPr>
          <w:p w14:paraId="019AE3F4">
            <w:pPr>
              <w:widowControl w:val="0"/>
              <w:adjustRightInd w:val="0"/>
              <w:snapToGrid w:val="0"/>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危险废物（废真空罩、废石墨舟、破裂玻璃、废电池组件、废显影液、收尘灰、废活性炭、化学包装材料、废机油、</w:t>
            </w:r>
            <w:r>
              <w:rPr>
                <w:rFonts w:ascii="Times New Roman" w:hAnsi="Times New Roman" w:eastAsia="宋体" w:cs="Times New Roman"/>
                <w:caps w:val="0"/>
                <w:smallCaps w:val="0"/>
                <w:color w:val="auto"/>
                <w:spacing w:val="0"/>
                <w:sz w:val="21"/>
                <w:highlight w:val="none"/>
              </w:rPr>
              <w:t>废润滑油油桶、废胶桶、</w:t>
            </w:r>
            <w:r>
              <w:rPr>
                <w:rFonts w:ascii="Times New Roman" w:hAnsi="Times New Roman" w:eastAsia="宋体" w:cs="Times New Roman"/>
                <w:caps w:val="0"/>
                <w:smallCaps w:val="0"/>
                <w:color w:val="auto"/>
                <w:spacing w:val="0"/>
                <w:sz w:val="21"/>
                <w:highlight w:val="none"/>
              </w:rPr>
              <w:t>污水处理设施产生的废过滤膜、废反渗透膜、废铅蓄电池、污泥、蒸发结晶盐以及实验室废液）</w:t>
            </w:r>
          </w:p>
        </w:tc>
        <w:tc>
          <w:tcPr>
            <w:tcW w:w="989" w:type="pct"/>
            <w:tcBorders>
              <w:tl2br w:val="nil"/>
              <w:tr2bl w:val="nil"/>
            </w:tcBorders>
            <w:vAlign w:val="center"/>
          </w:tcPr>
          <w:p w14:paraId="45E58985">
            <w:pPr>
              <w:pStyle w:val="230"/>
              <w:spacing w:line="240" w:lineRule="auto"/>
              <w:rPr>
                <w:caps w:val="0"/>
                <w:smallCaps w:val="0"/>
                <w:color w:val="auto"/>
                <w:spacing w:val="0"/>
                <w:highlight w:val="none"/>
              </w:rPr>
            </w:pPr>
            <w:r>
              <w:rPr>
                <w:caps w:val="0"/>
                <w:smallCaps w:val="0"/>
                <w:color w:val="auto"/>
                <w:spacing w:val="0"/>
                <w:highlight w:val="none"/>
              </w:rPr>
              <w:t>危险废物贮存库</w:t>
            </w:r>
          </w:p>
        </w:tc>
        <w:tc>
          <w:tcPr>
            <w:tcW w:w="299" w:type="pct"/>
            <w:tcBorders>
              <w:tl2br w:val="nil"/>
              <w:tr2bl w:val="nil"/>
            </w:tcBorders>
            <w:vAlign w:val="center"/>
          </w:tcPr>
          <w:p w14:paraId="52024622">
            <w:pPr>
              <w:pStyle w:val="230"/>
              <w:spacing w:line="240" w:lineRule="auto"/>
              <w:rPr>
                <w:caps w:val="0"/>
                <w:smallCaps w:val="0"/>
                <w:color w:val="auto"/>
                <w:spacing w:val="0"/>
                <w:highlight w:val="none"/>
              </w:rPr>
            </w:pPr>
            <w:r>
              <w:rPr>
                <w:caps w:val="0"/>
                <w:smallCaps w:val="0"/>
                <w:color w:val="auto"/>
                <w:spacing w:val="0"/>
                <w:highlight w:val="none"/>
              </w:rPr>
              <w:t>1间</w:t>
            </w:r>
          </w:p>
        </w:tc>
        <w:tc>
          <w:tcPr>
            <w:tcW w:w="2049" w:type="pct"/>
            <w:tcBorders>
              <w:tl2br w:val="nil"/>
              <w:tr2bl w:val="nil"/>
            </w:tcBorders>
            <w:vAlign w:val="center"/>
          </w:tcPr>
          <w:p w14:paraId="55B72F50">
            <w:pPr>
              <w:widowControl w:val="0"/>
              <w:spacing w:before="78"/>
              <w:ind w:right="81"/>
              <w:jc w:val="center"/>
              <w:rPr>
                <w:rFonts w:ascii="Times New Roman" w:hAnsi="Times New Roman" w:eastAsia="宋体" w:cs="Times New Roman"/>
                <w:caps w:val="0"/>
                <w:smallCaps w:val="0"/>
                <w:color w:val="auto"/>
                <w:spacing w:val="0"/>
                <w:sz w:val="21"/>
                <w:highlight w:val="none"/>
              </w:rPr>
            </w:pPr>
            <w:r>
              <w:rPr>
                <w:rFonts w:ascii="Times New Roman" w:hAnsi="Times New Roman" w:eastAsia="宋体" w:cs="Times New Roman"/>
                <w:caps w:val="0"/>
                <w:smallCaps w:val="0"/>
                <w:color w:val="auto"/>
                <w:spacing w:val="0"/>
                <w:sz w:val="21"/>
                <w:highlight w:val="none"/>
              </w:rPr>
              <w:t>废铅蓄电池换下后直接由厂家回收，定不在厂区内暂存，其余危险废物均于危险废物贮存库暂存后交</w:t>
            </w:r>
            <w:r>
              <w:rPr>
                <w:rFonts w:hint="eastAsia" w:ascii="Times New Roman" w:hAnsi="Times New Roman" w:eastAsia="宋体" w:cs="Times New Roman"/>
                <w:caps w:val="0"/>
                <w:smallCaps w:val="0"/>
                <w:color w:val="auto"/>
                <w:spacing w:val="0"/>
                <w:sz w:val="21"/>
                <w:highlight w:val="none"/>
              </w:rPr>
              <w:t>由</w:t>
            </w:r>
            <w:r>
              <w:rPr>
                <w:rFonts w:ascii="Times New Roman" w:hAnsi="Times New Roman" w:eastAsia="宋体" w:cs="Times New Roman"/>
                <w:caps w:val="0"/>
                <w:smallCaps w:val="0"/>
                <w:color w:val="auto"/>
                <w:spacing w:val="0"/>
                <w:sz w:val="21"/>
                <w:highlight w:val="none"/>
              </w:rPr>
              <w:t>有危废资质单位处理。</w:t>
            </w:r>
          </w:p>
        </w:tc>
      </w:tr>
      <w:tr w14:paraId="4AB8AC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restart"/>
            <w:tcBorders>
              <w:tl2br w:val="nil"/>
              <w:tr2bl w:val="nil"/>
            </w:tcBorders>
            <w:vAlign w:val="center"/>
          </w:tcPr>
          <w:p w14:paraId="09895364">
            <w:pPr>
              <w:pStyle w:val="230"/>
              <w:spacing w:line="240" w:lineRule="auto"/>
              <w:rPr>
                <w:caps w:val="0"/>
                <w:smallCaps w:val="0"/>
                <w:color w:val="auto"/>
                <w:spacing w:val="0"/>
                <w:highlight w:val="none"/>
              </w:rPr>
            </w:pPr>
            <w:r>
              <w:rPr>
                <w:caps w:val="0"/>
                <w:smallCaps w:val="0"/>
                <w:color w:val="auto"/>
                <w:spacing w:val="0"/>
                <w:highlight w:val="none"/>
              </w:rPr>
              <w:t>其它</w:t>
            </w:r>
          </w:p>
        </w:tc>
        <w:tc>
          <w:tcPr>
            <w:tcW w:w="2276" w:type="pct"/>
            <w:gridSpan w:val="2"/>
            <w:tcBorders>
              <w:tl2br w:val="nil"/>
              <w:tr2bl w:val="nil"/>
            </w:tcBorders>
            <w:vAlign w:val="center"/>
          </w:tcPr>
          <w:p w14:paraId="58711281">
            <w:pPr>
              <w:pStyle w:val="230"/>
              <w:spacing w:line="240" w:lineRule="auto"/>
              <w:rPr>
                <w:caps w:val="0"/>
                <w:smallCaps w:val="0"/>
                <w:color w:val="auto"/>
                <w:spacing w:val="0"/>
                <w:highlight w:val="none"/>
              </w:rPr>
            </w:pPr>
            <w:r>
              <w:rPr>
                <w:caps w:val="0"/>
                <w:smallCaps w:val="0"/>
                <w:color w:val="auto"/>
                <w:spacing w:val="0"/>
                <w:highlight w:val="none"/>
              </w:rPr>
              <w:t>污水处理站及污水处理站</w:t>
            </w:r>
          </w:p>
        </w:tc>
        <w:tc>
          <w:tcPr>
            <w:tcW w:w="299" w:type="pct"/>
            <w:tcBorders>
              <w:tl2br w:val="nil"/>
              <w:tr2bl w:val="nil"/>
            </w:tcBorders>
            <w:vAlign w:val="center"/>
          </w:tcPr>
          <w:p w14:paraId="3C8AEE92">
            <w:pPr>
              <w:pStyle w:val="230"/>
              <w:spacing w:line="240" w:lineRule="auto"/>
              <w:rPr>
                <w:caps w:val="0"/>
                <w:smallCaps w:val="0"/>
                <w:color w:val="auto"/>
                <w:spacing w:val="0"/>
                <w:highlight w:val="none"/>
              </w:rPr>
            </w:pPr>
            <w:r>
              <w:rPr>
                <w:caps w:val="0"/>
                <w:smallCaps w:val="0"/>
                <w:color w:val="auto"/>
                <w:spacing w:val="0"/>
                <w:highlight w:val="none"/>
              </w:rPr>
              <w:t>/</w:t>
            </w:r>
          </w:p>
        </w:tc>
        <w:tc>
          <w:tcPr>
            <w:tcW w:w="2049" w:type="pct"/>
            <w:tcBorders>
              <w:tl2br w:val="nil"/>
              <w:tr2bl w:val="nil"/>
            </w:tcBorders>
            <w:vAlign w:val="center"/>
          </w:tcPr>
          <w:p w14:paraId="1E130A0B">
            <w:pPr>
              <w:pStyle w:val="130"/>
              <w:widowControl w:val="0"/>
              <w:spacing w:line="240" w:lineRule="auto"/>
              <w:jc w:val="both"/>
              <w:rPr>
                <w:rFonts w:ascii="Times New Roman" w:hAnsi="Times New Roman" w:eastAsia="宋体" w:cs="Times New Roman"/>
                <w:b w:val="0"/>
                <w:bCs/>
                <w:caps w:val="0"/>
                <w:smallCaps w:val="0"/>
                <w:snapToGrid w:val="0"/>
                <w:color w:val="auto"/>
                <w:spacing w:val="0"/>
                <w:kern w:val="0"/>
                <w:szCs w:val="21"/>
                <w:highlight w:val="none"/>
              </w:rPr>
            </w:pPr>
            <w:r>
              <w:rPr>
                <w:rFonts w:ascii="Times New Roman" w:hAnsi="Times New Roman" w:eastAsia="宋体" w:cs="Times New Roman"/>
                <w:b w:val="0"/>
                <w:bCs/>
                <w:caps w:val="0"/>
                <w:smallCaps w:val="0"/>
                <w:snapToGrid w:val="0"/>
                <w:color w:val="auto"/>
                <w:spacing w:val="0"/>
                <w:kern w:val="0"/>
                <w:szCs w:val="21"/>
                <w:highlight w:val="none"/>
              </w:rPr>
              <w:t>重点防渗区：</w:t>
            </w:r>
            <w:r>
              <w:rPr>
                <w:rFonts w:ascii="Times New Roman" w:hAnsi="Times New Roman" w:eastAsia="宋体" w:cs="Times New Roman"/>
                <w:b w:val="0"/>
                <w:bCs/>
                <w:caps w:val="0"/>
                <w:smallCaps w:val="0"/>
                <w:color w:val="auto"/>
                <w:spacing w:val="0"/>
                <w:szCs w:val="21"/>
                <w:highlight w:val="none"/>
              </w:rPr>
              <w:t>现有危险废物贮存库已达到重点防渗要求，污水处理间，应急事故池按照《《环境影响评价导则-地下水环境》(HJ610-2016)进行设计，防渗技术达到等效粘土防渗层Mb≥6.0m、渗透系数K≤10</w:t>
            </w:r>
            <w:r>
              <w:rPr>
                <w:rFonts w:ascii="Times New Roman" w:hAnsi="Times New Roman" w:eastAsia="宋体" w:cs="Times New Roman"/>
                <w:b w:val="0"/>
                <w:bCs/>
                <w:caps w:val="0"/>
                <w:smallCaps w:val="0"/>
                <w:color w:val="auto"/>
                <w:spacing w:val="0"/>
                <w:szCs w:val="21"/>
                <w:highlight w:val="none"/>
                <w:vertAlign w:val="superscript"/>
              </w:rPr>
              <w:t>-7</w:t>
            </w:r>
            <w:r>
              <w:rPr>
                <w:rFonts w:ascii="Times New Roman" w:hAnsi="Times New Roman" w:eastAsia="宋体" w:cs="Times New Roman"/>
                <w:b w:val="0"/>
                <w:bCs/>
                <w:caps w:val="0"/>
                <w:smallCaps w:val="0"/>
                <w:color w:val="auto"/>
                <w:spacing w:val="0"/>
                <w:szCs w:val="21"/>
                <w:highlight w:val="none"/>
              </w:rPr>
              <w:t>m/s。</w:t>
            </w:r>
          </w:p>
          <w:p w14:paraId="5FF242D9">
            <w:pPr>
              <w:pStyle w:val="130"/>
              <w:widowControl w:val="0"/>
              <w:spacing w:line="240" w:lineRule="auto"/>
              <w:jc w:val="both"/>
              <w:rPr>
                <w:rFonts w:ascii="Times New Roman" w:hAnsi="Times New Roman" w:eastAsia="宋体" w:cs="Times New Roman"/>
                <w:caps w:val="0"/>
                <w:smallCaps w:val="0"/>
                <w:snapToGrid w:val="0"/>
                <w:color w:val="auto"/>
                <w:spacing w:val="0"/>
                <w:kern w:val="0"/>
                <w:szCs w:val="21"/>
                <w:highlight w:val="none"/>
              </w:rPr>
            </w:pPr>
            <w:r>
              <w:rPr>
                <w:rFonts w:ascii="Times New Roman" w:hAnsi="Times New Roman" w:eastAsia="宋体" w:cs="Times New Roman"/>
                <w:b w:val="0"/>
                <w:bCs/>
                <w:caps w:val="0"/>
                <w:smallCaps w:val="0"/>
                <w:snapToGrid w:val="0"/>
                <w:color w:val="auto"/>
                <w:spacing w:val="0"/>
                <w:kern w:val="0"/>
                <w:szCs w:val="21"/>
                <w:highlight w:val="none"/>
              </w:rPr>
              <w:t>一般防渗区：</w:t>
            </w:r>
            <w:r>
              <w:rPr>
                <w:rFonts w:ascii="Times New Roman" w:hAnsi="Times New Roman" w:eastAsia="宋体" w:cs="Times New Roman"/>
                <w:b w:val="0"/>
                <w:bCs/>
                <w:caps w:val="0"/>
                <w:smallCaps w:val="0"/>
                <w:color w:val="auto"/>
                <w:spacing w:val="0"/>
                <w:szCs w:val="21"/>
                <w:highlight w:val="none"/>
              </w:rPr>
              <w:t>项目生产车间</w:t>
            </w:r>
            <w:r>
              <w:rPr>
                <w:rFonts w:ascii="Times New Roman" w:hAnsi="Times New Roman" w:eastAsia="宋体" w:cs="Times New Roman"/>
                <w:b w:val="0"/>
                <w:bCs/>
                <w:caps w:val="0"/>
                <w:smallCaps w:val="0"/>
                <w:snapToGrid w:val="0"/>
                <w:color w:val="auto"/>
                <w:spacing w:val="0"/>
                <w:kern w:val="0"/>
                <w:szCs w:val="21"/>
                <w:highlight w:val="none"/>
              </w:rPr>
              <w:t>为一般防渗区，按照导则要求，一般污染防治区防渗层的防渗性能应不低于1.5m厚渗透系数为1.0×10</w:t>
            </w:r>
            <w:r>
              <w:rPr>
                <w:rFonts w:ascii="Times New Roman" w:hAnsi="Times New Roman" w:eastAsia="宋体" w:cs="Times New Roman"/>
                <w:b w:val="0"/>
                <w:bCs/>
                <w:caps w:val="0"/>
                <w:smallCaps w:val="0"/>
                <w:snapToGrid w:val="0"/>
                <w:color w:val="auto"/>
                <w:spacing w:val="0"/>
                <w:kern w:val="0"/>
                <w:szCs w:val="21"/>
                <w:highlight w:val="none"/>
                <w:vertAlign w:val="superscript"/>
              </w:rPr>
              <w:t>-7</w:t>
            </w:r>
            <w:r>
              <w:rPr>
                <w:rFonts w:ascii="Times New Roman" w:hAnsi="Times New Roman" w:eastAsia="宋体" w:cs="Times New Roman"/>
                <w:b w:val="0"/>
                <w:bCs/>
                <w:caps w:val="0"/>
                <w:smallCaps w:val="0"/>
                <w:snapToGrid w:val="0"/>
                <w:color w:val="auto"/>
                <w:spacing w:val="0"/>
                <w:kern w:val="0"/>
                <w:szCs w:val="21"/>
                <w:highlight w:val="none"/>
              </w:rPr>
              <w:t>cm/s的</w:t>
            </w:r>
            <w:r>
              <w:rPr>
                <w:rFonts w:ascii="Times New Roman" w:hAnsi="Times New Roman" w:eastAsia="宋体" w:cs="Times New Roman"/>
                <w:b w:val="0"/>
                <w:bCs/>
                <w:caps w:val="0"/>
                <w:smallCaps w:val="0"/>
                <w:color w:val="auto"/>
                <w:spacing w:val="0"/>
                <w:szCs w:val="21"/>
                <w:highlight w:val="none"/>
              </w:rPr>
              <w:t>黏土层的防渗性能本项目生产车间依托原有，现有生产车间防渗已达到要求</w:t>
            </w:r>
            <w:r>
              <w:rPr>
                <w:rFonts w:ascii="Times New Roman" w:hAnsi="Times New Roman" w:eastAsia="宋体" w:cs="Times New Roman"/>
                <w:caps w:val="0"/>
                <w:smallCaps w:val="0"/>
                <w:snapToGrid w:val="0"/>
                <w:color w:val="auto"/>
                <w:spacing w:val="0"/>
                <w:kern w:val="0"/>
                <w:szCs w:val="21"/>
                <w:highlight w:val="none"/>
              </w:rPr>
              <w:t>。</w:t>
            </w:r>
          </w:p>
          <w:p w14:paraId="2410C78A">
            <w:pPr>
              <w:pStyle w:val="130"/>
              <w:widowControl w:val="0"/>
              <w:spacing w:line="240" w:lineRule="auto"/>
              <w:jc w:val="both"/>
              <w:rPr>
                <w:rFonts w:ascii="Times New Roman" w:hAnsi="Times New Roman" w:eastAsia="宋体" w:cs="Times New Roman"/>
                <w:caps w:val="0"/>
                <w:smallCaps w:val="0"/>
                <w:color w:val="auto"/>
                <w:spacing w:val="0"/>
                <w:szCs w:val="21"/>
                <w:highlight w:val="none"/>
              </w:rPr>
            </w:pPr>
            <w:r>
              <w:rPr>
                <w:rFonts w:ascii="Times New Roman" w:hAnsi="Times New Roman" w:eastAsia="宋体" w:cs="Times New Roman"/>
                <w:b w:val="0"/>
                <w:bCs/>
                <w:caps w:val="0"/>
                <w:smallCaps w:val="0"/>
                <w:snapToGrid w:val="0"/>
                <w:color w:val="auto"/>
                <w:spacing w:val="0"/>
                <w:kern w:val="0"/>
                <w:szCs w:val="21"/>
                <w:highlight w:val="none"/>
              </w:rPr>
              <w:t>简单防渗区：</w:t>
            </w:r>
            <w:r>
              <w:rPr>
                <w:rFonts w:ascii="Times New Roman" w:hAnsi="Times New Roman" w:eastAsia="宋体" w:cs="Times New Roman"/>
                <w:b w:val="0"/>
                <w:bCs/>
                <w:caps w:val="0"/>
                <w:smallCaps w:val="0"/>
                <w:color w:val="auto"/>
                <w:spacing w:val="0"/>
                <w:szCs w:val="21"/>
                <w:highlight w:val="none"/>
              </w:rPr>
              <w:t>其他区域划定为简单防渗区，进行一般地面硬化处理，道路为沥青混凝土路面，除道路外其余为水泥地面和绿化。</w:t>
            </w:r>
          </w:p>
        </w:tc>
      </w:tr>
      <w:tr w14:paraId="5AE5AC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4" w:type="pct"/>
            <w:vMerge w:val="continue"/>
            <w:tcBorders>
              <w:tl2br w:val="nil"/>
              <w:tr2bl w:val="nil"/>
            </w:tcBorders>
            <w:vAlign w:val="center"/>
          </w:tcPr>
          <w:p w14:paraId="713A936A">
            <w:pPr>
              <w:pStyle w:val="230"/>
              <w:spacing w:line="240" w:lineRule="auto"/>
              <w:rPr>
                <w:caps w:val="0"/>
                <w:smallCaps w:val="0"/>
                <w:color w:val="auto"/>
                <w:spacing w:val="0"/>
                <w:highlight w:val="none"/>
              </w:rPr>
            </w:pPr>
          </w:p>
        </w:tc>
        <w:tc>
          <w:tcPr>
            <w:tcW w:w="2276" w:type="pct"/>
            <w:gridSpan w:val="2"/>
            <w:tcBorders>
              <w:tl2br w:val="nil"/>
              <w:tr2bl w:val="nil"/>
            </w:tcBorders>
            <w:vAlign w:val="center"/>
          </w:tcPr>
          <w:p w14:paraId="56863A0A">
            <w:pPr>
              <w:pStyle w:val="230"/>
              <w:spacing w:line="240" w:lineRule="auto"/>
              <w:rPr>
                <w:caps w:val="0"/>
                <w:smallCaps w:val="0"/>
                <w:color w:val="auto"/>
                <w:spacing w:val="0"/>
                <w:highlight w:val="none"/>
              </w:rPr>
            </w:pPr>
            <w:r>
              <w:rPr>
                <w:caps w:val="0"/>
                <w:smallCaps w:val="0"/>
                <w:color w:val="auto"/>
                <w:spacing w:val="0"/>
                <w:highlight w:val="none"/>
              </w:rPr>
              <w:t>地下水监测井</w:t>
            </w:r>
          </w:p>
        </w:tc>
        <w:tc>
          <w:tcPr>
            <w:tcW w:w="299" w:type="pct"/>
            <w:tcBorders>
              <w:tl2br w:val="nil"/>
              <w:tr2bl w:val="nil"/>
            </w:tcBorders>
            <w:vAlign w:val="center"/>
          </w:tcPr>
          <w:p w14:paraId="7F3F3F9D">
            <w:pPr>
              <w:pStyle w:val="230"/>
              <w:spacing w:line="240" w:lineRule="auto"/>
              <w:rPr>
                <w:caps w:val="0"/>
                <w:smallCaps w:val="0"/>
                <w:color w:val="auto"/>
                <w:spacing w:val="0"/>
                <w:highlight w:val="none"/>
              </w:rPr>
            </w:pPr>
            <w:r>
              <w:rPr>
                <w:caps w:val="0"/>
                <w:smallCaps w:val="0"/>
                <w:color w:val="auto"/>
                <w:spacing w:val="0"/>
                <w:highlight w:val="none"/>
              </w:rPr>
              <w:t>1个</w:t>
            </w:r>
          </w:p>
        </w:tc>
        <w:tc>
          <w:tcPr>
            <w:tcW w:w="2049" w:type="pct"/>
            <w:tcBorders>
              <w:tl2br w:val="nil"/>
              <w:tr2bl w:val="nil"/>
            </w:tcBorders>
            <w:vAlign w:val="center"/>
          </w:tcPr>
          <w:p w14:paraId="5A4F4CAC">
            <w:pPr>
              <w:pStyle w:val="230"/>
              <w:spacing w:line="240" w:lineRule="auto"/>
              <w:rPr>
                <w:caps w:val="0"/>
                <w:smallCaps w:val="0"/>
                <w:color w:val="auto"/>
                <w:spacing w:val="0"/>
                <w:highlight w:val="none"/>
              </w:rPr>
            </w:pPr>
            <w:r>
              <w:rPr>
                <w:caps w:val="0"/>
                <w:smallCaps w:val="0"/>
                <w:color w:val="auto"/>
                <w:spacing w:val="0"/>
                <w:highlight w:val="none"/>
              </w:rPr>
              <w:t>监测地下水环境质量</w:t>
            </w:r>
          </w:p>
        </w:tc>
      </w:tr>
    </w:tbl>
    <w:p w14:paraId="5FD191A9">
      <w:pPr>
        <w:pStyle w:val="51"/>
        <w:rPr>
          <w:rFonts w:ascii="Times New Roman" w:hAnsi="Times New Roman"/>
          <w:caps w:val="0"/>
          <w:smallCaps w:val="0"/>
          <w:color w:val="auto"/>
          <w:spacing w:val="0"/>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425" w:num="1"/>
          <w:docGrid w:linePitch="312" w:charSpace="0"/>
        </w:sectPr>
      </w:pPr>
    </w:p>
    <w:p w14:paraId="73DE2A12">
      <w:pPr>
        <w:pStyle w:val="51"/>
        <w:rPr>
          <w:rFonts w:ascii="Times New Roman" w:hAnsi="Times New Roman"/>
          <w:caps w:val="0"/>
          <w:smallCaps w:val="0"/>
          <w:color w:val="auto"/>
          <w:spacing w:val="0"/>
          <w:highlight w:val="none"/>
        </w:rPr>
      </w:pPr>
    </w:p>
    <w:p w14:paraId="4735B7B7">
      <w:pPr>
        <w:pStyle w:val="3"/>
        <w:adjustRightInd w:val="0"/>
        <w:snapToGrid w:val="0"/>
        <w:spacing w:before="0" w:after="0" w:line="360" w:lineRule="auto"/>
        <w:rPr>
          <w:rFonts w:ascii="Times New Roman" w:hAnsi="Times New Roman" w:eastAsia="宋体" w:cs="Times New Roman"/>
          <w:caps w:val="0"/>
          <w:smallCaps w:val="0"/>
          <w:color w:val="auto"/>
          <w:spacing w:val="0"/>
          <w:highlight w:val="none"/>
        </w:rPr>
      </w:pPr>
      <w:bookmarkStart w:id="329" w:name="_Toc3099"/>
      <w:bookmarkStart w:id="330" w:name="_Toc18088"/>
      <w:bookmarkStart w:id="331" w:name="_Toc883"/>
      <w:bookmarkStart w:id="332" w:name="_Toc37083844"/>
      <w:bookmarkStart w:id="333" w:name="_Toc2600"/>
      <w:bookmarkStart w:id="334" w:name="_Toc26054"/>
      <w:bookmarkStart w:id="335" w:name="_Toc29842161"/>
      <w:bookmarkStart w:id="336" w:name="_Toc33448497"/>
      <w:bookmarkStart w:id="337" w:name="_Toc7796"/>
      <w:bookmarkStart w:id="338" w:name="_Toc1964"/>
      <w:r>
        <w:rPr>
          <w:rFonts w:ascii="Times New Roman" w:hAnsi="Times New Roman" w:eastAsia="宋体" w:cs="Times New Roman"/>
          <w:caps w:val="0"/>
          <w:smallCaps w:val="0"/>
          <w:color w:val="auto"/>
          <w:spacing w:val="0"/>
          <w:highlight w:val="none"/>
        </w:rPr>
        <w:t>9环境影响评价结论</w:t>
      </w:r>
      <w:bookmarkEnd w:id="329"/>
      <w:bookmarkEnd w:id="330"/>
      <w:bookmarkEnd w:id="331"/>
      <w:bookmarkEnd w:id="332"/>
      <w:bookmarkEnd w:id="333"/>
      <w:bookmarkEnd w:id="334"/>
      <w:bookmarkEnd w:id="335"/>
      <w:bookmarkEnd w:id="336"/>
      <w:bookmarkEnd w:id="337"/>
      <w:bookmarkEnd w:id="338"/>
    </w:p>
    <w:p w14:paraId="777696E5">
      <w:pPr>
        <w:pStyle w:val="4"/>
        <w:tabs>
          <w:tab w:val="left" w:pos="0"/>
        </w:tabs>
        <w:adjustRightInd w:val="0"/>
        <w:snapToGrid w:val="0"/>
        <w:rPr>
          <w:rFonts w:eastAsia="宋体"/>
          <w:caps w:val="0"/>
          <w:smallCaps w:val="0"/>
          <w:color w:val="auto"/>
          <w:spacing w:val="0"/>
          <w:highlight w:val="none"/>
        </w:rPr>
      </w:pPr>
      <w:bookmarkStart w:id="339" w:name="_Toc13427"/>
      <w:bookmarkStart w:id="340" w:name="_Toc37083845"/>
      <w:bookmarkStart w:id="341" w:name="_Toc29842162"/>
      <w:bookmarkStart w:id="342" w:name="_Toc10047"/>
      <w:bookmarkStart w:id="343" w:name="_Toc33448498"/>
      <w:bookmarkStart w:id="344" w:name="_Toc9926"/>
      <w:bookmarkStart w:id="345" w:name="_Toc29407"/>
      <w:bookmarkStart w:id="346" w:name="_Toc31939"/>
      <w:bookmarkStart w:id="347" w:name="_Toc325"/>
      <w:bookmarkStart w:id="348" w:name="_Toc29444"/>
      <w:r>
        <w:rPr>
          <w:rFonts w:eastAsia="宋体"/>
          <w:caps w:val="0"/>
          <w:smallCaps w:val="0"/>
          <w:color w:val="auto"/>
          <w:spacing w:val="0"/>
          <w:highlight w:val="none"/>
        </w:rPr>
        <w:t>9.1建设项目概况</w:t>
      </w:r>
      <w:bookmarkEnd w:id="339"/>
      <w:bookmarkEnd w:id="340"/>
      <w:bookmarkEnd w:id="341"/>
      <w:bookmarkEnd w:id="342"/>
      <w:bookmarkEnd w:id="343"/>
      <w:bookmarkEnd w:id="344"/>
      <w:bookmarkEnd w:id="345"/>
      <w:bookmarkEnd w:id="346"/>
      <w:bookmarkEnd w:id="347"/>
      <w:bookmarkEnd w:id="348"/>
    </w:p>
    <w:p w14:paraId="631F544C">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本项目为佳木斯中建材光电材料有限公司黑龙江省佳木斯市高新区年产100MW碲化镉弱光发电玻璃项目</w:t>
      </w:r>
      <w:r>
        <w:rPr>
          <w:rFonts w:hint="eastAsia" w:ascii="Times New Roman" w:hAnsi="Times New Roman" w:eastAsia="宋体" w:cs="Times New Roman"/>
          <w:caps w:val="0"/>
          <w:smallCaps w:val="0"/>
          <w:color w:val="auto"/>
          <w:spacing w:val="0"/>
          <w:highlight w:val="none"/>
        </w:rPr>
        <w:t>（重新报批），在</w:t>
      </w:r>
      <w:r>
        <w:rPr>
          <w:rFonts w:ascii="Times New Roman" w:hAnsi="Times New Roman" w:eastAsia="宋体" w:cs="Times New Roman"/>
          <w:caps w:val="0"/>
          <w:smallCaps w:val="0"/>
          <w:color w:val="auto"/>
          <w:spacing w:val="0"/>
          <w:highlight w:val="none"/>
        </w:rPr>
        <w:t>黑龙江省佳木斯市高新技术产业开发区轻工产业园（含新材料）内</w:t>
      </w:r>
      <w:r>
        <w:rPr>
          <w:rFonts w:ascii="Times New Roman" w:hAnsi="Times New Roman" w:eastAsia="宋体" w:cs="Times New Roman"/>
          <w:caps w:val="0"/>
          <w:smallCaps w:val="0"/>
          <w:color w:val="auto"/>
          <w:spacing w:val="0"/>
          <w:highlight w:val="none"/>
          <w:lang w:val="en-GB"/>
        </w:rPr>
        <w:t>，</w:t>
      </w:r>
      <w:r>
        <w:rPr>
          <w:rFonts w:ascii="Times New Roman" w:hAnsi="Times New Roman" w:eastAsia="宋体" w:cs="Times New Roman"/>
          <w:caps w:val="0"/>
          <w:smallCaps w:val="0"/>
          <w:color w:val="auto"/>
          <w:spacing w:val="0"/>
          <w:highlight w:val="none"/>
        </w:rPr>
        <w:t>不新增占地，用地性质为工业用地，建成后</w:t>
      </w:r>
      <w:r>
        <w:rPr>
          <w:rFonts w:ascii="Times New Roman" w:hAnsi="Times New Roman" w:eastAsia="宋体" w:cs="Times New Roman"/>
          <w:bCs/>
          <w:caps w:val="0"/>
          <w:smallCaps w:val="0"/>
          <w:color w:val="auto"/>
          <w:spacing w:val="0"/>
          <w:szCs w:val="24"/>
          <w:highlight w:val="none"/>
        </w:rPr>
        <w:t>年产100MW（可达126MW）碲化镉弱光发电玻璃</w:t>
      </w:r>
      <w:r>
        <w:rPr>
          <w:rFonts w:ascii="Times New Roman" w:hAnsi="Times New Roman" w:eastAsia="宋体" w:cs="Times New Roman"/>
          <w:caps w:val="0"/>
          <w:smallCaps w:val="0"/>
          <w:color w:val="auto"/>
          <w:spacing w:val="0"/>
          <w:highlight w:val="none"/>
        </w:rPr>
        <w:t>。总投资：90460万元。</w:t>
      </w:r>
    </w:p>
    <w:p w14:paraId="1EA8A8E3">
      <w:pPr>
        <w:widowControl w:val="0"/>
        <w:shd w:val="clear" w:color="auto" w:fill="FFFFFF"/>
        <w:spacing w:line="360" w:lineRule="auto"/>
        <w:ind w:firstLine="480"/>
        <w:rPr>
          <w:rFonts w:ascii="Times New Roman" w:hAnsi="Times New Roman" w:eastAsia="宋体" w:cs="Times New Roman"/>
          <w:caps w:val="0"/>
          <w:smallCaps w:val="0"/>
          <w:color w:val="auto"/>
          <w:spacing w:val="0"/>
          <w:kern w:val="0"/>
          <w:szCs w:val="24"/>
          <w:highlight w:val="none"/>
          <w:shd w:val="clear" w:color="auto" w:fill="FFFFFF"/>
          <w:lang w:bidi="ar"/>
        </w:rPr>
      </w:pPr>
      <w:r>
        <w:rPr>
          <w:rFonts w:ascii="Times New Roman" w:hAnsi="Times New Roman" w:eastAsia="宋体" w:cs="Times New Roman"/>
          <w:caps w:val="0"/>
          <w:smallCaps w:val="0"/>
          <w:color w:val="auto"/>
          <w:spacing w:val="0"/>
          <w:highlight w:val="none"/>
        </w:rPr>
        <w:t>建设内容：本项目</w:t>
      </w:r>
      <w:r>
        <w:rPr>
          <w:rFonts w:hint="eastAsia" w:ascii="Times New Roman" w:hAnsi="Times New Roman" w:eastAsia="宋体" w:cs="Times New Roman"/>
          <w:caps w:val="0"/>
          <w:smallCaps w:val="0"/>
          <w:color w:val="auto"/>
          <w:spacing w:val="0"/>
          <w:highlight w:val="none"/>
        </w:rPr>
        <w:t>为重新报批</w:t>
      </w:r>
      <w:r>
        <w:rPr>
          <w:rFonts w:ascii="Times New Roman" w:hAnsi="Times New Roman" w:eastAsia="宋体" w:cs="Times New Roman"/>
          <w:bCs/>
          <w:caps w:val="0"/>
          <w:smallCaps w:val="0"/>
          <w:color w:val="auto"/>
          <w:spacing w:val="0"/>
          <w:szCs w:val="24"/>
          <w:highlight w:val="none"/>
        </w:rPr>
        <w:t>一条年产100MW（可达126MW）碲化镉弱光发电玻璃生产线前端工艺，</w:t>
      </w:r>
      <w:r>
        <w:rPr>
          <w:rFonts w:ascii="Times New Roman" w:hAnsi="Times New Roman" w:eastAsia="宋体" w:cs="Times New Roman"/>
          <w:caps w:val="0"/>
          <w:smallCaps w:val="0"/>
          <w:color w:val="auto"/>
          <w:spacing w:val="0"/>
          <w:kern w:val="0"/>
          <w:szCs w:val="24"/>
          <w:highlight w:val="none"/>
          <w:shd w:val="clear" w:color="auto" w:fill="FFFFFF"/>
          <w:lang w:bidi="ar"/>
        </w:rPr>
        <w:t>对</w:t>
      </w:r>
      <w:r>
        <w:rPr>
          <w:rFonts w:hint="eastAsia" w:ascii="Times New Roman" w:hAnsi="Times New Roman" w:eastAsia="宋体" w:cs="Times New Roman"/>
          <w:caps w:val="0"/>
          <w:smallCaps w:val="0"/>
          <w:color w:val="auto"/>
          <w:spacing w:val="0"/>
          <w:kern w:val="0"/>
          <w:szCs w:val="24"/>
          <w:highlight w:val="none"/>
          <w:shd w:val="clear" w:color="auto" w:fill="FFFFFF"/>
          <w:lang w:bidi="ar"/>
        </w:rPr>
        <w:t>前端</w:t>
      </w:r>
      <w:r>
        <w:rPr>
          <w:rFonts w:ascii="Times New Roman" w:hAnsi="Times New Roman" w:eastAsia="宋体" w:cs="Times New Roman"/>
          <w:caps w:val="0"/>
          <w:smallCaps w:val="0"/>
          <w:color w:val="auto"/>
          <w:spacing w:val="0"/>
          <w:kern w:val="0"/>
          <w:szCs w:val="24"/>
          <w:highlight w:val="none"/>
          <w:shd w:val="clear" w:color="auto" w:fill="FFFFFF"/>
          <w:lang w:bidi="ar"/>
        </w:rPr>
        <w:t>镀膜线工艺进行</w:t>
      </w:r>
      <w:r>
        <w:rPr>
          <w:rFonts w:hint="eastAsia" w:ascii="Times New Roman" w:hAnsi="Times New Roman" w:eastAsia="宋体" w:cs="Times New Roman"/>
          <w:caps w:val="0"/>
          <w:smallCaps w:val="0"/>
          <w:color w:val="auto"/>
          <w:spacing w:val="0"/>
          <w:kern w:val="0"/>
          <w:szCs w:val="24"/>
          <w:highlight w:val="none"/>
          <w:shd w:val="clear" w:color="auto" w:fill="FFFFFF"/>
          <w:lang w:bidi="ar"/>
        </w:rPr>
        <w:t>升级</w:t>
      </w:r>
      <w:r>
        <w:rPr>
          <w:rFonts w:ascii="Times New Roman" w:hAnsi="Times New Roman" w:eastAsia="宋体" w:cs="Times New Roman"/>
          <w:caps w:val="0"/>
          <w:smallCaps w:val="0"/>
          <w:color w:val="auto"/>
          <w:spacing w:val="0"/>
          <w:kern w:val="0"/>
          <w:szCs w:val="24"/>
          <w:highlight w:val="none"/>
          <w:shd w:val="clear" w:color="auto" w:fill="FFFFFF"/>
          <w:lang w:bidi="ar"/>
        </w:rPr>
        <w:t>改造，并</w:t>
      </w:r>
      <w:r>
        <w:rPr>
          <w:rFonts w:ascii="Times New Roman" w:hAnsi="Times New Roman" w:eastAsia="宋体" w:cs="Times New Roman"/>
          <w:bCs/>
          <w:caps w:val="0"/>
          <w:smallCaps w:val="0"/>
          <w:color w:val="auto"/>
          <w:spacing w:val="0"/>
          <w:szCs w:val="24"/>
          <w:highlight w:val="none"/>
        </w:rPr>
        <w:t>建设配套污水处理设施</w:t>
      </w:r>
      <w:r>
        <w:rPr>
          <w:rFonts w:ascii="Times New Roman" w:hAnsi="Times New Roman" w:eastAsia="宋体" w:cs="Times New Roman"/>
          <w:caps w:val="0"/>
          <w:smallCaps w:val="0"/>
          <w:color w:val="auto"/>
          <w:spacing w:val="0"/>
          <w:szCs w:val="24"/>
          <w:highlight w:val="none"/>
        </w:rPr>
        <w:t>、实验室等配套设施，依托厂区办公楼、联合车间、外辅房及生活辅助设施等建筑面积约55162平方米</w:t>
      </w:r>
      <w:r>
        <w:rPr>
          <w:rFonts w:ascii="Times New Roman" w:hAnsi="Times New Roman" w:eastAsia="宋体" w:cs="Times New Roman"/>
          <w:caps w:val="0"/>
          <w:smallCaps w:val="0"/>
          <w:color w:val="auto"/>
          <w:spacing w:val="0"/>
          <w:kern w:val="0"/>
          <w:szCs w:val="24"/>
          <w:highlight w:val="none"/>
          <w:shd w:val="clear" w:color="auto" w:fill="FFFFFF"/>
          <w:lang w:bidi="ar"/>
        </w:rPr>
        <w:t>。</w:t>
      </w:r>
    </w:p>
    <w:p w14:paraId="66DE5C04">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工作制度及劳动定员：本项目不新增劳动定员，由厂区现有员工调配，项目年运行300天、3班/天、8小时/班。</w:t>
      </w:r>
    </w:p>
    <w:p w14:paraId="7DDC20A1">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本项目为</w:t>
      </w:r>
      <w:r>
        <w:rPr>
          <w:rFonts w:hint="eastAsia" w:ascii="Times New Roman" w:hAnsi="Times New Roman" w:eastAsia="宋体" w:cs="Times New Roman"/>
          <w:caps w:val="0"/>
          <w:smallCaps w:val="0"/>
          <w:color w:val="auto"/>
          <w:spacing w:val="0"/>
          <w:highlight w:val="none"/>
          <w:lang w:eastAsia="zh-CN"/>
        </w:rPr>
        <w:t>碲化镉弱光发</w:t>
      </w:r>
      <w:r>
        <w:rPr>
          <w:rFonts w:ascii="Times New Roman" w:hAnsi="Times New Roman" w:eastAsia="宋体" w:cs="Times New Roman"/>
          <w:caps w:val="0"/>
          <w:smallCaps w:val="0"/>
          <w:color w:val="auto"/>
          <w:spacing w:val="0"/>
          <w:highlight w:val="none"/>
        </w:rPr>
        <w:t>电玻璃项目，属薄膜太阳能光伏电池生产，年产量为100MW（可达产126MW），电池转化效率不小于16%，属于《产业结构调整指导目录（2024年本）》中允许类项目，因此，从产业政策符合性角度分析，本项目建设可行。</w:t>
      </w:r>
    </w:p>
    <w:p w14:paraId="5A14CA92">
      <w:pPr>
        <w:pStyle w:val="4"/>
        <w:tabs>
          <w:tab w:val="left" w:pos="0"/>
        </w:tabs>
        <w:adjustRightInd w:val="0"/>
        <w:snapToGrid w:val="0"/>
        <w:rPr>
          <w:rFonts w:eastAsia="宋体"/>
          <w:caps w:val="0"/>
          <w:smallCaps w:val="0"/>
          <w:color w:val="auto"/>
          <w:spacing w:val="0"/>
          <w:highlight w:val="none"/>
        </w:rPr>
      </w:pPr>
      <w:bookmarkStart w:id="349" w:name="_Toc4880"/>
      <w:bookmarkStart w:id="350" w:name="_Toc37083847"/>
      <w:bookmarkStart w:id="351" w:name="_Toc14904"/>
      <w:bookmarkStart w:id="352" w:name="_Toc3122"/>
      <w:bookmarkStart w:id="353" w:name="_Toc33448500"/>
      <w:bookmarkStart w:id="354" w:name="_Toc15903"/>
      <w:bookmarkStart w:id="355" w:name="_Toc14129"/>
      <w:bookmarkStart w:id="356" w:name="_Toc29842164"/>
      <w:bookmarkStart w:id="357" w:name="_Toc21650"/>
      <w:bookmarkStart w:id="358" w:name="_Toc33448499"/>
      <w:bookmarkStart w:id="359" w:name="_Toc37083846"/>
      <w:bookmarkStart w:id="360" w:name="_Toc29842163"/>
      <w:r>
        <w:rPr>
          <w:rFonts w:eastAsia="宋体"/>
          <w:caps w:val="0"/>
          <w:smallCaps w:val="0"/>
          <w:color w:val="auto"/>
          <w:spacing w:val="0"/>
          <w:highlight w:val="none"/>
        </w:rPr>
        <w:t>9.2环境质量现状评价结论</w:t>
      </w:r>
      <w:bookmarkEnd w:id="349"/>
      <w:bookmarkEnd w:id="350"/>
      <w:bookmarkEnd w:id="351"/>
      <w:bookmarkEnd w:id="352"/>
      <w:bookmarkEnd w:id="353"/>
      <w:bookmarkEnd w:id="354"/>
      <w:bookmarkEnd w:id="355"/>
      <w:bookmarkEnd w:id="356"/>
      <w:bookmarkEnd w:id="357"/>
    </w:p>
    <w:p w14:paraId="25A8FA06">
      <w:pPr>
        <w:pStyle w:val="5"/>
        <w:adjustRightInd w:val="0"/>
        <w:snapToGrid w:val="0"/>
        <w:rPr>
          <w:rFonts w:eastAsia="宋体"/>
          <w:caps w:val="0"/>
          <w:smallCaps w:val="0"/>
          <w:color w:val="auto"/>
          <w:spacing w:val="0"/>
          <w:highlight w:val="none"/>
        </w:rPr>
      </w:pPr>
      <w:bookmarkStart w:id="361" w:name="_Toc25785"/>
      <w:bookmarkStart w:id="362" w:name="_Toc20463"/>
      <w:bookmarkStart w:id="363" w:name="_Toc15111"/>
      <w:bookmarkStart w:id="364" w:name="_Toc4525"/>
      <w:bookmarkStart w:id="365" w:name="_Toc15507"/>
      <w:r>
        <w:rPr>
          <w:rFonts w:eastAsia="宋体"/>
          <w:caps w:val="0"/>
          <w:smallCaps w:val="0"/>
          <w:color w:val="auto"/>
          <w:spacing w:val="0"/>
          <w:highlight w:val="none"/>
        </w:rPr>
        <w:t>9.2.1</w:t>
      </w:r>
      <w:bookmarkEnd w:id="361"/>
      <w:r>
        <w:rPr>
          <w:rFonts w:eastAsia="宋体"/>
          <w:caps w:val="0"/>
          <w:smallCaps w:val="0"/>
          <w:color w:val="auto"/>
          <w:spacing w:val="0"/>
          <w:highlight w:val="none"/>
        </w:rPr>
        <w:t>大气环境</w:t>
      </w:r>
      <w:bookmarkEnd w:id="362"/>
      <w:bookmarkEnd w:id="363"/>
      <w:bookmarkEnd w:id="364"/>
      <w:bookmarkEnd w:id="365"/>
    </w:p>
    <w:p w14:paraId="69C97D2F">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w:t>
      </w:r>
      <w:r>
        <w:rPr>
          <w:rFonts w:ascii="Times New Roman" w:hAnsi="Times New Roman" w:eastAsia="宋体" w:cs="Times New Roman"/>
          <w:caps w:val="0"/>
          <w:smallCaps w:val="0"/>
          <w:color w:val="auto"/>
          <w:spacing w:val="0"/>
          <w:kern w:val="0"/>
          <w:szCs w:val="24"/>
          <w:highlight w:val="none"/>
        </w:rPr>
        <w:t>《2024年黑龙江省生态环境质量状况》可知</w:t>
      </w:r>
      <w:r>
        <w:rPr>
          <w:rFonts w:ascii="Times New Roman" w:hAnsi="Times New Roman" w:eastAsia="宋体" w:cs="Times New Roman"/>
          <w:caps w:val="0"/>
          <w:smallCaps w:val="0"/>
          <w:color w:val="auto"/>
          <w:spacing w:val="0"/>
          <w:highlight w:val="none"/>
        </w:rPr>
        <w:t>佳木斯市2024年环境空气质量达标区判定结果，项目所在区为达标区，空气环境质量总体良好。</w:t>
      </w:r>
    </w:p>
    <w:p w14:paraId="4417B38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补充监测期间监测点</w:t>
      </w:r>
      <w:r>
        <w:rPr>
          <w:rFonts w:hint="eastAsia" w:ascii="Times New Roman" w:hAnsi="Times New Roman" w:cs="Times New Roman"/>
          <w:caps w:val="0"/>
          <w:smallCaps w:val="0"/>
          <w:color w:val="auto"/>
          <w:spacing w:val="0"/>
          <w:szCs w:val="24"/>
          <w:highlight w:val="none"/>
        </w:rPr>
        <w:t>氮氧化物满足</w:t>
      </w:r>
      <w:r>
        <w:rPr>
          <w:rFonts w:ascii="Times New Roman" w:hAnsi="Times New Roman" w:eastAsia="宋体" w:cs="Times New Roman"/>
          <w:caps w:val="0"/>
          <w:smallCaps w:val="0"/>
          <w:color w:val="auto"/>
          <w:spacing w:val="0"/>
          <w:szCs w:val="24"/>
          <w:highlight w:val="none"/>
        </w:rPr>
        <w:t>《环境空气质量标准》（GB3095－2012）</w:t>
      </w:r>
      <w:r>
        <w:rPr>
          <w:rFonts w:hint="eastAsia" w:ascii="Times New Roman" w:hAnsi="Times New Roman" w:eastAsia="宋体" w:cs="Times New Roman"/>
          <w:caps w:val="0"/>
          <w:smallCaps w:val="0"/>
          <w:color w:val="auto"/>
          <w:spacing w:val="0"/>
          <w:szCs w:val="24"/>
          <w:highlight w:val="none"/>
        </w:rPr>
        <w:t>表2中二级标准24小时平均浓度限值；</w:t>
      </w:r>
      <w:r>
        <w:rPr>
          <w:rFonts w:ascii="Times New Roman" w:hAnsi="Times New Roman" w:eastAsia="宋体" w:cs="Times New Roman"/>
          <w:caps w:val="0"/>
          <w:smallCaps w:val="0"/>
          <w:color w:val="auto"/>
          <w:spacing w:val="0"/>
          <w:szCs w:val="24"/>
          <w:highlight w:val="none"/>
        </w:rPr>
        <w:t>HCl</w:t>
      </w:r>
      <w:r>
        <w:rPr>
          <w:rFonts w:hint="eastAsia" w:ascii="Times New Roman" w:hAnsi="Times New Roman" w:eastAsia="宋体" w:cs="Times New Roman"/>
          <w:caps w:val="0"/>
          <w:smallCaps w:val="0"/>
          <w:color w:val="auto"/>
          <w:spacing w:val="0"/>
          <w:szCs w:val="24"/>
          <w:highlight w:val="none"/>
        </w:rPr>
        <w:t>满足</w:t>
      </w:r>
      <w:r>
        <w:rPr>
          <w:rFonts w:ascii="Times New Roman" w:hAnsi="Times New Roman" w:eastAsia="宋体" w:cs="Times New Roman"/>
          <w:caps w:val="0"/>
          <w:smallCaps w:val="0"/>
          <w:color w:val="auto"/>
          <w:spacing w:val="0"/>
          <w:szCs w:val="24"/>
          <w:highlight w:val="none"/>
        </w:rPr>
        <w:t>《环境影响评价技术导则大气环境》附录D中日平均浓度限值</w:t>
      </w:r>
      <w:r>
        <w:rPr>
          <w:rFonts w:hint="eastAsia"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highlight w:val="none"/>
        </w:rPr>
        <w:t>非甲烷总烃均满足《大气污染物综合排放标准》（GB16297--1996）中浓度限值要求。</w:t>
      </w:r>
    </w:p>
    <w:p w14:paraId="1105403E">
      <w:pPr>
        <w:pStyle w:val="5"/>
        <w:adjustRightInd w:val="0"/>
        <w:snapToGrid w:val="0"/>
        <w:rPr>
          <w:rFonts w:eastAsia="宋体"/>
          <w:caps w:val="0"/>
          <w:smallCaps w:val="0"/>
          <w:color w:val="auto"/>
          <w:spacing w:val="0"/>
          <w:highlight w:val="none"/>
        </w:rPr>
      </w:pPr>
      <w:bookmarkStart w:id="366" w:name="_Toc6191"/>
      <w:bookmarkStart w:id="367" w:name="_Toc14034"/>
      <w:bookmarkStart w:id="368" w:name="_Toc10053"/>
      <w:bookmarkStart w:id="369" w:name="_Toc14685"/>
      <w:bookmarkStart w:id="370" w:name="_Toc14401"/>
      <w:r>
        <w:rPr>
          <w:rFonts w:eastAsia="宋体"/>
          <w:caps w:val="0"/>
          <w:smallCaps w:val="0"/>
          <w:color w:val="auto"/>
          <w:spacing w:val="0"/>
          <w:highlight w:val="none"/>
        </w:rPr>
        <w:t>9.2.2地表水环境</w:t>
      </w:r>
      <w:bookmarkEnd w:id="366"/>
      <w:bookmarkEnd w:id="367"/>
      <w:bookmarkEnd w:id="368"/>
      <w:bookmarkEnd w:id="369"/>
      <w:bookmarkEnd w:id="370"/>
    </w:p>
    <w:p w14:paraId="30249D18">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bookmarkStart w:id="371" w:name="_Toc1151"/>
      <w:bookmarkStart w:id="372" w:name="_Toc2767"/>
      <w:bookmarkStart w:id="373" w:name="_Toc7993"/>
      <w:bookmarkStart w:id="374" w:name="_Toc5819"/>
      <w:r>
        <w:rPr>
          <w:rFonts w:ascii="Times New Roman" w:hAnsi="Times New Roman" w:eastAsia="宋体" w:cs="Times New Roman"/>
          <w:caps w:val="0"/>
          <w:smallCaps w:val="0"/>
          <w:color w:val="auto"/>
          <w:spacing w:val="0"/>
          <w:szCs w:val="24"/>
          <w:highlight w:val="none"/>
        </w:rPr>
        <w:t>本项目所在区域纳污地表水体为</w:t>
      </w:r>
      <w:r>
        <w:rPr>
          <w:rFonts w:hint="eastAsia" w:ascii="Times New Roman" w:hAnsi="Times New Roman" w:eastAsia="宋体" w:cs="Times New Roman"/>
          <w:caps w:val="0"/>
          <w:smallCaps w:val="0"/>
          <w:color w:val="auto"/>
          <w:spacing w:val="0"/>
          <w:szCs w:val="24"/>
          <w:highlight w:val="none"/>
          <w:lang w:eastAsia="zh-CN"/>
        </w:rPr>
        <w:t>铃铛麦河</w:t>
      </w:r>
      <w:r>
        <w:rPr>
          <w:rFonts w:ascii="Times New Roman" w:hAnsi="Times New Roman" w:eastAsia="宋体" w:cs="Times New Roman"/>
          <w:caps w:val="0"/>
          <w:smallCaps w:val="0"/>
          <w:color w:val="auto"/>
          <w:spacing w:val="0"/>
          <w:szCs w:val="24"/>
          <w:highlight w:val="none"/>
        </w:rPr>
        <w:t>，根据《全国重要江河湖泊水功能区划（2011-2030年）》，</w:t>
      </w:r>
      <w:r>
        <w:rPr>
          <w:rFonts w:hint="eastAsia" w:ascii="Times New Roman" w:hAnsi="Times New Roman" w:eastAsia="宋体" w:cs="Times New Roman"/>
          <w:caps w:val="0"/>
          <w:smallCaps w:val="0"/>
          <w:color w:val="auto"/>
          <w:spacing w:val="0"/>
          <w:szCs w:val="24"/>
          <w:highlight w:val="none"/>
          <w:lang w:eastAsia="zh-CN"/>
        </w:rPr>
        <w:t>铃铛麦河</w:t>
      </w:r>
      <w:r>
        <w:rPr>
          <w:rFonts w:ascii="Times New Roman" w:hAnsi="Times New Roman" w:eastAsia="宋体" w:cs="Times New Roman"/>
          <w:caps w:val="0"/>
          <w:smallCaps w:val="0"/>
          <w:color w:val="auto"/>
          <w:spacing w:val="0"/>
          <w:szCs w:val="24"/>
          <w:highlight w:val="none"/>
        </w:rPr>
        <w:t>无水体类别，</w:t>
      </w:r>
      <w:r>
        <w:rPr>
          <w:rFonts w:hint="eastAsia" w:ascii="Times New Roman" w:hAnsi="Times New Roman" w:eastAsia="宋体" w:cs="Times New Roman"/>
          <w:caps w:val="0"/>
          <w:smallCaps w:val="0"/>
          <w:color w:val="auto"/>
          <w:spacing w:val="0"/>
          <w:szCs w:val="24"/>
          <w:highlight w:val="none"/>
          <w:lang w:eastAsia="zh-CN"/>
        </w:rPr>
        <w:t>铃铛麦河途经音达木河</w:t>
      </w:r>
      <w:r>
        <w:rPr>
          <w:rFonts w:ascii="Times New Roman" w:hAnsi="Times New Roman" w:eastAsia="宋体" w:cs="Times New Roman"/>
          <w:caps w:val="0"/>
          <w:smallCaps w:val="0"/>
          <w:color w:val="auto"/>
          <w:spacing w:val="0"/>
          <w:szCs w:val="24"/>
          <w:highlight w:val="none"/>
        </w:rPr>
        <w:t>最终汇入松花江（宏力村—中和村）。根据《2024年黑龙江省生态环境质量状况》，项目所在区域国家地表水考核断面佳木斯下断面水质达到</w:t>
      </w:r>
      <w:r>
        <w:rPr>
          <w:rFonts w:hint="eastAsia" w:ascii="Times New Roman" w:hAnsi="Times New Roman" w:cs="Times New Roman"/>
          <w:caps w:val="0"/>
          <w:smallCaps w:val="0"/>
          <w:color w:val="auto"/>
          <w:spacing w:val="0"/>
          <w:highlight w:val="none"/>
          <w:lang w:val="en-US" w:eastAsia="zh-CN"/>
        </w:rPr>
        <w:t>III</w:t>
      </w:r>
      <w:r>
        <w:rPr>
          <w:rFonts w:ascii="Times New Roman" w:hAnsi="Times New Roman" w:eastAsia="宋体" w:cs="Times New Roman"/>
          <w:caps w:val="0"/>
          <w:smallCaps w:val="0"/>
          <w:color w:val="auto"/>
          <w:spacing w:val="0"/>
          <w:szCs w:val="24"/>
          <w:highlight w:val="none"/>
        </w:rPr>
        <w:t>类水质要求，水质状况良好，满足所在水环境功能区要求</w:t>
      </w:r>
      <w:r>
        <w:rPr>
          <w:rFonts w:ascii="Times New Roman" w:hAnsi="Times New Roman" w:eastAsia="宋体" w:cs="Times New Roman"/>
          <w:caps w:val="0"/>
          <w:smallCaps w:val="0"/>
          <w:color w:val="auto"/>
          <w:spacing w:val="0"/>
          <w:highlight w:val="none"/>
        </w:rPr>
        <w:t>。</w:t>
      </w:r>
    </w:p>
    <w:p w14:paraId="07B8D1B1">
      <w:pPr>
        <w:pStyle w:val="5"/>
        <w:adjustRightInd w:val="0"/>
        <w:snapToGrid w:val="0"/>
        <w:rPr>
          <w:rFonts w:eastAsia="宋体"/>
          <w:caps w:val="0"/>
          <w:smallCaps w:val="0"/>
          <w:color w:val="auto"/>
          <w:spacing w:val="0"/>
          <w:highlight w:val="none"/>
        </w:rPr>
      </w:pPr>
      <w:bookmarkStart w:id="375" w:name="_Toc23832"/>
      <w:r>
        <w:rPr>
          <w:rFonts w:eastAsia="宋体"/>
          <w:caps w:val="0"/>
          <w:smallCaps w:val="0"/>
          <w:color w:val="auto"/>
          <w:spacing w:val="0"/>
          <w:highlight w:val="none"/>
        </w:rPr>
        <w:t>9.2.3地下水环境</w:t>
      </w:r>
      <w:bookmarkEnd w:id="371"/>
      <w:bookmarkEnd w:id="372"/>
      <w:bookmarkEnd w:id="373"/>
      <w:bookmarkEnd w:id="374"/>
      <w:bookmarkEnd w:id="375"/>
    </w:p>
    <w:p w14:paraId="0DA1568D">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根据本项目地下水水质监测结果显示：采用舒卡列夫方法计算可知，区域地下水化学类型主要为</w:t>
      </w:r>
      <w:r>
        <w:rPr>
          <w:rFonts w:ascii="Times New Roman" w:hAnsi="Times New Roman" w:eastAsia="宋体" w:cs="Times New Roman"/>
          <w:caps w:val="0"/>
          <w:smallCaps w:val="0"/>
          <w:color w:val="auto"/>
          <w:spacing w:val="0"/>
          <w:szCs w:val="24"/>
          <w:highlight w:val="none"/>
        </w:rPr>
        <w:t>HCO</w:t>
      </w:r>
      <w:r>
        <w:rPr>
          <w:rFonts w:ascii="Times New Roman" w:hAnsi="Times New Roman" w:eastAsia="宋体" w:cs="Times New Roman"/>
          <w:caps w:val="0"/>
          <w:smallCaps w:val="0"/>
          <w:color w:val="auto"/>
          <w:spacing w:val="0"/>
          <w:szCs w:val="24"/>
          <w:highlight w:val="none"/>
          <w:vertAlign w:val="subscript"/>
        </w:rPr>
        <w:t>3</w:t>
      </w:r>
      <w:r>
        <w:rPr>
          <w:rFonts w:ascii="Times New Roman" w:hAnsi="Times New Roman" w:eastAsia="宋体" w:cs="Times New Roman"/>
          <w:caps w:val="0"/>
          <w:smallCaps w:val="0"/>
          <w:color w:val="auto"/>
          <w:spacing w:val="0"/>
          <w:szCs w:val="24"/>
          <w:highlight w:val="none"/>
          <w:vertAlign w:val="superscript"/>
        </w:rPr>
        <w:t>-</w:t>
      </w:r>
      <w:r>
        <w:rPr>
          <w:rFonts w:ascii="Times New Roman" w:hAnsi="Times New Roman" w:eastAsia="宋体" w:cs="Times New Roman"/>
          <w:caps w:val="0"/>
          <w:smallCaps w:val="0"/>
          <w:color w:val="auto"/>
          <w:spacing w:val="0"/>
          <w:szCs w:val="24"/>
          <w:highlight w:val="none"/>
        </w:rPr>
        <w:t>-Ca</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rPr>
        <w:t>-Mg</w:t>
      </w:r>
      <w:r>
        <w:rPr>
          <w:rFonts w:ascii="Times New Roman" w:hAnsi="Times New Roman" w:eastAsia="宋体" w:cs="Times New Roman"/>
          <w:caps w:val="0"/>
          <w:smallCaps w:val="0"/>
          <w:color w:val="auto"/>
          <w:spacing w:val="0"/>
          <w:szCs w:val="24"/>
          <w:highlight w:val="none"/>
          <w:vertAlign w:val="superscript"/>
        </w:rPr>
        <w:t>2+</w:t>
      </w:r>
      <w:r>
        <w:rPr>
          <w:rFonts w:ascii="Times New Roman" w:hAnsi="Times New Roman" w:eastAsia="宋体" w:cs="Times New Roman"/>
          <w:caps w:val="0"/>
          <w:smallCaps w:val="0"/>
          <w:color w:val="auto"/>
          <w:spacing w:val="0"/>
          <w:szCs w:val="24"/>
          <w:highlight w:val="none"/>
          <w:lang w:bidi="ar"/>
        </w:rPr>
        <w:t>型水</w:t>
      </w:r>
      <w:r>
        <w:rPr>
          <w:rFonts w:ascii="Times New Roman" w:hAnsi="Times New Roman" w:eastAsia="宋体" w:cs="Times New Roman"/>
          <w:caps w:val="0"/>
          <w:smallCaps w:val="0"/>
          <w:color w:val="auto"/>
          <w:spacing w:val="0"/>
          <w:highlight w:val="none"/>
        </w:rPr>
        <w:t>；通过对评价区地下水现状监测数据分析可知：</w:t>
      </w:r>
      <w:r>
        <w:rPr>
          <w:rFonts w:ascii="Times New Roman" w:hAnsi="Times New Roman" w:eastAsia="宋体" w:cs="Times New Roman"/>
          <w:caps w:val="0"/>
          <w:smallCaps w:val="0"/>
          <w:color w:val="auto"/>
          <w:spacing w:val="0"/>
          <w:szCs w:val="24"/>
          <w:highlight w:val="none"/>
          <w:lang w:bidi="ar"/>
        </w:rPr>
        <w:t>项目评价区域各监测点监测因子均符合《地下水质量标准》（GB/T14848-2017）中Ⅲ类标准</w:t>
      </w:r>
      <w:r>
        <w:rPr>
          <w:rFonts w:ascii="Times New Roman" w:hAnsi="Times New Roman" w:eastAsia="宋体" w:cs="Times New Roman"/>
          <w:caps w:val="0"/>
          <w:smallCaps w:val="0"/>
          <w:color w:val="auto"/>
          <w:spacing w:val="0"/>
          <w:highlight w:val="none"/>
        </w:rPr>
        <w:t>，即区域周边浅层地下水水质整体较好。</w:t>
      </w:r>
    </w:p>
    <w:p w14:paraId="62B8456D">
      <w:pPr>
        <w:pStyle w:val="5"/>
        <w:adjustRightInd w:val="0"/>
        <w:snapToGrid w:val="0"/>
        <w:rPr>
          <w:rFonts w:eastAsia="宋体"/>
          <w:caps w:val="0"/>
          <w:smallCaps w:val="0"/>
          <w:color w:val="auto"/>
          <w:spacing w:val="0"/>
          <w:highlight w:val="none"/>
        </w:rPr>
      </w:pPr>
      <w:bookmarkStart w:id="376" w:name="_Toc25364"/>
      <w:bookmarkStart w:id="377" w:name="_Toc11085"/>
      <w:bookmarkStart w:id="378" w:name="_Toc12820"/>
      <w:bookmarkStart w:id="379" w:name="_Toc32394"/>
      <w:bookmarkStart w:id="380" w:name="_Toc20001"/>
      <w:r>
        <w:rPr>
          <w:rFonts w:eastAsia="宋体"/>
          <w:caps w:val="0"/>
          <w:smallCaps w:val="0"/>
          <w:color w:val="auto"/>
          <w:spacing w:val="0"/>
          <w:highlight w:val="none"/>
        </w:rPr>
        <w:t>9.2.4声环境</w:t>
      </w:r>
      <w:bookmarkEnd w:id="376"/>
      <w:bookmarkEnd w:id="377"/>
      <w:bookmarkEnd w:id="378"/>
      <w:bookmarkEnd w:id="379"/>
      <w:bookmarkEnd w:id="380"/>
    </w:p>
    <w:p w14:paraId="13426827">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本次评价通过2025年7月14日~7月15日</w:t>
      </w:r>
      <w:r>
        <w:rPr>
          <w:rFonts w:ascii="Times New Roman" w:hAnsi="Times New Roman" w:eastAsia="宋体" w:cs="Times New Roman"/>
          <w:caps w:val="0"/>
          <w:smallCaps w:val="0"/>
          <w:color w:val="auto"/>
          <w:spacing w:val="0"/>
          <w:szCs w:val="24"/>
          <w:highlight w:val="none"/>
        </w:rPr>
        <w:t>监测结果表明，项目厂界昼间环境噪声值在51dB(A)-54dB(A)之间，夜间声环境值在41dB(A)-44dB(A)之间，各监测点昼夜噪声值均满足《声环境质量标准》（GB3096-2008）中3类区标准要求，区域声环境质量较好。</w:t>
      </w:r>
    </w:p>
    <w:p w14:paraId="661C1D71">
      <w:pPr>
        <w:pStyle w:val="5"/>
        <w:adjustRightInd w:val="0"/>
        <w:snapToGrid w:val="0"/>
        <w:rPr>
          <w:rFonts w:eastAsia="宋体"/>
          <w:caps w:val="0"/>
          <w:smallCaps w:val="0"/>
          <w:color w:val="auto"/>
          <w:spacing w:val="0"/>
          <w:highlight w:val="none"/>
        </w:rPr>
      </w:pPr>
      <w:bookmarkStart w:id="381" w:name="_Toc17108"/>
      <w:bookmarkStart w:id="382" w:name="_Toc738"/>
      <w:bookmarkStart w:id="383" w:name="_Toc13755"/>
      <w:bookmarkStart w:id="384" w:name="_Toc21130"/>
      <w:bookmarkStart w:id="385" w:name="_Toc31303"/>
      <w:r>
        <w:rPr>
          <w:rFonts w:eastAsia="宋体"/>
          <w:caps w:val="0"/>
          <w:smallCaps w:val="0"/>
          <w:color w:val="auto"/>
          <w:spacing w:val="0"/>
          <w:highlight w:val="none"/>
        </w:rPr>
        <w:t>9.2.5土壤环境</w:t>
      </w:r>
      <w:bookmarkEnd w:id="381"/>
      <w:bookmarkEnd w:id="382"/>
      <w:bookmarkEnd w:id="383"/>
      <w:bookmarkEnd w:id="384"/>
      <w:bookmarkEnd w:id="385"/>
    </w:p>
    <w:p w14:paraId="52BCDDAA">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本项目占地范围内各监测点的土壤环境质量现状均符合《土壤环境质量建设用地土壤污染风险管控标准（试行）》（GB36600-2018）中的第二类用地风险筛选值，本项目土壤环境质量现状满足要求。</w:t>
      </w:r>
    </w:p>
    <w:bookmarkEnd w:id="358"/>
    <w:bookmarkEnd w:id="359"/>
    <w:bookmarkEnd w:id="360"/>
    <w:p w14:paraId="63BE8462">
      <w:pPr>
        <w:pStyle w:val="4"/>
        <w:rPr>
          <w:caps w:val="0"/>
          <w:smallCaps w:val="0"/>
          <w:color w:val="auto"/>
          <w:spacing w:val="0"/>
          <w:highlight w:val="none"/>
        </w:rPr>
      </w:pPr>
      <w:bookmarkStart w:id="386" w:name="_Toc37083849"/>
      <w:bookmarkStart w:id="387" w:name="_Toc30416"/>
      <w:bookmarkStart w:id="388" w:name="_Toc33448506"/>
      <w:bookmarkStart w:id="389" w:name="_Toc29842166"/>
      <w:bookmarkStart w:id="390" w:name="_Toc29489"/>
      <w:bookmarkStart w:id="391" w:name="_Toc5278"/>
      <w:bookmarkStart w:id="392" w:name="_Toc5704"/>
      <w:bookmarkStart w:id="393" w:name="_Toc6869"/>
      <w:bookmarkStart w:id="394" w:name="_Toc3983"/>
      <w:bookmarkStart w:id="395" w:name="_Toc1385"/>
      <w:r>
        <w:rPr>
          <w:caps w:val="0"/>
          <w:smallCaps w:val="0"/>
          <w:color w:val="auto"/>
          <w:spacing w:val="0"/>
          <w:highlight w:val="none"/>
        </w:rPr>
        <w:t>9.3环境影响评价结论</w:t>
      </w:r>
      <w:bookmarkEnd w:id="386"/>
      <w:bookmarkEnd w:id="387"/>
      <w:bookmarkEnd w:id="388"/>
      <w:bookmarkEnd w:id="389"/>
      <w:bookmarkEnd w:id="390"/>
      <w:bookmarkEnd w:id="391"/>
      <w:bookmarkEnd w:id="392"/>
      <w:bookmarkEnd w:id="393"/>
      <w:bookmarkEnd w:id="394"/>
      <w:bookmarkEnd w:id="395"/>
    </w:p>
    <w:p w14:paraId="4C08A0B5">
      <w:pPr>
        <w:pStyle w:val="5"/>
        <w:adjustRightInd w:val="0"/>
        <w:snapToGrid w:val="0"/>
        <w:rPr>
          <w:rFonts w:eastAsia="宋体"/>
          <w:caps w:val="0"/>
          <w:smallCaps w:val="0"/>
          <w:color w:val="auto"/>
          <w:spacing w:val="0"/>
          <w:highlight w:val="none"/>
        </w:rPr>
      </w:pPr>
      <w:bookmarkStart w:id="396" w:name="_Toc33448507"/>
      <w:bookmarkStart w:id="397" w:name="_Toc31126"/>
      <w:bookmarkStart w:id="398" w:name="_Toc763"/>
      <w:bookmarkStart w:id="399" w:name="_Toc32119"/>
      <w:bookmarkStart w:id="400" w:name="_Toc11572"/>
      <w:bookmarkStart w:id="401" w:name="_Toc14663"/>
      <w:r>
        <w:rPr>
          <w:rFonts w:eastAsia="宋体"/>
          <w:caps w:val="0"/>
          <w:smallCaps w:val="0"/>
          <w:color w:val="auto"/>
          <w:spacing w:val="0"/>
          <w:highlight w:val="none"/>
        </w:rPr>
        <w:t>9.3.1</w:t>
      </w:r>
      <w:bookmarkEnd w:id="396"/>
      <w:r>
        <w:rPr>
          <w:rFonts w:eastAsia="宋体"/>
          <w:caps w:val="0"/>
          <w:smallCaps w:val="0"/>
          <w:color w:val="auto"/>
          <w:spacing w:val="0"/>
          <w:highlight w:val="none"/>
        </w:rPr>
        <w:t>大气环境影响评价结论</w:t>
      </w:r>
      <w:bookmarkEnd w:id="397"/>
      <w:bookmarkEnd w:id="398"/>
      <w:bookmarkEnd w:id="399"/>
      <w:bookmarkEnd w:id="400"/>
      <w:bookmarkEnd w:id="401"/>
    </w:p>
    <w:p w14:paraId="323813DA">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本项目位于黑龙江省佳木斯市，为环境空气质量达标区。</w:t>
      </w:r>
    </w:p>
    <w:p w14:paraId="2D602A13">
      <w:pPr>
        <w:pStyle w:val="109"/>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根据预测结果可知最大占标率为DA001排气筒排放的镉及其化合物最大占标率为</w:t>
      </w:r>
      <w:r>
        <w:rPr>
          <w:rFonts w:hint="eastAsia" w:ascii="Times New Roman" w:hAnsi="Times New Roman" w:eastAsia="宋体" w:cs="Times New Roman"/>
          <w:caps w:val="0"/>
          <w:smallCaps w:val="0"/>
          <w:color w:val="auto"/>
          <w:spacing w:val="0"/>
          <w:highlight w:val="none"/>
          <w:lang w:val="en-US" w:eastAsia="zh-CN"/>
        </w:rPr>
        <w:t>0.70</w:t>
      </w:r>
      <w:r>
        <w:rPr>
          <w:rFonts w:ascii="Times New Roman" w:hAnsi="Times New Roman" w:eastAsia="宋体" w:cs="Times New Roman"/>
          <w:caps w:val="0"/>
          <w:smallCaps w:val="0"/>
          <w:color w:val="auto"/>
          <w:spacing w:val="0"/>
          <w:highlight w:val="none"/>
        </w:rPr>
        <w:t>%，其对环境的最大地面贡献浓度为0.00</w:t>
      </w:r>
      <w:r>
        <w:rPr>
          <w:rFonts w:hint="eastAsia" w:ascii="Times New Roman" w:hAnsi="Times New Roman" w:eastAsia="宋体" w:cs="Times New Roman"/>
          <w:caps w:val="0"/>
          <w:smallCaps w:val="0"/>
          <w:color w:val="auto"/>
          <w:spacing w:val="0"/>
          <w:highlight w:val="none"/>
          <w:lang w:val="en-US" w:eastAsia="zh-CN"/>
        </w:rPr>
        <w:t>0</w:t>
      </w:r>
      <w:r>
        <w:rPr>
          <w:rFonts w:ascii="Times New Roman" w:hAnsi="Times New Roman" w:eastAsia="宋体" w:cs="Times New Roman"/>
          <w:caps w:val="0"/>
          <w:smallCaps w:val="0"/>
          <w:color w:val="auto"/>
          <w:spacing w:val="0"/>
          <w:highlight w:val="none"/>
        </w:rPr>
        <w:t>2</w:t>
      </w:r>
      <w:r>
        <w:rPr>
          <w:rFonts w:hint="eastAsia" w:ascii="Times New Roman" w:hAnsi="Times New Roman" w:eastAsia="宋体" w:cs="Times New Roman"/>
          <w:caps w:val="0"/>
          <w:smallCaps w:val="0"/>
          <w:color w:val="auto"/>
          <w:spacing w:val="0"/>
          <w:highlight w:val="none"/>
          <w:lang w:val="en-US" w:eastAsia="zh-CN"/>
        </w:rPr>
        <w:t>10</w:t>
      </w:r>
      <w:r>
        <w:rPr>
          <w:rFonts w:ascii="Times New Roman" w:hAnsi="Times New Roman" w:eastAsia="宋体" w:cs="Times New Roman"/>
          <w:caps w:val="0"/>
          <w:smallCaps w:val="0"/>
          <w:color w:val="auto"/>
          <w:spacing w:val="0"/>
          <w:highlight w:val="none"/>
        </w:rPr>
        <w:t>μg/m</w:t>
      </w:r>
      <w:r>
        <w:rPr>
          <w:rFonts w:ascii="Times New Roman" w:hAnsi="Times New Roman" w:eastAsia="宋体" w:cs="Times New Roman"/>
          <w:caps w:val="0"/>
          <w:smallCaps w:val="0"/>
          <w:color w:val="auto"/>
          <w:spacing w:val="0"/>
          <w:highlight w:val="none"/>
          <w:vertAlign w:val="superscript"/>
        </w:rPr>
        <w:t>3</w:t>
      </w:r>
      <w:r>
        <w:rPr>
          <w:rFonts w:ascii="Times New Roman" w:hAnsi="Times New Roman" w:eastAsia="宋体" w:cs="Times New Roman"/>
          <w:caps w:val="0"/>
          <w:smallCaps w:val="0"/>
          <w:color w:val="auto"/>
          <w:spacing w:val="0"/>
          <w:highlight w:val="none"/>
        </w:rPr>
        <w:t>，最大落地距离为98m。说明项目在采取</w:t>
      </w:r>
      <w:r>
        <w:rPr>
          <w:rFonts w:hint="eastAsia" w:ascii="Times New Roman" w:hAnsi="Times New Roman" w:eastAsia="宋体" w:cs="Times New Roman"/>
          <w:caps w:val="0"/>
          <w:smallCaps w:val="0"/>
          <w:color w:val="auto"/>
          <w:spacing w:val="0"/>
          <w:highlight w:val="none"/>
        </w:rPr>
        <w:t>环境治理</w:t>
      </w:r>
      <w:r>
        <w:rPr>
          <w:rFonts w:ascii="Times New Roman" w:hAnsi="Times New Roman" w:eastAsia="宋体" w:cs="Times New Roman"/>
          <w:caps w:val="0"/>
          <w:smallCaps w:val="0"/>
          <w:color w:val="auto"/>
          <w:spacing w:val="0"/>
          <w:highlight w:val="none"/>
        </w:rPr>
        <w:t>措施后排放的污染物对环境的影响不大，当地环境空气质量可维持现状水平。本项目</w:t>
      </w:r>
      <w:r>
        <w:rPr>
          <w:rFonts w:hint="default" w:ascii="Times New Roman" w:hAnsi="Times New Roman" w:eastAsia="宋体" w:cs="Times New Roman"/>
          <w:caps w:val="0"/>
          <w:smallCaps w:val="0"/>
          <w:color w:val="auto"/>
          <w:spacing w:val="0"/>
          <w:highlight w:val="none"/>
        </w:rPr>
        <w:t>P</w:t>
      </w:r>
      <w:r>
        <w:rPr>
          <w:rFonts w:hint="default" w:ascii="Times New Roman" w:hAnsi="Times New Roman" w:eastAsia="宋体" w:cs="Times New Roman"/>
          <w:caps w:val="0"/>
          <w:smallCaps w:val="0"/>
          <w:color w:val="auto"/>
          <w:spacing w:val="0"/>
          <w:highlight w:val="none"/>
          <w:vertAlign w:val="subscript"/>
        </w:rPr>
        <w:t>ma</w:t>
      </w:r>
      <w:r>
        <w:rPr>
          <w:rFonts w:hint="eastAsia" w:ascii="Times New Roman" w:hAnsi="Times New Roman" w:eastAsia="宋体" w:cs="Times New Roman"/>
          <w:caps w:val="0"/>
          <w:smallCaps w:val="0"/>
          <w:color w:val="auto"/>
          <w:spacing w:val="0"/>
          <w:highlight w:val="none"/>
          <w:vertAlign w:val="subscript"/>
          <w:lang w:val="en-US" w:eastAsia="zh-CN"/>
        </w:rPr>
        <w:t>x</w:t>
      </w:r>
      <w:r>
        <w:rPr>
          <w:rFonts w:hint="default"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，因此本项目大气评价等级为</w:t>
      </w:r>
      <w:r>
        <w:rPr>
          <w:rFonts w:hint="eastAsia" w:ascii="Times New Roman" w:hAnsi="Times New Roman" w:eastAsia="宋体" w:cs="Times New Roman"/>
          <w:caps w:val="0"/>
          <w:smallCaps w:val="0"/>
          <w:color w:val="auto"/>
          <w:spacing w:val="0"/>
          <w:highlight w:val="none"/>
          <w:lang w:val="en-US" w:eastAsia="zh-CN"/>
        </w:rPr>
        <w:t>三</w:t>
      </w:r>
      <w:r>
        <w:rPr>
          <w:rFonts w:ascii="Times New Roman" w:hAnsi="Times New Roman" w:eastAsia="宋体" w:cs="Times New Roman"/>
          <w:caps w:val="0"/>
          <w:smallCaps w:val="0"/>
          <w:color w:val="auto"/>
          <w:spacing w:val="0"/>
          <w:highlight w:val="none"/>
        </w:rPr>
        <w:t>级，</w:t>
      </w:r>
      <w:r>
        <w:rPr>
          <w:rFonts w:ascii="Times New Roman" w:hAnsi="Times New Roman" w:eastAsia="宋体" w:cs="Times New Roman"/>
          <w:caps w:val="0"/>
          <w:smallCaps w:val="0"/>
          <w:color w:val="auto"/>
          <w:spacing w:val="0"/>
          <w:highlight w:val="none"/>
        </w:rPr>
        <w:t>不需进行进一步预测与评价，且</w:t>
      </w:r>
      <w:r>
        <w:rPr>
          <w:rFonts w:ascii="Times New Roman" w:hAnsi="Times New Roman" w:eastAsia="宋体" w:cs="Times New Roman"/>
          <w:caps w:val="0"/>
          <w:smallCaps w:val="0"/>
          <w:color w:val="auto"/>
          <w:spacing w:val="0"/>
          <w:kern w:val="0"/>
          <w:highlight w:val="none"/>
        </w:rPr>
        <w:t>无超标范围，因此不需设置大气环境防护距离。</w:t>
      </w:r>
    </w:p>
    <w:p w14:paraId="19BB293B">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综上所述，本项目大气环境影响可以接受。</w:t>
      </w:r>
    </w:p>
    <w:p w14:paraId="168F73F9">
      <w:pPr>
        <w:pStyle w:val="5"/>
        <w:adjustRightInd w:val="0"/>
        <w:snapToGrid w:val="0"/>
        <w:rPr>
          <w:rFonts w:eastAsia="宋体"/>
          <w:caps w:val="0"/>
          <w:smallCaps w:val="0"/>
          <w:color w:val="auto"/>
          <w:spacing w:val="0"/>
          <w:highlight w:val="none"/>
        </w:rPr>
      </w:pPr>
      <w:bookmarkStart w:id="402" w:name="_Toc33448508"/>
      <w:bookmarkStart w:id="403" w:name="_Toc22767"/>
      <w:bookmarkStart w:id="404" w:name="_Toc17425"/>
      <w:bookmarkStart w:id="405" w:name="_Toc1663"/>
      <w:bookmarkStart w:id="406" w:name="_Toc26263"/>
      <w:bookmarkStart w:id="407" w:name="_Toc17413"/>
      <w:r>
        <w:rPr>
          <w:rFonts w:eastAsia="宋体"/>
          <w:caps w:val="0"/>
          <w:smallCaps w:val="0"/>
          <w:color w:val="auto"/>
          <w:spacing w:val="0"/>
          <w:highlight w:val="none"/>
        </w:rPr>
        <w:t>9.3.2地表水</w:t>
      </w:r>
      <w:bookmarkEnd w:id="402"/>
      <w:r>
        <w:rPr>
          <w:rFonts w:eastAsia="宋体"/>
          <w:caps w:val="0"/>
          <w:smallCaps w:val="0"/>
          <w:color w:val="auto"/>
          <w:spacing w:val="0"/>
          <w:highlight w:val="none"/>
        </w:rPr>
        <w:t>环境影响评价结论</w:t>
      </w:r>
      <w:bookmarkEnd w:id="403"/>
      <w:bookmarkEnd w:id="404"/>
      <w:bookmarkEnd w:id="405"/>
      <w:bookmarkEnd w:id="406"/>
      <w:bookmarkEnd w:id="407"/>
    </w:p>
    <w:p w14:paraId="02C365A3">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本项目不新增员工无生活废水产生，本次废水主要</w:t>
      </w:r>
      <w:r>
        <w:rPr>
          <w:rFonts w:hint="eastAsia" w:ascii="Times New Roman" w:hAnsi="Times New Roman" w:eastAsia="宋体" w:cs="Times New Roman"/>
          <w:caps w:val="0"/>
          <w:smallCaps w:val="0"/>
          <w:color w:val="auto"/>
          <w:spacing w:val="0"/>
          <w:kern w:val="0"/>
          <w:szCs w:val="24"/>
          <w:highlight w:val="none"/>
          <w:lang w:bidi="ar"/>
        </w:rPr>
        <w:t>为</w:t>
      </w:r>
      <w:r>
        <w:rPr>
          <w:rFonts w:ascii="Times New Roman" w:hAnsi="Times New Roman" w:eastAsia="宋体" w:cs="Times New Roman"/>
          <w:caps w:val="0"/>
          <w:smallCaps w:val="0"/>
          <w:color w:val="auto"/>
          <w:spacing w:val="0"/>
          <w:kern w:val="0"/>
          <w:szCs w:val="24"/>
          <w:highlight w:val="none"/>
          <w:lang w:bidi="ar"/>
        </w:rPr>
        <w:t>生产废水，生产废水根据废水产生工艺及污染物分为碱性废水、显影废水、低浓度含镉废水及高浓度含镉废水。本项目建设废水处理设施一间采用“调节+</w:t>
      </w:r>
      <w:r>
        <w:rPr>
          <w:rFonts w:hint="eastAsia" w:ascii="Times New Roman" w:hAnsi="Times New Roman" w:eastAsia="宋体" w:cs="Times New Roman"/>
          <w:caps w:val="0"/>
          <w:smallCaps w:val="0"/>
          <w:color w:val="auto"/>
          <w:spacing w:val="0"/>
          <w:szCs w:val="24"/>
          <w:highlight w:val="none"/>
          <w:lang w:val="en-US" w:eastAsia="zh-CN"/>
        </w:rPr>
        <w:t>化学混凝</w:t>
      </w:r>
      <w:r>
        <w:rPr>
          <w:rFonts w:ascii="Times New Roman" w:hAnsi="Times New Roman" w:eastAsia="宋体" w:cs="Times New Roman"/>
          <w:caps w:val="0"/>
          <w:smallCaps w:val="0"/>
          <w:color w:val="auto"/>
          <w:spacing w:val="0"/>
          <w:szCs w:val="24"/>
          <w:highlight w:val="none"/>
        </w:rPr>
        <w:t>沉淀</w:t>
      </w:r>
      <w:r>
        <w:rPr>
          <w:rFonts w:ascii="Times New Roman" w:hAnsi="Times New Roman" w:eastAsia="宋体" w:cs="Times New Roman"/>
          <w:caps w:val="0"/>
          <w:smallCaps w:val="0"/>
          <w:color w:val="auto"/>
          <w:spacing w:val="0"/>
          <w:kern w:val="0"/>
          <w:szCs w:val="24"/>
          <w:highlight w:val="none"/>
          <w:lang w:bidi="ar"/>
        </w:rPr>
        <w:t>+TMF膜+催化</w:t>
      </w:r>
      <w:r>
        <w:rPr>
          <w:rFonts w:hint="eastAsia" w:ascii="Times New Roman" w:hAnsi="Times New Roman" w:eastAsia="宋体" w:cs="Times New Roman"/>
          <w:caps w:val="0"/>
          <w:smallCaps w:val="0"/>
          <w:color w:val="auto"/>
          <w:spacing w:val="0"/>
          <w:kern w:val="0"/>
          <w:szCs w:val="24"/>
          <w:highlight w:val="none"/>
          <w:lang w:eastAsia="zh-CN" w:bidi="ar"/>
        </w:rPr>
        <w:t>（</w:t>
      </w:r>
      <w:r>
        <w:rPr>
          <w:rFonts w:hint="eastAsia" w:ascii="Times New Roman" w:hAnsi="Times New Roman" w:eastAsia="宋体" w:cs="Times New Roman"/>
          <w:caps w:val="0"/>
          <w:smallCaps w:val="0"/>
          <w:color w:val="auto"/>
          <w:spacing w:val="0"/>
          <w:kern w:val="0"/>
          <w:szCs w:val="24"/>
          <w:highlight w:val="none"/>
          <w:lang w:val="en-US" w:eastAsia="zh-CN" w:bidi="ar"/>
        </w:rPr>
        <w:t>光催化+电催化</w:t>
      </w:r>
      <w:r>
        <w:rPr>
          <w:rFonts w:hint="eastAsia" w:ascii="Times New Roman" w:hAnsi="Times New Roman" w:eastAsia="宋体" w:cs="Times New Roman"/>
          <w:caps w:val="0"/>
          <w:smallCaps w:val="0"/>
          <w:color w:val="auto"/>
          <w:spacing w:val="0"/>
          <w:kern w:val="0"/>
          <w:szCs w:val="24"/>
          <w:highlight w:val="none"/>
          <w:lang w:eastAsia="zh-CN" w:bidi="ar"/>
        </w:rPr>
        <w:t>）</w:t>
      </w:r>
      <w:r>
        <w:rPr>
          <w:rFonts w:ascii="Times New Roman" w:hAnsi="Times New Roman" w:eastAsia="宋体" w:cs="Times New Roman"/>
          <w:caps w:val="0"/>
          <w:smallCaps w:val="0"/>
          <w:color w:val="auto"/>
          <w:spacing w:val="0"/>
          <w:kern w:val="0"/>
          <w:szCs w:val="24"/>
          <w:highlight w:val="none"/>
          <w:lang w:bidi="ar"/>
        </w:rPr>
        <w:t>+气浮+</w:t>
      </w:r>
      <w:r>
        <w:rPr>
          <w:rFonts w:hint="eastAsia" w:ascii="Times New Roman" w:hAnsi="Times New Roman" w:eastAsia="宋体" w:cs="Times New Roman"/>
          <w:caps w:val="0"/>
          <w:smallCaps w:val="0"/>
          <w:color w:val="auto"/>
          <w:spacing w:val="0"/>
          <w:szCs w:val="24"/>
          <w:highlight w:val="none"/>
          <w:lang w:val="en-US" w:eastAsia="zh-CN"/>
        </w:rPr>
        <w:t>好氧处理+厌氧处理</w:t>
      </w:r>
      <w:r>
        <w:rPr>
          <w:rFonts w:ascii="Times New Roman" w:hAnsi="Times New Roman" w:eastAsia="宋体" w:cs="Times New Roman"/>
          <w:caps w:val="0"/>
          <w:smallCaps w:val="0"/>
          <w:color w:val="auto"/>
          <w:spacing w:val="0"/>
          <w:kern w:val="0"/>
          <w:szCs w:val="24"/>
          <w:highlight w:val="none"/>
          <w:lang w:bidi="ar"/>
        </w:rPr>
        <w:t>+MBR+RO反渗透+三效蒸</w:t>
      </w:r>
      <w:r>
        <w:rPr>
          <w:rFonts w:ascii="Times New Roman" w:hAnsi="Times New Roman" w:eastAsia="宋体" w:cs="Times New Roman"/>
          <w:caps w:val="0"/>
          <w:smallCaps w:val="0"/>
          <w:color w:val="auto"/>
          <w:spacing w:val="0"/>
          <w:kern w:val="0"/>
          <w:szCs w:val="24"/>
          <w:highlight w:val="none"/>
          <w:lang w:bidi="ar"/>
        </w:rPr>
        <w:t>发”工艺。</w:t>
      </w:r>
    </w:p>
    <w:p w14:paraId="10CA36C3">
      <w:pPr>
        <w:pStyle w:val="13"/>
        <w:wordWrap w:val="0"/>
        <w:spacing w:after="0" w:line="360" w:lineRule="auto"/>
        <w:ind w:firstLine="480" w:firstLineChars="200"/>
        <w:rPr>
          <w:rFonts w:ascii="Times New Roman" w:hAnsi="Times New Roman" w:eastAsia="宋体" w:cs="Times New Roman"/>
          <w:caps w:val="0"/>
          <w:smallCaps w:val="0"/>
          <w:snapToGrid w:val="0"/>
          <w:color w:val="auto"/>
          <w:spacing w:val="0"/>
          <w:kern w:val="0"/>
          <w:szCs w:val="24"/>
          <w:highlight w:val="none"/>
          <w:lang w:bidi="ar"/>
        </w:rPr>
      </w:pPr>
      <w:r>
        <w:rPr>
          <w:rFonts w:ascii="Times New Roman" w:hAnsi="Times New Roman" w:eastAsia="宋体" w:cs="Times New Roman"/>
          <w:caps w:val="0"/>
          <w:smallCaps w:val="0"/>
          <w:snapToGrid w:val="0"/>
          <w:color w:val="auto"/>
          <w:spacing w:val="0"/>
          <w:kern w:val="0"/>
          <w:szCs w:val="24"/>
          <w:highlight w:val="none"/>
          <w:lang w:bidi="ar"/>
        </w:rPr>
        <w:t>项目含镉污水经污水处理站处理后回用于生产工艺，不外排，基片清洗废水经厂区污水处理站调节pH后与纯水制备废水一同排放至园区污水管网，经污水处理厂处理达标后，排放至</w:t>
      </w:r>
      <w:r>
        <w:rPr>
          <w:rFonts w:hint="eastAsia" w:ascii="Times New Roman" w:hAnsi="Times New Roman" w:eastAsia="宋体" w:cs="Times New Roman"/>
          <w:caps w:val="0"/>
          <w:smallCaps w:val="0"/>
          <w:snapToGrid w:val="0"/>
          <w:color w:val="auto"/>
          <w:spacing w:val="0"/>
          <w:kern w:val="0"/>
          <w:szCs w:val="24"/>
          <w:highlight w:val="none"/>
          <w:lang w:eastAsia="zh-CN" w:bidi="ar"/>
        </w:rPr>
        <w:t>铃铛麦河途经音达木河</w:t>
      </w:r>
      <w:r>
        <w:rPr>
          <w:rFonts w:ascii="Times New Roman" w:hAnsi="Times New Roman" w:eastAsia="宋体" w:cs="Times New Roman"/>
          <w:caps w:val="0"/>
          <w:smallCaps w:val="0"/>
          <w:snapToGrid w:val="0"/>
          <w:color w:val="auto"/>
          <w:spacing w:val="0"/>
          <w:kern w:val="0"/>
          <w:szCs w:val="24"/>
          <w:highlight w:val="none"/>
          <w:lang w:bidi="ar"/>
        </w:rPr>
        <w:t>最终</w:t>
      </w:r>
      <w:r>
        <w:rPr>
          <w:rFonts w:hint="eastAsia" w:ascii="Times New Roman" w:hAnsi="Times New Roman" w:eastAsia="宋体" w:cs="Times New Roman"/>
          <w:caps w:val="0"/>
          <w:smallCaps w:val="0"/>
          <w:snapToGrid w:val="0"/>
          <w:color w:val="auto"/>
          <w:spacing w:val="0"/>
          <w:kern w:val="0"/>
          <w:szCs w:val="24"/>
          <w:highlight w:val="none"/>
          <w:lang w:val="en-US" w:eastAsia="zh-CN" w:bidi="ar"/>
        </w:rPr>
        <w:t>进入</w:t>
      </w:r>
      <w:r>
        <w:rPr>
          <w:rFonts w:ascii="Times New Roman" w:hAnsi="Times New Roman" w:eastAsia="宋体" w:cs="Times New Roman"/>
          <w:caps w:val="0"/>
          <w:smallCaps w:val="0"/>
          <w:snapToGrid w:val="0"/>
          <w:color w:val="auto"/>
          <w:spacing w:val="0"/>
          <w:kern w:val="0"/>
          <w:szCs w:val="24"/>
          <w:highlight w:val="none"/>
          <w:lang w:bidi="ar"/>
        </w:rPr>
        <w:t>松花江，本项目污染物的排放量（间接排放量）为，</w:t>
      </w:r>
      <w:r>
        <w:rPr>
          <w:rFonts w:ascii="Times New Roman" w:hAnsi="Times New Roman" w:eastAsia="宋体" w:cs="Times New Roman"/>
          <w:caps w:val="0"/>
          <w:smallCaps w:val="0"/>
          <w:color w:val="auto"/>
          <w:spacing w:val="0"/>
          <w:highlight w:val="none"/>
        </w:rPr>
        <w:t>COD：</w:t>
      </w:r>
      <w:r>
        <w:rPr>
          <w:rFonts w:hint="eastAsia" w:ascii="Times New Roman" w:hAnsi="Times New Roman" w:eastAsia="宋体" w:cs="Times New Roman"/>
          <w:caps w:val="0"/>
          <w:smallCaps w:val="0"/>
          <w:color w:val="auto"/>
          <w:spacing w:val="0"/>
          <w:highlight w:val="none"/>
          <w:lang w:val="en-US" w:eastAsia="zh-CN"/>
        </w:rPr>
        <w:t>2.079</w:t>
      </w:r>
      <w:r>
        <w:rPr>
          <w:rFonts w:ascii="Times New Roman" w:hAnsi="Times New Roman" w:eastAsia="宋体" w:cs="Times New Roman"/>
          <w:caps w:val="0"/>
          <w:smallCaps w:val="0"/>
          <w:color w:val="auto"/>
          <w:spacing w:val="0"/>
          <w:highlight w:val="none"/>
        </w:rPr>
        <w:t>t/a、BOD</w:t>
      </w:r>
      <w:r>
        <w:rPr>
          <w:rFonts w:ascii="Times New Roman" w:hAnsi="Times New Roman" w:eastAsia="宋体" w:cs="Times New Roman"/>
          <w:caps w:val="0"/>
          <w:smallCaps w:val="0"/>
          <w:color w:val="auto"/>
          <w:spacing w:val="0"/>
          <w:highlight w:val="none"/>
          <w:vertAlign w:val="subscript"/>
        </w:rPr>
        <w:t>5</w:t>
      </w:r>
      <w:r>
        <w:rPr>
          <w:rFonts w:ascii="Times New Roman" w:hAnsi="Times New Roman" w:eastAsia="宋体" w:cs="Times New Roman"/>
          <w:caps w:val="0"/>
          <w:smallCaps w:val="0"/>
          <w:color w:val="auto"/>
          <w:spacing w:val="0"/>
          <w:highlight w:val="none"/>
        </w:rPr>
        <w:t>：0.</w:t>
      </w:r>
      <w:r>
        <w:rPr>
          <w:rFonts w:hint="eastAsia" w:ascii="Times New Roman" w:hAnsi="Times New Roman" w:eastAsia="宋体" w:cs="Times New Roman"/>
          <w:caps w:val="0"/>
          <w:smallCaps w:val="0"/>
          <w:color w:val="auto"/>
          <w:spacing w:val="0"/>
          <w:highlight w:val="none"/>
          <w:lang w:val="en-US" w:eastAsia="zh-CN"/>
        </w:rPr>
        <w:t>648</w:t>
      </w:r>
      <w:r>
        <w:rPr>
          <w:rFonts w:ascii="Times New Roman" w:hAnsi="Times New Roman" w:eastAsia="宋体" w:cs="Times New Roman"/>
          <w:caps w:val="0"/>
          <w:smallCaps w:val="0"/>
          <w:color w:val="auto"/>
          <w:spacing w:val="0"/>
          <w:highlight w:val="none"/>
        </w:rPr>
        <w:t>t/a、氨氮：0</w:t>
      </w:r>
      <w:r>
        <w:rPr>
          <w:rFonts w:hint="eastAsia" w:ascii="Times New Roman" w:hAnsi="Times New Roman" w:eastAsia="宋体" w:cs="Times New Roman"/>
          <w:caps w:val="0"/>
          <w:smallCaps w:val="0"/>
          <w:color w:val="auto"/>
          <w:spacing w:val="0"/>
          <w:highlight w:val="none"/>
          <w:lang w:val="en-US" w:eastAsia="zh-CN"/>
        </w:rPr>
        <w:t>.245</w:t>
      </w:r>
      <w:r>
        <w:rPr>
          <w:rFonts w:ascii="Times New Roman" w:hAnsi="Times New Roman" w:eastAsia="宋体" w:cs="Times New Roman"/>
          <w:caps w:val="0"/>
          <w:smallCaps w:val="0"/>
          <w:color w:val="auto"/>
          <w:spacing w:val="0"/>
          <w:highlight w:val="none"/>
        </w:rPr>
        <w:t>t/a、SS：0.</w:t>
      </w:r>
      <w:r>
        <w:rPr>
          <w:rFonts w:hint="eastAsia" w:ascii="Times New Roman" w:hAnsi="Times New Roman" w:eastAsia="宋体" w:cs="Times New Roman"/>
          <w:caps w:val="0"/>
          <w:smallCaps w:val="0"/>
          <w:color w:val="auto"/>
          <w:spacing w:val="0"/>
          <w:highlight w:val="none"/>
          <w:lang w:val="en-US" w:eastAsia="zh-CN"/>
        </w:rPr>
        <w:t>783</w:t>
      </w:r>
      <w:r>
        <w:rPr>
          <w:rFonts w:ascii="Times New Roman" w:hAnsi="Times New Roman" w:eastAsia="宋体" w:cs="Times New Roman"/>
          <w:caps w:val="0"/>
          <w:smallCaps w:val="0"/>
          <w:color w:val="auto"/>
          <w:spacing w:val="0"/>
          <w:highlight w:val="none"/>
        </w:rPr>
        <w:t>t/a。</w:t>
      </w:r>
    </w:p>
    <w:p w14:paraId="330ABBC4">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显影及显影清洗废水进入显影废水收集池+</w:t>
      </w:r>
      <w:r>
        <w:rPr>
          <w:rFonts w:hint="eastAsia" w:ascii="Times New Roman" w:hAnsi="Times New Roman" w:eastAsia="宋体" w:cs="Times New Roman"/>
          <w:caps w:val="0"/>
          <w:smallCaps w:val="0"/>
          <w:color w:val="auto"/>
          <w:spacing w:val="0"/>
          <w:szCs w:val="24"/>
          <w:highlight w:val="none"/>
        </w:rPr>
        <w:t>预</w:t>
      </w:r>
      <w:r>
        <w:rPr>
          <w:rFonts w:ascii="Times New Roman" w:hAnsi="Times New Roman" w:eastAsia="宋体" w:cs="Times New Roman"/>
          <w:caps w:val="0"/>
          <w:smallCaps w:val="0"/>
          <w:color w:val="auto"/>
          <w:spacing w:val="0"/>
          <w:szCs w:val="24"/>
          <w:highlight w:val="none"/>
        </w:rPr>
        <w:t>沉淀+催化</w:t>
      </w:r>
      <w:r>
        <w:rPr>
          <w:rFonts w:hint="eastAsia" w:ascii="Times New Roman" w:hAnsi="Times New Roman" w:eastAsia="宋体" w:cs="Times New Roman"/>
          <w:caps w:val="0"/>
          <w:smallCaps w:val="0"/>
          <w:color w:val="auto"/>
          <w:spacing w:val="0"/>
          <w:szCs w:val="24"/>
          <w:highlight w:val="none"/>
          <w:lang w:val="en-US" w:eastAsia="zh-CN"/>
        </w:rPr>
        <w:t>系统（光催化+电催化）</w:t>
      </w:r>
      <w:r>
        <w:rPr>
          <w:rFonts w:ascii="Times New Roman" w:hAnsi="Times New Roman" w:eastAsia="宋体" w:cs="Times New Roman"/>
          <w:caps w:val="0"/>
          <w:smallCaps w:val="0"/>
          <w:color w:val="auto"/>
          <w:spacing w:val="0"/>
          <w:szCs w:val="24"/>
          <w:highlight w:val="none"/>
        </w:rPr>
        <w:t>+气浮+</w:t>
      </w:r>
      <w:r>
        <w:rPr>
          <w:rFonts w:hint="eastAsia" w:ascii="Times New Roman" w:hAnsi="Times New Roman" w:eastAsia="宋体" w:cs="Times New Roman"/>
          <w:caps w:val="0"/>
          <w:smallCaps w:val="0"/>
          <w:color w:val="auto"/>
          <w:spacing w:val="0"/>
          <w:szCs w:val="24"/>
          <w:highlight w:val="none"/>
          <w:lang w:val="en-US" w:eastAsia="zh-CN"/>
        </w:rPr>
        <w:t>好氧处理+厌氧处理</w:t>
      </w:r>
      <w:r>
        <w:rPr>
          <w:rFonts w:ascii="Times New Roman" w:hAnsi="Times New Roman" w:eastAsia="宋体" w:cs="Times New Roman"/>
          <w:caps w:val="0"/>
          <w:smallCaps w:val="0"/>
          <w:color w:val="auto"/>
          <w:spacing w:val="0"/>
          <w:szCs w:val="24"/>
          <w:highlight w:val="none"/>
        </w:rPr>
        <w:t>+MBR系统</w:t>
      </w:r>
      <w:r>
        <w:rPr>
          <w:rFonts w:ascii="Times New Roman" w:hAnsi="Times New Roman" w:eastAsia="宋体" w:cs="Times New Roman"/>
          <w:caps w:val="0"/>
          <w:smallCaps w:val="0"/>
          <w:color w:val="auto"/>
          <w:spacing w:val="0"/>
          <w:kern w:val="0"/>
          <w:szCs w:val="24"/>
          <w:highlight w:val="none"/>
          <w:lang w:bidi="ar"/>
        </w:rPr>
        <w:t>；涂覆前清洗废水、ZnTe膜层溅射后清洗废水</w:t>
      </w:r>
      <w:r>
        <w:rPr>
          <w:rFonts w:hint="eastAsia" w:ascii="Times New Roman" w:hAnsi="Times New Roman" w:eastAsia="宋体" w:cs="Times New Roman"/>
          <w:caps w:val="0"/>
          <w:smallCaps w:val="0"/>
          <w:color w:val="auto"/>
          <w:spacing w:val="0"/>
          <w:kern w:val="0"/>
          <w:szCs w:val="24"/>
          <w:highlight w:val="none"/>
          <w:lang w:bidi="ar"/>
        </w:rPr>
        <w:t>、碱性喷淋塔喷淋废水</w:t>
      </w:r>
      <w:r>
        <w:rPr>
          <w:rFonts w:ascii="Times New Roman" w:hAnsi="Times New Roman" w:eastAsia="宋体" w:cs="Times New Roman"/>
          <w:caps w:val="0"/>
          <w:smallCaps w:val="0"/>
          <w:color w:val="auto"/>
          <w:spacing w:val="0"/>
          <w:kern w:val="0"/>
          <w:szCs w:val="24"/>
          <w:highlight w:val="none"/>
          <w:lang w:bidi="ar"/>
        </w:rPr>
        <w:t>及背电极镀膜前清洗废水均为低浓度含镉废水，进入低浓度废水收集池+调节pH+TMF膜系统</w:t>
      </w:r>
      <w:r>
        <w:rPr>
          <w:rFonts w:hint="eastAsia" w:ascii="Times New Roman" w:hAnsi="Times New Roman" w:eastAsia="宋体" w:cs="Times New Roman"/>
          <w:caps w:val="0"/>
          <w:smallCaps w:val="0"/>
          <w:color w:val="auto"/>
          <w:spacing w:val="0"/>
          <w:kern w:val="0"/>
          <w:szCs w:val="24"/>
          <w:highlight w:val="none"/>
          <w:lang w:bidi="ar"/>
        </w:rPr>
        <w:t>进行预处理</w:t>
      </w:r>
      <w:r>
        <w:rPr>
          <w:rFonts w:ascii="Times New Roman" w:hAnsi="Times New Roman" w:eastAsia="宋体" w:cs="Times New Roman"/>
          <w:caps w:val="0"/>
          <w:smallCaps w:val="0"/>
          <w:color w:val="auto"/>
          <w:spacing w:val="0"/>
          <w:kern w:val="0"/>
          <w:szCs w:val="24"/>
          <w:highlight w:val="none"/>
          <w:lang w:bidi="ar"/>
        </w:rPr>
        <w:t>；活化层喷涂废液及活化层清洗、蚀刻废水为高浓度含镉废水，高浓度含镉废水进入高浓废水收集池</w:t>
      </w:r>
      <w:r>
        <w:rPr>
          <w:rFonts w:ascii="Times New Roman" w:hAnsi="Times New Roman" w:eastAsia="宋体" w:cs="Times New Roman"/>
          <w:caps w:val="0"/>
          <w:smallCaps w:val="0"/>
          <w:color w:val="auto"/>
          <w:spacing w:val="0"/>
          <w:kern w:val="0"/>
          <w:szCs w:val="24"/>
          <w:highlight w:val="none"/>
          <w:lang w:bidi="ar"/>
        </w:rPr>
        <w:t>+</w:t>
      </w:r>
      <w:r>
        <w:rPr>
          <w:rFonts w:ascii="Times New Roman" w:hAnsi="Times New Roman" w:eastAsia="宋体" w:cs="Times New Roman"/>
          <w:caps w:val="0"/>
          <w:smallCaps w:val="0"/>
          <w:color w:val="auto"/>
          <w:spacing w:val="0"/>
          <w:szCs w:val="24"/>
          <w:highlight w:val="none"/>
        </w:rPr>
        <w:t>pH调节+</w:t>
      </w:r>
      <w:r>
        <w:rPr>
          <w:rFonts w:hint="eastAsia" w:ascii="Times New Roman" w:hAnsi="Times New Roman" w:eastAsia="宋体" w:cs="Times New Roman"/>
          <w:caps w:val="0"/>
          <w:smallCaps w:val="0"/>
          <w:color w:val="auto"/>
          <w:spacing w:val="0"/>
          <w:szCs w:val="24"/>
          <w:highlight w:val="none"/>
          <w:lang w:val="en-US" w:eastAsia="zh-CN"/>
        </w:rPr>
        <w:t>化学混凝</w:t>
      </w:r>
      <w:r>
        <w:rPr>
          <w:rFonts w:ascii="Times New Roman" w:hAnsi="Times New Roman" w:eastAsia="宋体" w:cs="Times New Roman"/>
          <w:caps w:val="0"/>
          <w:smallCaps w:val="0"/>
          <w:color w:val="auto"/>
          <w:spacing w:val="0"/>
          <w:szCs w:val="24"/>
          <w:highlight w:val="none"/>
        </w:rPr>
        <w:t>沉淀+</w:t>
      </w:r>
      <w:r>
        <w:rPr>
          <w:rFonts w:hint="eastAsia" w:ascii="Times New Roman" w:hAnsi="Times New Roman" w:eastAsia="宋体" w:cs="Times New Roman"/>
          <w:caps w:val="0"/>
          <w:smallCaps w:val="0"/>
          <w:color w:val="auto"/>
          <w:spacing w:val="0"/>
          <w:szCs w:val="24"/>
          <w:highlight w:val="none"/>
        </w:rPr>
        <w:t>三效</w:t>
      </w:r>
      <w:r>
        <w:rPr>
          <w:rFonts w:ascii="Times New Roman" w:hAnsi="Times New Roman" w:eastAsia="宋体" w:cs="Times New Roman"/>
          <w:caps w:val="0"/>
          <w:smallCaps w:val="0"/>
          <w:color w:val="auto"/>
          <w:spacing w:val="0"/>
          <w:szCs w:val="24"/>
          <w:highlight w:val="none"/>
        </w:rPr>
        <w:t>蒸发</w:t>
      </w:r>
      <w:r>
        <w:rPr>
          <w:rFonts w:hint="eastAsia" w:ascii="Times New Roman" w:hAnsi="Times New Roman" w:eastAsia="宋体" w:cs="Times New Roman"/>
          <w:caps w:val="0"/>
          <w:smallCaps w:val="0"/>
          <w:color w:val="auto"/>
          <w:spacing w:val="0"/>
          <w:kern w:val="0"/>
          <w:szCs w:val="24"/>
          <w:highlight w:val="none"/>
          <w:lang w:bidi="ar"/>
        </w:rPr>
        <w:t>进行预</w:t>
      </w:r>
      <w:r>
        <w:rPr>
          <w:rFonts w:ascii="Times New Roman" w:hAnsi="Times New Roman" w:eastAsia="宋体" w:cs="Times New Roman"/>
          <w:caps w:val="0"/>
          <w:smallCaps w:val="0"/>
          <w:color w:val="auto"/>
          <w:spacing w:val="0"/>
          <w:kern w:val="0"/>
          <w:szCs w:val="24"/>
          <w:highlight w:val="none"/>
          <w:lang w:bidi="ar"/>
        </w:rPr>
        <w:t>处理</w:t>
      </w:r>
      <w:r>
        <w:rPr>
          <w:rFonts w:hint="eastAsia" w:ascii="Times New Roman" w:hAnsi="Times New Roman" w:eastAsia="宋体" w:cs="Times New Roman"/>
          <w:caps w:val="0"/>
          <w:smallCaps w:val="0"/>
          <w:color w:val="auto"/>
          <w:spacing w:val="0"/>
          <w:kern w:val="0"/>
          <w:szCs w:val="24"/>
          <w:highlight w:val="none"/>
          <w:lang w:bidi="ar"/>
        </w:rPr>
        <w:t>，上述废水预处理后均进入预处理水箱进行深度处理，</w:t>
      </w:r>
      <w:r>
        <w:rPr>
          <w:rFonts w:hint="eastAsia" w:ascii="Times New Roman" w:hAnsi="Times New Roman" w:eastAsia="宋体" w:cs="Times New Roman"/>
          <w:caps w:val="0"/>
          <w:smallCaps w:val="0"/>
          <w:color w:val="auto"/>
          <w:spacing w:val="0"/>
          <w:szCs w:val="24"/>
          <w:highlight w:val="none"/>
        </w:rPr>
        <w:t>经过预处理水箱处理后的浓水</w:t>
      </w:r>
      <w:r>
        <w:rPr>
          <w:rFonts w:ascii="Times New Roman" w:hAnsi="Times New Roman" w:eastAsia="宋体" w:cs="Times New Roman"/>
          <w:caps w:val="0"/>
          <w:smallCaps w:val="0"/>
          <w:color w:val="auto"/>
          <w:spacing w:val="0"/>
          <w:szCs w:val="24"/>
          <w:highlight w:val="none"/>
        </w:rPr>
        <w:t>统一进入“RO反</w:t>
      </w:r>
      <w:r>
        <w:rPr>
          <w:rFonts w:ascii="Times New Roman" w:hAnsi="Times New Roman" w:eastAsia="宋体" w:cs="Times New Roman"/>
          <w:caps w:val="0"/>
          <w:smallCaps w:val="0"/>
          <w:color w:val="auto"/>
          <w:spacing w:val="0"/>
          <w:szCs w:val="24"/>
          <w:highlight w:val="none"/>
        </w:rPr>
        <w:t>渗透+三效蒸发”系统进行深度处理</w:t>
      </w:r>
      <w:r>
        <w:rPr>
          <w:rFonts w:hint="eastAsia" w:ascii="Times New Roman" w:hAnsi="Times New Roman" w:eastAsia="宋体" w:cs="Times New Roman"/>
          <w:caps w:val="0"/>
          <w:smallCaps w:val="0"/>
          <w:color w:val="auto"/>
          <w:spacing w:val="0"/>
          <w:szCs w:val="24"/>
          <w:highlight w:val="none"/>
        </w:rPr>
        <w:t>，</w:t>
      </w:r>
      <w:r>
        <w:rPr>
          <w:rFonts w:hint="eastAsia" w:ascii="Times New Roman" w:hAnsi="Times New Roman" w:eastAsia="宋体" w:cs="Times New Roman"/>
          <w:caps w:val="0"/>
          <w:smallCaps w:val="0"/>
          <w:color w:val="auto"/>
          <w:spacing w:val="0"/>
          <w:szCs w:val="24"/>
          <w:highlight w:val="none"/>
        </w:rPr>
        <w:t>显影废水</w:t>
      </w:r>
      <w:r>
        <w:rPr>
          <w:rFonts w:hint="eastAsia" w:ascii="Times New Roman" w:hAnsi="Times New Roman" w:eastAsia="宋体" w:cs="Times New Roman"/>
          <w:caps w:val="0"/>
          <w:smallCaps w:val="0"/>
          <w:color w:val="auto"/>
          <w:spacing w:val="0"/>
          <w:szCs w:val="24"/>
          <w:highlight w:val="none"/>
          <w:lang w:eastAsia="zh-CN"/>
        </w:rPr>
        <w:t>、</w:t>
      </w:r>
      <w:r>
        <w:rPr>
          <w:rFonts w:ascii="Times New Roman" w:hAnsi="Times New Roman" w:eastAsia="宋体" w:cs="Times New Roman"/>
          <w:caps w:val="0"/>
          <w:smallCaps w:val="0"/>
          <w:color w:val="auto"/>
          <w:spacing w:val="0"/>
          <w:szCs w:val="24"/>
          <w:highlight w:val="none"/>
        </w:rPr>
        <w:t>低浓度及高浓度含镉废水</w:t>
      </w:r>
      <w:r>
        <w:rPr>
          <w:rFonts w:hint="eastAsia" w:ascii="Times New Roman" w:hAnsi="Times New Roman" w:eastAsia="宋体" w:cs="Times New Roman"/>
          <w:caps w:val="0"/>
          <w:smallCaps w:val="0"/>
          <w:color w:val="auto"/>
          <w:spacing w:val="0"/>
          <w:szCs w:val="24"/>
          <w:highlight w:val="none"/>
        </w:rPr>
        <w:t>经</w:t>
      </w:r>
      <w:r>
        <w:rPr>
          <w:rFonts w:hint="eastAsia" w:ascii="Times New Roman" w:hAnsi="Times New Roman" w:eastAsia="宋体" w:cs="Times New Roman"/>
          <w:caps w:val="0"/>
          <w:smallCaps w:val="0"/>
          <w:color w:val="auto"/>
          <w:spacing w:val="0"/>
          <w:szCs w:val="24"/>
          <w:highlight w:val="none"/>
          <w:lang w:val="en-US" w:eastAsia="zh-CN"/>
        </w:rPr>
        <w:t>各自系统预处理后</w:t>
      </w:r>
      <w:r>
        <w:rPr>
          <w:rFonts w:hint="eastAsia" w:ascii="Times New Roman" w:hAnsi="Times New Roman" w:eastAsia="宋体" w:cs="Times New Roman"/>
          <w:caps w:val="0"/>
          <w:smallCaps w:val="0"/>
          <w:color w:val="auto"/>
          <w:spacing w:val="0"/>
          <w:szCs w:val="24"/>
          <w:highlight w:val="none"/>
        </w:rPr>
        <w:t>共同进入预处理水箱进行深度处理可行</w:t>
      </w:r>
      <w:r>
        <w:rPr>
          <w:rFonts w:ascii="Times New Roman" w:hAnsi="Times New Roman" w:eastAsia="宋体" w:cs="Times New Roman"/>
          <w:caps w:val="0"/>
          <w:smallCaps w:val="0"/>
          <w:color w:val="auto"/>
          <w:spacing w:val="0"/>
          <w:szCs w:val="24"/>
          <w:highlight w:val="none"/>
        </w:rPr>
        <w:t>。</w:t>
      </w:r>
      <w:r>
        <w:rPr>
          <w:rFonts w:ascii="Times New Roman" w:hAnsi="Times New Roman" w:eastAsia="宋体" w:cs="Times New Roman"/>
          <w:caps w:val="0"/>
          <w:smallCaps w:val="0"/>
          <w:color w:val="auto"/>
          <w:spacing w:val="0"/>
          <w:szCs w:val="24"/>
          <w:highlight w:val="none"/>
        </w:rPr>
        <w:t>最终产生的纯水</w:t>
      </w:r>
      <w:r>
        <w:rPr>
          <w:rFonts w:hint="eastAsia" w:ascii="Times New Roman" w:hAnsi="Times New Roman" w:eastAsia="宋体" w:cs="Times New Roman"/>
          <w:caps w:val="0"/>
          <w:smallCaps w:val="0"/>
          <w:color w:val="auto"/>
          <w:spacing w:val="0"/>
          <w:szCs w:val="24"/>
          <w:highlight w:val="none"/>
        </w:rPr>
        <w:t>进入单独的</w:t>
      </w:r>
      <w:r>
        <w:rPr>
          <w:rFonts w:hint="eastAsia" w:eastAsia="宋体" w:cs="Times New Roman"/>
          <w:caps w:val="0"/>
          <w:smallCaps w:val="0"/>
          <w:color w:val="auto"/>
          <w:spacing w:val="0"/>
          <w:szCs w:val="24"/>
          <w:highlight w:val="none"/>
        </w:rPr>
        <w:t>回用水</w:t>
      </w:r>
      <w:r>
        <w:rPr>
          <w:rFonts w:hint="eastAsia" w:ascii="Times New Roman" w:hAnsi="Times New Roman" w:eastAsia="宋体" w:cs="Times New Roman"/>
          <w:caps w:val="0"/>
          <w:smallCaps w:val="0"/>
          <w:color w:val="auto"/>
          <w:spacing w:val="0"/>
          <w:szCs w:val="24"/>
          <w:highlight w:val="none"/>
        </w:rPr>
        <w:t>纯水箱，产生的纯水需达到《城市污水再生利用工业用水水质》GBT19923-20</w:t>
      </w:r>
      <w:r>
        <w:rPr>
          <w:rFonts w:hint="eastAsia" w:ascii="Times New Roman" w:hAnsi="Times New Roman" w:eastAsia="宋体" w:cs="Times New Roman"/>
          <w:caps w:val="0"/>
          <w:smallCaps w:val="0"/>
          <w:color w:val="auto"/>
          <w:spacing w:val="0"/>
          <w:szCs w:val="24"/>
          <w:highlight w:val="none"/>
          <w:lang w:val="en-US" w:eastAsia="zh-CN"/>
        </w:rPr>
        <w:t>24</w:t>
      </w:r>
      <w:r>
        <w:rPr>
          <w:rFonts w:hint="eastAsia" w:ascii="Times New Roman" w:hAnsi="Times New Roman" w:eastAsia="宋体" w:cs="Times New Roman"/>
          <w:caps w:val="0"/>
          <w:smallCaps w:val="0"/>
          <w:color w:val="auto"/>
          <w:spacing w:val="0"/>
          <w:szCs w:val="24"/>
          <w:highlight w:val="none"/>
        </w:rPr>
        <w:t>的循环水冷却水系统补充水标准后</w:t>
      </w:r>
      <w:r>
        <w:rPr>
          <w:rFonts w:ascii="Times New Roman" w:hAnsi="Times New Roman" w:eastAsia="宋体" w:cs="Times New Roman"/>
          <w:caps w:val="0"/>
          <w:smallCaps w:val="0"/>
          <w:color w:val="auto"/>
          <w:spacing w:val="0"/>
          <w:szCs w:val="24"/>
          <w:highlight w:val="none"/>
        </w:rPr>
        <w:t>回用于生产工序，实现含镉废水零排放。</w:t>
      </w:r>
    </w:p>
    <w:p w14:paraId="4C3310AF">
      <w:pPr>
        <w:widowControl w:val="0"/>
        <w:spacing w:line="360" w:lineRule="auto"/>
        <w:ind w:firstLine="480" w:firstLineChars="200"/>
        <w:jc w:val="both"/>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kern w:val="0"/>
          <w:szCs w:val="24"/>
          <w:highlight w:val="none"/>
          <w:lang w:bidi="ar"/>
        </w:rPr>
        <w:t>基片清洗废水经碱性废水处理系统收集，pH中和后与纯水制备废水统一经园区污水管网进入佳木斯高新区污水处理厂。</w:t>
      </w:r>
      <w:r>
        <w:rPr>
          <w:rFonts w:ascii="Times New Roman" w:hAnsi="Times New Roman" w:eastAsia="宋体" w:cs="Times New Roman"/>
          <w:caps w:val="0"/>
          <w:smallCaps w:val="0"/>
          <w:color w:val="auto"/>
          <w:spacing w:val="0"/>
          <w:szCs w:val="24"/>
          <w:highlight w:val="none"/>
        </w:rPr>
        <w:t>本项目生产废水、生活污水不直接进入地表水体，对地表水影响较小。</w:t>
      </w:r>
    </w:p>
    <w:p w14:paraId="1D20DFA7">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综上所述，本项目在确保废水污染物达标排放、杜绝事故排放的前提下，从地表水环境保护的角度，建设是可行的。</w:t>
      </w:r>
    </w:p>
    <w:p w14:paraId="19E340C7">
      <w:pPr>
        <w:pStyle w:val="5"/>
        <w:adjustRightInd w:val="0"/>
        <w:snapToGrid w:val="0"/>
        <w:rPr>
          <w:rFonts w:eastAsia="宋体"/>
          <w:caps w:val="0"/>
          <w:smallCaps w:val="0"/>
          <w:color w:val="auto"/>
          <w:spacing w:val="0"/>
          <w:highlight w:val="none"/>
        </w:rPr>
      </w:pPr>
      <w:bookmarkStart w:id="408" w:name="_Toc33448509"/>
      <w:bookmarkStart w:id="409" w:name="_Toc28743"/>
      <w:bookmarkStart w:id="410" w:name="_Toc27341"/>
      <w:bookmarkStart w:id="411" w:name="_Toc23979"/>
      <w:bookmarkStart w:id="412" w:name="_Toc19518"/>
      <w:bookmarkStart w:id="413" w:name="_Toc9841"/>
      <w:r>
        <w:rPr>
          <w:rFonts w:eastAsia="宋体"/>
          <w:caps w:val="0"/>
          <w:smallCaps w:val="0"/>
          <w:color w:val="auto"/>
          <w:spacing w:val="0"/>
          <w:highlight w:val="none"/>
        </w:rPr>
        <w:t>9.3.3地下水</w:t>
      </w:r>
      <w:bookmarkEnd w:id="408"/>
      <w:r>
        <w:rPr>
          <w:rFonts w:eastAsia="宋体"/>
          <w:caps w:val="0"/>
          <w:smallCaps w:val="0"/>
          <w:color w:val="auto"/>
          <w:spacing w:val="0"/>
          <w:highlight w:val="none"/>
        </w:rPr>
        <w:t>环境影响评价结论</w:t>
      </w:r>
      <w:bookmarkEnd w:id="409"/>
      <w:bookmarkEnd w:id="410"/>
      <w:bookmarkEnd w:id="411"/>
      <w:bookmarkEnd w:id="412"/>
      <w:bookmarkEnd w:id="413"/>
    </w:p>
    <w:p w14:paraId="38001F51">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针对本项目可能发生的地下水污染，防治措施要按照“源头控制、末端防治、污染监控、应急响应”相结合的原则。</w:t>
      </w:r>
      <w:r>
        <w:rPr>
          <w:rFonts w:ascii="Times New Roman" w:hAnsi="Times New Roman" w:eastAsia="宋体" w:cs="Times New Roman"/>
          <w:caps w:val="0"/>
          <w:smallCaps w:val="0"/>
          <w:color w:val="auto"/>
          <w:spacing w:val="0"/>
          <w:highlight w:val="none"/>
        </w:rPr>
        <w:t>预测结果表明，正常工况下，污染物镉对地下水的影响可被环境接受。非正常工况下，镉</w:t>
      </w:r>
      <w:r>
        <w:rPr>
          <w:rFonts w:hint="eastAsia" w:ascii="Times New Roman" w:hAnsi="Times New Roman" w:eastAsia="宋体" w:cs="Times New Roman"/>
          <w:caps w:val="0"/>
          <w:smallCaps w:val="0"/>
          <w:color w:val="auto"/>
          <w:spacing w:val="0"/>
          <w:highlight w:val="none"/>
        </w:rPr>
        <w:t>及COD</w:t>
      </w:r>
      <w:r>
        <w:rPr>
          <w:rFonts w:ascii="Times New Roman" w:hAnsi="Times New Roman" w:eastAsia="宋体" w:cs="Times New Roman"/>
          <w:caps w:val="0"/>
          <w:smallCaps w:val="0"/>
          <w:color w:val="auto"/>
          <w:spacing w:val="0"/>
          <w:highlight w:val="none"/>
        </w:rPr>
        <w:t>对地下水的影响较小，</w:t>
      </w:r>
      <w:r>
        <w:rPr>
          <w:rFonts w:hint="eastAsia" w:ascii="Times New Roman" w:hAnsi="Times New Roman" w:eastAsia="宋体" w:cs="Times New Roman"/>
          <w:caps w:val="0"/>
          <w:smallCaps w:val="0"/>
          <w:color w:val="auto"/>
          <w:spacing w:val="0"/>
          <w:highlight w:val="none"/>
          <w:lang w:val="en-US" w:eastAsia="zh-CN"/>
        </w:rPr>
        <w:t>均</w:t>
      </w:r>
      <w:r>
        <w:rPr>
          <w:rFonts w:ascii="Times New Roman" w:hAnsi="Times New Roman" w:eastAsia="宋体" w:cs="Times New Roman"/>
          <w:caps w:val="0"/>
          <w:smallCaps w:val="0"/>
          <w:color w:val="auto"/>
          <w:spacing w:val="0"/>
          <w:highlight w:val="none"/>
        </w:rPr>
        <w:t>在</w:t>
      </w:r>
      <w:r>
        <w:rPr>
          <w:rFonts w:hint="eastAsia" w:ascii="Times New Roman" w:hAnsi="Times New Roman" w:eastAsia="宋体" w:cs="Times New Roman"/>
          <w:caps w:val="0"/>
          <w:smallCaps w:val="0"/>
          <w:color w:val="auto"/>
          <w:spacing w:val="0"/>
          <w:highlight w:val="none"/>
        </w:rPr>
        <w:t>120</w:t>
      </w:r>
      <w:r>
        <w:rPr>
          <w:rFonts w:ascii="Times New Roman" w:hAnsi="Times New Roman" w:eastAsia="宋体" w:cs="Times New Roman"/>
          <w:caps w:val="0"/>
          <w:smallCaps w:val="0"/>
          <w:color w:val="auto"/>
          <w:spacing w:val="0"/>
          <w:highlight w:val="none"/>
        </w:rPr>
        <w:t>m范围外即可达标，本</w:t>
      </w:r>
      <w:r>
        <w:rPr>
          <w:rFonts w:hint="eastAsia" w:ascii="Times New Roman" w:hAnsi="Times New Roman" w:eastAsia="宋体" w:cs="Times New Roman"/>
          <w:caps w:val="0"/>
          <w:smallCaps w:val="0"/>
          <w:color w:val="auto"/>
          <w:spacing w:val="0"/>
          <w:highlight w:val="none"/>
        </w:rPr>
        <w:t>范围</w:t>
      </w:r>
      <w:r>
        <w:rPr>
          <w:rFonts w:ascii="Times New Roman" w:hAnsi="Times New Roman" w:eastAsia="宋体" w:cs="Times New Roman"/>
          <w:caps w:val="0"/>
          <w:smallCaps w:val="0"/>
          <w:color w:val="auto"/>
          <w:spacing w:val="0"/>
          <w:highlight w:val="none"/>
        </w:rPr>
        <w:t>内无取水井，影响可控，建设单位应做好防渗措施同时定期对污水管线及设施进行检查维护，以避免发生破裂或者大量渗漏，影响地下水环境。</w:t>
      </w:r>
    </w:p>
    <w:p w14:paraId="1C37D4F6">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通过严格落实，本项目实施对评价范围内的地下水环境影响可接受。</w:t>
      </w:r>
    </w:p>
    <w:p w14:paraId="18C3DD1C">
      <w:pPr>
        <w:pStyle w:val="5"/>
        <w:adjustRightInd w:val="0"/>
        <w:snapToGrid w:val="0"/>
        <w:rPr>
          <w:rFonts w:eastAsia="宋体"/>
          <w:caps w:val="0"/>
          <w:smallCaps w:val="0"/>
          <w:color w:val="auto"/>
          <w:spacing w:val="0"/>
          <w:highlight w:val="none"/>
        </w:rPr>
      </w:pPr>
      <w:bookmarkStart w:id="414" w:name="_Toc30707"/>
      <w:bookmarkStart w:id="415" w:name="_Toc3853"/>
      <w:bookmarkStart w:id="416" w:name="_Toc31192"/>
      <w:bookmarkStart w:id="417" w:name="_Toc15999"/>
      <w:bookmarkStart w:id="418" w:name="_Toc20132"/>
      <w:bookmarkStart w:id="419" w:name="_Toc33448510"/>
      <w:r>
        <w:rPr>
          <w:rFonts w:eastAsia="宋体"/>
          <w:caps w:val="0"/>
          <w:smallCaps w:val="0"/>
          <w:color w:val="auto"/>
          <w:spacing w:val="0"/>
          <w:highlight w:val="none"/>
        </w:rPr>
        <w:t>9.3.4土壤环境影响评价结论</w:t>
      </w:r>
      <w:bookmarkEnd w:id="414"/>
      <w:bookmarkEnd w:id="415"/>
      <w:bookmarkEnd w:id="416"/>
      <w:bookmarkEnd w:id="417"/>
      <w:bookmarkEnd w:id="418"/>
    </w:p>
    <w:p w14:paraId="780E176B">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从大气沉降、垂直入渗两个影响途径，分析项目运营对土壤环境的影响，项目厂区建有完善的环保设施及处置措施，危险废物贮存库已严格按照《危险废物贮存污染控制标准》（GB18597-2023）等有关规范设计，污水处理站的各建构筑物</w:t>
      </w:r>
      <w:r>
        <w:rPr>
          <w:rFonts w:hint="eastAsia" w:ascii="Times New Roman" w:hAnsi="Times New Roman" w:eastAsia="宋体" w:cs="Times New Roman"/>
          <w:caps w:val="0"/>
          <w:smallCaps w:val="0"/>
          <w:color w:val="auto"/>
          <w:spacing w:val="0"/>
          <w:highlight w:val="none"/>
        </w:rPr>
        <w:t>及</w:t>
      </w:r>
      <w:r>
        <w:rPr>
          <w:rFonts w:ascii="Times New Roman" w:hAnsi="Times New Roman" w:eastAsia="宋体" w:cs="Times New Roman"/>
          <w:caps w:val="0"/>
          <w:smallCaps w:val="0"/>
          <w:color w:val="auto"/>
          <w:spacing w:val="0"/>
          <w:highlight w:val="none"/>
        </w:rPr>
        <w:t>地下生产污水管道等按要求做好防渗措施，能有效防控污染物进入土壤环境，</w:t>
      </w:r>
      <w:r>
        <w:rPr>
          <w:rFonts w:hint="eastAsia" w:ascii="Times New Roman" w:hAnsi="Times New Roman" w:eastAsia="宋体" w:cs="Times New Roman"/>
          <w:caps w:val="0"/>
          <w:smallCaps w:val="0"/>
          <w:color w:val="auto"/>
          <w:spacing w:val="0"/>
          <w:szCs w:val="28"/>
          <w:highlight w:val="none"/>
        </w:rPr>
        <w:t>镉及其化合物</w:t>
      </w:r>
      <w:r>
        <w:rPr>
          <w:rFonts w:hint="eastAsia" w:ascii="Times New Roman" w:hAnsi="Times New Roman" w:eastAsia="宋体" w:cs="Times New Roman"/>
          <w:caps w:val="0"/>
          <w:smallCaps w:val="0"/>
          <w:color w:val="auto"/>
          <w:spacing w:val="0"/>
          <w:szCs w:val="28"/>
          <w:highlight w:val="none"/>
          <w:lang w:eastAsia="zh-CN"/>
        </w:rPr>
        <w:t>、</w:t>
      </w:r>
      <w:r>
        <w:rPr>
          <w:rFonts w:hint="eastAsia" w:ascii="Times New Roman" w:hAnsi="Times New Roman" w:eastAsia="宋体" w:cs="Times New Roman"/>
          <w:caps w:val="0"/>
          <w:smallCaps w:val="0"/>
          <w:color w:val="auto"/>
          <w:spacing w:val="0"/>
          <w:szCs w:val="28"/>
          <w:highlight w:val="none"/>
          <w:lang w:val="en-US" w:eastAsia="zh-CN"/>
        </w:rPr>
        <w:t>二甲苯</w:t>
      </w:r>
      <w:r>
        <w:rPr>
          <w:rFonts w:hint="eastAsia" w:ascii="Times New Roman" w:hAnsi="Times New Roman" w:eastAsia="宋体" w:cs="Times New Roman"/>
          <w:caps w:val="0"/>
          <w:smallCaps w:val="0"/>
          <w:color w:val="auto"/>
          <w:spacing w:val="0"/>
          <w:szCs w:val="28"/>
          <w:highlight w:val="none"/>
          <w:lang w:val="zh-CN"/>
        </w:rPr>
        <w:t>通过大气沉降</w:t>
      </w:r>
      <w:r>
        <w:rPr>
          <w:rFonts w:hint="eastAsia" w:ascii="Times New Roman" w:hAnsi="Times New Roman" w:eastAsia="宋体" w:cs="Times New Roman"/>
          <w:caps w:val="0"/>
          <w:smallCaps w:val="0"/>
          <w:color w:val="auto"/>
          <w:spacing w:val="0"/>
          <w:szCs w:val="28"/>
          <w:highlight w:val="none"/>
          <w:lang w:val="zh-CN"/>
        </w:rPr>
        <w:t>，20年后粉尘中所含污染物累积输入土壤的量，再叠加现状监测结果最大值，均未超过《土壤环境质量 建设用地土壤污染风险管控标准（试行）》（GB36600-2018）第二类用地筛选值标准限值可见，正常情况下粉尘沉降对土壤的环境影响较小，</w:t>
      </w:r>
      <w:r>
        <w:rPr>
          <w:rFonts w:ascii="Times New Roman" w:hAnsi="Times New Roman" w:eastAsia="宋体" w:cs="Times New Roman"/>
          <w:caps w:val="0"/>
          <w:smallCaps w:val="0"/>
          <w:color w:val="auto"/>
          <w:spacing w:val="0"/>
          <w:szCs w:val="28"/>
          <w:highlight w:val="none"/>
          <w:lang w:val="zh-CN"/>
        </w:rPr>
        <w:t>不会对周边土壤产生明显影响。</w:t>
      </w:r>
      <w:r>
        <w:rPr>
          <w:rFonts w:ascii="Times New Roman" w:hAnsi="Times New Roman" w:eastAsia="宋体" w:cs="Times New Roman"/>
          <w:caps w:val="0"/>
          <w:smallCaps w:val="0"/>
          <w:color w:val="auto"/>
          <w:spacing w:val="0"/>
          <w:highlight w:val="none"/>
        </w:rPr>
        <w:t>项目在严格做好大气污染防治设施及地面分区防渗措施的建设，采取必要的检修、监测、管理措施条件下，工程建设对土壤的影响可接受。</w:t>
      </w:r>
    </w:p>
    <w:p w14:paraId="4206FB85">
      <w:pPr>
        <w:pStyle w:val="5"/>
        <w:adjustRightInd w:val="0"/>
        <w:snapToGrid w:val="0"/>
        <w:rPr>
          <w:rFonts w:eastAsia="宋体"/>
          <w:caps w:val="0"/>
          <w:smallCaps w:val="0"/>
          <w:color w:val="auto"/>
          <w:spacing w:val="0"/>
          <w:highlight w:val="none"/>
        </w:rPr>
      </w:pPr>
      <w:bookmarkStart w:id="420" w:name="_Toc14619"/>
      <w:bookmarkStart w:id="421" w:name="_Toc25941"/>
      <w:bookmarkStart w:id="422" w:name="_Toc29081"/>
      <w:bookmarkStart w:id="423" w:name="_Toc13668"/>
      <w:bookmarkStart w:id="424" w:name="_Toc10265"/>
      <w:r>
        <w:rPr>
          <w:rFonts w:eastAsia="宋体"/>
          <w:caps w:val="0"/>
          <w:smallCaps w:val="0"/>
          <w:color w:val="auto"/>
          <w:spacing w:val="0"/>
          <w:highlight w:val="none"/>
        </w:rPr>
        <w:t>9.3.5声</w:t>
      </w:r>
      <w:bookmarkEnd w:id="419"/>
      <w:r>
        <w:rPr>
          <w:rFonts w:eastAsia="宋体"/>
          <w:caps w:val="0"/>
          <w:smallCaps w:val="0"/>
          <w:color w:val="auto"/>
          <w:spacing w:val="0"/>
          <w:highlight w:val="none"/>
        </w:rPr>
        <w:t>环境影响评价结论</w:t>
      </w:r>
      <w:bookmarkEnd w:id="420"/>
      <w:bookmarkEnd w:id="421"/>
      <w:bookmarkEnd w:id="422"/>
      <w:bookmarkEnd w:id="423"/>
      <w:bookmarkEnd w:id="424"/>
    </w:p>
    <w:p w14:paraId="1D088FE5">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本工程运行期噪声源</w:t>
      </w:r>
      <w:r>
        <w:rPr>
          <w:rFonts w:ascii="Times New Roman" w:hAnsi="Times New Roman" w:eastAsia="宋体" w:cs="Times New Roman"/>
          <w:caps w:val="0"/>
          <w:smallCaps w:val="0"/>
          <w:color w:val="auto"/>
          <w:spacing w:val="0"/>
          <w:szCs w:val="24"/>
          <w:highlight w:val="none"/>
        </w:rPr>
        <w:t>主要包括磁控溅射设备、激光刻线机等设备运行噪声，噪声源强为80~90dB</w:t>
      </w:r>
      <w:r>
        <w:rPr>
          <w:rFonts w:ascii="Times New Roman" w:hAnsi="Times New Roman" w:eastAsia="宋体" w:cs="Times New Roman"/>
          <w:caps w:val="0"/>
          <w:smallCaps w:val="0"/>
          <w:color w:val="auto"/>
          <w:spacing w:val="0"/>
          <w:highlight w:val="none"/>
        </w:rPr>
        <w:t>，根据各设备噪声源强，在考虑距离衰减因素的情况下，预测各设备噪声传播衰减后的噪声值，营运期厂界处的噪声贡献值满足《工业企业厂界环境噪声排放标准》（GB12348-2008）中的3类</w:t>
      </w:r>
      <w:r>
        <w:rPr>
          <w:rFonts w:hint="eastAsia" w:ascii="Times New Roman" w:hAnsi="Times New Roman" w:eastAsia="宋体" w:cs="Times New Roman"/>
          <w:caps w:val="0"/>
          <w:smallCaps w:val="0"/>
          <w:color w:val="auto"/>
          <w:spacing w:val="0"/>
          <w:highlight w:val="none"/>
          <w:lang w:val="en-US" w:eastAsia="zh-CN"/>
        </w:rPr>
        <w:t>和4类</w:t>
      </w:r>
      <w:r>
        <w:rPr>
          <w:rFonts w:ascii="Times New Roman" w:hAnsi="Times New Roman" w:eastAsia="宋体" w:cs="Times New Roman"/>
          <w:caps w:val="0"/>
          <w:smallCaps w:val="0"/>
          <w:color w:val="auto"/>
          <w:spacing w:val="0"/>
          <w:highlight w:val="none"/>
        </w:rPr>
        <w:t>声环境功能区噪声排放限值要求，本项目对声环境的影响可接受。</w:t>
      </w:r>
    </w:p>
    <w:p w14:paraId="3B0D346E">
      <w:pPr>
        <w:pStyle w:val="5"/>
        <w:adjustRightInd w:val="0"/>
        <w:snapToGrid w:val="0"/>
        <w:rPr>
          <w:rFonts w:eastAsia="宋体"/>
          <w:caps w:val="0"/>
          <w:smallCaps w:val="0"/>
          <w:color w:val="auto"/>
          <w:spacing w:val="0"/>
          <w:highlight w:val="none"/>
        </w:rPr>
      </w:pPr>
      <w:bookmarkStart w:id="425" w:name="_Toc22486"/>
      <w:bookmarkStart w:id="426" w:name="_Toc12783"/>
      <w:bookmarkStart w:id="427" w:name="_Toc19368"/>
      <w:bookmarkStart w:id="428" w:name="_Toc12154"/>
      <w:bookmarkStart w:id="429" w:name="_Toc9274"/>
      <w:r>
        <w:rPr>
          <w:rFonts w:eastAsia="宋体"/>
          <w:caps w:val="0"/>
          <w:smallCaps w:val="0"/>
          <w:color w:val="auto"/>
          <w:spacing w:val="0"/>
          <w:highlight w:val="none"/>
        </w:rPr>
        <w:t>9.3.6风险环境影响评价结论</w:t>
      </w:r>
      <w:bookmarkEnd w:id="425"/>
      <w:bookmarkEnd w:id="426"/>
      <w:bookmarkEnd w:id="427"/>
      <w:bookmarkEnd w:id="428"/>
      <w:bookmarkEnd w:id="429"/>
    </w:p>
    <w:p w14:paraId="2F6D07D1">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本项目在确保环境风险防范措施和应急预案落实的基础上，在加强风险管理和不发生大于本报告设定的最大可信事故的条件下，环境风险可控，工程选址和建设从环境风险的角度考虑是可以接受的。</w:t>
      </w:r>
    </w:p>
    <w:p w14:paraId="38F58F2C">
      <w:pPr>
        <w:pStyle w:val="5"/>
        <w:adjustRightInd w:val="0"/>
        <w:snapToGrid w:val="0"/>
        <w:rPr>
          <w:rFonts w:eastAsia="宋体"/>
          <w:caps w:val="0"/>
          <w:smallCaps w:val="0"/>
          <w:color w:val="auto"/>
          <w:spacing w:val="0"/>
          <w:highlight w:val="none"/>
        </w:rPr>
      </w:pPr>
      <w:bookmarkStart w:id="430" w:name="_Toc33448511"/>
      <w:bookmarkStart w:id="431" w:name="_Toc10359"/>
      <w:bookmarkStart w:id="432" w:name="_Toc20712"/>
      <w:bookmarkStart w:id="433" w:name="_Toc6093"/>
      <w:bookmarkStart w:id="434" w:name="_Toc6941"/>
      <w:bookmarkStart w:id="435" w:name="_Toc23112"/>
      <w:r>
        <w:rPr>
          <w:rFonts w:eastAsia="宋体"/>
          <w:caps w:val="0"/>
          <w:smallCaps w:val="0"/>
          <w:color w:val="auto"/>
          <w:spacing w:val="0"/>
          <w:highlight w:val="none"/>
        </w:rPr>
        <w:t>9.3.</w:t>
      </w:r>
      <w:bookmarkEnd w:id="430"/>
      <w:r>
        <w:rPr>
          <w:rFonts w:eastAsia="宋体"/>
          <w:caps w:val="0"/>
          <w:smallCaps w:val="0"/>
          <w:color w:val="auto"/>
          <w:spacing w:val="0"/>
          <w:highlight w:val="none"/>
        </w:rPr>
        <w:t>7固体废物环境影响评价结论</w:t>
      </w:r>
      <w:bookmarkEnd w:id="431"/>
      <w:bookmarkEnd w:id="432"/>
      <w:bookmarkEnd w:id="433"/>
      <w:bookmarkEnd w:id="434"/>
      <w:bookmarkEnd w:id="435"/>
    </w:p>
    <w:p w14:paraId="0D048E06">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营运期废物种类多，危险废物交由有资质单位处理，危险废物贮存点已按《危险废物贮存污染控制标准》（GB18597-2023）)的要求进行设计、建造和管理。库房要求防风、防雨和防晒，地面、裙角及渗滤液收集池壁等均作防腐、防渗处理。危险废物用加盖容器密封贮存。</w:t>
      </w:r>
    </w:p>
    <w:p w14:paraId="148C567B">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本项目一般固废严格</w:t>
      </w:r>
      <w:r>
        <w:rPr>
          <w:rFonts w:hint="eastAsia" w:ascii="Times New Roman" w:hAnsi="Times New Roman" w:eastAsia="宋体" w:cs="Times New Roman"/>
          <w:caps w:val="0"/>
          <w:smallCaps w:val="0"/>
          <w:color w:val="auto"/>
          <w:spacing w:val="0"/>
          <w:highlight w:val="none"/>
        </w:rPr>
        <w:t>根据</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一般工业固体废物贮存和填埋污染控制标准</w:t>
      </w:r>
      <w:r>
        <w:rPr>
          <w:rFonts w:hint="eastAsia" w:ascii="Times New Roman" w:hAnsi="Times New Roman" w:eastAsia="宋体" w:cs="Times New Roman"/>
          <w:caps w:val="0"/>
          <w:smallCaps w:val="0"/>
          <w:color w:val="auto"/>
          <w:spacing w:val="0"/>
          <w:highlight w:val="none"/>
          <w:lang w:eastAsia="zh-CN"/>
        </w:rPr>
        <w:t>》</w:t>
      </w:r>
      <w:r>
        <w:rPr>
          <w:rFonts w:hint="eastAsia" w:ascii="Times New Roman" w:hAnsi="Times New Roman" w:eastAsia="宋体" w:cs="Times New Roman"/>
          <w:caps w:val="0"/>
          <w:smallCaps w:val="0"/>
          <w:color w:val="auto"/>
          <w:spacing w:val="0"/>
          <w:highlight w:val="none"/>
        </w:rPr>
        <w:t>(GB18599-2020)，采用库房、包装工具(罐、桶、包装袋等)贮存一般工业固体废物过程的污染控制，不适用本标准，其贮存过程应满足相应防渗漏、防雨淋、防扬尘等环境保护要求</w:t>
      </w:r>
      <w:r>
        <w:rPr>
          <w:rFonts w:ascii="Times New Roman" w:hAnsi="Times New Roman" w:eastAsia="宋体" w:cs="Times New Roman"/>
          <w:caps w:val="0"/>
          <w:smallCaps w:val="0"/>
          <w:color w:val="auto"/>
          <w:spacing w:val="0"/>
          <w:highlight w:val="none"/>
        </w:rPr>
        <w:t>进行设计、建设和管理，地面进行硬化，地面与裙角做防渗处理。固废暂存库房必须防风、防雨和防晒。定期清运。</w:t>
      </w:r>
    </w:p>
    <w:p w14:paraId="2DD6095B">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kern w:val="0"/>
          <w:szCs w:val="24"/>
          <w:highlight w:val="none"/>
          <w:lang w:bidi="ar"/>
        </w:rPr>
        <w:t>项目产生的固体废弃物均得到有效处置，处置率达100%，符合《一般工业固体废物贮存和填埋污染控制标准》(GB18599-2020)和《危险废物贮存污染控制标准》(GB18597-2023)相关规定。</w:t>
      </w:r>
    </w:p>
    <w:p w14:paraId="3A928BA8">
      <w:pPr>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kern w:val="0"/>
          <w:szCs w:val="24"/>
          <w:highlight w:val="none"/>
          <w:lang w:bidi="ar"/>
        </w:rPr>
        <w:t>本项目运营期产生的固体废物处置符合《</w:t>
      </w:r>
      <w:r>
        <w:rPr>
          <w:rFonts w:hint="eastAsia" w:ascii="Times New Roman" w:hAnsi="Times New Roman" w:eastAsia="宋体" w:cs="Times New Roman"/>
          <w:caps w:val="0"/>
          <w:smallCaps w:val="0"/>
          <w:color w:val="auto"/>
          <w:spacing w:val="0"/>
          <w:kern w:val="0"/>
          <w:szCs w:val="24"/>
          <w:highlight w:val="none"/>
          <w:lang w:bidi="ar"/>
        </w:rPr>
        <w:t>中华人民共和国固体废物污染环境防治法</w:t>
      </w:r>
      <w:r>
        <w:rPr>
          <w:rFonts w:ascii="Times New Roman" w:hAnsi="Times New Roman" w:eastAsia="宋体" w:cs="Times New Roman"/>
          <w:caps w:val="0"/>
          <w:smallCaps w:val="0"/>
          <w:color w:val="auto"/>
          <w:spacing w:val="0"/>
          <w:kern w:val="0"/>
          <w:szCs w:val="24"/>
          <w:highlight w:val="none"/>
          <w:lang w:bidi="ar"/>
        </w:rPr>
        <w:t>》规定的“减量化、资源化、无害化”原则，在采取环评及设计提出的治理措施，并加强管理的前提下，可减少二次污染，对环境空气质量、水环境及人群健康影响较小。</w:t>
      </w:r>
    </w:p>
    <w:p w14:paraId="7286C98A">
      <w:pPr>
        <w:pStyle w:val="4"/>
        <w:tabs>
          <w:tab w:val="left" w:pos="0"/>
        </w:tabs>
        <w:adjustRightInd w:val="0"/>
        <w:snapToGrid w:val="0"/>
        <w:rPr>
          <w:rFonts w:eastAsia="宋体"/>
          <w:caps w:val="0"/>
          <w:smallCaps w:val="0"/>
          <w:color w:val="auto"/>
          <w:spacing w:val="0"/>
          <w:highlight w:val="none"/>
        </w:rPr>
      </w:pPr>
      <w:bookmarkStart w:id="436" w:name="_Toc27375"/>
      <w:bookmarkStart w:id="437" w:name="_Toc1064"/>
      <w:bookmarkStart w:id="438" w:name="_Toc2521"/>
      <w:bookmarkStart w:id="439" w:name="_Toc21673"/>
      <w:bookmarkStart w:id="440" w:name="_Toc11519"/>
      <w:bookmarkStart w:id="441" w:name="_Toc8324"/>
      <w:bookmarkStart w:id="442" w:name="_Toc33448515"/>
      <w:bookmarkStart w:id="443" w:name="_Toc15633"/>
      <w:bookmarkStart w:id="444" w:name="_Toc37083853"/>
      <w:bookmarkStart w:id="445" w:name="_Toc29842170"/>
      <w:bookmarkStart w:id="446" w:name="_Toc29842167"/>
      <w:bookmarkStart w:id="447" w:name="_Toc37083850"/>
      <w:bookmarkStart w:id="448" w:name="_Toc33448501"/>
      <w:bookmarkStart w:id="449" w:name="_Toc29842165"/>
      <w:bookmarkStart w:id="450" w:name="_Toc33448512"/>
      <w:bookmarkStart w:id="451" w:name="_Toc37083848"/>
      <w:r>
        <w:rPr>
          <w:rFonts w:eastAsia="宋体"/>
          <w:caps w:val="0"/>
          <w:smallCaps w:val="0"/>
          <w:color w:val="auto"/>
          <w:spacing w:val="0"/>
          <w:highlight w:val="none"/>
        </w:rPr>
        <w:t>9.4总量控制指标</w:t>
      </w:r>
      <w:bookmarkEnd w:id="436"/>
      <w:bookmarkEnd w:id="437"/>
      <w:bookmarkEnd w:id="438"/>
      <w:bookmarkEnd w:id="439"/>
      <w:bookmarkEnd w:id="440"/>
    </w:p>
    <w:bookmarkEnd w:id="441"/>
    <w:bookmarkEnd w:id="442"/>
    <w:bookmarkEnd w:id="443"/>
    <w:bookmarkEnd w:id="444"/>
    <w:bookmarkEnd w:id="445"/>
    <w:p w14:paraId="455268A6">
      <w:pPr>
        <w:pStyle w:val="65"/>
        <w:widowControl w:val="0"/>
        <w:ind w:firstLine="480"/>
        <w:jc w:val="both"/>
        <w:rPr>
          <w:rFonts w:eastAsia="宋体"/>
          <w:caps w:val="0"/>
          <w:smallCaps w:val="0"/>
          <w:snapToGrid w:val="0"/>
          <w:color w:val="auto"/>
          <w:spacing w:val="0"/>
          <w:kern w:val="0"/>
          <w:szCs w:val="22"/>
          <w:highlight w:val="none"/>
        </w:rPr>
      </w:pPr>
      <w:bookmarkStart w:id="452" w:name="_Toc20131"/>
      <w:bookmarkStart w:id="453" w:name="_Toc23970"/>
      <w:bookmarkStart w:id="454" w:name="_Toc3440"/>
      <w:r>
        <w:rPr>
          <w:rFonts w:eastAsia="宋体"/>
          <w:caps w:val="0"/>
          <w:smallCaps w:val="0"/>
          <w:color w:val="auto"/>
          <w:spacing w:val="0"/>
          <w:highlight w:val="none"/>
        </w:rPr>
        <w:t>项目</w:t>
      </w:r>
      <w:r>
        <w:rPr>
          <w:rFonts w:eastAsia="宋体"/>
          <w:caps w:val="0"/>
          <w:smallCaps w:val="0"/>
          <w:color w:val="auto"/>
          <w:spacing w:val="0"/>
          <w:highlight w:val="none"/>
        </w:rPr>
        <w:t>建成后，污染</w:t>
      </w:r>
      <w:r>
        <w:rPr>
          <w:rFonts w:eastAsia="宋体"/>
          <w:caps w:val="0"/>
          <w:smallCaps w:val="0"/>
          <w:color w:val="auto"/>
          <w:spacing w:val="0"/>
          <w:highlight w:val="none"/>
        </w:rPr>
        <w:t>物</w:t>
      </w:r>
      <w:r>
        <w:rPr>
          <w:rFonts w:hint="eastAsia" w:eastAsia="宋体"/>
          <w:caps w:val="0"/>
          <w:smallCaps w:val="0"/>
          <w:color w:val="auto"/>
          <w:spacing w:val="0"/>
          <w:highlight w:val="none"/>
        </w:rPr>
        <w:t>新增</w:t>
      </w:r>
      <w:r>
        <w:rPr>
          <w:rFonts w:eastAsia="宋体"/>
          <w:caps w:val="0"/>
          <w:smallCaps w:val="0"/>
          <w:color w:val="auto"/>
          <w:spacing w:val="0"/>
          <w:highlight w:val="none"/>
        </w:rPr>
        <w:t>排放总量为</w:t>
      </w:r>
      <w:r>
        <w:rPr>
          <w:rFonts w:hint="eastAsia" w:eastAsia="宋体"/>
          <w:caps w:val="0"/>
          <w:smallCaps w:val="0"/>
          <w:color w:val="auto"/>
          <w:spacing w:val="0"/>
          <w:highlight w:val="none"/>
          <w:lang w:val="en-US" w:eastAsia="zh-CN"/>
        </w:rPr>
        <w:t>挥发性有机物</w:t>
      </w:r>
      <w:r>
        <w:rPr>
          <w:rFonts w:eastAsia="宋体"/>
          <w:caps w:val="0"/>
          <w:smallCaps w:val="0"/>
          <w:color w:val="auto"/>
          <w:spacing w:val="0"/>
          <w:highlight w:val="none"/>
        </w:rPr>
        <w:t>0.00</w:t>
      </w:r>
      <w:r>
        <w:rPr>
          <w:rFonts w:hint="eastAsia" w:eastAsia="宋体"/>
          <w:caps w:val="0"/>
          <w:smallCaps w:val="0"/>
          <w:color w:val="auto"/>
          <w:spacing w:val="0"/>
          <w:highlight w:val="none"/>
        </w:rPr>
        <w:t>792</w:t>
      </w:r>
      <w:r>
        <w:rPr>
          <w:rFonts w:eastAsia="宋体"/>
          <w:caps w:val="0"/>
          <w:smallCaps w:val="0"/>
          <w:color w:val="auto"/>
          <w:spacing w:val="0"/>
          <w:highlight w:val="none"/>
        </w:rPr>
        <w:t>t/a、</w:t>
      </w:r>
      <w:r>
        <w:rPr>
          <w:rFonts w:hint="eastAsia" w:eastAsia="宋体"/>
          <w:caps w:val="0"/>
          <w:smallCaps w:val="0"/>
          <w:color w:val="auto"/>
          <w:spacing w:val="0"/>
          <w:highlight w:val="none"/>
          <w:lang w:val="en-US" w:eastAsia="zh-CN"/>
        </w:rPr>
        <w:t>氮氧化物0.0686t/a</w:t>
      </w:r>
      <w:r>
        <w:rPr>
          <w:rFonts w:eastAsia="宋体"/>
          <w:caps w:val="0"/>
          <w:smallCaps w:val="0"/>
          <w:color w:val="auto"/>
          <w:spacing w:val="0"/>
          <w:highlight w:val="none"/>
        </w:rPr>
        <w:t>。</w:t>
      </w:r>
      <w:r>
        <w:rPr>
          <w:rFonts w:eastAsia="宋体"/>
          <w:caps w:val="0"/>
          <w:smallCaps w:val="0"/>
          <w:snapToGrid w:val="0"/>
          <w:color w:val="auto"/>
          <w:spacing w:val="0"/>
          <w:kern w:val="0"/>
          <w:szCs w:val="22"/>
          <w:highlight w:val="none"/>
        </w:rPr>
        <w:t>本项目为太阳能电池项目，属电气机械和器材制造业，不属《关于加强涉重金属行业污染防控的意见》(生态环境部环土壤</w:t>
      </w:r>
      <w:r>
        <w:rPr>
          <w:rFonts w:hint="eastAsia" w:eastAsia="宋体"/>
          <w:caps w:val="0"/>
          <w:smallCaps w:val="0"/>
          <w:snapToGrid w:val="0"/>
          <w:color w:val="auto"/>
          <w:spacing w:val="0"/>
          <w:kern w:val="0"/>
          <w:szCs w:val="22"/>
          <w:highlight w:val="none"/>
        </w:rPr>
        <w:t>〔2018〕22号</w:t>
      </w:r>
      <w:r>
        <w:rPr>
          <w:rFonts w:eastAsia="宋体"/>
          <w:caps w:val="0"/>
          <w:smallCaps w:val="0"/>
          <w:snapToGrid w:val="0"/>
          <w:color w:val="auto"/>
          <w:spacing w:val="0"/>
          <w:kern w:val="0"/>
          <w:szCs w:val="22"/>
          <w:highlight w:val="none"/>
        </w:rPr>
        <w:t>)中重点行业，建设单位无需生态环境部主管部门申请重金属排放总量。</w:t>
      </w:r>
    </w:p>
    <w:p w14:paraId="3FB41BAC">
      <w:pPr>
        <w:widowControl w:val="0"/>
        <w:spacing w:line="360" w:lineRule="auto"/>
        <w:ind w:firstLine="480" w:firstLineChars="200"/>
        <w:jc w:val="both"/>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本项目新增污染物排放总量应向环境保护行政主管部门申报，由行政主管部门在区域内平衡解决。</w:t>
      </w:r>
    </w:p>
    <w:p w14:paraId="7DD5A255">
      <w:pPr>
        <w:pStyle w:val="4"/>
        <w:widowControl w:val="0"/>
        <w:tabs>
          <w:tab w:val="left" w:pos="0"/>
        </w:tabs>
        <w:adjustRightInd w:val="0"/>
        <w:snapToGrid w:val="0"/>
        <w:rPr>
          <w:rFonts w:eastAsia="宋体"/>
          <w:caps w:val="0"/>
          <w:smallCaps w:val="0"/>
          <w:color w:val="auto"/>
          <w:spacing w:val="0"/>
          <w:highlight w:val="none"/>
        </w:rPr>
      </w:pPr>
      <w:bookmarkStart w:id="455" w:name="_Toc14755"/>
      <w:r>
        <w:rPr>
          <w:rFonts w:eastAsia="宋体"/>
          <w:caps w:val="0"/>
          <w:smallCaps w:val="0"/>
          <w:color w:val="auto"/>
          <w:spacing w:val="0"/>
          <w:highlight w:val="none"/>
        </w:rPr>
        <w:t>9.5公众意见采纳情况</w:t>
      </w:r>
      <w:bookmarkEnd w:id="452"/>
      <w:bookmarkEnd w:id="453"/>
      <w:bookmarkEnd w:id="454"/>
      <w:bookmarkEnd w:id="455"/>
    </w:p>
    <w:p w14:paraId="5F7341DE">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2025年5月9日建设单位在</w:t>
      </w:r>
      <w:r>
        <w:rPr>
          <w:rFonts w:ascii="Times New Roman" w:hAnsi="Times New Roman" w:eastAsia="宋体" w:cs="Times New Roman"/>
          <w:caps w:val="0"/>
          <w:smallCaps w:val="0"/>
          <w:color w:val="auto"/>
          <w:spacing w:val="0"/>
          <w:szCs w:val="24"/>
          <w:highlight w:val="none"/>
        </w:rPr>
        <w:t>黑龙江新闻网</w:t>
      </w:r>
      <w:r>
        <w:rPr>
          <w:rFonts w:ascii="Times New Roman" w:hAnsi="Times New Roman" w:eastAsia="宋体" w:cs="Times New Roman"/>
          <w:caps w:val="0"/>
          <w:smallCaps w:val="0"/>
          <w:color w:val="auto"/>
          <w:spacing w:val="0"/>
          <w:highlight w:val="none"/>
        </w:rPr>
        <w:t>进行一次公众参与网络公示，2025年</w:t>
      </w:r>
      <w:r>
        <w:rPr>
          <w:rFonts w:hint="eastAsia" w:ascii="Times New Roman" w:hAnsi="Times New Roman" w:eastAsia="宋体" w:cs="Times New Roman"/>
          <w:caps w:val="0"/>
          <w:smallCaps w:val="0"/>
          <w:color w:val="auto"/>
          <w:spacing w:val="0"/>
          <w:highlight w:val="none"/>
        </w:rPr>
        <w:t>12</w:t>
      </w:r>
      <w:r>
        <w:rPr>
          <w:rFonts w:ascii="Times New Roman" w:hAnsi="Times New Roman" w:eastAsia="宋体" w:cs="Times New Roman"/>
          <w:caps w:val="0"/>
          <w:smallCaps w:val="0"/>
          <w:color w:val="auto"/>
          <w:spacing w:val="0"/>
          <w:highlight w:val="none"/>
        </w:rPr>
        <w:t>月</w:t>
      </w:r>
      <w:r>
        <w:rPr>
          <w:rFonts w:hint="eastAsia" w:ascii="Times New Roman" w:hAnsi="Times New Roman" w:eastAsia="宋体" w:cs="Times New Roman"/>
          <w:caps w:val="0"/>
          <w:smallCaps w:val="0"/>
          <w:color w:val="auto"/>
          <w:spacing w:val="0"/>
          <w:highlight w:val="none"/>
        </w:rPr>
        <w:t>1</w:t>
      </w:r>
      <w:r>
        <w:rPr>
          <w:rFonts w:ascii="Times New Roman" w:hAnsi="Times New Roman" w:eastAsia="宋体" w:cs="Times New Roman"/>
          <w:caps w:val="0"/>
          <w:smallCaps w:val="0"/>
          <w:color w:val="auto"/>
          <w:spacing w:val="0"/>
          <w:highlight w:val="none"/>
        </w:rPr>
        <w:t>日建设单位在</w:t>
      </w:r>
      <w:r>
        <w:rPr>
          <w:rFonts w:ascii="Times New Roman" w:hAnsi="Times New Roman" w:eastAsia="宋体" w:cs="Times New Roman"/>
          <w:caps w:val="0"/>
          <w:smallCaps w:val="0"/>
          <w:color w:val="auto"/>
          <w:spacing w:val="0"/>
          <w:szCs w:val="24"/>
          <w:highlight w:val="none"/>
        </w:rPr>
        <w:t>黑龙江新闻网</w:t>
      </w:r>
      <w:r>
        <w:rPr>
          <w:rFonts w:ascii="Times New Roman" w:hAnsi="Times New Roman" w:eastAsia="宋体" w:cs="Times New Roman"/>
          <w:caps w:val="0"/>
          <w:smallCaps w:val="0"/>
          <w:color w:val="auto"/>
          <w:spacing w:val="0"/>
          <w:highlight w:val="none"/>
        </w:rPr>
        <w:t>进行二次公众参与网络公示，在二次公众参与公示期间分别于2025年</w:t>
      </w:r>
      <w:r>
        <w:rPr>
          <w:rFonts w:hint="eastAsia" w:ascii="Times New Roman" w:hAnsi="Times New Roman" w:eastAsia="宋体" w:cs="Times New Roman"/>
          <w:caps w:val="0"/>
          <w:smallCaps w:val="0"/>
          <w:color w:val="auto"/>
          <w:spacing w:val="0"/>
          <w:highlight w:val="none"/>
        </w:rPr>
        <w:t>12</w:t>
      </w:r>
      <w:r>
        <w:rPr>
          <w:rFonts w:ascii="Times New Roman" w:hAnsi="Times New Roman" w:eastAsia="宋体" w:cs="Times New Roman"/>
          <w:caps w:val="0"/>
          <w:smallCaps w:val="0"/>
          <w:color w:val="auto"/>
          <w:spacing w:val="0"/>
          <w:highlight w:val="none"/>
        </w:rPr>
        <w:t>月</w:t>
      </w:r>
      <w:r>
        <w:rPr>
          <w:rFonts w:hint="eastAsia" w:ascii="Times New Roman" w:hAnsi="Times New Roman" w:eastAsia="宋体" w:cs="Times New Roman"/>
          <w:caps w:val="0"/>
          <w:smallCaps w:val="0"/>
          <w:color w:val="auto"/>
          <w:spacing w:val="0"/>
          <w:highlight w:val="none"/>
        </w:rPr>
        <w:t>4</w:t>
      </w:r>
      <w:r>
        <w:rPr>
          <w:rFonts w:ascii="Times New Roman" w:hAnsi="Times New Roman" w:eastAsia="宋体" w:cs="Times New Roman"/>
          <w:caps w:val="0"/>
          <w:smallCaps w:val="0"/>
          <w:color w:val="auto"/>
          <w:spacing w:val="0"/>
          <w:highlight w:val="none"/>
        </w:rPr>
        <w:t>日和2025年</w:t>
      </w:r>
      <w:r>
        <w:rPr>
          <w:rFonts w:hint="eastAsia" w:ascii="Times New Roman" w:hAnsi="Times New Roman" w:eastAsia="宋体" w:cs="Times New Roman"/>
          <w:caps w:val="0"/>
          <w:smallCaps w:val="0"/>
          <w:color w:val="auto"/>
          <w:spacing w:val="0"/>
          <w:highlight w:val="none"/>
        </w:rPr>
        <w:t>12</w:t>
      </w:r>
      <w:r>
        <w:rPr>
          <w:rFonts w:ascii="Times New Roman" w:hAnsi="Times New Roman" w:eastAsia="宋体" w:cs="Times New Roman"/>
          <w:caps w:val="0"/>
          <w:smallCaps w:val="0"/>
          <w:color w:val="auto"/>
          <w:spacing w:val="0"/>
          <w:highlight w:val="none"/>
        </w:rPr>
        <w:t>月</w:t>
      </w:r>
      <w:r>
        <w:rPr>
          <w:rFonts w:hint="eastAsia" w:ascii="Times New Roman" w:hAnsi="Times New Roman" w:eastAsia="宋体" w:cs="Times New Roman"/>
          <w:caps w:val="0"/>
          <w:smallCaps w:val="0"/>
          <w:color w:val="auto"/>
          <w:spacing w:val="0"/>
          <w:highlight w:val="none"/>
        </w:rPr>
        <w:t>5</w:t>
      </w:r>
      <w:r>
        <w:rPr>
          <w:rFonts w:ascii="Times New Roman" w:hAnsi="Times New Roman" w:eastAsia="宋体" w:cs="Times New Roman"/>
          <w:caps w:val="0"/>
          <w:smallCaps w:val="0"/>
          <w:color w:val="auto"/>
          <w:spacing w:val="0"/>
          <w:highlight w:val="none"/>
        </w:rPr>
        <w:t>日在《黑龙江日报》进行两次报纸公示，同时在征求意见稿公示期间建设单位在评价范围内的环境保护目标处进行公告张贴，公示期间未收到公众反馈意见。</w:t>
      </w:r>
    </w:p>
    <w:p w14:paraId="73ABDBF4">
      <w:pPr>
        <w:pStyle w:val="4"/>
        <w:widowControl w:val="0"/>
        <w:tabs>
          <w:tab w:val="left" w:pos="0"/>
        </w:tabs>
        <w:adjustRightInd w:val="0"/>
        <w:snapToGrid w:val="0"/>
        <w:rPr>
          <w:rFonts w:eastAsia="宋体"/>
          <w:caps w:val="0"/>
          <w:smallCaps w:val="0"/>
          <w:color w:val="auto"/>
          <w:spacing w:val="0"/>
          <w:highlight w:val="none"/>
        </w:rPr>
      </w:pPr>
      <w:bookmarkStart w:id="456" w:name="_Toc8145"/>
      <w:bookmarkStart w:id="457" w:name="_Toc5888"/>
      <w:bookmarkStart w:id="458" w:name="_Toc20152"/>
      <w:bookmarkStart w:id="459" w:name="_Toc31291"/>
      <w:bookmarkStart w:id="460" w:name="_Toc32532"/>
      <w:bookmarkStart w:id="461" w:name="_Toc8262"/>
      <w:bookmarkStart w:id="462" w:name="_Toc6924"/>
      <w:bookmarkStart w:id="463" w:name="_Toc37083851"/>
      <w:bookmarkStart w:id="464" w:name="_Toc29842168"/>
      <w:bookmarkStart w:id="465" w:name="_Toc33448513"/>
      <w:r>
        <w:rPr>
          <w:rFonts w:eastAsia="宋体"/>
          <w:caps w:val="0"/>
          <w:smallCaps w:val="0"/>
          <w:color w:val="auto"/>
          <w:spacing w:val="0"/>
          <w:highlight w:val="none"/>
        </w:rPr>
        <w:t>9.6环境保护措施</w:t>
      </w:r>
      <w:bookmarkEnd w:id="456"/>
      <w:bookmarkEnd w:id="457"/>
      <w:bookmarkEnd w:id="458"/>
      <w:bookmarkEnd w:id="459"/>
      <w:bookmarkEnd w:id="460"/>
      <w:bookmarkEnd w:id="461"/>
      <w:bookmarkEnd w:id="462"/>
    </w:p>
    <w:p w14:paraId="50E92CFA">
      <w:pPr>
        <w:pStyle w:val="5"/>
        <w:widowControl w:val="0"/>
        <w:adjustRightInd w:val="0"/>
        <w:snapToGrid w:val="0"/>
        <w:rPr>
          <w:rFonts w:eastAsia="宋体"/>
          <w:caps w:val="0"/>
          <w:smallCaps w:val="0"/>
          <w:color w:val="auto"/>
          <w:spacing w:val="0"/>
          <w:highlight w:val="none"/>
        </w:rPr>
      </w:pPr>
      <w:bookmarkStart w:id="466" w:name="_Toc33448502"/>
      <w:bookmarkStart w:id="467" w:name="_Toc19082"/>
      <w:bookmarkStart w:id="468" w:name="_Toc6662"/>
      <w:bookmarkStart w:id="469" w:name="_Toc9414"/>
      <w:bookmarkStart w:id="470" w:name="_Toc25269"/>
      <w:bookmarkStart w:id="471" w:name="_Toc24520"/>
      <w:r>
        <w:rPr>
          <w:rFonts w:eastAsia="宋体"/>
          <w:caps w:val="0"/>
          <w:smallCaps w:val="0"/>
          <w:color w:val="auto"/>
          <w:spacing w:val="0"/>
          <w:highlight w:val="none"/>
        </w:rPr>
        <w:t>9.6.1</w:t>
      </w:r>
      <w:bookmarkEnd w:id="466"/>
      <w:r>
        <w:rPr>
          <w:rFonts w:eastAsia="宋体"/>
          <w:caps w:val="0"/>
          <w:smallCaps w:val="0"/>
          <w:color w:val="auto"/>
          <w:spacing w:val="0"/>
          <w:highlight w:val="none"/>
        </w:rPr>
        <w:t>大气环境保护措施</w:t>
      </w:r>
      <w:bookmarkEnd w:id="467"/>
      <w:bookmarkEnd w:id="468"/>
      <w:bookmarkEnd w:id="469"/>
      <w:bookmarkEnd w:id="470"/>
      <w:bookmarkEnd w:id="471"/>
    </w:p>
    <w:p w14:paraId="1949AFB2">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本项目所产生的废气主要为生产工艺废气以及实验室废气</w:t>
      </w:r>
      <w:r>
        <w:rPr>
          <w:rFonts w:hint="eastAsia" w:ascii="Times New Roman" w:hAnsi="Times New Roman" w:eastAsia="宋体" w:cs="Times New Roman"/>
          <w:caps w:val="0"/>
          <w:smallCaps w:val="0"/>
          <w:color w:val="auto"/>
          <w:spacing w:val="0"/>
          <w:highlight w:val="none"/>
        </w:rPr>
        <w:t>和污水处理站废气</w:t>
      </w:r>
      <w:r>
        <w:rPr>
          <w:rFonts w:ascii="Times New Roman" w:hAnsi="Times New Roman" w:eastAsia="宋体" w:cs="Times New Roman"/>
          <w:caps w:val="0"/>
          <w:smallCaps w:val="0"/>
          <w:color w:val="auto"/>
          <w:spacing w:val="0"/>
          <w:highlight w:val="none"/>
        </w:rPr>
        <w:t>，主要污染防治措施如下：</w:t>
      </w:r>
    </w:p>
    <w:p w14:paraId="72012180">
      <w:pPr>
        <w:pStyle w:val="34"/>
        <w:widowControl w:val="0"/>
        <w:spacing w:before="0" w:beforeAutospacing="0" w:after="0" w:afterAutospacing="0" w:line="360" w:lineRule="auto"/>
        <w:ind w:firstLine="480" w:firstLineChars="200"/>
        <w:jc w:val="both"/>
        <w:rPr>
          <w:rFonts w:ascii="Times New Roman" w:hAnsi="Times New Roman" w:cs="Times New Roman"/>
          <w:caps w:val="0"/>
          <w:smallCaps w:val="0"/>
          <w:color w:val="auto"/>
          <w:spacing w:val="0"/>
          <w:highlight w:val="none"/>
        </w:rPr>
      </w:pPr>
      <w:r>
        <w:rPr>
          <w:rStyle w:val="40"/>
          <w:rFonts w:ascii="Times New Roman" w:hAnsi="Times New Roman" w:cs="Times New Roman"/>
          <w:b w:val="0"/>
          <w:bCs w:val="0"/>
          <w:caps w:val="0"/>
          <w:smallCaps w:val="0"/>
          <w:color w:val="auto"/>
          <w:spacing w:val="0"/>
          <w:sz w:val="24"/>
          <w:szCs w:val="24"/>
          <w:highlight w:val="none"/>
          <w:shd w:val="clear" w:color="auto" w:fill="FFFFFF"/>
        </w:rPr>
        <w:t>CSS沉积镀膜</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废气经过</w:t>
      </w:r>
      <w:r>
        <w:rPr>
          <w:rFonts w:hint="default" w:ascii="Times New Roman" w:hAnsi="Times New Roman" w:eastAsia="宋体" w:cs="Times New Roman"/>
          <w:caps w:val="0"/>
          <w:smallCaps w:val="0"/>
          <w:color w:val="auto"/>
          <w:spacing w:val="0"/>
          <w:kern w:val="0"/>
          <w:sz w:val="24"/>
          <w:szCs w:val="24"/>
          <w:highlight w:val="none"/>
          <w:lang w:val="en-US" w:eastAsia="zh-CN" w:bidi="ar"/>
        </w:rPr>
        <w:t>1</w:t>
      </w:r>
      <w:r>
        <w:rPr>
          <w:rFonts w:hint="eastAsia" w:ascii="Times New Roman" w:hAnsi="Times New Roman" w:eastAsia="宋体" w:cs="Times New Roman"/>
          <w:caps w:val="0"/>
          <w:smallCaps w:val="0"/>
          <w:color w:val="auto"/>
          <w:spacing w:val="0"/>
          <w:kern w:val="0"/>
          <w:sz w:val="24"/>
          <w:szCs w:val="24"/>
          <w:highlight w:val="none"/>
          <w:lang w:val="en-US" w:eastAsia="zh-CN" w:bidi="ar"/>
        </w:rPr>
        <w:t>套</w:t>
      </w:r>
      <w:r>
        <w:rPr>
          <w:rFonts w:hint="default" w:ascii="Times New Roman" w:hAnsi="Times New Roman" w:eastAsia="宋体" w:cs="Times New Roman"/>
          <w:caps w:val="0"/>
          <w:smallCaps w:val="0"/>
          <w:color w:val="auto"/>
          <w:spacing w:val="0"/>
          <w:kern w:val="0"/>
          <w:sz w:val="24"/>
          <w:szCs w:val="24"/>
          <w:highlight w:val="none"/>
          <w:lang w:val="en-US" w:eastAsia="zh-CN" w:bidi="ar"/>
        </w:rPr>
        <w:t>E12</w:t>
      </w:r>
      <w:r>
        <w:rPr>
          <w:rFonts w:hint="eastAsia" w:ascii="Times New Roman" w:hAnsi="Times New Roman" w:eastAsia="宋体" w:cs="Times New Roman"/>
          <w:caps w:val="0"/>
          <w:smallCaps w:val="0"/>
          <w:color w:val="auto"/>
          <w:spacing w:val="0"/>
          <w:kern w:val="0"/>
          <w:sz w:val="24"/>
          <w:szCs w:val="24"/>
          <w:highlight w:val="none"/>
          <w:lang w:val="en-US" w:eastAsia="zh-CN" w:bidi="ar"/>
        </w:rPr>
        <w:t>级高效离子过滤器</w:t>
      </w:r>
      <w:r>
        <w:rPr>
          <w:rFonts w:hint="default" w:ascii="Times New Roman" w:hAnsi="Times New Roman" w:eastAsia="宋体" w:cs="Times New Roman"/>
          <w:caps w:val="0"/>
          <w:smallCaps w:val="0"/>
          <w:color w:val="auto"/>
          <w:spacing w:val="0"/>
          <w:kern w:val="0"/>
          <w:sz w:val="24"/>
          <w:szCs w:val="24"/>
          <w:highlight w:val="none"/>
          <w:lang w:val="en-US" w:eastAsia="zh-CN" w:bidi="ar"/>
        </w:rPr>
        <w:t>+H14</w:t>
      </w:r>
      <w:r>
        <w:rPr>
          <w:rFonts w:hint="eastAsia" w:ascii="Times New Roman" w:hAnsi="Times New Roman" w:eastAsia="宋体" w:cs="Times New Roman"/>
          <w:caps w:val="0"/>
          <w:smallCaps w:val="0"/>
          <w:color w:val="auto"/>
          <w:spacing w:val="0"/>
          <w:kern w:val="0"/>
          <w:sz w:val="24"/>
          <w:szCs w:val="24"/>
          <w:highlight w:val="none"/>
          <w:lang w:val="en-US" w:eastAsia="zh-CN" w:bidi="ar"/>
        </w:rPr>
        <w:t>级高效离子过滤器</w:t>
      </w:r>
      <w:r>
        <w:rPr>
          <w:rFonts w:hint="eastAsia" w:ascii="Times New Roman" w:hAnsi="Times New Roman" w:cs="Times New Roman"/>
          <w:caps w:val="0"/>
          <w:smallCaps w:val="0"/>
          <w:color w:val="auto"/>
          <w:spacing w:val="0"/>
          <w:kern w:val="0"/>
          <w:sz w:val="24"/>
          <w:szCs w:val="24"/>
          <w:highlight w:val="none"/>
          <w:lang w:val="en-US" w:eastAsia="zh-CN" w:bidi="ar"/>
        </w:rPr>
        <w:t>处理后由排气筒排放</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eastAsia="zh-CN"/>
        </w:rPr>
        <w:t>；</w:t>
      </w:r>
      <w:r>
        <w:rPr>
          <w:rStyle w:val="40"/>
          <w:rFonts w:ascii="Times New Roman" w:hAnsi="Times New Roman" w:cs="Times New Roman"/>
          <w:b w:val="0"/>
          <w:bCs w:val="0"/>
          <w:caps w:val="0"/>
          <w:smallCaps w:val="0"/>
          <w:color w:val="auto"/>
          <w:spacing w:val="0"/>
          <w:sz w:val="24"/>
          <w:szCs w:val="24"/>
          <w:highlight w:val="none"/>
          <w:shd w:val="clear" w:color="auto" w:fill="FFFFFF"/>
        </w:rPr>
        <w:t>活化层活化</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废气经过</w:t>
      </w:r>
      <w:r>
        <w:rPr>
          <w:rFonts w:hint="eastAsia" w:ascii="Times New Roman" w:hAnsi="Times New Roman" w:eastAsia="宋体" w:cs="Times New Roman"/>
          <w:caps w:val="0"/>
          <w:smallCaps w:val="0"/>
          <w:color w:val="auto"/>
          <w:spacing w:val="0"/>
          <w:sz w:val="24"/>
          <w:szCs w:val="24"/>
          <w:highlight w:val="none"/>
          <w:lang w:val="en-US" w:eastAsia="zh-CN"/>
        </w:rPr>
        <w:t>1套F7级过滤器+E10级高效离子过滤器+H14级高效过滤器</w:t>
      </w:r>
      <w:r>
        <w:rPr>
          <w:rFonts w:hint="eastAsia" w:ascii="Times New Roman" w:hAnsi="Times New Roman" w:cs="Times New Roman"/>
          <w:caps w:val="0"/>
          <w:smallCaps w:val="0"/>
          <w:color w:val="auto"/>
          <w:spacing w:val="0"/>
          <w:kern w:val="0"/>
          <w:sz w:val="24"/>
          <w:szCs w:val="24"/>
          <w:highlight w:val="none"/>
          <w:lang w:val="en-US" w:eastAsia="zh-CN" w:bidi="ar"/>
        </w:rPr>
        <w:t>处理后由排气筒排放</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eastAsia="zh-CN"/>
        </w:rPr>
        <w:t>；</w:t>
      </w:r>
      <w:r>
        <w:rPr>
          <w:rStyle w:val="40"/>
          <w:rFonts w:ascii="Times New Roman" w:hAnsi="Times New Roman" w:cs="Times New Roman"/>
          <w:b w:val="0"/>
          <w:bCs w:val="0"/>
          <w:caps w:val="0"/>
          <w:smallCaps w:val="0"/>
          <w:color w:val="auto"/>
          <w:spacing w:val="0"/>
          <w:sz w:val="24"/>
          <w:szCs w:val="24"/>
          <w:highlight w:val="none"/>
          <w:shd w:val="clear" w:color="auto" w:fill="FFFFFF"/>
        </w:rPr>
        <w:t>ZnTe背触膜层磁控溅射镀膜</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与</w:t>
      </w:r>
      <w:r>
        <w:rPr>
          <w:rStyle w:val="40"/>
          <w:rFonts w:ascii="Times New Roman" w:hAnsi="Times New Roman" w:cs="Times New Roman"/>
          <w:b w:val="0"/>
          <w:bCs w:val="0"/>
          <w:caps w:val="0"/>
          <w:smallCaps w:val="0"/>
          <w:color w:val="auto"/>
          <w:spacing w:val="0"/>
          <w:sz w:val="24"/>
          <w:szCs w:val="24"/>
          <w:highlight w:val="none"/>
          <w:shd w:val="clear" w:color="auto" w:fill="FFFFFF"/>
        </w:rPr>
        <w:t>背电极磁控溅射</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废气均经过</w:t>
      </w:r>
      <w:r>
        <w:rPr>
          <w:rFonts w:ascii="Times New Roman" w:hAnsi="Times New Roman" w:cs="Times New Roman"/>
          <w:caps w:val="0"/>
          <w:smallCaps w:val="0"/>
          <w:color w:val="auto"/>
          <w:spacing w:val="0"/>
          <w:sz w:val="24"/>
          <w:szCs w:val="24"/>
          <w:highlight w:val="none"/>
          <w:shd w:val="clear" w:color="auto" w:fill="FFFFFF"/>
        </w:rPr>
        <w:t>H14级高效过滤器除尘处理后由排气筒排放</w:t>
      </w:r>
      <w:r>
        <w:rPr>
          <w:rFonts w:hint="eastAsia" w:ascii="Times New Roman" w:hAnsi="Times New Roman" w:cs="Times New Roman"/>
          <w:caps w:val="0"/>
          <w:smallCaps w:val="0"/>
          <w:color w:val="auto"/>
          <w:spacing w:val="0"/>
          <w:sz w:val="24"/>
          <w:szCs w:val="24"/>
          <w:highlight w:val="none"/>
          <w:shd w:val="clear" w:color="auto" w:fill="FFFFFF"/>
          <w:lang w:eastAsia="zh-CN"/>
        </w:rPr>
        <w:t>；</w:t>
      </w:r>
      <w:r>
        <w:rPr>
          <w:rStyle w:val="40"/>
          <w:rFonts w:ascii="Times New Roman" w:hAnsi="Times New Roman" w:cs="Times New Roman"/>
          <w:b w:val="0"/>
          <w:bCs w:val="0"/>
          <w:caps w:val="0"/>
          <w:smallCaps w:val="0"/>
          <w:color w:val="auto"/>
          <w:spacing w:val="0"/>
          <w:sz w:val="24"/>
          <w:szCs w:val="24"/>
          <w:highlight w:val="none"/>
          <w:shd w:val="clear" w:color="auto" w:fill="FFFFFF"/>
        </w:rPr>
        <w:t>P1-P</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3</w:t>
      </w:r>
      <w:r>
        <w:rPr>
          <w:rStyle w:val="40"/>
          <w:rFonts w:ascii="Times New Roman" w:hAnsi="Times New Roman" w:cs="Times New Roman"/>
          <w:b w:val="0"/>
          <w:bCs w:val="0"/>
          <w:caps w:val="0"/>
          <w:smallCaps w:val="0"/>
          <w:color w:val="auto"/>
          <w:spacing w:val="0"/>
          <w:sz w:val="24"/>
          <w:szCs w:val="24"/>
          <w:highlight w:val="none"/>
          <w:shd w:val="clear" w:color="auto" w:fill="FFFFFF"/>
        </w:rPr>
        <w:t>激光刻划工艺</w:t>
      </w:r>
      <w:r>
        <w:rPr>
          <w:rFonts w:hint="eastAsia" w:ascii="Times New Roman" w:hAnsi="Times New Roman" w:cs="Times New Roman"/>
          <w:caps w:val="0"/>
          <w:smallCaps w:val="0"/>
          <w:color w:val="auto"/>
          <w:spacing w:val="0"/>
          <w:sz w:val="24"/>
          <w:szCs w:val="24"/>
          <w:highlight w:val="none"/>
          <w:shd w:val="clear" w:color="auto" w:fill="FFFFFF"/>
          <w:lang w:val="en-US" w:eastAsia="zh-CN"/>
        </w:rPr>
        <w:t>废气经过</w:t>
      </w:r>
      <w:r>
        <w:rPr>
          <w:rFonts w:hint="eastAsia" w:ascii="Times New Roman" w:hAnsi="Times New Roman" w:eastAsia="宋体" w:cs="Times New Roman"/>
          <w:caps w:val="0"/>
          <w:smallCaps w:val="0"/>
          <w:color w:val="auto"/>
          <w:spacing w:val="0"/>
          <w:kern w:val="0"/>
          <w:sz w:val="24"/>
          <w:szCs w:val="24"/>
          <w:highlight w:val="none"/>
          <w:lang w:val="en-US" w:eastAsia="zh-CN" w:bidi="ar"/>
        </w:rPr>
        <w:t>2级初效过滤器+H14级高效离子过滤器</w:t>
      </w:r>
      <w:r>
        <w:rPr>
          <w:rFonts w:hint="eastAsia" w:ascii="Times New Roman" w:hAnsi="Times New Roman" w:cs="Times New Roman"/>
          <w:caps w:val="0"/>
          <w:smallCaps w:val="0"/>
          <w:color w:val="auto"/>
          <w:spacing w:val="0"/>
          <w:kern w:val="0"/>
          <w:sz w:val="24"/>
          <w:szCs w:val="24"/>
          <w:highlight w:val="none"/>
          <w:lang w:val="en-US" w:eastAsia="zh-CN" w:bidi="ar"/>
        </w:rPr>
        <w:t>处理后由排气筒排放；</w:t>
      </w:r>
      <w:r>
        <w:rPr>
          <w:rStyle w:val="40"/>
          <w:rFonts w:ascii="Times New Roman" w:hAnsi="Times New Roman" w:cs="Times New Roman"/>
          <w:b w:val="0"/>
          <w:bCs w:val="0"/>
          <w:caps w:val="0"/>
          <w:smallCaps w:val="0"/>
          <w:color w:val="auto"/>
          <w:spacing w:val="0"/>
          <w:sz w:val="24"/>
          <w:szCs w:val="24"/>
          <w:highlight w:val="none"/>
          <w:shd w:val="clear" w:color="auto" w:fill="FFFFFF"/>
        </w:rPr>
        <w:t>P</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4</w:t>
      </w:r>
      <w:r>
        <w:rPr>
          <w:rStyle w:val="40"/>
          <w:rFonts w:ascii="Times New Roman" w:hAnsi="Times New Roman" w:cs="Times New Roman"/>
          <w:b w:val="0"/>
          <w:bCs w:val="0"/>
          <w:caps w:val="0"/>
          <w:smallCaps w:val="0"/>
          <w:color w:val="auto"/>
          <w:spacing w:val="0"/>
          <w:sz w:val="24"/>
          <w:szCs w:val="24"/>
          <w:highlight w:val="none"/>
          <w:shd w:val="clear" w:color="auto" w:fill="FFFFFF"/>
        </w:rPr>
        <w:t>-P</w:t>
      </w:r>
      <w:r>
        <w:rPr>
          <w:rStyle w:val="40"/>
          <w:rFonts w:hint="eastAsia" w:ascii="Times New Roman" w:hAnsi="Times New Roman" w:cs="Times New Roman"/>
          <w:b w:val="0"/>
          <w:bCs w:val="0"/>
          <w:caps w:val="0"/>
          <w:smallCaps w:val="0"/>
          <w:color w:val="auto"/>
          <w:spacing w:val="0"/>
          <w:sz w:val="24"/>
          <w:szCs w:val="24"/>
          <w:highlight w:val="none"/>
          <w:shd w:val="clear" w:color="auto" w:fill="FFFFFF"/>
          <w:lang w:val="en-US" w:eastAsia="zh-CN"/>
        </w:rPr>
        <w:t>5</w:t>
      </w:r>
      <w:r>
        <w:rPr>
          <w:rStyle w:val="40"/>
          <w:rFonts w:ascii="Times New Roman" w:hAnsi="Times New Roman" w:cs="Times New Roman"/>
          <w:b w:val="0"/>
          <w:bCs w:val="0"/>
          <w:caps w:val="0"/>
          <w:smallCaps w:val="0"/>
          <w:color w:val="auto"/>
          <w:spacing w:val="0"/>
          <w:sz w:val="24"/>
          <w:szCs w:val="24"/>
          <w:highlight w:val="none"/>
          <w:shd w:val="clear" w:color="auto" w:fill="FFFFFF"/>
        </w:rPr>
        <w:t>激光刻划工艺</w:t>
      </w:r>
      <w:r>
        <w:rPr>
          <w:rFonts w:hint="eastAsia" w:ascii="Times New Roman" w:hAnsi="Times New Roman" w:cs="Times New Roman"/>
          <w:caps w:val="0"/>
          <w:smallCaps w:val="0"/>
          <w:color w:val="auto"/>
          <w:spacing w:val="0"/>
          <w:sz w:val="24"/>
          <w:szCs w:val="24"/>
          <w:highlight w:val="none"/>
          <w:shd w:val="clear" w:color="auto" w:fill="FFFFFF"/>
          <w:lang w:val="en-US" w:eastAsia="zh-CN"/>
        </w:rPr>
        <w:t>废气经过</w:t>
      </w:r>
      <w:r>
        <w:rPr>
          <w:rFonts w:hint="eastAsia" w:ascii="Times New Roman" w:hAnsi="Times New Roman" w:eastAsia="宋体" w:cs="Times New Roman"/>
          <w:caps w:val="0"/>
          <w:smallCaps w:val="0"/>
          <w:color w:val="auto"/>
          <w:spacing w:val="0"/>
          <w:kern w:val="0"/>
          <w:sz w:val="24"/>
          <w:szCs w:val="24"/>
          <w:highlight w:val="none"/>
          <w:lang w:val="en-US" w:eastAsia="zh-CN" w:bidi="ar"/>
        </w:rPr>
        <w:t>H1</w:t>
      </w:r>
      <w:r>
        <w:rPr>
          <w:rFonts w:hint="eastAsia" w:ascii="Times New Roman" w:hAnsi="Times New Roman" w:cs="Times New Roman"/>
          <w:caps w:val="0"/>
          <w:smallCaps w:val="0"/>
          <w:color w:val="auto"/>
          <w:spacing w:val="0"/>
          <w:kern w:val="0"/>
          <w:sz w:val="24"/>
          <w:szCs w:val="24"/>
          <w:highlight w:val="none"/>
          <w:lang w:val="en-US" w:eastAsia="zh-CN" w:bidi="ar"/>
        </w:rPr>
        <w:t>3</w:t>
      </w:r>
      <w:r>
        <w:rPr>
          <w:rFonts w:hint="eastAsia" w:ascii="Times New Roman" w:hAnsi="Times New Roman" w:eastAsia="宋体" w:cs="Times New Roman"/>
          <w:caps w:val="0"/>
          <w:smallCaps w:val="0"/>
          <w:color w:val="auto"/>
          <w:spacing w:val="0"/>
          <w:kern w:val="0"/>
          <w:sz w:val="24"/>
          <w:szCs w:val="24"/>
          <w:highlight w:val="none"/>
          <w:lang w:val="en-US" w:eastAsia="zh-CN" w:bidi="ar"/>
        </w:rPr>
        <w:t>级高效离子过滤器+H14级高效离子过滤器</w:t>
      </w:r>
      <w:r>
        <w:rPr>
          <w:rFonts w:hint="eastAsia" w:ascii="Times New Roman" w:hAnsi="Times New Roman" w:cs="Times New Roman"/>
          <w:caps w:val="0"/>
          <w:smallCaps w:val="0"/>
          <w:color w:val="auto"/>
          <w:spacing w:val="0"/>
          <w:kern w:val="0"/>
          <w:sz w:val="24"/>
          <w:szCs w:val="24"/>
          <w:highlight w:val="none"/>
          <w:lang w:val="en-US" w:eastAsia="zh-CN" w:bidi="ar"/>
        </w:rPr>
        <w:t>处理后由排气筒排放</w:t>
      </w:r>
      <w:r>
        <w:rPr>
          <w:rFonts w:ascii="Times New Roman" w:hAnsi="Times New Roman" w:cs="Times New Roman"/>
          <w:caps w:val="0"/>
          <w:smallCaps w:val="0"/>
          <w:color w:val="auto"/>
          <w:spacing w:val="0"/>
          <w:sz w:val="24"/>
          <w:szCs w:val="24"/>
          <w:highlight w:val="none"/>
          <w:shd w:val="clear" w:color="auto" w:fill="FFFFFF"/>
        </w:rPr>
        <w:t>；</w:t>
      </w:r>
      <w:r>
        <w:rPr>
          <w:rStyle w:val="40"/>
          <w:rFonts w:ascii="Times New Roman" w:hAnsi="Times New Roman" w:cs="Times New Roman"/>
          <w:b w:val="0"/>
          <w:bCs w:val="0"/>
          <w:caps w:val="0"/>
          <w:smallCaps w:val="0"/>
          <w:color w:val="auto"/>
          <w:spacing w:val="0"/>
          <w:highlight w:val="none"/>
          <w:shd w:val="clear" w:color="auto" w:fill="FFFFFF"/>
        </w:rPr>
        <w:t>活化层清洗与蚀刻工艺</w:t>
      </w:r>
      <w:r>
        <w:rPr>
          <w:rFonts w:ascii="Times New Roman" w:hAnsi="Times New Roman" w:cs="Times New Roman"/>
          <w:caps w:val="0"/>
          <w:smallCaps w:val="0"/>
          <w:color w:val="auto"/>
          <w:spacing w:val="0"/>
          <w:highlight w:val="none"/>
          <w:shd w:val="clear" w:color="auto" w:fill="FFFFFF"/>
        </w:rPr>
        <w:t>产生氯化氢和氮氧化物</w:t>
      </w:r>
      <w:r>
        <w:rPr>
          <w:rFonts w:hint="eastAsia" w:ascii="Times New Roman" w:hAnsi="Times New Roman" w:cs="Times New Roman"/>
          <w:caps w:val="0"/>
          <w:smallCaps w:val="0"/>
          <w:color w:val="auto"/>
          <w:spacing w:val="0"/>
          <w:highlight w:val="none"/>
          <w:shd w:val="clear" w:color="auto" w:fill="FFFFFF"/>
        </w:rPr>
        <w:t>与污水处理站产生的氨气、硫化氢以及臭气浓度分别收集</w:t>
      </w:r>
      <w:r>
        <w:rPr>
          <w:rFonts w:ascii="Times New Roman" w:hAnsi="Times New Roman" w:cs="Times New Roman"/>
          <w:caps w:val="0"/>
          <w:smallCaps w:val="0"/>
          <w:color w:val="auto"/>
          <w:spacing w:val="0"/>
          <w:highlight w:val="none"/>
          <w:shd w:val="clear" w:color="auto" w:fill="FFFFFF"/>
        </w:rPr>
        <w:t>，</w:t>
      </w:r>
      <w:r>
        <w:rPr>
          <w:rFonts w:hint="eastAsia" w:ascii="Times New Roman" w:hAnsi="Times New Roman" w:cs="Times New Roman"/>
          <w:caps w:val="0"/>
          <w:smallCaps w:val="0"/>
          <w:color w:val="auto"/>
          <w:spacing w:val="0"/>
          <w:highlight w:val="none"/>
          <w:shd w:val="clear" w:color="auto" w:fill="FFFFFF"/>
        </w:rPr>
        <w:t>共同</w:t>
      </w:r>
      <w:r>
        <w:rPr>
          <w:rFonts w:ascii="Times New Roman" w:hAnsi="Times New Roman" w:cs="Times New Roman"/>
          <w:caps w:val="0"/>
          <w:smallCaps w:val="0"/>
          <w:color w:val="auto"/>
          <w:spacing w:val="0"/>
          <w:highlight w:val="none"/>
          <w:shd w:val="clear" w:color="auto" w:fill="FFFFFF"/>
        </w:rPr>
        <w:t>经二级碱液喷淋净化后再通过活性炭吸附处理，最终由排气筒排放；</w:t>
      </w:r>
      <w:r>
        <w:rPr>
          <w:rStyle w:val="40"/>
          <w:rFonts w:ascii="Times New Roman" w:hAnsi="Times New Roman" w:cs="Times New Roman"/>
          <w:b w:val="0"/>
          <w:bCs w:val="0"/>
          <w:caps w:val="0"/>
          <w:smallCaps w:val="0"/>
          <w:color w:val="auto"/>
          <w:spacing w:val="0"/>
          <w:highlight w:val="none"/>
          <w:shd w:val="clear" w:color="auto" w:fill="FFFFFF"/>
        </w:rPr>
        <w:t>光刻胶干燥与曝光工艺</w:t>
      </w:r>
      <w:r>
        <w:rPr>
          <w:rFonts w:ascii="Times New Roman" w:hAnsi="Times New Roman" w:cs="Times New Roman"/>
          <w:caps w:val="0"/>
          <w:smallCaps w:val="0"/>
          <w:color w:val="auto"/>
          <w:spacing w:val="0"/>
          <w:highlight w:val="none"/>
          <w:shd w:val="clear" w:color="auto" w:fill="FFFFFF"/>
        </w:rPr>
        <w:t>：产生非甲烷总烃，经二级活性炭吸附处理后由排气筒排放；</w:t>
      </w:r>
      <w:r>
        <w:rPr>
          <w:rStyle w:val="40"/>
          <w:rFonts w:ascii="Times New Roman" w:hAnsi="Times New Roman" w:cs="Times New Roman"/>
          <w:b w:val="0"/>
          <w:bCs w:val="0"/>
          <w:caps w:val="0"/>
          <w:smallCaps w:val="0"/>
          <w:color w:val="auto"/>
          <w:spacing w:val="0"/>
          <w:highlight w:val="none"/>
          <w:shd w:val="clear" w:color="auto" w:fill="FFFFFF"/>
        </w:rPr>
        <w:t>离线实验室</w:t>
      </w:r>
      <w:r>
        <w:rPr>
          <w:rFonts w:ascii="Times New Roman" w:hAnsi="Times New Roman" w:cs="Times New Roman"/>
          <w:caps w:val="0"/>
          <w:smallCaps w:val="0"/>
          <w:color w:val="auto"/>
          <w:spacing w:val="0"/>
          <w:highlight w:val="none"/>
          <w:shd w:val="clear" w:color="auto" w:fill="FFFFFF"/>
        </w:rPr>
        <w:t>产生氨气、非甲烷总烃及二甲苯，均经活性炭吸附处理后由排气筒排放。</w:t>
      </w:r>
    </w:p>
    <w:p w14:paraId="5B88250C">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项目采取了上述措施后项目排放污染物满足相关标准，建设单位应在以上环保措施上合理厂区布局并加强厂区绿化，可有效减少废气对外环境的影响。综上所述，本项目采用的废气治理措施技术可行。</w:t>
      </w:r>
    </w:p>
    <w:p w14:paraId="35DF09CA">
      <w:pPr>
        <w:pStyle w:val="5"/>
        <w:widowControl w:val="0"/>
        <w:adjustRightInd w:val="0"/>
        <w:snapToGrid w:val="0"/>
        <w:rPr>
          <w:rFonts w:eastAsia="宋体"/>
          <w:caps w:val="0"/>
          <w:smallCaps w:val="0"/>
          <w:color w:val="auto"/>
          <w:spacing w:val="0"/>
          <w:highlight w:val="none"/>
        </w:rPr>
      </w:pPr>
      <w:bookmarkStart w:id="472" w:name="_Toc31591"/>
      <w:bookmarkStart w:id="473" w:name="_Toc27954"/>
      <w:bookmarkStart w:id="474" w:name="_Toc17983"/>
      <w:bookmarkStart w:id="475" w:name="_Toc3877"/>
      <w:bookmarkStart w:id="476" w:name="_Toc6622"/>
      <w:r>
        <w:rPr>
          <w:rFonts w:eastAsia="宋体"/>
          <w:caps w:val="0"/>
          <w:smallCaps w:val="0"/>
          <w:color w:val="auto"/>
          <w:spacing w:val="0"/>
          <w:highlight w:val="none"/>
        </w:rPr>
        <w:t>9.6.2地表水环境保护措施</w:t>
      </w:r>
      <w:bookmarkEnd w:id="472"/>
      <w:bookmarkEnd w:id="473"/>
      <w:bookmarkEnd w:id="474"/>
      <w:bookmarkEnd w:id="475"/>
      <w:bookmarkEnd w:id="476"/>
    </w:p>
    <w:p w14:paraId="1DE8C066">
      <w:pPr>
        <w:widowControl w:val="0"/>
        <w:spacing w:line="360" w:lineRule="auto"/>
        <w:ind w:firstLine="480" w:firstLineChars="200"/>
        <w:jc w:val="both"/>
        <w:rPr>
          <w:rFonts w:ascii="Times New Roman" w:hAnsi="Times New Roman" w:eastAsia="宋体" w:cs="Times New Roman"/>
          <w:caps w:val="0"/>
          <w:smallCaps w:val="0"/>
          <w:color w:val="auto"/>
          <w:spacing w:val="0"/>
          <w:kern w:val="0"/>
          <w:szCs w:val="24"/>
          <w:highlight w:val="none"/>
          <w:lang w:bidi="ar"/>
        </w:rPr>
      </w:pPr>
      <w:r>
        <w:rPr>
          <w:rFonts w:ascii="Times New Roman" w:hAnsi="Times New Roman" w:eastAsia="宋体" w:cs="Times New Roman"/>
          <w:caps w:val="0"/>
          <w:smallCaps w:val="0"/>
          <w:color w:val="auto"/>
          <w:spacing w:val="0"/>
          <w:szCs w:val="24"/>
          <w:highlight w:val="none"/>
        </w:rPr>
        <w:t>本项目不新增员工，无新增生活废水，主要产生生产废水、碱性喷淋塔排水以及新增纯化水制备废水。</w:t>
      </w:r>
      <w:r>
        <w:rPr>
          <w:rFonts w:ascii="Times New Roman" w:hAnsi="Times New Roman" w:eastAsia="宋体" w:cs="Times New Roman"/>
          <w:caps w:val="0"/>
          <w:smallCaps w:val="0"/>
          <w:color w:val="auto"/>
          <w:spacing w:val="0"/>
          <w:kern w:val="0"/>
          <w:szCs w:val="24"/>
          <w:highlight w:val="none"/>
          <w:lang w:bidi="ar"/>
        </w:rPr>
        <w:t>项目生产废水主要包括</w:t>
      </w:r>
      <w:r>
        <w:rPr>
          <w:rFonts w:ascii="Times New Roman" w:hAnsi="Times New Roman" w:eastAsia="宋体" w:cs="Times New Roman"/>
          <w:caps w:val="0"/>
          <w:smallCaps w:val="0"/>
          <w:color w:val="auto"/>
          <w:spacing w:val="0"/>
          <w:szCs w:val="24"/>
          <w:highlight w:val="none"/>
        </w:rPr>
        <w:t>高浓度含镉废水、低浓度含镉废水、显影废水及碱性废水</w:t>
      </w:r>
      <w:r>
        <w:rPr>
          <w:rFonts w:ascii="Times New Roman" w:hAnsi="Times New Roman" w:eastAsia="宋体" w:cs="Times New Roman"/>
          <w:caps w:val="0"/>
          <w:smallCaps w:val="0"/>
          <w:color w:val="auto"/>
          <w:spacing w:val="0"/>
          <w:kern w:val="0"/>
          <w:szCs w:val="24"/>
          <w:highlight w:val="none"/>
          <w:lang w:bidi="ar"/>
        </w:rPr>
        <w:t>。因此本项目新建污水处理站1座，内设碱性废水处理系统、显影废水处理系统、低浓度及高浓度含镉废水处理系统，废水处理采用“调节+</w:t>
      </w:r>
      <w:r>
        <w:rPr>
          <w:rFonts w:hint="eastAsia" w:ascii="Times New Roman" w:hAnsi="Times New Roman" w:eastAsia="宋体" w:cs="Times New Roman"/>
          <w:caps w:val="0"/>
          <w:smallCaps w:val="0"/>
          <w:color w:val="auto"/>
          <w:spacing w:val="0"/>
          <w:kern w:val="0"/>
          <w:szCs w:val="24"/>
          <w:highlight w:val="none"/>
          <w:lang w:val="en-US" w:eastAsia="zh-CN" w:bidi="ar"/>
        </w:rPr>
        <w:t>化学混凝</w:t>
      </w:r>
      <w:r>
        <w:rPr>
          <w:rFonts w:ascii="Times New Roman" w:hAnsi="Times New Roman" w:eastAsia="宋体" w:cs="Times New Roman"/>
          <w:caps w:val="0"/>
          <w:smallCaps w:val="0"/>
          <w:color w:val="auto"/>
          <w:spacing w:val="0"/>
          <w:kern w:val="0"/>
          <w:szCs w:val="24"/>
          <w:highlight w:val="none"/>
          <w:lang w:bidi="ar"/>
        </w:rPr>
        <w:t>沉淀+TMF膜+</w:t>
      </w:r>
      <w:r>
        <w:rPr>
          <w:rFonts w:ascii="Times New Roman" w:hAnsi="Times New Roman" w:eastAsia="宋体" w:cs="Times New Roman"/>
          <w:caps w:val="0"/>
          <w:smallCaps w:val="0"/>
          <w:color w:val="auto"/>
          <w:spacing w:val="0"/>
          <w:szCs w:val="24"/>
          <w:highlight w:val="none"/>
        </w:rPr>
        <w:t>催化</w:t>
      </w:r>
      <w:r>
        <w:rPr>
          <w:rFonts w:hint="eastAsia" w:ascii="Times New Roman" w:hAnsi="Times New Roman" w:eastAsia="宋体" w:cs="Times New Roman"/>
          <w:caps w:val="0"/>
          <w:smallCaps w:val="0"/>
          <w:color w:val="auto"/>
          <w:spacing w:val="0"/>
          <w:szCs w:val="24"/>
          <w:highlight w:val="none"/>
          <w:lang w:val="en-US" w:eastAsia="zh-CN"/>
        </w:rPr>
        <w:t>系统（光催化+电催化）</w:t>
      </w:r>
      <w:r>
        <w:rPr>
          <w:rFonts w:ascii="Times New Roman" w:hAnsi="Times New Roman" w:eastAsia="宋体" w:cs="Times New Roman"/>
          <w:caps w:val="0"/>
          <w:smallCaps w:val="0"/>
          <w:color w:val="auto"/>
          <w:spacing w:val="0"/>
          <w:szCs w:val="24"/>
          <w:highlight w:val="none"/>
        </w:rPr>
        <w:t>+气浮+</w:t>
      </w:r>
      <w:r>
        <w:rPr>
          <w:rFonts w:hint="eastAsia" w:ascii="Times New Roman" w:hAnsi="Times New Roman" w:eastAsia="宋体" w:cs="Times New Roman"/>
          <w:caps w:val="0"/>
          <w:smallCaps w:val="0"/>
          <w:color w:val="auto"/>
          <w:spacing w:val="0"/>
          <w:szCs w:val="24"/>
          <w:highlight w:val="none"/>
          <w:lang w:val="en-US" w:eastAsia="zh-CN"/>
        </w:rPr>
        <w:t>好氧处理+厌氧处理</w:t>
      </w:r>
      <w:r>
        <w:rPr>
          <w:rFonts w:ascii="Times New Roman" w:hAnsi="Times New Roman" w:eastAsia="宋体" w:cs="Times New Roman"/>
          <w:caps w:val="0"/>
          <w:smallCaps w:val="0"/>
          <w:color w:val="auto"/>
          <w:spacing w:val="0"/>
          <w:kern w:val="0"/>
          <w:szCs w:val="24"/>
          <w:highlight w:val="none"/>
          <w:lang w:bidi="ar"/>
        </w:rPr>
        <w:t>+MBR+RO反渗透+三效蒸发”工艺基板清洗废水为碱性废水，经碱性废水处理系统收集，pH中和后与纯水制备废水一同经市政污水管网进入佳木斯高新区污水处理厂；显影及显影清洗废水进入显影废水处理系统；涂覆前清洗废水、ZnTe膜层溅射后清洗废水</w:t>
      </w:r>
      <w:r>
        <w:rPr>
          <w:rFonts w:hint="eastAsia" w:ascii="Times New Roman" w:hAnsi="Times New Roman" w:eastAsia="宋体" w:cs="Times New Roman"/>
          <w:caps w:val="0"/>
          <w:smallCaps w:val="0"/>
          <w:color w:val="auto"/>
          <w:spacing w:val="0"/>
          <w:kern w:val="0"/>
          <w:szCs w:val="24"/>
          <w:highlight w:val="none"/>
          <w:lang w:bidi="ar"/>
        </w:rPr>
        <w:t>、碱性喷淋塔喷淋废水</w:t>
      </w:r>
      <w:r>
        <w:rPr>
          <w:rFonts w:ascii="Times New Roman" w:hAnsi="Times New Roman" w:eastAsia="宋体" w:cs="Times New Roman"/>
          <w:caps w:val="0"/>
          <w:smallCaps w:val="0"/>
          <w:color w:val="auto"/>
          <w:spacing w:val="0"/>
          <w:kern w:val="0"/>
          <w:szCs w:val="24"/>
          <w:highlight w:val="none"/>
          <w:lang w:bidi="ar"/>
        </w:rPr>
        <w:t>及背电极镀膜前清洗废水均为低浓度含镉废水，进入低浓度废水收集池；活化层喷涂废液及活化层清洗、蚀刻废水为高浓度含镉废水，高浓度含镉废水进入高</w:t>
      </w:r>
      <w:r>
        <w:rPr>
          <w:rFonts w:hint="eastAsia" w:ascii="Times New Roman" w:hAnsi="Times New Roman" w:eastAsia="宋体" w:cs="Times New Roman"/>
          <w:caps w:val="0"/>
          <w:smallCaps w:val="0"/>
          <w:color w:val="auto"/>
          <w:spacing w:val="0"/>
          <w:kern w:val="0"/>
          <w:szCs w:val="24"/>
          <w:highlight w:val="none"/>
          <w:lang w:bidi="ar"/>
        </w:rPr>
        <w:t>浓度</w:t>
      </w:r>
      <w:r>
        <w:rPr>
          <w:rFonts w:ascii="Times New Roman" w:hAnsi="Times New Roman" w:eastAsia="宋体" w:cs="Times New Roman"/>
          <w:caps w:val="0"/>
          <w:smallCaps w:val="0"/>
          <w:color w:val="auto"/>
          <w:spacing w:val="0"/>
          <w:kern w:val="0"/>
          <w:szCs w:val="24"/>
          <w:highlight w:val="none"/>
          <w:lang w:bidi="ar"/>
        </w:rPr>
        <w:t>废水收集池。显影废水、低浓度含镉废水以及高浓度含镉废水经废水处理设施处理后产生的纯水全部回用于生产工序，实现含镉废水零排放。</w:t>
      </w:r>
    </w:p>
    <w:p w14:paraId="26A7FF89">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szCs w:val="28"/>
          <w:highlight w:val="none"/>
          <w:lang w:val="zh-CN"/>
        </w:rPr>
      </w:pPr>
      <w:r>
        <w:rPr>
          <w:rFonts w:ascii="Times New Roman" w:hAnsi="Times New Roman" w:eastAsia="宋体" w:cs="Times New Roman"/>
          <w:caps w:val="0"/>
          <w:smallCaps w:val="0"/>
          <w:color w:val="auto"/>
          <w:spacing w:val="0"/>
          <w:szCs w:val="28"/>
          <w:highlight w:val="none"/>
          <w:lang w:val="zh-CN"/>
        </w:rPr>
        <w:t>通过以上分析，本项目产生的含镉污水经处理后回用，</w:t>
      </w:r>
      <w:r>
        <w:rPr>
          <w:rFonts w:ascii="Times New Roman" w:hAnsi="Times New Roman" w:eastAsia="宋体" w:cs="Times New Roman"/>
          <w:caps w:val="0"/>
          <w:smallCaps w:val="0"/>
          <w:color w:val="auto"/>
          <w:spacing w:val="0"/>
          <w:szCs w:val="28"/>
          <w:highlight w:val="none"/>
        </w:rPr>
        <w:t>碱性</w:t>
      </w:r>
      <w:r>
        <w:rPr>
          <w:rFonts w:hint="eastAsia" w:ascii="Times New Roman" w:hAnsi="Times New Roman" w:eastAsia="宋体" w:cs="Times New Roman"/>
          <w:caps w:val="0"/>
          <w:smallCaps w:val="0"/>
          <w:color w:val="auto"/>
          <w:spacing w:val="0"/>
          <w:szCs w:val="28"/>
          <w:highlight w:val="none"/>
          <w:lang w:eastAsia="zh-CN"/>
        </w:rPr>
        <w:t>废水</w:t>
      </w:r>
      <w:r>
        <w:rPr>
          <w:rFonts w:ascii="Times New Roman" w:hAnsi="Times New Roman" w:eastAsia="宋体" w:cs="Times New Roman"/>
          <w:caps w:val="0"/>
          <w:smallCaps w:val="0"/>
          <w:color w:val="auto"/>
          <w:spacing w:val="0"/>
          <w:szCs w:val="28"/>
          <w:highlight w:val="none"/>
        </w:rPr>
        <w:t>经处理达标后经管网排入</w:t>
      </w:r>
      <w:r>
        <w:rPr>
          <w:rFonts w:ascii="Times New Roman" w:hAnsi="Times New Roman" w:eastAsia="宋体" w:cs="Times New Roman"/>
          <w:caps w:val="0"/>
          <w:smallCaps w:val="0"/>
          <w:color w:val="auto"/>
          <w:spacing w:val="0"/>
          <w:highlight w:val="none"/>
        </w:rPr>
        <w:t>佳木斯高新区污水处理厂进一步</w:t>
      </w:r>
      <w:r>
        <w:rPr>
          <w:rFonts w:ascii="Times New Roman" w:hAnsi="Times New Roman" w:eastAsia="宋体" w:cs="Times New Roman"/>
          <w:caps w:val="0"/>
          <w:smallCaps w:val="0"/>
          <w:color w:val="auto"/>
          <w:spacing w:val="0"/>
          <w:szCs w:val="28"/>
          <w:highlight w:val="none"/>
          <w:lang w:val="zh-CN"/>
        </w:rPr>
        <w:t>处理后，污水排放满足《城镇污水处理厂污染物排放标准》（GB18918-2002）中表1一级A标准。对纳污水体</w:t>
      </w:r>
      <w:r>
        <w:rPr>
          <w:rFonts w:ascii="Times New Roman" w:hAnsi="Times New Roman" w:eastAsia="宋体" w:cs="Times New Roman"/>
          <w:caps w:val="0"/>
          <w:smallCaps w:val="0"/>
          <w:color w:val="auto"/>
          <w:spacing w:val="0"/>
          <w:highlight w:val="none"/>
        </w:rPr>
        <w:t>音达木河</w:t>
      </w:r>
      <w:r>
        <w:rPr>
          <w:rFonts w:ascii="Times New Roman" w:hAnsi="Times New Roman" w:eastAsia="宋体" w:cs="Times New Roman"/>
          <w:caps w:val="0"/>
          <w:smallCaps w:val="0"/>
          <w:color w:val="auto"/>
          <w:spacing w:val="0"/>
          <w:szCs w:val="28"/>
          <w:highlight w:val="none"/>
          <w:lang w:val="zh-CN"/>
        </w:rPr>
        <w:t>的影响不大。</w:t>
      </w:r>
      <w:r>
        <w:rPr>
          <w:rFonts w:ascii="Times New Roman" w:hAnsi="Times New Roman" w:eastAsia="宋体" w:cs="Times New Roman"/>
          <w:caps w:val="0"/>
          <w:smallCaps w:val="0"/>
          <w:color w:val="auto"/>
          <w:spacing w:val="0"/>
          <w:highlight w:val="none"/>
        </w:rPr>
        <w:t>污水处理站设计处理能力规模定为</w:t>
      </w:r>
      <w:r>
        <w:rPr>
          <w:rFonts w:hint="eastAsia" w:ascii="Times New Roman" w:hAnsi="Times New Roman" w:eastAsia="宋体" w:cs="Times New Roman"/>
          <w:caps w:val="0"/>
          <w:smallCaps w:val="0"/>
          <w:color w:val="auto"/>
          <w:spacing w:val="0"/>
          <w:highlight w:val="none"/>
          <w:lang w:eastAsia="zh-CN"/>
        </w:rPr>
        <w:t>180m</w:t>
      </w:r>
      <w:r>
        <w:rPr>
          <w:rFonts w:hint="eastAsia" w:ascii="Times New Roman" w:hAnsi="Times New Roman" w:eastAsia="宋体" w:cs="Times New Roman"/>
          <w:caps w:val="0"/>
          <w:smallCaps w:val="0"/>
          <w:color w:val="auto"/>
          <w:spacing w:val="0"/>
          <w:highlight w:val="none"/>
          <w:vertAlign w:val="superscript"/>
          <w:lang w:eastAsia="zh-CN"/>
        </w:rPr>
        <w:t>3</w:t>
      </w:r>
      <w:r>
        <w:rPr>
          <w:rFonts w:hint="eastAsia" w:ascii="Times New Roman" w:hAnsi="Times New Roman" w:eastAsia="宋体" w:cs="Times New Roman"/>
          <w:caps w:val="0"/>
          <w:smallCaps w:val="0"/>
          <w:color w:val="auto"/>
          <w:spacing w:val="0"/>
          <w:highlight w:val="none"/>
          <w:lang w:eastAsia="zh-CN"/>
        </w:rPr>
        <w:t>/d</w:t>
      </w:r>
      <w:r>
        <w:rPr>
          <w:rFonts w:ascii="Times New Roman" w:hAnsi="Times New Roman" w:eastAsia="宋体" w:cs="Times New Roman"/>
          <w:caps w:val="0"/>
          <w:smallCaps w:val="0"/>
          <w:color w:val="auto"/>
          <w:spacing w:val="0"/>
          <w:highlight w:val="none"/>
        </w:rPr>
        <w:t>，采用：“</w:t>
      </w:r>
      <w:r>
        <w:rPr>
          <w:rFonts w:ascii="Times New Roman" w:hAnsi="Times New Roman" w:eastAsia="宋体" w:cs="Times New Roman"/>
          <w:caps w:val="0"/>
          <w:smallCaps w:val="0"/>
          <w:color w:val="auto"/>
          <w:spacing w:val="0"/>
          <w:kern w:val="0"/>
          <w:szCs w:val="24"/>
          <w:highlight w:val="none"/>
          <w:lang w:bidi="ar"/>
        </w:rPr>
        <w:t>调节+</w:t>
      </w:r>
      <w:r>
        <w:rPr>
          <w:rFonts w:hint="eastAsia" w:ascii="Times New Roman" w:hAnsi="Times New Roman" w:eastAsia="宋体" w:cs="Times New Roman"/>
          <w:caps w:val="0"/>
          <w:smallCaps w:val="0"/>
          <w:color w:val="auto"/>
          <w:spacing w:val="0"/>
          <w:kern w:val="0"/>
          <w:szCs w:val="24"/>
          <w:highlight w:val="none"/>
          <w:lang w:val="en-US" w:eastAsia="zh-CN" w:bidi="ar"/>
        </w:rPr>
        <w:t>化学混凝</w:t>
      </w:r>
      <w:r>
        <w:rPr>
          <w:rFonts w:ascii="Times New Roman" w:hAnsi="Times New Roman" w:eastAsia="宋体" w:cs="Times New Roman"/>
          <w:caps w:val="0"/>
          <w:smallCaps w:val="0"/>
          <w:color w:val="auto"/>
          <w:spacing w:val="0"/>
          <w:kern w:val="0"/>
          <w:szCs w:val="24"/>
          <w:highlight w:val="none"/>
          <w:lang w:bidi="ar"/>
        </w:rPr>
        <w:t>沉淀+TMF膜+</w:t>
      </w:r>
      <w:r>
        <w:rPr>
          <w:rFonts w:ascii="Times New Roman" w:hAnsi="Times New Roman" w:eastAsia="宋体" w:cs="Times New Roman"/>
          <w:caps w:val="0"/>
          <w:smallCaps w:val="0"/>
          <w:color w:val="auto"/>
          <w:spacing w:val="0"/>
          <w:szCs w:val="24"/>
          <w:highlight w:val="none"/>
        </w:rPr>
        <w:t>催化</w:t>
      </w:r>
      <w:r>
        <w:rPr>
          <w:rFonts w:hint="eastAsia" w:ascii="Times New Roman" w:hAnsi="Times New Roman" w:eastAsia="宋体" w:cs="Times New Roman"/>
          <w:caps w:val="0"/>
          <w:smallCaps w:val="0"/>
          <w:color w:val="auto"/>
          <w:spacing w:val="0"/>
          <w:szCs w:val="24"/>
          <w:highlight w:val="none"/>
          <w:lang w:val="en-US" w:eastAsia="zh-CN"/>
        </w:rPr>
        <w:t>系统（光催化+电催化）</w:t>
      </w:r>
      <w:r>
        <w:rPr>
          <w:rFonts w:ascii="Times New Roman" w:hAnsi="Times New Roman" w:eastAsia="宋体" w:cs="Times New Roman"/>
          <w:caps w:val="0"/>
          <w:smallCaps w:val="0"/>
          <w:color w:val="auto"/>
          <w:spacing w:val="0"/>
          <w:szCs w:val="24"/>
          <w:highlight w:val="none"/>
        </w:rPr>
        <w:t>+气浮+</w:t>
      </w:r>
      <w:r>
        <w:rPr>
          <w:rFonts w:hint="eastAsia" w:ascii="Times New Roman" w:hAnsi="Times New Roman" w:eastAsia="宋体" w:cs="Times New Roman"/>
          <w:caps w:val="0"/>
          <w:smallCaps w:val="0"/>
          <w:color w:val="auto"/>
          <w:spacing w:val="0"/>
          <w:szCs w:val="24"/>
          <w:highlight w:val="none"/>
          <w:lang w:val="en-US" w:eastAsia="zh-CN"/>
        </w:rPr>
        <w:t>好氧处理+厌氧处理</w:t>
      </w:r>
      <w:r>
        <w:rPr>
          <w:rFonts w:ascii="Times New Roman" w:hAnsi="Times New Roman" w:eastAsia="宋体" w:cs="Times New Roman"/>
          <w:caps w:val="0"/>
          <w:smallCaps w:val="0"/>
          <w:color w:val="auto"/>
          <w:spacing w:val="0"/>
          <w:kern w:val="0"/>
          <w:szCs w:val="24"/>
          <w:highlight w:val="none"/>
          <w:lang w:bidi="ar"/>
        </w:rPr>
        <w:t>+MBR+RO反渗透+三效蒸发</w:t>
      </w:r>
      <w:r>
        <w:rPr>
          <w:rFonts w:ascii="Times New Roman" w:hAnsi="Times New Roman" w:eastAsia="宋体" w:cs="Times New Roman"/>
          <w:caps w:val="0"/>
          <w:smallCaps w:val="0"/>
          <w:color w:val="auto"/>
          <w:spacing w:val="0"/>
          <w:highlight w:val="none"/>
        </w:rPr>
        <w:t>”的处理工艺，综上所述，本项目采用的废水治理措施技术可行。</w:t>
      </w:r>
      <w:r>
        <w:rPr>
          <w:rFonts w:ascii="Times New Roman" w:hAnsi="Times New Roman" w:eastAsia="宋体" w:cs="Times New Roman"/>
          <w:caps w:val="0"/>
          <w:smallCaps w:val="0"/>
          <w:color w:val="auto"/>
          <w:spacing w:val="0"/>
          <w:szCs w:val="28"/>
          <w:highlight w:val="none"/>
          <w:lang w:val="zh-CN"/>
        </w:rPr>
        <w:t>从本项目废水产生量和废水中污染物浓度与依托污水处理厂的剩余污水处理能力和污水进水设计指标分析，本项目采取的污水防治措施可行。</w:t>
      </w:r>
    </w:p>
    <w:p w14:paraId="31AC2B45">
      <w:pPr>
        <w:pStyle w:val="5"/>
        <w:widowControl w:val="0"/>
        <w:adjustRightInd w:val="0"/>
        <w:snapToGrid w:val="0"/>
        <w:rPr>
          <w:rFonts w:eastAsia="宋体"/>
          <w:caps w:val="0"/>
          <w:smallCaps w:val="0"/>
          <w:color w:val="auto"/>
          <w:spacing w:val="0"/>
          <w:highlight w:val="none"/>
        </w:rPr>
      </w:pPr>
      <w:bookmarkStart w:id="477" w:name="_Toc33448503"/>
      <w:bookmarkStart w:id="478" w:name="_Toc14306"/>
      <w:bookmarkStart w:id="479" w:name="_Toc26876"/>
      <w:bookmarkStart w:id="480" w:name="_Toc31672"/>
      <w:bookmarkStart w:id="481" w:name="_Toc26225"/>
      <w:bookmarkStart w:id="482" w:name="_Toc18733"/>
      <w:r>
        <w:rPr>
          <w:rFonts w:eastAsia="宋体"/>
          <w:caps w:val="0"/>
          <w:smallCaps w:val="0"/>
          <w:color w:val="auto"/>
          <w:spacing w:val="0"/>
          <w:highlight w:val="none"/>
        </w:rPr>
        <w:t>9.6.3</w:t>
      </w:r>
      <w:bookmarkEnd w:id="477"/>
      <w:r>
        <w:rPr>
          <w:rFonts w:eastAsia="宋体"/>
          <w:caps w:val="0"/>
          <w:smallCaps w:val="0"/>
          <w:color w:val="auto"/>
          <w:spacing w:val="0"/>
          <w:highlight w:val="none"/>
        </w:rPr>
        <w:t>地下水环境保护措施</w:t>
      </w:r>
      <w:bookmarkEnd w:id="478"/>
      <w:bookmarkEnd w:id="479"/>
      <w:bookmarkEnd w:id="480"/>
      <w:bookmarkEnd w:id="481"/>
      <w:bookmarkEnd w:id="482"/>
    </w:p>
    <w:p w14:paraId="1CE74B39">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针对本项目可能发生的地下水污染，防治措施要按照“源头控制、末端防治、污染监控、应急响应”相结合的原则，从污染物的产生、</w:t>
      </w:r>
      <w:r>
        <w:rPr>
          <w:rFonts w:hint="eastAsia" w:ascii="Times New Roman" w:hAnsi="Times New Roman" w:eastAsia="宋体" w:cs="Times New Roman"/>
          <w:caps w:val="0"/>
          <w:smallCaps w:val="0"/>
          <w:color w:val="auto"/>
          <w:spacing w:val="0"/>
          <w:highlight w:val="none"/>
          <w:lang w:eastAsia="zh-CN"/>
        </w:rPr>
        <w:t>渗漏</w:t>
      </w:r>
      <w:r>
        <w:rPr>
          <w:rFonts w:ascii="Times New Roman" w:hAnsi="Times New Roman" w:eastAsia="宋体" w:cs="Times New Roman"/>
          <w:caps w:val="0"/>
          <w:smallCaps w:val="0"/>
          <w:color w:val="auto"/>
          <w:spacing w:val="0"/>
          <w:highlight w:val="none"/>
        </w:rPr>
        <w:t>、扩散、应急响应进行全阶段控制，采取主动和被动控制相结合的措施。对厂区内实施分区防渗，布设1口地下水跟踪监测井，综上所述，本项目采取严格的地下水环境措施，加强日常地下水环境风险管理，定期检查维护，确保地下水污染防治措施有效。</w:t>
      </w:r>
    </w:p>
    <w:p w14:paraId="13AE4004">
      <w:pPr>
        <w:pStyle w:val="5"/>
        <w:widowControl w:val="0"/>
        <w:adjustRightInd w:val="0"/>
        <w:snapToGrid w:val="0"/>
        <w:rPr>
          <w:rFonts w:eastAsia="宋体"/>
          <w:caps w:val="0"/>
          <w:smallCaps w:val="0"/>
          <w:color w:val="auto"/>
          <w:spacing w:val="0"/>
          <w:highlight w:val="none"/>
        </w:rPr>
      </w:pPr>
      <w:bookmarkStart w:id="483" w:name="_Toc33448504"/>
      <w:bookmarkStart w:id="484" w:name="_Toc27642"/>
      <w:bookmarkStart w:id="485" w:name="_Toc2548"/>
      <w:bookmarkStart w:id="486" w:name="_Toc22246"/>
      <w:bookmarkStart w:id="487" w:name="_Toc623"/>
      <w:bookmarkStart w:id="488" w:name="_Toc32577"/>
      <w:r>
        <w:rPr>
          <w:rFonts w:eastAsia="宋体"/>
          <w:caps w:val="0"/>
          <w:smallCaps w:val="0"/>
          <w:color w:val="auto"/>
          <w:spacing w:val="0"/>
          <w:highlight w:val="none"/>
        </w:rPr>
        <w:t>9.6.4</w:t>
      </w:r>
      <w:bookmarkEnd w:id="483"/>
      <w:r>
        <w:rPr>
          <w:rFonts w:eastAsia="宋体"/>
          <w:caps w:val="0"/>
          <w:smallCaps w:val="0"/>
          <w:color w:val="auto"/>
          <w:spacing w:val="0"/>
          <w:highlight w:val="none"/>
        </w:rPr>
        <w:t>声环境保护措施</w:t>
      </w:r>
      <w:bookmarkEnd w:id="484"/>
      <w:bookmarkEnd w:id="485"/>
      <w:bookmarkEnd w:id="486"/>
      <w:bookmarkEnd w:id="487"/>
      <w:bookmarkEnd w:id="488"/>
    </w:p>
    <w:p w14:paraId="1BC8F85B">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产噪设备包括CSS镀膜设备、磁控溅射设备、清洗机、激光器、退火炉、风机以及泵类等。设备噪声源强范围在70～90dB(A)之间。</w:t>
      </w:r>
      <w:r>
        <w:rPr>
          <w:rFonts w:ascii="Times New Roman" w:hAnsi="Times New Roman" w:eastAsia="宋体" w:cs="Times New Roman"/>
          <w:caps w:val="0"/>
          <w:smallCaps w:val="0"/>
          <w:color w:val="auto"/>
          <w:spacing w:val="0"/>
          <w:highlight w:val="none"/>
        </w:rPr>
        <w:t>噪声污染防治措施如下：</w:t>
      </w:r>
    </w:p>
    <w:p w14:paraId="3E38D168">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（1）降低声源噪声，在设备(包括泵类、风机等)选购时尽量采用低噪声设备；</w:t>
      </w:r>
    </w:p>
    <w:p w14:paraId="649C46CC">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（2）提高机械设备装配精度，加强维护和检修，提高润滑度，减少机械振动和摩擦产生的噪声，防止共振等。</w:t>
      </w:r>
    </w:p>
    <w:p w14:paraId="36351D7C">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（3）对于空气动力性噪声，各种泵类等。将噪声设备尽量设置在厂区中央，采取隔声等措施。</w:t>
      </w:r>
    </w:p>
    <w:p w14:paraId="079212E5">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（4）对于机械性噪声：对生产设备等安装减振胶垫。</w:t>
      </w:r>
    </w:p>
    <w:p w14:paraId="5A17A03E">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（5）高噪声设备可置于单独隔声间内，并采取隔声、消声、减振、吸声等措施；</w:t>
      </w:r>
    </w:p>
    <w:p w14:paraId="0EE6F3DD">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（6）对于噪声较大位置的操作工人实行个人防护，如</w:t>
      </w:r>
      <w:r>
        <w:rPr>
          <w:rFonts w:hint="eastAsia" w:eastAsia="宋体"/>
          <w:caps w:val="0"/>
          <w:smallCaps w:val="0"/>
          <w:color w:val="auto"/>
          <w:spacing w:val="0"/>
          <w:highlight w:val="none"/>
          <w:lang w:eastAsia="zh-CN"/>
        </w:rPr>
        <w:t>佩戴</w:t>
      </w:r>
      <w:r>
        <w:rPr>
          <w:rFonts w:eastAsia="宋体"/>
          <w:caps w:val="0"/>
          <w:smallCaps w:val="0"/>
          <w:color w:val="auto"/>
          <w:spacing w:val="0"/>
          <w:highlight w:val="none"/>
        </w:rPr>
        <w:t>防护耳罩或设置隔声间等，尽量减少工人在高噪声环境中的工作时间。</w:t>
      </w:r>
    </w:p>
    <w:p w14:paraId="277E1A10">
      <w:pPr>
        <w:pStyle w:val="5"/>
        <w:widowControl w:val="0"/>
        <w:adjustRightInd w:val="0"/>
        <w:snapToGrid w:val="0"/>
        <w:rPr>
          <w:rFonts w:eastAsia="宋体"/>
          <w:caps w:val="0"/>
          <w:smallCaps w:val="0"/>
          <w:color w:val="auto"/>
          <w:spacing w:val="0"/>
          <w:highlight w:val="none"/>
        </w:rPr>
      </w:pPr>
      <w:bookmarkStart w:id="489" w:name="_Toc24396"/>
      <w:bookmarkStart w:id="490" w:name="_Toc31753"/>
      <w:bookmarkStart w:id="491" w:name="_Toc12657"/>
      <w:bookmarkStart w:id="492" w:name="_Toc10178"/>
      <w:bookmarkStart w:id="493" w:name="_Toc15088"/>
      <w:bookmarkStart w:id="494" w:name="_Toc33448505"/>
      <w:r>
        <w:rPr>
          <w:rFonts w:eastAsia="宋体"/>
          <w:caps w:val="0"/>
          <w:smallCaps w:val="0"/>
          <w:color w:val="auto"/>
          <w:spacing w:val="0"/>
          <w:highlight w:val="none"/>
        </w:rPr>
        <w:t>9.6.5固体废物污染防治措施</w:t>
      </w:r>
      <w:bookmarkEnd w:id="489"/>
      <w:bookmarkEnd w:id="490"/>
      <w:bookmarkEnd w:id="491"/>
      <w:bookmarkEnd w:id="492"/>
      <w:bookmarkEnd w:id="493"/>
    </w:p>
    <w:p w14:paraId="54CC5451">
      <w:pPr>
        <w:pStyle w:val="65"/>
        <w:widowControl w:val="0"/>
        <w:ind w:firstLine="480"/>
        <w:jc w:val="both"/>
        <w:rPr>
          <w:rFonts w:eastAsia="宋体"/>
          <w:caps w:val="0"/>
          <w:smallCaps w:val="0"/>
          <w:color w:val="auto"/>
          <w:spacing w:val="0"/>
          <w:highlight w:val="none"/>
        </w:rPr>
      </w:pPr>
      <w:r>
        <w:rPr>
          <w:rFonts w:eastAsia="宋体"/>
          <w:caps w:val="0"/>
          <w:smallCaps w:val="0"/>
          <w:color w:val="auto"/>
          <w:spacing w:val="0"/>
          <w:highlight w:val="none"/>
        </w:rPr>
        <w:t>本项目运营期固体废物主要为废靶材、废基板、废玻璃基板、废包装材料等一般固体废物，废真空罩、废石墨舟、破裂玻璃、废电池组件、废酸槽液、过滤收尘灰、废过滤器、废离子树脂、化学包装材料、废活性炭、废润滑油、废劳保手套、</w:t>
      </w:r>
      <w:r>
        <w:rPr>
          <w:rFonts w:eastAsia="宋体"/>
          <w:caps w:val="0"/>
          <w:smallCaps w:val="0"/>
          <w:color w:val="auto"/>
          <w:spacing w:val="0"/>
          <w:highlight w:val="none"/>
        </w:rPr>
        <w:t>废润滑油油桶、废胶桶、</w:t>
      </w:r>
      <w:r>
        <w:rPr>
          <w:rFonts w:eastAsia="宋体"/>
          <w:caps w:val="0"/>
          <w:smallCaps w:val="0"/>
          <w:color w:val="auto"/>
          <w:spacing w:val="0"/>
          <w:highlight w:val="none"/>
        </w:rPr>
        <w:t>实验室废液、污水处理设施产生的废过滤膜、废反渗透膜、实验废液、污泥、蒸发结晶盐等。</w:t>
      </w:r>
    </w:p>
    <w:p w14:paraId="4564857C">
      <w:pPr>
        <w:widowControl w:val="0"/>
        <w:spacing w:before="2" w:line="345" w:lineRule="auto"/>
        <w:ind w:left="14" w:right="63" w:firstLine="478"/>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废靶材、废防溅射板、纯水制备废渗透膜定期由厂家进行回收，废玻璃基板、废背板玻璃、废包装材料定期外售回收单位。</w:t>
      </w:r>
    </w:p>
    <w:p w14:paraId="40F81DA4">
      <w:pPr>
        <w:widowControl w:val="0"/>
        <w:spacing w:before="78" w:line="352" w:lineRule="auto"/>
        <w:ind w:right="81" w:firstLine="484"/>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项目生产过程产生的废真空罩、废石墨舟、破裂玻璃、废电池组件、废显影液、收尘灰、废活性炭、化学包装材料、废机油、</w:t>
      </w:r>
      <w:r>
        <w:rPr>
          <w:rFonts w:ascii="Times New Roman" w:hAnsi="Times New Roman" w:eastAsia="宋体" w:cs="Times New Roman"/>
          <w:caps w:val="0"/>
          <w:smallCaps w:val="0"/>
          <w:color w:val="auto"/>
          <w:spacing w:val="0"/>
          <w:highlight w:val="none"/>
        </w:rPr>
        <w:t>废</w:t>
      </w:r>
      <w:r>
        <w:rPr>
          <w:rFonts w:hint="eastAsia" w:eastAsia="宋体" w:cs="Times New Roman"/>
          <w:caps w:val="0"/>
          <w:smallCaps w:val="0"/>
          <w:color w:val="auto"/>
          <w:spacing w:val="0"/>
          <w:highlight w:val="none"/>
        </w:rPr>
        <w:t>润滑</w:t>
      </w:r>
      <w:r>
        <w:rPr>
          <w:rFonts w:ascii="Times New Roman" w:hAnsi="Times New Roman" w:eastAsia="宋体" w:cs="Times New Roman"/>
          <w:caps w:val="0"/>
          <w:smallCaps w:val="0"/>
          <w:color w:val="auto"/>
          <w:spacing w:val="0"/>
          <w:highlight w:val="none"/>
        </w:rPr>
        <w:t>油</w:t>
      </w:r>
      <w:r>
        <w:rPr>
          <w:rFonts w:hint="eastAsia" w:eastAsia="宋体" w:cs="Times New Roman"/>
          <w:caps w:val="0"/>
          <w:smallCaps w:val="0"/>
          <w:color w:val="auto"/>
          <w:spacing w:val="0"/>
          <w:highlight w:val="none"/>
        </w:rPr>
        <w:t>油</w:t>
      </w:r>
      <w:r>
        <w:rPr>
          <w:rFonts w:ascii="Times New Roman" w:hAnsi="Times New Roman" w:eastAsia="宋体" w:cs="Times New Roman"/>
          <w:caps w:val="0"/>
          <w:smallCaps w:val="0"/>
          <w:color w:val="auto"/>
          <w:spacing w:val="0"/>
          <w:highlight w:val="none"/>
        </w:rPr>
        <w:t>桶、</w:t>
      </w:r>
      <w:r>
        <w:rPr>
          <w:rFonts w:hint="eastAsia" w:eastAsia="宋体" w:cs="Times New Roman"/>
          <w:caps w:val="0"/>
          <w:smallCaps w:val="0"/>
          <w:color w:val="auto"/>
          <w:spacing w:val="0"/>
          <w:highlight w:val="none"/>
        </w:rPr>
        <w:t>废胶桶、</w:t>
      </w:r>
      <w:r>
        <w:rPr>
          <w:rFonts w:ascii="Times New Roman" w:hAnsi="Times New Roman" w:eastAsia="宋体" w:cs="Times New Roman"/>
          <w:caps w:val="0"/>
          <w:smallCaps w:val="0"/>
          <w:color w:val="auto"/>
          <w:spacing w:val="0"/>
          <w:szCs w:val="24"/>
          <w:highlight w:val="none"/>
        </w:rPr>
        <w:t>污水处理设施产生的废过滤膜、废反渗透膜、</w:t>
      </w:r>
      <w:r>
        <w:rPr>
          <w:rFonts w:ascii="Times New Roman" w:hAnsi="Times New Roman" w:eastAsia="宋体" w:cs="Times New Roman"/>
          <w:caps w:val="0"/>
          <w:smallCaps w:val="0"/>
          <w:color w:val="auto"/>
          <w:spacing w:val="0"/>
          <w:highlight w:val="none"/>
        </w:rPr>
        <w:t>废铅蓄电池、</w:t>
      </w:r>
      <w:r>
        <w:rPr>
          <w:rFonts w:ascii="Times New Roman" w:hAnsi="Times New Roman" w:eastAsia="宋体" w:cs="Times New Roman"/>
          <w:caps w:val="0"/>
          <w:smallCaps w:val="0"/>
          <w:color w:val="auto"/>
          <w:spacing w:val="0"/>
          <w:szCs w:val="24"/>
          <w:highlight w:val="none"/>
        </w:rPr>
        <w:t>污泥、蒸发结晶盐，以及实验室废液均属于危险废物，</w:t>
      </w:r>
      <w:r>
        <w:rPr>
          <w:rFonts w:ascii="Times New Roman" w:hAnsi="Times New Roman" w:eastAsia="宋体" w:cs="Times New Roman"/>
          <w:caps w:val="0"/>
          <w:smallCaps w:val="0"/>
          <w:color w:val="auto"/>
          <w:spacing w:val="0"/>
          <w:highlight w:val="none"/>
        </w:rPr>
        <w:t>废铅蓄电池换下后直接由厂家回收，定不在厂区内暂存，其余危险废物均</w:t>
      </w:r>
      <w:r>
        <w:rPr>
          <w:rFonts w:ascii="Times New Roman" w:hAnsi="Times New Roman" w:eastAsia="宋体" w:cs="Times New Roman"/>
          <w:caps w:val="0"/>
          <w:smallCaps w:val="0"/>
          <w:color w:val="auto"/>
          <w:spacing w:val="0"/>
          <w:szCs w:val="24"/>
          <w:highlight w:val="none"/>
        </w:rPr>
        <w:t>于危险废物贮存库暂存后交</w:t>
      </w:r>
      <w:r>
        <w:rPr>
          <w:rFonts w:hint="eastAsia" w:ascii="Times New Roman" w:hAnsi="Times New Roman" w:eastAsia="宋体" w:cs="Times New Roman"/>
          <w:caps w:val="0"/>
          <w:smallCaps w:val="0"/>
          <w:color w:val="auto"/>
          <w:spacing w:val="0"/>
          <w:szCs w:val="24"/>
          <w:highlight w:val="none"/>
        </w:rPr>
        <w:t>由</w:t>
      </w:r>
      <w:r>
        <w:rPr>
          <w:rFonts w:ascii="Times New Roman" w:hAnsi="Times New Roman" w:eastAsia="宋体" w:cs="Times New Roman"/>
          <w:caps w:val="0"/>
          <w:smallCaps w:val="0"/>
          <w:color w:val="auto"/>
          <w:spacing w:val="0"/>
          <w:szCs w:val="24"/>
          <w:highlight w:val="none"/>
        </w:rPr>
        <w:t>有危废资质单位处理。</w:t>
      </w:r>
    </w:p>
    <w:p w14:paraId="0EA11685">
      <w:pPr>
        <w:widowControl w:val="0"/>
        <w:adjustRightInd w:val="0"/>
        <w:snapToGrid w:val="0"/>
        <w:spacing w:line="360" w:lineRule="auto"/>
        <w:rPr>
          <w:rFonts w:ascii="Times New Roman" w:hAnsi="Times New Roman" w:eastAsia="宋体" w:cs="Times New Roman"/>
          <w:caps w:val="0"/>
          <w:smallCaps w:val="0"/>
          <w:snapToGrid w:val="0"/>
          <w:color w:val="auto"/>
          <w:spacing w:val="0"/>
          <w:kern w:val="0"/>
          <w:szCs w:val="28"/>
          <w:highlight w:val="none"/>
        </w:rPr>
      </w:pPr>
      <w:r>
        <w:rPr>
          <w:rFonts w:ascii="Times New Roman" w:hAnsi="Times New Roman" w:eastAsia="宋体" w:cs="Times New Roman"/>
          <w:caps w:val="0"/>
          <w:smallCaps w:val="0"/>
          <w:snapToGrid w:val="0"/>
          <w:color w:val="auto"/>
          <w:spacing w:val="0"/>
          <w:kern w:val="0"/>
          <w:szCs w:val="28"/>
          <w:highlight w:val="none"/>
        </w:rPr>
        <w:t>采取上述治理措施后，固体废物的综合利用率、安全处置率可达100%，不会对环境构成污染影响。</w:t>
      </w:r>
    </w:p>
    <w:p w14:paraId="5B332774">
      <w:pPr>
        <w:pStyle w:val="5"/>
        <w:widowControl w:val="0"/>
        <w:adjustRightInd w:val="0"/>
        <w:snapToGrid w:val="0"/>
        <w:rPr>
          <w:rFonts w:eastAsia="宋体"/>
          <w:caps w:val="0"/>
          <w:smallCaps w:val="0"/>
          <w:snapToGrid w:val="0"/>
          <w:color w:val="auto"/>
          <w:spacing w:val="0"/>
          <w:kern w:val="0"/>
          <w:szCs w:val="28"/>
          <w:highlight w:val="none"/>
        </w:rPr>
      </w:pPr>
      <w:bookmarkStart w:id="495" w:name="_Toc12508"/>
      <w:bookmarkStart w:id="496" w:name="_Toc12604"/>
      <w:bookmarkStart w:id="497" w:name="_Toc12371"/>
      <w:r>
        <w:rPr>
          <w:rFonts w:eastAsia="宋体"/>
          <w:caps w:val="0"/>
          <w:smallCaps w:val="0"/>
          <w:color w:val="auto"/>
          <w:spacing w:val="0"/>
          <w:highlight w:val="none"/>
        </w:rPr>
        <w:t>9.6.6土壤环境保护措施</w:t>
      </w:r>
      <w:bookmarkEnd w:id="495"/>
      <w:bookmarkEnd w:id="496"/>
      <w:bookmarkEnd w:id="497"/>
    </w:p>
    <w:p w14:paraId="6416D556">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（1）源头控制措施</w:t>
      </w:r>
    </w:p>
    <w:p w14:paraId="5AE6DC81">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污水处理设施间、事故池、危险废物贮存库内均设置重点防渗层和防腐层，将危险废物的跑、冒、滴、漏降到最低限度；对废气环保设施处理设施定期进行维护，确保正常运行而不超标排放；危险废物分区放置，做好危险废物的暂存工作。</w:t>
      </w:r>
    </w:p>
    <w:p w14:paraId="5B21A02A">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生产过程中的各种物料及污染物均与天然土壤隔离。从污染物源头控制排放，采用经济可行且效率高的大气污染防治措施，确保环保设施正常运行，故障后立刻停工整修。</w:t>
      </w:r>
    </w:p>
    <w:p w14:paraId="5B50A26D">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（2）过程防控措施</w:t>
      </w:r>
    </w:p>
    <w:p w14:paraId="7FDFD271">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危险废物贮存库、废水处理设施、废气环保设施等做好日常运行台账记录，保证生产过程的使用有序，以防止土壤环境污染。同时危险废物贮存库的管理应严格按照《危险废物贮存污染控制标准》(GB18597-2023)进行，并做好台账管理。</w:t>
      </w:r>
    </w:p>
    <w:p w14:paraId="3FFBC073">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position w:val="3"/>
          <w:szCs w:val="24"/>
          <w:highlight w:val="none"/>
        </w:rPr>
        <w:t>（3）土壤环境管理</w:t>
      </w:r>
    </w:p>
    <w:p w14:paraId="6B77A3B1">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加强环境管理，定期巡查，一旦发现泄漏及时处理，避免对土壤造成污染。做好环保设施的日常维护，发生超标排放立即采取措施，制定学习张贴相关的环境管理制度。</w:t>
      </w:r>
    </w:p>
    <w:p w14:paraId="6A199ED8">
      <w:pPr>
        <w:widowControl w:val="0"/>
        <w:kinsoku w:val="0"/>
        <w:autoSpaceDE w:val="0"/>
        <w:autoSpaceDN w:val="0"/>
        <w:spacing w:line="360" w:lineRule="auto"/>
        <w:ind w:firstLine="480" w:firstLineChars="200"/>
        <w:jc w:val="both"/>
        <w:textAlignment w:val="baseline"/>
        <w:rPr>
          <w:rFonts w:ascii="Times New Roman" w:hAnsi="Times New Roman" w:eastAsia="宋体" w:cs="Times New Roman"/>
          <w:caps w:val="0"/>
          <w:smallCaps w:val="0"/>
          <w:color w:val="auto"/>
          <w:spacing w:val="0"/>
          <w:szCs w:val="24"/>
          <w:highlight w:val="none"/>
        </w:rPr>
      </w:pPr>
      <w:r>
        <w:rPr>
          <w:rFonts w:ascii="Times New Roman" w:hAnsi="Times New Roman" w:eastAsia="宋体" w:cs="Times New Roman"/>
          <w:caps w:val="0"/>
          <w:smallCaps w:val="0"/>
          <w:color w:val="auto"/>
          <w:spacing w:val="0"/>
          <w:szCs w:val="24"/>
          <w:highlight w:val="none"/>
        </w:rPr>
        <w:t>综上，本项目在严格落实各项措施后，不会对项目地周围土壤环境造成较大影响。</w:t>
      </w:r>
    </w:p>
    <w:bookmarkEnd w:id="494"/>
    <w:p w14:paraId="3EFA5E15">
      <w:pPr>
        <w:pStyle w:val="4"/>
        <w:widowControl w:val="0"/>
        <w:tabs>
          <w:tab w:val="left" w:pos="0"/>
        </w:tabs>
        <w:adjustRightInd w:val="0"/>
        <w:snapToGrid w:val="0"/>
        <w:rPr>
          <w:rFonts w:eastAsia="宋体"/>
          <w:caps w:val="0"/>
          <w:smallCaps w:val="0"/>
          <w:color w:val="auto"/>
          <w:spacing w:val="0"/>
          <w:highlight w:val="none"/>
        </w:rPr>
      </w:pPr>
      <w:bookmarkStart w:id="498" w:name="_Toc15436"/>
      <w:bookmarkStart w:id="499" w:name="_Toc6733"/>
      <w:bookmarkStart w:id="500" w:name="_Toc27173"/>
      <w:bookmarkStart w:id="501" w:name="_Toc2559"/>
      <w:bookmarkStart w:id="502" w:name="_Toc2776"/>
      <w:bookmarkStart w:id="503" w:name="_Toc29851"/>
      <w:bookmarkStart w:id="504" w:name="_Toc20554"/>
      <w:r>
        <w:rPr>
          <w:rFonts w:eastAsia="宋体"/>
          <w:caps w:val="0"/>
          <w:smallCaps w:val="0"/>
          <w:color w:val="auto"/>
          <w:spacing w:val="0"/>
          <w:highlight w:val="none"/>
        </w:rPr>
        <w:t>9.7环境经济损益分析结论</w:t>
      </w:r>
      <w:bookmarkEnd w:id="463"/>
      <w:bookmarkEnd w:id="464"/>
      <w:bookmarkEnd w:id="465"/>
      <w:bookmarkEnd w:id="498"/>
      <w:bookmarkEnd w:id="499"/>
      <w:bookmarkEnd w:id="500"/>
      <w:bookmarkEnd w:id="501"/>
      <w:bookmarkEnd w:id="502"/>
      <w:bookmarkEnd w:id="503"/>
      <w:bookmarkEnd w:id="504"/>
    </w:p>
    <w:p w14:paraId="70838CC1">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在落实本评价所提出各项污染防治措施的前提下，拟建项目的建设能够达到经济效益、社会效益和环境效益相统一，该工程通过必要的环保投资，可以收到预期效果，不仅减少了因项目建设对周围环境的污染和危害，而且可使环境得到适当的保护。可见，该项目建设</w:t>
      </w:r>
      <w:r>
        <w:rPr>
          <w:rFonts w:ascii="Times New Roman" w:hAnsi="Times New Roman" w:eastAsia="宋体" w:cs="Times New Roman"/>
          <w:caps w:val="0"/>
          <w:smallCaps w:val="0"/>
          <w:color w:val="auto"/>
          <w:spacing w:val="0"/>
          <w:kern w:val="0"/>
          <w:highlight w:val="none"/>
        </w:rPr>
        <w:t>具有良好的经济、社会和环境效益。</w:t>
      </w:r>
      <w:r>
        <w:rPr>
          <w:rFonts w:ascii="Times New Roman" w:hAnsi="Times New Roman" w:eastAsia="宋体" w:cs="Times New Roman"/>
          <w:caps w:val="0"/>
          <w:smallCaps w:val="0"/>
          <w:color w:val="auto"/>
          <w:spacing w:val="0"/>
          <w:highlight w:val="none"/>
        </w:rPr>
        <w:t>拟建项目的建设满足可持续发展的要求，因此本项目的建设从环境经济损益的角度分析是可行的。</w:t>
      </w:r>
    </w:p>
    <w:bookmarkEnd w:id="446"/>
    <w:bookmarkEnd w:id="447"/>
    <w:bookmarkEnd w:id="448"/>
    <w:bookmarkEnd w:id="449"/>
    <w:bookmarkEnd w:id="450"/>
    <w:bookmarkEnd w:id="451"/>
    <w:p w14:paraId="3D03635C">
      <w:pPr>
        <w:pStyle w:val="4"/>
        <w:widowControl w:val="0"/>
        <w:tabs>
          <w:tab w:val="left" w:pos="0"/>
        </w:tabs>
        <w:adjustRightInd w:val="0"/>
        <w:snapToGrid w:val="0"/>
        <w:rPr>
          <w:rFonts w:eastAsia="宋体"/>
          <w:caps w:val="0"/>
          <w:smallCaps w:val="0"/>
          <w:color w:val="auto"/>
          <w:spacing w:val="0"/>
          <w:highlight w:val="none"/>
        </w:rPr>
      </w:pPr>
      <w:bookmarkStart w:id="505" w:name="_Toc23240"/>
      <w:bookmarkStart w:id="506" w:name="_Toc12260"/>
      <w:bookmarkStart w:id="507" w:name="_Toc4643"/>
      <w:bookmarkStart w:id="508" w:name="_Toc33448514"/>
      <w:bookmarkStart w:id="509" w:name="_Toc37083852"/>
      <w:bookmarkStart w:id="510" w:name="_Toc9213"/>
      <w:bookmarkStart w:id="511" w:name="_Toc15917"/>
      <w:bookmarkStart w:id="512" w:name="_Toc29842169"/>
      <w:bookmarkStart w:id="513" w:name="_Toc17329"/>
      <w:r>
        <w:rPr>
          <w:rFonts w:eastAsia="宋体"/>
          <w:caps w:val="0"/>
          <w:smallCaps w:val="0"/>
          <w:color w:val="auto"/>
          <w:spacing w:val="0"/>
          <w:highlight w:val="none"/>
        </w:rPr>
        <w:t>9.8环境管理与监测计划</w:t>
      </w:r>
      <w:bookmarkEnd w:id="505"/>
      <w:bookmarkEnd w:id="506"/>
      <w:bookmarkEnd w:id="507"/>
      <w:bookmarkEnd w:id="508"/>
      <w:bookmarkEnd w:id="509"/>
      <w:bookmarkEnd w:id="510"/>
      <w:bookmarkEnd w:id="511"/>
      <w:bookmarkEnd w:id="512"/>
      <w:bookmarkEnd w:id="513"/>
    </w:p>
    <w:p w14:paraId="5F75C827">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本项目运营后应建立健全完善的企业环境保护管理与监测体制，检查环保设施的运行情况，对污染物排放情况进行监督检查，做好环保记录建立排污档案。制定突发性事故的应急处理方案，定期检查监督环保法规执行情况，及时和有关部门联系落实各方面的环保措施，使之正常运行。制定环境监测年度计划和实施方案，污染源和环境质量的手工监测工作可委托有资质的环境监测单位承担。厂区内采取分区防渗措施，并设置地下水污染监测井，进行地下水水质的监控。</w:t>
      </w:r>
    </w:p>
    <w:p w14:paraId="7180BB86">
      <w:pPr>
        <w:pStyle w:val="4"/>
        <w:widowControl w:val="0"/>
        <w:tabs>
          <w:tab w:val="left" w:pos="0"/>
        </w:tabs>
        <w:adjustRightInd w:val="0"/>
        <w:snapToGrid w:val="0"/>
        <w:rPr>
          <w:rFonts w:eastAsia="宋体"/>
          <w:caps w:val="0"/>
          <w:smallCaps w:val="0"/>
          <w:color w:val="auto"/>
          <w:spacing w:val="0"/>
          <w:highlight w:val="none"/>
        </w:rPr>
      </w:pPr>
      <w:bookmarkStart w:id="514" w:name="_Toc14064"/>
      <w:bookmarkStart w:id="515" w:name="_Toc25379"/>
      <w:bookmarkStart w:id="516" w:name="_Toc191"/>
      <w:bookmarkStart w:id="517" w:name="_Toc29842171"/>
      <w:bookmarkStart w:id="518" w:name="_Toc33448516"/>
      <w:bookmarkStart w:id="519" w:name="_Toc8993"/>
      <w:bookmarkStart w:id="520" w:name="_Toc16871"/>
      <w:bookmarkStart w:id="521" w:name="_Toc28245"/>
      <w:bookmarkStart w:id="522" w:name="_Toc37083854"/>
      <w:bookmarkStart w:id="523" w:name="_Toc13446"/>
      <w:r>
        <w:rPr>
          <w:rFonts w:eastAsia="宋体"/>
          <w:caps w:val="0"/>
          <w:smallCaps w:val="0"/>
          <w:color w:val="auto"/>
          <w:spacing w:val="0"/>
          <w:highlight w:val="none"/>
        </w:rPr>
        <w:t>9.9总结论</w:t>
      </w:r>
      <w:bookmarkEnd w:id="514"/>
      <w:bookmarkEnd w:id="515"/>
      <w:bookmarkEnd w:id="516"/>
      <w:bookmarkEnd w:id="517"/>
      <w:bookmarkEnd w:id="518"/>
      <w:bookmarkEnd w:id="519"/>
      <w:bookmarkEnd w:id="520"/>
      <w:bookmarkEnd w:id="521"/>
      <w:bookmarkEnd w:id="522"/>
      <w:bookmarkEnd w:id="523"/>
    </w:p>
    <w:p w14:paraId="60A2FDF0">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szCs w:val="24"/>
          <w:highlight w:val="none"/>
        </w:rPr>
        <w:t>根据《中华人民共和国环境影响评价法》、《建设项目环境保护管理条例》和《建设项目环境影响评价分类管理名录》（环境保护部令第16号）以及修改单（生态环境部令第1号），本项目属于“三十五电气机械或器材制造业，38、太阳能电池片生产”，</w:t>
      </w:r>
      <w:r>
        <w:rPr>
          <w:rFonts w:ascii="Times New Roman" w:hAnsi="Times New Roman" w:eastAsia="宋体" w:cs="Times New Roman"/>
          <w:caps w:val="0"/>
          <w:smallCaps w:val="0"/>
          <w:color w:val="auto"/>
          <w:spacing w:val="0"/>
          <w:highlight w:val="none"/>
        </w:rPr>
        <w:t>本项目为</w:t>
      </w:r>
      <w:r>
        <w:rPr>
          <w:rFonts w:hint="eastAsia" w:ascii="Times New Roman" w:hAnsi="Times New Roman" w:eastAsia="宋体" w:cs="Times New Roman"/>
          <w:caps w:val="0"/>
          <w:smallCaps w:val="0"/>
          <w:color w:val="auto"/>
          <w:spacing w:val="0"/>
          <w:highlight w:val="none"/>
          <w:lang w:eastAsia="zh-CN"/>
        </w:rPr>
        <w:t>碲化镉弱光发</w:t>
      </w:r>
      <w:r>
        <w:rPr>
          <w:rFonts w:ascii="Times New Roman" w:hAnsi="Times New Roman" w:eastAsia="宋体" w:cs="Times New Roman"/>
          <w:caps w:val="0"/>
          <w:smallCaps w:val="0"/>
          <w:color w:val="auto"/>
          <w:spacing w:val="0"/>
          <w:highlight w:val="none"/>
        </w:rPr>
        <w:t>电玻璃项目，属薄膜太阳能光伏电池生产，年产量为100MW（</w:t>
      </w:r>
      <w:r>
        <w:rPr>
          <w:rFonts w:hint="eastAsia" w:ascii="Times New Roman" w:hAnsi="Times New Roman" w:eastAsia="宋体" w:cs="Times New Roman"/>
          <w:caps w:val="0"/>
          <w:smallCaps w:val="0"/>
          <w:color w:val="auto"/>
          <w:spacing w:val="0"/>
          <w:highlight w:val="none"/>
          <w:lang w:val="en-US" w:eastAsia="zh-CN"/>
        </w:rPr>
        <w:t>峰值</w:t>
      </w:r>
      <w:r>
        <w:rPr>
          <w:rFonts w:ascii="Times New Roman" w:hAnsi="Times New Roman" w:eastAsia="宋体" w:cs="Times New Roman"/>
          <w:caps w:val="0"/>
          <w:smallCaps w:val="0"/>
          <w:color w:val="auto"/>
          <w:spacing w:val="0"/>
          <w:highlight w:val="none"/>
        </w:rPr>
        <w:t>可</w:t>
      </w:r>
      <w:r>
        <w:rPr>
          <w:rFonts w:hint="eastAsia" w:ascii="Times New Roman" w:hAnsi="Times New Roman" w:eastAsia="宋体" w:cs="Times New Roman"/>
          <w:caps w:val="0"/>
          <w:smallCaps w:val="0"/>
          <w:color w:val="auto"/>
          <w:spacing w:val="0"/>
          <w:highlight w:val="none"/>
          <w:lang w:eastAsia="zh-CN"/>
        </w:rPr>
        <w:t>达</w:t>
      </w:r>
      <w:r>
        <w:rPr>
          <w:rFonts w:ascii="Times New Roman" w:hAnsi="Times New Roman" w:eastAsia="宋体" w:cs="Times New Roman"/>
          <w:caps w:val="0"/>
          <w:smallCaps w:val="0"/>
          <w:color w:val="auto"/>
          <w:spacing w:val="0"/>
          <w:highlight w:val="none"/>
        </w:rPr>
        <w:t>126MW），电池转化效率不小于16%，属于《产业结构调整指导目录（2024年本）》中允许类项目，符合国家和地方的相关产业政策；本工程选址符合国家的相关法律法规要求；本项目采取了行之有效的环境保护措施，在切实落实报告书中提出的各项环保措施后，可以做到达标排放；本工程采用的废水、废气治理工艺技术成熟，设备先进，处理效果好；环境管理体系健全，属于清洁生产企业，各类废物的处置工艺及设备均可达到国内较先进的水平。从环境质量现状监测结果及大气环境、地下水环境、土壤环境、环境风险、声环境预测及评价结果看，在严格执行国家和本地区的环境保护要求，切实落实报告书中提出的各项环保措施的前提下，区域的环境质量不会因为本工程的建设而发生明显改变，本项目建成投产后对外环境的影响可接受。</w:t>
      </w:r>
    </w:p>
    <w:p w14:paraId="7333C1F1">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建设单位按照《环境影响评价公众参与办法》（生态环境部令第4号）的规定，进行二次公众参与网络公示、二次报纸媒体公示和张贴公告，公示期间均未收到关于环境保护方面的反对意见，公众对项目建设对环境产生的影响是可以接受的。</w:t>
      </w:r>
    </w:p>
    <w:p w14:paraId="0D125C23">
      <w:pPr>
        <w:widowControl w:val="0"/>
        <w:adjustRightInd w:val="0"/>
        <w:snapToGrid w:val="0"/>
        <w:spacing w:line="360" w:lineRule="auto"/>
        <w:ind w:firstLine="480" w:firstLineChars="200"/>
        <w:rPr>
          <w:rFonts w:ascii="Times New Roman" w:hAnsi="Times New Roman" w:eastAsia="宋体" w:cs="Times New Roman"/>
          <w:caps w:val="0"/>
          <w:smallCaps w:val="0"/>
          <w:color w:val="auto"/>
          <w:spacing w:val="0"/>
          <w:highlight w:val="none"/>
        </w:rPr>
      </w:pPr>
      <w:r>
        <w:rPr>
          <w:rFonts w:ascii="Times New Roman" w:hAnsi="Times New Roman" w:eastAsia="宋体" w:cs="Times New Roman"/>
          <w:caps w:val="0"/>
          <w:smallCaps w:val="0"/>
          <w:color w:val="auto"/>
          <w:spacing w:val="0"/>
          <w:highlight w:val="none"/>
        </w:rPr>
        <w:t>综上所述，建设单位在建设和运营过程中严格执行“三同时”制度</w:t>
      </w:r>
      <w:r>
        <w:rPr>
          <w:rFonts w:hint="eastAsia" w:ascii="Times New Roman" w:hAnsi="Times New Roman" w:eastAsia="宋体" w:cs="Times New Roman"/>
          <w:caps w:val="0"/>
          <w:smallCaps w:val="0"/>
          <w:color w:val="auto"/>
          <w:spacing w:val="0"/>
          <w:highlight w:val="none"/>
        </w:rPr>
        <w:t>，在</w:t>
      </w:r>
      <w:r>
        <w:rPr>
          <w:rFonts w:ascii="Times New Roman" w:hAnsi="Times New Roman" w:eastAsia="宋体" w:cs="Times New Roman"/>
          <w:caps w:val="0"/>
          <w:smallCaps w:val="0"/>
          <w:color w:val="auto"/>
          <w:spacing w:val="0"/>
          <w:highlight w:val="none"/>
        </w:rPr>
        <w:t>落实设计和本次环境影响报告书中提出的各项环境保护措施及建议的前提下，从环境保护角度论证，本项目的建设是可行的。</w:t>
      </w:r>
    </w:p>
    <w:p w14:paraId="197584F3">
      <w:pPr>
        <w:widowControl w:val="0"/>
        <w:spacing w:line="360" w:lineRule="auto"/>
        <w:rPr>
          <w:rFonts w:ascii="Times New Roman" w:hAnsi="Times New Roman" w:eastAsia="宋体" w:cs="Times New Roman"/>
          <w:caps w:val="0"/>
          <w:smallCaps w:val="0"/>
          <w:color w:val="auto"/>
          <w:spacing w:val="0"/>
          <w:highlight w:val="none"/>
        </w:rPr>
      </w:pPr>
    </w:p>
    <w:sectPr>
      <w:pgSz w:w="11906" w:h="16838"/>
      <w:pgMar w:top="1418" w:right="1418" w:bottom="1418" w:left="1418"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Arial Black">
    <w:panose1 w:val="020B0A04020102020204"/>
    <w:charset w:val="00"/>
    <w:family w:val="swiss"/>
    <w:pitch w:val="default"/>
    <w:sig w:usb0="A00002AF" w:usb1="400078FB" w:usb2="00000000" w:usb3="00000000" w:csb0="6000009F" w:csb1="DFD7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F3">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10" w:usb3="00000000" w:csb0="00040001" w:csb1="00000000"/>
  </w:font>
  <w:font w:name="汉鼎简书宋">
    <w:altName w:val="宋体"/>
    <w:panose1 w:val="00000000000000000000"/>
    <w:charset w:val="86"/>
    <w:family w:val="modern"/>
    <w:pitch w:val="default"/>
    <w:sig w:usb0="00000000" w:usb1="00000000" w:usb2="00000010" w:usb3="00000000" w:csb0="00040000" w:csb1="00000000"/>
  </w:font>
  <w:font w:name="宋体fal">
    <w:altName w:val="宋体"/>
    <w:panose1 w:val="00000000000000000000"/>
    <w:charset w:val="86"/>
    <w:family w:val="auto"/>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B87F1">
    <w:pPr>
      <w:pStyle w:val="25"/>
      <w:ind w:firstLine="360"/>
    </w:pPr>
    <w:r>
      <w:rPr>
        <w:rStyle w:val="42"/>
      </w:rPr>
      <w:fldChar w:fldCharType="begin"/>
    </w:r>
    <w:r>
      <w:rPr>
        <w:rStyle w:val="42"/>
      </w:rPr>
      <w:instrText xml:space="preserve"> PAGE </w:instrText>
    </w:r>
    <w:r>
      <w:rPr>
        <w:rStyle w:val="42"/>
      </w:rPr>
      <w:fldChar w:fldCharType="separate"/>
    </w:r>
    <w:r>
      <w:rPr>
        <w:rStyle w:val="42"/>
      </w:rPr>
      <w:t>98</w:t>
    </w:r>
    <w:r>
      <w:rPr>
        <w:rStyle w:val="42"/>
      </w:rPr>
      <w:fldChar w:fldCharType="end"/>
    </w:r>
    <w:r>
      <w:rPr>
        <w:rStyle w:val="42"/>
        <w:rFonts w:hint="eastAsia"/>
      </w:rPr>
      <w:tab/>
    </w:r>
    <w:r>
      <w:rPr>
        <w:rStyle w:val="42"/>
        <w:rFonts w:hint="eastAsia"/>
      </w:rPr>
      <w:tab/>
    </w:r>
    <w:r>
      <w:rPr>
        <w:rFonts w:hint="eastAsia"/>
      </w:rPr>
      <w:drawing>
        <wp:inline distT="0" distB="0" distL="0" distR="0">
          <wp:extent cx="276225" cy="257175"/>
          <wp:effectExtent l="0" t="0" r="9525" b="9525"/>
          <wp:docPr id="44" name="图片 44"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院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76225" cy="257175"/>
                  </a:xfrm>
                  <a:prstGeom prst="rect">
                    <a:avLst/>
                  </a:prstGeom>
                  <a:noFill/>
                  <a:ln>
                    <a:noFill/>
                  </a:ln>
                </pic:spPr>
              </pic:pic>
            </a:graphicData>
          </a:graphic>
        </wp:inline>
      </w:drawing>
    </w:r>
    <w:r>
      <w:rPr>
        <w:rStyle w:val="42"/>
        <w:rFonts w:hint="eastAsia" w:ascii="华文行楷" w:eastAsia="华文行楷"/>
        <w:spacing w:val="20"/>
      </w:rPr>
      <w:t>黑龙江省化工研究院</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350D">
    <w:pPr>
      <w:rPr>
        <w:rFonts w:ascii="Times New Roman" w:hAnsi="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0029B">
    <w:pPr>
      <w:pStyle w:val="25"/>
      <w:pBdr>
        <w:top w:val="none" w:color="auto" w:sz="0" w:space="0"/>
      </w:pBdr>
      <w:rPr>
        <w:rFonts w:ascii="Times New Roman" w:hAnsi="Times New Roman" w:eastAsia="宋体" w:cs="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A8ECA">
                          <w:pPr>
                            <w:pStyle w:val="2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AVts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tUBW2ywCAABZBAAADgAAAAAAAAABACAAAAAfAQAAZHJzL2Uyb0RvYy54bWxQSwUGAAAAAAYA&#10;BgBZAQAAvQUAAAAA&#10;">
              <v:fill on="f" focussize="0,0"/>
              <v:stroke on="f" weight="0.5pt"/>
              <v:imagedata o:title=""/>
              <o:lock v:ext="edit" aspectratio="f"/>
              <v:textbox inset="0mm,0mm,0mm,0mm" style="mso-fit-shape-to-text:t;">
                <w:txbxContent>
                  <w:p w14:paraId="573A8ECA">
                    <w:pPr>
                      <w:pStyle w:val="2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33291">
    <w:pPr>
      <w:pStyle w:val="25"/>
      <w:pBdr>
        <w:top w:val="none" w:color="auto" w:sz="0" w:space="0"/>
      </w:pBdr>
      <w:rPr>
        <w:rFonts w:ascii="Times New Roman" w:hAnsi="Times New Roman"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E9751">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sfeoY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4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sfeoYtAgAAWQQAAA4AAAAAAAAAAQAgAAAAHwEAAGRycy9lMm9Eb2MueG1sUEsFBgAAAAAG&#10;AAYAWQEAAL4FAAAAAA==&#10;">
              <v:fill on="f" focussize="0,0"/>
              <v:stroke on="f" weight="0.5pt"/>
              <v:imagedata o:title=""/>
              <o:lock v:ext="edit" aspectratio="f"/>
              <v:textbox inset="0mm,0mm,0mm,0mm" style="mso-fit-shape-to-text:t;">
                <w:txbxContent>
                  <w:p w14:paraId="4A8E9751">
                    <w:pPr>
                      <w:pStyle w:val="2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C314D">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9B6BB">
                          <w:pPr>
                            <w:pStyle w:val="2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116</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zP0o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I3M/SiwCAABZBAAADgAAAAAAAAABACAAAAAfAQAAZHJzL2Uyb0RvYy54bWxQSwUGAAAAAAYA&#10;BgBZAQAAvQUAAAAA&#10;">
              <v:fill on="f" focussize="0,0"/>
              <v:stroke on="f" weight="0.5pt"/>
              <v:imagedata o:title=""/>
              <o:lock v:ext="edit" aspectratio="f"/>
              <v:textbox inset="0mm,0mm,0mm,0mm" style="mso-fit-shape-to-text:t;">
                <w:txbxContent>
                  <w:p w14:paraId="6609B6BB">
                    <w:pPr>
                      <w:pStyle w:val="2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116</w:t>
                    </w:r>
                    <w:r>
                      <w:rPr>
                        <w:rFonts w:hint="default" w:ascii="Times New Roman" w:hAnsi="Times New Roman"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8DC41">
    <w:pPr>
      <w:spacing w:line="176" w:lineRule="auto"/>
      <w:ind w:left="46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EDA6C">
                          <w:pPr>
                            <w:pStyle w:val="25"/>
                          </w:pPr>
                          <w:r>
                            <w:fldChar w:fldCharType="begin"/>
                          </w:r>
                          <w:r>
                            <w:instrText xml:space="preserve"> PAGE  \* MERGEFORMAT </w:instrText>
                          </w:r>
                          <w:r>
                            <w:fldChar w:fldCharType="separate"/>
                          </w:r>
                          <w:r>
                            <w:t>265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cprw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LBymvCwCAABZBAAADgAAAAAAAAABACAAAAAfAQAAZHJzL2Uyb0RvYy54bWxQSwUGAAAAAAYA&#10;BgBZAQAAvQUAAAAA&#10;">
              <v:fill on="f" focussize="0,0"/>
              <v:stroke on="f" weight="0.5pt"/>
              <v:imagedata o:title=""/>
              <o:lock v:ext="edit" aspectratio="f"/>
              <v:textbox inset="0mm,0mm,0mm,0mm" style="mso-fit-shape-to-text:t;">
                <w:txbxContent>
                  <w:p w14:paraId="3B6EDA6C">
                    <w:pPr>
                      <w:pStyle w:val="25"/>
                    </w:pPr>
                    <w:r>
                      <w:fldChar w:fldCharType="begin"/>
                    </w:r>
                    <w:r>
                      <w:instrText xml:space="preserve"> PAGE  \* MERGEFORMAT </w:instrText>
                    </w:r>
                    <w:r>
                      <w:fldChar w:fldCharType="separate"/>
                    </w:r>
                    <w:r>
                      <w:t>265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A1B59">
    <w:pPr>
      <w:spacing w:line="176" w:lineRule="auto"/>
      <w:ind w:left="46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820B7">
                          <w:pPr>
                            <w:pStyle w:val="2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273</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aPqk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D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naPqktAgAAWQQAAA4AAAAAAAAAAQAgAAAAHwEAAGRycy9lMm9Eb2MueG1sUEsFBgAAAAAG&#10;AAYAWQEAAL4FAAAAAA==&#10;">
              <v:fill on="f" focussize="0,0"/>
              <v:stroke on="f" weight="0.5pt"/>
              <v:imagedata o:title=""/>
              <o:lock v:ext="edit" aspectratio="f"/>
              <v:textbox inset="0mm,0mm,0mm,0mm" style="mso-fit-shape-to-text:t;">
                <w:txbxContent>
                  <w:p w14:paraId="706820B7">
                    <w:pPr>
                      <w:pStyle w:val="2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273</w:t>
                    </w:r>
                    <w:r>
                      <w:rPr>
                        <w:rFonts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39B31">
    <w:pPr>
      <w:pStyle w:val="2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5449F">
    <w:pPr>
      <w:pStyle w:val="26"/>
      <w:pBdr>
        <w:bottom w:val="none" w:color="auto" w:sz="0" w:space="0"/>
      </w:pBdr>
      <w:ind w:firstLine="441"/>
    </w:pPr>
    <w:r>
      <w:rPr>
        <w:rFonts w:hint="eastAsia" w:ascii="黑体" w:eastAsia="黑体"/>
        <w:b/>
        <w:spacing w:val="20"/>
      </w:rPr>
      <w:t>年产1万吨废纸再生纸制品及工业用水零排放技改项目环境影响报告书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B7D33">
    <w:pPr>
      <w:spacing w:after="120" w:afterLines="50"/>
      <w:jc w:val="center"/>
      <w:rPr>
        <w:rFonts w:ascii="Times New Roman" w:hAnsi="Times New Roman" w:eastAsia="宋体" w:cs="Times New Roman"/>
        <w:sz w:val="18"/>
        <w:szCs w:val="18"/>
      </w:rPr>
    </w:pPr>
    <w:r>
      <w:rPr>
        <w:rFonts w:hint="eastAsia" w:ascii="Times New Roman" w:hAnsi="Times New Roman" w:eastAsia="宋体" w:cs="Times New Roman"/>
        <w:sz w:val="18"/>
        <w:szCs w:val="18"/>
        <w:u w:val="single"/>
      </w:rPr>
      <w:t>佳木斯中建材光电材料有限公司黑龙江省佳木斯市高新区年产100MW碲化镉弱光发电玻璃项目（重新报批）</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3D538">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u w:val="single"/>
      </w:rPr>
      <w:t>佳木斯中建材光电材料有限公司黑龙江省佳木斯市高新区年产100MW碲化镉弱光发电玻璃项目（重新报批）</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C8862">
    <w:pPr>
      <w:spacing w:line="231" w:lineRule="auto"/>
      <w:ind w:left="27"/>
      <w:jc w:val="center"/>
    </w:pPr>
    <w:r>
      <w:rPr>
        <w:rFonts w:hint="eastAsia" w:ascii="宋体" w:hAnsi="宋体" w:eastAsia="宋体" w:cs="宋体"/>
        <w:spacing w:val="-2"/>
        <w:sz w:val="18"/>
        <w:szCs w:val="18"/>
        <w:u w:val="single"/>
      </w:rPr>
      <w:t>佳木斯中建材光电材料有限公司黑龙江省佳木斯市高新区年产100MW碲化镉弱光发电玻璃项目（重新报批）</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0FCB7">
    <w:pPr>
      <w:spacing w:line="231" w:lineRule="auto"/>
      <w:ind w:left="27"/>
      <w:jc w:val="center"/>
      <w:rPr>
        <w:rFonts w:ascii="宋体" w:hAnsi="宋体" w:eastAsia="宋体" w:cs="宋体"/>
        <w:spacing w:val="-2"/>
        <w:sz w:val="18"/>
        <w:szCs w:val="18"/>
        <w:u w:val="single"/>
      </w:rPr>
    </w:pPr>
    <w:r>
      <w:rPr>
        <w:rFonts w:hint="eastAsia" w:ascii="宋体" w:hAnsi="宋体" w:eastAsia="宋体" w:cs="宋体"/>
        <w:spacing w:val="-2"/>
        <w:sz w:val="18"/>
        <w:szCs w:val="18"/>
        <w:u w:val="single"/>
      </w:rPr>
      <w:t>佳木斯中建材光电材料有限公司黑龙江省佳木斯市高新区年产</w:t>
    </w:r>
    <w:r>
      <w:rPr>
        <w:rFonts w:ascii="Times New Roman" w:hAnsi="Times New Roman" w:eastAsia="宋体" w:cs="Times New Roman"/>
        <w:spacing w:val="-2"/>
        <w:sz w:val="18"/>
        <w:szCs w:val="18"/>
        <w:u w:val="single"/>
      </w:rPr>
      <w:t>100MW</w:t>
    </w:r>
    <w:r>
      <w:rPr>
        <w:rFonts w:hint="eastAsia" w:ascii="宋体" w:hAnsi="宋体" w:eastAsia="宋体" w:cs="宋体"/>
        <w:spacing w:val="-2"/>
        <w:sz w:val="18"/>
        <w:szCs w:val="18"/>
        <w:u w:val="single"/>
      </w:rPr>
      <w:t>碲化镉弱光发电玻璃项目（重新报批）</w:t>
    </w:r>
  </w:p>
  <w:p w14:paraId="7539916F">
    <w:pPr>
      <w:spacing w:line="231" w:lineRule="auto"/>
      <w:ind w:left="27"/>
      <w:rPr>
        <w:rFonts w:ascii="宋体" w:hAnsi="宋体" w:eastAsia="宋体" w:cs="宋体"/>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D10D2">
    <w:pPr>
      <w:spacing w:line="231" w:lineRule="auto"/>
      <w:jc w:val="center"/>
      <w:rPr>
        <w:rFonts w:ascii="宋体" w:hAnsi="宋体" w:eastAsia="宋体" w:cs="宋体"/>
        <w:sz w:val="18"/>
        <w:szCs w:val="18"/>
        <w:u w:val="single"/>
      </w:rPr>
    </w:pPr>
    <w:r>
      <w:rPr>
        <w:rFonts w:hint="eastAsia" w:ascii="宋体" w:hAnsi="宋体" w:eastAsia="宋体" w:cs="宋体"/>
        <w:sz w:val="18"/>
        <w:szCs w:val="18"/>
        <w:u w:val="single"/>
      </w:rPr>
      <w:t>佳木斯中建材光电材料有限公司黑龙江省佳木斯市高新区年产100MW碲化镉弱光发电玻璃项目（重新报批）</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689F2">
    <w:pPr>
      <w:jc w:val="center"/>
    </w:pPr>
    <w:r>
      <w:rPr>
        <w:rFonts w:hint="eastAsia" w:ascii="Times New Roman" w:hAnsi="Times New Roman" w:eastAsia="宋体" w:cs="Times New Roman"/>
        <w:sz w:val="18"/>
        <w:szCs w:val="18"/>
        <w:u w:val="single"/>
      </w:rPr>
      <w:t>佳木斯中建材光电材料有限公司黑龙江省佳木斯市高新区年产100MW碲化镉弱光发电玻璃项目（重新报批）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FB8C3"/>
    <w:multiLevelType w:val="singleLevel"/>
    <w:tmpl w:val="82CFB8C3"/>
    <w:lvl w:ilvl="0" w:tentative="0">
      <w:start w:val="1"/>
      <w:numFmt w:val="decimal"/>
      <w:lvlText w:val="%1."/>
      <w:lvlJc w:val="left"/>
      <w:pPr>
        <w:tabs>
          <w:tab w:val="left" w:pos="312"/>
        </w:tabs>
      </w:pPr>
    </w:lvl>
  </w:abstractNum>
  <w:abstractNum w:abstractNumId="1">
    <w:nsid w:val="9B929667"/>
    <w:multiLevelType w:val="singleLevel"/>
    <w:tmpl w:val="9B929667"/>
    <w:lvl w:ilvl="0" w:tentative="0">
      <w:start w:val="2"/>
      <w:numFmt w:val="chineseCounting"/>
      <w:suff w:val="nothing"/>
      <w:lvlText w:val="（%1）"/>
      <w:lvlJc w:val="left"/>
      <w:rPr>
        <w:rFonts w:hint="eastAsia"/>
      </w:rPr>
    </w:lvl>
  </w:abstractNum>
  <w:abstractNum w:abstractNumId="2">
    <w:nsid w:val="AD3A3AAF"/>
    <w:multiLevelType w:val="singleLevel"/>
    <w:tmpl w:val="AD3A3AAF"/>
    <w:lvl w:ilvl="0" w:tentative="0">
      <w:start w:val="2"/>
      <w:numFmt w:val="decimal"/>
      <w:suff w:val="nothing"/>
      <w:lvlText w:val="（%1）"/>
      <w:lvlJc w:val="left"/>
    </w:lvl>
  </w:abstractNum>
  <w:abstractNum w:abstractNumId="3">
    <w:nsid w:val="B649BAA9"/>
    <w:multiLevelType w:val="singleLevel"/>
    <w:tmpl w:val="B649BAA9"/>
    <w:lvl w:ilvl="0" w:tentative="0">
      <w:start w:val="1"/>
      <w:numFmt w:val="decimal"/>
      <w:suff w:val="nothing"/>
      <w:lvlText w:val="%1）"/>
      <w:lvlJc w:val="left"/>
    </w:lvl>
  </w:abstractNum>
  <w:abstractNum w:abstractNumId="4">
    <w:nsid w:val="B99118A3"/>
    <w:multiLevelType w:val="singleLevel"/>
    <w:tmpl w:val="B99118A3"/>
    <w:lvl w:ilvl="0" w:tentative="0">
      <w:start w:val="1"/>
      <w:numFmt w:val="decimal"/>
      <w:suff w:val="nothing"/>
      <w:lvlText w:val="%1、"/>
      <w:lvlJc w:val="left"/>
    </w:lvl>
  </w:abstractNum>
  <w:abstractNum w:abstractNumId="5">
    <w:nsid w:val="BE445834"/>
    <w:multiLevelType w:val="singleLevel"/>
    <w:tmpl w:val="BE445834"/>
    <w:lvl w:ilvl="0" w:tentative="0">
      <w:start w:val="3"/>
      <w:numFmt w:val="decimal"/>
      <w:suff w:val="nothing"/>
      <w:lvlText w:val="（%1）"/>
      <w:lvlJc w:val="left"/>
    </w:lvl>
  </w:abstractNum>
  <w:abstractNum w:abstractNumId="6">
    <w:nsid w:val="BEA3AF68"/>
    <w:multiLevelType w:val="singleLevel"/>
    <w:tmpl w:val="BEA3AF68"/>
    <w:lvl w:ilvl="0" w:tentative="0">
      <w:start w:val="1"/>
      <w:numFmt w:val="decimal"/>
      <w:suff w:val="nothing"/>
      <w:lvlText w:val="%1、"/>
      <w:lvlJc w:val="left"/>
    </w:lvl>
  </w:abstractNum>
  <w:abstractNum w:abstractNumId="7">
    <w:nsid w:val="CD2F7532"/>
    <w:multiLevelType w:val="singleLevel"/>
    <w:tmpl w:val="CD2F7532"/>
    <w:lvl w:ilvl="0" w:tentative="0">
      <w:start w:val="2"/>
      <w:numFmt w:val="decimal"/>
      <w:suff w:val="nothing"/>
      <w:lvlText w:val="（%1）"/>
      <w:lvlJc w:val="left"/>
    </w:lvl>
  </w:abstractNum>
  <w:abstractNum w:abstractNumId="8">
    <w:nsid w:val="D14B5BA6"/>
    <w:multiLevelType w:val="singleLevel"/>
    <w:tmpl w:val="D14B5BA6"/>
    <w:lvl w:ilvl="0" w:tentative="0">
      <w:start w:val="1"/>
      <w:numFmt w:val="decimal"/>
      <w:suff w:val="nothing"/>
      <w:lvlText w:val="%1、"/>
      <w:lvlJc w:val="left"/>
    </w:lvl>
  </w:abstractNum>
  <w:abstractNum w:abstractNumId="9">
    <w:nsid w:val="E2638FE7"/>
    <w:multiLevelType w:val="singleLevel"/>
    <w:tmpl w:val="E2638FE7"/>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10">
    <w:nsid w:val="0A1A4B26"/>
    <w:multiLevelType w:val="multilevel"/>
    <w:tmpl w:val="0A1A4B26"/>
    <w:lvl w:ilvl="0" w:tentative="0">
      <w:start w:val="1"/>
      <w:numFmt w:val="decimal"/>
      <w:pStyle w:val="235"/>
      <w:lvlText w:val="表5.2-%1. "/>
      <w:lvlJc w:val="center"/>
      <w:pPr>
        <w:ind w:left="420" w:hanging="420"/>
      </w:pPr>
      <w:rPr>
        <w:rFonts w:hint="default" w:ascii="Times New Roman" w:hAnsi="Times New Roman"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E318D80"/>
    <w:multiLevelType w:val="singleLevel"/>
    <w:tmpl w:val="0E318D80"/>
    <w:lvl w:ilvl="0" w:tentative="0">
      <w:start w:val="10"/>
      <w:numFmt w:val="decimal"/>
      <w:suff w:val="nothing"/>
      <w:lvlText w:val="（%1）"/>
      <w:lvlJc w:val="left"/>
    </w:lvl>
  </w:abstractNum>
  <w:abstractNum w:abstractNumId="12">
    <w:nsid w:val="17C722ED"/>
    <w:multiLevelType w:val="singleLevel"/>
    <w:tmpl w:val="17C722ED"/>
    <w:lvl w:ilvl="0" w:tentative="0">
      <w:start w:val="2"/>
      <w:numFmt w:val="decimal"/>
      <w:suff w:val="nothing"/>
      <w:lvlText w:val="（%1）"/>
      <w:lvlJc w:val="left"/>
    </w:lvl>
  </w:abstractNum>
  <w:abstractNum w:abstractNumId="13">
    <w:nsid w:val="21099529"/>
    <w:multiLevelType w:val="singleLevel"/>
    <w:tmpl w:val="21099529"/>
    <w:lvl w:ilvl="0" w:tentative="0">
      <w:start w:val="1"/>
      <w:numFmt w:val="decimal"/>
      <w:suff w:val="nothing"/>
      <w:lvlText w:val="（%1）"/>
      <w:lvlJc w:val="left"/>
    </w:lvl>
  </w:abstractNum>
  <w:abstractNum w:abstractNumId="14">
    <w:nsid w:val="44F442DE"/>
    <w:multiLevelType w:val="singleLevel"/>
    <w:tmpl w:val="44F442DE"/>
    <w:lvl w:ilvl="0" w:tentative="0">
      <w:start w:val="1"/>
      <w:numFmt w:val="decimal"/>
      <w:suff w:val="nothing"/>
      <w:lvlText w:val="%1、"/>
      <w:lvlJc w:val="left"/>
    </w:lvl>
  </w:abstractNum>
  <w:abstractNum w:abstractNumId="15">
    <w:nsid w:val="57A99E80"/>
    <w:multiLevelType w:val="singleLevel"/>
    <w:tmpl w:val="57A99E80"/>
    <w:lvl w:ilvl="0" w:tentative="0">
      <w:start w:val="1"/>
      <w:numFmt w:val="decimal"/>
      <w:suff w:val="nothing"/>
      <w:lvlText w:val="%1、"/>
      <w:lvlJc w:val="left"/>
    </w:lvl>
  </w:abstractNum>
  <w:abstractNum w:abstractNumId="16">
    <w:nsid w:val="71F931AB"/>
    <w:multiLevelType w:val="singleLevel"/>
    <w:tmpl w:val="71F931AB"/>
    <w:lvl w:ilvl="0" w:tentative="0">
      <w:start w:val="2"/>
      <w:numFmt w:val="decimal"/>
      <w:suff w:val="nothing"/>
      <w:lvlText w:val="%1、"/>
      <w:lvlJc w:val="left"/>
    </w:lvl>
  </w:abstractNum>
  <w:num w:numId="1">
    <w:abstractNumId w:val="9"/>
  </w:num>
  <w:num w:numId="2">
    <w:abstractNumId w:val="10"/>
  </w:num>
  <w:num w:numId="3">
    <w:abstractNumId w:val="8"/>
  </w:num>
  <w:num w:numId="4">
    <w:abstractNumId w:val="16"/>
  </w:num>
  <w:num w:numId="5">
    <w:abstractNumId w:val="13"/>
  </w:num>
  <w:num w:numId="6">
    <w:abstractNumId w:val="4"/>
  </w:num>
  <w:num w:numId="7">
    <w:abstractNumId w:val="6"/>
  </w:num>
  <w:num w:numId="8">
    <w:abstractNumId w:val="15"/>
  </w:num>
  <w:num w:numId="9">
    <w:abstractNumId w:val="1"/>
  </w:num>
  <w:num w:numId="10">
    <w:abstractNumId w:val="5"/>
  </w:num>
  <w:num w:numId="11">
    <w:abstractNumId w:val="12"/>
  </w:num>
  <w:num w:numId="12">
    <w:abstractNumId w:val="11"/>
  </w:num>
  <w:num w:numId="13">
    <w:abstractNumId w:val="2"/>
  </w:num>
  <w:num w:numId="14">
    <w:abstractNumId w:val="7"/>
  </w:num>
  <w:num w:numId="15">
    <w:abstractNumId w:val="3"/>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hideSpellingErrors/>
  <w:hideGrammaticalErrors/>
  <w:documentProtection w:enforcement="0"/>
  <w:defaultTabStop w:val="420"/>
  <w:drawingGridHorizontalSpacing w:val="221"/>
  <w:drawingGridVerticalSpacing w:val="33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yM2JmMDZmYTUyODBlYzQwZmYzNjk4MDljMTQwOTgifQ=="/>
  </w:docVars>
  <w:rsids>
    <w:rsidRoot w:val="0058400D"/>
    <w:rsid w:val="00000AF6"/>
    <w:rsid w:val="00001E45"/>
    <w:rsid w:val="00001FD8"/>
    <w:rsid w:val="00002A9E"/>
    <w:rsid w:val="00002F11"/>
    <w:rsid w:val="00003A65"/>
    <w:rsid w:val="00004A60"/>
    <w:rsid w:val="00005250"/>
    <w:rsid w:val="000064A6"/>
    <w:rsid w:val="000068AC"/>
    <w:rsid w:val="00007705"/>
    <w:rsid w:val="00007899"/>
    <w:rsid w:val="0000794E"/>
    <w:rsid w:val="0000795A"/>
    <w:rsid w:val="00010DC2"/>
    <w:rsid w:val="000115B7"/>
    <w:rsid w:val="0001242B"/>
    <w:rsid w:val="00013984"/>
    <w:rsid w:val="00014CDC"/>
    <w:rsid w:val="00016B4D"/>
    <w:rsid w:val="000220CD"/>
    <w:rsid w:val="000223FC"/>
    <w:rsid w:val="00023352"/>
    <w:rsid w:val="00023F27"/>
    <w:rsid w:val="00024EA8"/>
    <w:rsid w:val="000256F8"/>
    <w:rsid w:val="000257A3"/>
    <w:rsid w:val="000257E7"/>
    <w:rsid w:val="00025C32"/>
    <w:rsid w:val="0002646C"/>
    <w:rsid w:val="000268B3"/>
    <w:rsid w:val="0002696B"/>
    <w:rsid w:val="00027EF3"/>
    <w:rsid w:val="00030853"/>
    <w:rsid w:val="00030E97"/>
    <w:rsid w:val="00031017"/>
    <w:rsid w:val="00031A28"/>
    <w:rsid w:val="000320F1"/>
    <w:rsid w:val="000328F7"/>
    <w:rsid w:val="000338DA"/>
    <w:rsid w:val="00033C95"/>
    <w:rsid w:val="00034B3C"/>
    <w:rsid w:val="00034D6D"/>
    <w:rsid w:val="00034E75"/>
    <w:rsid w:val="00035508"/>
    <w:rsid w:val="00035543"/>
    <w:rsid w:val="000372FD"/>
    <w:rsid w:val="000373D5"/>
    <w:rsid w:val="000374C6"/>
    <w:rsid w:val="00037A76"/>
    <w:rsid w:val="00037B58"/>
    <w:rsid w:val="00040861"/>
    <w:rsid w:val="00040C1C"/>
    <w:rsid w:val="000420B0"/>
    <w:rsid w:val="000438F1"/>
    <w:rsid w:val="000441BF"/>
    <w:rsid w:val="000447C1"/>
    <w:rsid w:val="0004509A"/>
    <w:rsid w:val="000477D7"/>
    <w:rsid w:val="00050227"/>
    <w:rsid w:val="00050CD0"/>
    <w:rsid w:val="000518BC"/>
    <w:rsid w:val="00053D1D"/>
    <w:rsid w:val="0005435A"/>
    <w:rsid w:val="000543FE"/>
    <w:rsid w:val="000551B7"/>
    <w:rsid w:val="00056538"/>
    <w:rsid w:val="00060031"/>
    <w:rsid w:val="00060AFC"/>
    <w:rsid w:val="00060E3E"/>
    <w:rsid w:val="00060F02"/>
    <w:rsid w:val="0006168F"/>
    <w:rsid w:val="00061F3F"/>
    <w:rsid w:val="00061F54"/>
    <w:rsid w:val="000622ED"/>
    <w:rsid w:val="00062738"/>
    <w:rsid w:val="00062E6A"/>
    <w:rsid w:val="00064239"/>
    <w:rsid w:val="00064B17"/>
    <w:rsid w:val="00065020"/>
    <w:rsid w:val="000652E7"/>
    <w:rsid w:val="00066790"/>
    <w:rsid w:val="00070247"/>
    <w:rsid w:val="000706B7"/>
    <w:rsid w:val="00070B3A"/>
    <w:rsid w:val="00070D1B"/>
    <w:rsid w:val="00073D55"/>
    <w:rsid w:val="00073D82"/>
    <w:rsid w:val="00080FEC"/>
    <w:rsid w:val="000814E0"/>
    <w:rsid w:val="00081530"/>
    <w:rsid w:val="00081FA9"/>
    <w:rsid w:val="0008279E"/>
    <w:rsid w:val="0008318B"/>
    <w:rsid w:val="000832C0"/>
    <w:rsid w:val="00084308"/>
    <w:rsid w:val="00084643"/>
    <w:rsid w:val="00084807"/>
    <w:rsid w:val="00085808"/>
    <w:rsid w:val="00085CE8"/>
    <w:rsid w:val="00085DC9"/>
    <w:rsid w:val="00086B0F"/>
    <w:rsid w:val="00086BC1"/>
    <w:rsid w:val="00086FB8"/>
    <w:rsid w:val="00087274"/>
    <w:rsid w:val="00091EFB"/>
    <w:rsid w:val="000922A7"/>
    <w:rsid w:val="000923AE"/>
    <w:rsid w:val="00092FAF"/>
    <w:rsid w:val="000931CB"/>
    <w:rsid w:val="00093B20"/>
    <w:rsid w:val="00093EAD"/>
    <w:rsid w:val="00093ED2"/>
    <w:rsid w:val="000953E4"/>
    <w:rsid w:val="00096EB6"/>
    <w:rsid w:val="000A0CA3"/>
    <w:rsid w:val="000A19C4"/>
    <w:rsid w:val="000A287C"/>
    <w:rsid w:val="000A2BC2"/>
    <w:rsid w:val="000A3FB6"/>
    <w:rsid w:val="000A653A"/>
    <w:rsid w:val="000A73EB"/>
    <w:rsid w:val="000A7CFD"/>
    <w:rsid w:val="000B11D8"/>
    <w:rsid w:val="000B1B0B"/>
    <w:rsid w:val="000B1CA7"/>
    <w:rsid w:val="000B2ED5"/>
    <w:rsid w:val="000B347A"/>
    <w:rsid w:val="000B3979"/>
    <w:rsid w:val="000B3A9E"/>
    <w:rsid w:val="000B4B86"/>
    <w:rsid w:val="000B4E5A"/>
    <w:rsid w:val="000B559A"/>
    <w:rsid w:val="000B67DE"/>
    <w:rsid w:val="000B76C3"/>
    <w:rsid w:val="000B7A81"/>
    <w:rsid w:val="000C04E9"/>
    <w:rsid w:val="000C0599"/>
    <w:rsid w:val="000C087A"/>
    <w:rsid w:val="000C1C86"/>
    <w:rsid w:val="000C1F05"/>
    <w:rsid w:val="000C3163"/>
    <w:rsid w:val="000C38F9"/>
    <w:rsid w:val="000C6D17"/>
    <w:rsid w:val="000C6D33"/>
    <w:rsid w:val="000C710D"/>
    <w:rsid w:val="000C79D9"/>
    <w:rsid w:val="000C7C1B"/>
    <w:rsid w:val="000C7DC7"/>
    <w:rsid w:val="000D0112"/>
    <w:rsid w:val="000D3418"/>
    <w:rsid w:val="000D41F8"/>
    <w:rsid w:val="000D48DE"/>
    <w:rsid w:val="000D5597"/>
    <w:rsid w:val="000E087E"/>
    <w:rsid w:val="000E0E31"/>
    <w:rsid w:val="000E0EF0"/>
    <w:rsid w:val="000E3327"/>
    <w:rsid w:val="000E3AB7"/>
    <w:rsid w:val="000E5813"/>
    <w:rsid w:val="000E5C7C"/>
    <w:rsid w:val="000E60C5"/>
    <w:rsid w:val="000E6F4D"/>
    <w:rsid w:val="000E73D6"/>
    <w:rsid w:val="000F0671"/>
    <w:rsid w:val="000F1215"/>
    <w:rsid w:val="000F1CBA"/>
    <w:rsid w:val="000F252A"/>
    <w:rsid w:val="000F3344"/>
    <w:rsid w:val="000F3434"/>
    <w:rsid w:val="000F3ED8"/>
    <w:rsid w:val="000F41D0"/>
    <w:rsid w:val="000F515A"/>
    <w:rsid w:val="000F533C"/>
    <w:rsid w:val="000F64BA"/>
    <w:rsid w:val="000F66DF"/>
    <w:rsid w:val="000F6E23"/>
    <w:rsid w:val="000F7372"/>
    <w:rsid w:val="000F7428"/>
    <w:rsid w:val="001009FE"/>
    <w:rsid w:val="001011F3"/>
    <w:rsid w:val="0010130A"/>
    <w:rsid w:val="001016FC"/>
    <w:rsid w:val="001017B8"/>
    <w:rsid w:val="00101B4C"/>
    <w:rsid w:val="0010267C"/>
    <w:rsid w:val="001036B4"/>
    <w:rsid w:val="001037FC"/>
    <w:rsid w:val="001040FF"/>
    <w:rsid w:val="00104D20"/>
    <w:rsid w:val="00105372"/>
    <w:rsid w:val="00105A9B"/>
    <w:rsid w:val="001078CC"/>
    <w:rsid w:val="00111DCF"/>
    <w:rsid w:val="00113CBD"/>
    <w:rsid w:val="00113ECD"/>
    <w:rsid w:val="0011617F"/>
    <w:rsid w:val="00116463"/>
    <w:rsid w:val="001201EE"/>
    <w:rsid w:val="001208C5"/>
    <w:rsid w:val="0012180A"/>
    <w:rsid w:val="00121D95"/>
    <w:rsid w:val="00121EA6"/>
    <w:rsid w:val="00125B8F"/>
    <w:rsid w:val="00125DB5"/>
    <w:rsid w:val="00126D8B"/>
    <w:rsid w:val="00126E82"/>
    <w:rsid w:val="00130316"/>
    <w:rsid w:val="001306AF"/>
    <w:rsid w:val="0013082E"/>
    <w:rsid w:val="00130934"/>
    <w:rsid w:val="00131688"/>
    <w:rsid w:val="0013247C"/>
    <w:rsid w:val="0013276E"/>
    <w:rsid w:val="0013286D"/>
    <w:rsid w:val="001343EE"/>
    <w:rsid w:val="00134D4D"/>
    <w:rsid w:val="00134D64"/>
    <w:rsid w:val="00135407"/>
    <w:rsid w:val="001360FB"/>
    <w:rsid w:val="001361BE"/>
    <w:rsid w:val="0014050D"/>
    <w:rsid w:val="001408F9"/>
    <w:rsid w:val="00140998"/>
    <w:rsid w:val="00141F90"/>
    <w:rsid w:val="001437DA"/>
    <w:rsid w:val="00143DEF"/>
    <w:rsid w:val="0014408D"/>
    <w:rsid w:val="00144F50"/>
    <w:rsid w:val="00144F6D"/>
    <w:rsid w:val="00145124"/>
    <w:rsid w:val="00145BFE"/>
    <w:rsid w:val="00150397"/>
    <w:rsid w:val="00150574"/>
    <w:rsid w:val="00152979"/>
    <w:rsid w:val="00152986"/>
    <w:rsid w:val="00153127"/>
    <w:rsid w:val="001535B0"/>
    <w:rsid w:val="00154399"/>
    <w:rsid w:val="001544D9"/>
    <w:rsid w:val="001545EF"/>
    <w:rsid w:val="00154D4F"/>
    <w:rsid w:val="00155B83"/>
    <w:rsid w:val="00156C45"/>
    <w:rsid w:val="00157CA3"/>
    <w:rsid w:val="0016060E"/>
    <w:rsid w:val="00161342"/>
    <w:rsid w:val="00161A3C"/>
    <w:rsid w:val="001627F8"/>
    <w:rsid w:val="00163719"/>
    <w:rsid w:val="001639D3"/>
    <w:rsid w:val="00163FC8"/>
    <w:rsid w:val="00164895"/>
    <w:rsid w:val="001648CD"/>
    <w:rsid w:val="00165E98"/>
    <w:rsid w:val="001668B9"/>
    <w:rsid w:val="00166A0E"/>
    <w:rsid w:val="00167C41"/>
    <w:rsid w:val="00167DA4"/>
    <w:rsid w:val="00170199"/>
    <w:rsid w:val="00170689"/>
    <w:rsid w:val="0017155D"/>
    <w:rsid w:val="001722E3"/>
    <w:rsid w:val="001728D1"/>
    <w:rsid w:val="00172927"/>
    <w:rsid w:val="00173A1F"/>
    <w:rsid w:val="0017474B"/>
    <w:rsid w:val="0017542F"/>
    <w:rsid w:val="001758C7"/>
    <w:rsid w:val="00177056"/>
    <w:rsid w:val="00177F94"/>
    <w:rsid w:val="001823F9"/>
    <w:rsid w:val="001833C2"/>
    <w:rsid w:val="00183415"/>
    <w:rsid w:val="001859B4"/>
    <w:rsid w:val="00185AF3"/>
    <w:rsid w:val="001861DD"/>
    <w:rsid w:val="00186307"/>
    <w:rsid w:val="00186701"/>
    <w:rsid w:val="0018761A"/>
    <w:rsid w:val="00187EC4"/>
    <w:rsid w:val="00190ADF"/>
    <w:rsid w:val="00190C63"/>
    <w:rsid w:val="00190E6C"/>
    <w:rsid w:val="001924AE"/>
    <w:rsid w:val="001930E8"/>
    <w:rsid w:val="0019326D"/>
    <w:rsid w:val="00193393"/>
    <w:rsid w:val="00193D7E"/>
    <w:rsid w:val="00194089"/>
    <w:rsid w:val="0019460E"/>
    <w:rsid w:val="00195F89"/>
    <w:rsid w:val="001963AA"/>
    <w:rsid w:val="00196E24"/>
    <w:rsid w:val="001A093C"/>
    <w:rsid w:val="001A0D9D"/>
    <w:rsid w:val="001A106E"/>
    <w:rsid w:val="001A241B"/>
    <w:rsid w:val="001A38F4"/>
    <w:rsid w:val="001A3AF9"/>
    <w:rsid w:val="001A4220"/>
    <w:rsid w:val="001A504F"/>
    <w:rsid w:val="001A50C0"/>
    <w:rsid w:val="001A523C"/>
    <w:rsid w:val="001A5E11"/>
    <w:rsid w:val="001A6885"/>
    <w:rsid w:val="001A74F5"/>
    <w:rsid w:val="001A7F00"/>
    <w:rsid w:val="001B071C"/>
    <w:rsid w:val="001B07D6"/>
    <w:rsid w:val="001B07E7"/>
    <w:rsid w:val="001B0FD3"/>
    <w:rsid w:val="001B172A"/>
    <w:rsid w:val="001B3029"/>
    <w:rsid w:val="001B331F"/>
    <w:rsid w:val="001B3FD3"/>
    <w:rsid w:val="001B4B5C"/>
    <w:rsid w:val="001B4F86"/>
    <w:rsid w:val="001B5E6C"/>
    <w:rsid w:val="001B6066"/>
    <w:rsid w:val="001B6232"/>
    <w:rsid w:val="001B6880"/>
    <w:rsid w:val="001B6DCA"/>
    <w:rsid w:val="001C03D8"/>
    <w:rsid w:val="001C0A7A"/>
    <w:rsid w:val="001C1E7B"/>
    <w:rsid w:val="001C24A9"/>
    <w:rsid w:val="001C3078"/>
    <w:rsid w:val="001C3B9A"/>
    <w:rsid w:val="001C3F63"/>
    <w:rsid w:val="001C456F"/>
    <w:rsid w:val="001C4F58"/>
    <w:rsid w:val="001C5447"/>
    <w:rsid w:val="001C5B9C"/>
    <w:rsid w:val="001C676E"/>
    <w:rsid w:val="001C6776"/>
    <w:rsid w:val="001C73E3"/>
    <w:rsid w:val="001D06C5"/>
    <w:rsid w:val="001D1A68"/>
    <w:rsid w:val="001D21E1"/>
    <w:rsid w:val="001D262F"/>
    <w:rsid w:val="001D599F"/>
    <w:rsid w:val="001D5A4A"/>
    <w:rsid w:val="001D5AF7"/>
    <w:rsid w:val="001D5EB9"/>
    <w:rsid w:val="001D5F83"/>
    <w:rsid w:val="001D64B6"/>
    <w:rsid w:val="001D6D79"/>
    <w:rsid w:val="001D6F16"/>
    <w:rsid w:val="001D7184"/>
    <w:rsid w:val="001D7B67"/>
    <w:rsid w:val="001E00B2"/>
    <w:rsid w:val="001E0654"/>
    <w:rsid w:val="001E0FC8"/>
    <w:rsid w:val="001E17D3"/>
    <w:rsid w:val="001E1BFC"/>
    <w:rsid w:val="001E327B"/>
    <w:rsid w:val="001E4290"/>
    <w:rsid w:val="001E5BEC"/>
    <w:rsid w:val="001E609F"/>
    <w:rsid w:val="001E691E"/>
    <w:rsid w:val="001E6B16"/>
    <w:rsid w:val="001E739B"/>
    <w:rsid w:val="001E7C78"/>
    <w:rsid w:val="001F0A30"/>
    <w:rsid w:val="001F0BF9"/>
    <w:rsid w:val="001F1C7F"/>
    <w:rsid w:val="001F2025"/>
    <w:rsid w:val="001F3A14"/>
    <w:rsid w:val="001F429D"/>
    <w:rsid w:val="001F441C"/>
    <w:rsid w:val="001F4CFA"/>
    <w:rsid w:val="001F52DA"/>
    <w:rsid w:val="001F626A"/>
    <w:rsid w:val="001F6354"/>
    <w:rsid w:val="001F6CE0"/>
    <w:rsid w:val="001F700A"/>
    <w:rsid w:val="0020121F"/>
    <w:rsid w:val="00202A6F"/>
    <w:rsid w:val="00202D86"/>
    <w:rsid w:val="002034F4"/>
    <w:rsid w:val="00203D2D"/>
    <w:rsid w:val="00204E11"/>
    <w:rsid w:val="00205D96"/>
    <w:rsid w:val="00206869"/>
    <w:rsid w:val="00207803"/>
    <w:rsid w:val="002078B9"/>
    <w:rsid w:val="0021136E"/>
    <w:rsid w:val="00211FC4"/>
    <w:rsid w:val="002134F9"/>
    <w:rsid w:val="00214915"/>
    <w:rsid w:val="00214ADD"/>
    <w:rsid w:val="0021514C"/>
    <w:rsid w:val="00215D61"/>
    <w:rsid w:val="00216012"/>
    <w:rsid w:val="00216108"/>
    <w:rsid w:val="00216740"/>
    <w:rsid w:val="00217732"/>
    <w:rsid w:val="002207B1"/>
    <w:rsid w:val="0022495B"/>
    <w:rsid w:val="002249E3"/>
    <w:rsid w:val="00225C0F"/>
    <w:rsid w:val="00226440"/>
    <w:rsid w:val="002269F2"/>
    <w:rsid w:val="00226EEF"/>
    <w:rsid w:val="00227A16"/>
    <w:rsid w:val="00227C83"/>
    <w:rsid w:val="00227CFC"/>
    <w:rsid w:val="002302EC"/>
    <w:rsid w:val="0023070F"/>
    <w:rsid w:val="00230B6F"/>
    <w:rsid w:val="00230DE6"/>
    <w:rsid w:val="002311B5"/>
    <w:rsid w:val="00231A9F"/>
    <w:rsid w:val="00231DCA"/>
    <w:rsid w:val="0023295B"/>
    <w:rsid w:val="00232AC0"/>
    <w:rsid w:val="00232C4E"/>
    <w:rsid w:val="00234061"/>
    <w:rsid w:val="00234535"/>
    <w:rsid w:val="0023525A"/>
    <w:rsid w:val="00236C61"/>
    <w:rsid w:val="00236D30"/>
    <w:rsid w:val="00237DE4"/>
    <w:rsid w:val="00240914"/>
    <w:rsid w:val="002413AF"/>
    <w:rsid w:val="00241584"/>
    <w:rsid w:val="00241B95"/>
    <w:rsid w:val="00242595"/>
    <w:rsid w:val="00244506"/>
    <w:rsid w:val="0024452B"/>
    <w:rsid w:val="0024467F"/>
    <w:rsid w:val="00244F71"/>
    <w:rsid w:val="002459A8"/>
    <w:rsid w:val="00246533"/>
    <w:rsid w:val="002472D4"/>
    <w:rsid w:val="0024730A"/>
    <w:rsid w:val="00247471"/>
    <w:rsid w:val="002500C1"/>
    <w:rsid w:val="00250553"/>
    <w:rsid w:val="00251D74"/>
    <w:rsid w:val="00251E09"/>
    <w:rsid w:val="00252B61"/>
    <w:rsid w:val="00252E47"/>
    <w:rsid w:val="00254179"/>
    <w:rsid w:val="002548E7"/>
    <w:rsid w:val="00256321"/>
    <w:rsid w:val="00256714"/>
    <w:rsid w:val="00256C59"/>
    <w:rsid w:val="00256D14"/>
    <w:rsid w:val="00257519"/>
    <w:rsid w:val="00260181"/>
    <w:rsid w:val="002602CC"/>
    <w:rsid w:val="00260312"/>
    <w:rsid w:val="00260419"/>
    <w:rsid w:val="002604BD"/>
    <w:rsid w:val="0026050B"/>
    <w:rsid w:val="00260CE1"/>
    <w:rsid w:val="00260E7C"/>
    <w:rsid w:val="00261306"/>
    <w:rsid w:val="00261D4C"/>
    <w:rsid w:val="00262BB1"/>
    <w:rsid w:val="00262D11"/>
    <w:rsid w:val="002648CC"/>
    <w:rsid w:val="00264DF3"/>
    <w:rsid w:val="002663E2"/>
    <w:rsid w:val="0026666B"/>
    <w:rsid w:val="00266D0C"/>
    <w:rsid w:val="00267168"/>
    <w:rsid w:val="002676D0"/>
    <w:rsid w:val="0026785B"/>
    <w:rsid w:val="00270EB7"/>
    <w:rsid w:val="002742C8"/>
    <w:rsid w:val="002760E9"/>
    <w:rsid w:val="00276EC0"/>
    <w:rsid w:val="0028047F"/>
    <w:rsid w:val="002810D7"/>
    <w:rsid w:val="00281356"/>
    <w:rsid w:val="00281D88"/>
    <w:rsid w:val="00282502"/>
    <w:rsid w:val="00282896"/>
    <w:rsid w:val="00282EC0"/>
    <w:rsid w:val="00283070"/>
    <w:rsid w:val="00283981"/>
    <w:rsid w:val="00283BAB"/>
    <w:rsid w:val="0028458B"/>
    <w:rsid w:val="00284BAC"/>
    <w:rsid w:val="0028574F"/>
    <w:rsid w:val="00285933"/>
    <w:rsid w:val="00286562"/>
    <w:rsid w:val="00287F17"/>
    <w:rsid w:val="0029366C"/>
    <w:rsid w:val="00295D8F"/>
    <w:rsid w:val="00295EDF"/>
    <w:rsid w:val="0029632F"/>
    <w:rsid w:val="0029788B"/>
    <w:rsid w:val="002A1572"/>
    <w:rsid w:val="002A1A34"/>
    <w:rsid w:val="002A1FD0"/>
    <w:rsid w:val="002A20B1"/>
    <w:rsid w:val="002A3E69"/>
    <w:rsid w:val="002A57DC"/>
    <w:rsid w:val="002A5FA4"/>
    <w:rsid w:val="002A6700"/>
    <w:rsid w:val="002A670F"/>
    <w:rsid w:val="002A6DC1"/>
    <w:rsid w:val="002A7029"/>
    <w:rsid w:val="002A70FF"/>
    <w:rsid w:val="002A75A5"/>
    <w:rsid w:val="002B07EE"/>
    <w:rsid w:val="002B09F6"/>
    <w:rsid w:val="002B22E8"/>
    <w:rsid w:val="002B4194"/>
    <w:rsid w:val="002B493D"/>
    <w:rsid w:val="002B624D"/>
    <w:rsid w:val="002B6A9B"/>
    <w:rsid w:val="002B6CCC"/>
    <w:rsid w:val="002B7191"/>
    <w:rsid w:val="002B71D2"/>
    <w:rsid w:val="002B7623"/>
    <w:rsid w:val="002B77F6"/>
    <w:rsid w:val="002B7973"/>
    <w:rsid w:val="002C010D"/>
    <w:rsid w:val="002C02AE"/>
    <w:rsid w:val="002C0494"/>
    <w:rsid w:val="002C0FB3"/>
    <w:rsid w:val="002C2461"/>
    <w:rsid w:val="002C2FBD"/>
    <w:rsid w:val="002C346B"/>
    <w:rsid w:val="002C47BB"/>
    <w:rsid w:val="002C4884"/>
    <w:rsid w:val="002C553F"/>
    <w:rsid w:val="002C58C0"/>
    <w:rsid w:val="002C5F2A"/>
    <w:rsid w:val="002C7434"/>
    <w:rsid w:val="002D0DA0"/>
    <w:rsid w:val="002D1B72"/>
    <w:rsid w:val="002D1DEA"/>
    <w:rsid w:val="002D24B5"/>
    <w:rsid w:val="002D2CDC"/>
    <w:rsid w:val="002D2EE8"/>
    <w:rsid w:val="002D328C"/>
    <w:rsid w:val="002D41C6"/>
    <w:rsid w:val="002D4678"/>
    <w:rsid w:val="002D6816"/>
    <w:rsid w:val="002D6962"/>
    <w:rsid w:val="002D6F9B"/>
    <w:rsid w:val="002D7164"/>
    <w:rsid w:val="002D75E6"/>
    <w:rsid w:val="002D7AA4"/>
    <w:rsid w:val="002E0551"/>
    <w:rsid w:val="002E0E08"/>
    <w:rsid w:val="002E0F62"/>
    <w:rsid w:val="002E1549"/>
    <w:rsid w:val="002E1602"/>
    <w:rsid w:val="002E1A55"/>
    <w:rsid w:val="002E2A8C"/>
    <w:rsid w:val="002E2B60"/>
    <w:rsid w:val="002E3B88"/>
    <w:rsid w:val="002E438E"/>
    <w:rsid w:val="002E53D5"/>
    <w:rsid w:val="002E657B"/>
    <w:rsid w:val="002E6A75"/>
    <w:rsid w:val="002E7431"/>
    <w:rsid w:val="002E7FFB"/>
    <w:rsid w:val="002F0A43"/>
    <w:rsid w:val="002F10F7"/>
    <w:rsid w:val="002F1204"/>
    <w:rsid w:val="002F1280"/>
    <w:rsid w:val="002F130B"/>
    <w:rsid w:val="002F149C"/>
    <w:rsid w:val="002F1789"/>
    <w:rsid w:val="002F1AD8"/>
    <w:rsid w:val="002F243F"/>
    <w:rsid w:val="002F281D"/>
    <w:rsid w:val="002F292D"/>
    <w:rsid w:val="002F3B29"/>
    <w:rsid w:val="002F3C26"/>
    <w:rsid w:val="002F3ED7"/>
    <w:rsid w:val="002F45B3"/>
    <w:rsid w:val="002F5CC5"/>
    <w:rsid w:val="002F681F"/>
    <w:rsid w:val="002F7009"/>
    <w:rsid w:val="002F7F16"/>
    <w:rsid w:val="00300F16"/>
    <w:rsid w:val="00301EFE"/>
    <w:rsid w:val="0030244B"/>
    <w:rsid w:val="00302D3E"/>
    <w:rsid w:val="00303009"/>
    <w:rsid w:val="0030309F"/>
    <w:rsid w:val="0030532D"/>
    <w:rsid w:val="00305CA3"/>
    <w:rsid w:val="003065C8"/>
    <w:rsid w:val="00307754"/>
    <w:rsid w:val="003101FC"/>
    <w:rsid w:val="003103D0"/>
    <w:rsid w:val="003122B4"/>
    <w:rsid w:val="0031234B"/>
    <w:rsid w:val="00313673"/>
    <w:rsid w:val="003146F9"/>
    <w:rsid w:val="00314ECF"/>
    <w:rsid w:val="0031615E"/>
    <w:rsid w:val="003163A2"/>
    <w:rsid w:val="003167C9"/>
    <w:rsid w:val="00316D15"/>
    <w:rsid w:val="003174A9"/>
    <w:rsid w:val="00317E8B"/>
    <w:rsid w:val="00320107"/>
    <w:rsid w:val="00320945"/>
    <w:rsid w:val="00320BB8"/>
    <w:rsid w:val="003221D2"/>
    <w:rsid w:val="003223D4"/>
    <w:rsid w:val="00322680"/>
    <w:rsid w:val="00322AD1"/>
    <w:rsid w:val="00322AF7"/>
    <w:rsid w:val="00322C87"/>
    <w:rsid w:val="00322E01"/>
    <w:rsid w:val="00323065"/>
    <w:rsid w:val="00323BA4"/>
    <w:rsid w:val="00325290"/>
    <w:rsid w:val="003261BA"/>
    <w:rsid w:val="00327088"/>
    <w:rsid w:val="00327208"/>
    <w:rsid w:val="003273E3"/>
    <w:rsid w:val="00327E34"/>
    <w:rsid w:val="00330F4B"/>
    <w:rsid w:val="0033106B"/>
    <w:rsid w:val="00332BAB"/>
    <w:rsid w:val="00332C12"/>
    <w:rsid w:val="00333E9C"/>
    <w:rsid w:val="00334277"/>
    <w:rsid w:val="00334431"/>
    <w:rsid w:val="00334BF8"/>
    <w:rsid w:val="00334F65"/>
    <w:rsid w:val="003352F0"/>
    <w:rsid w:val="0033546C"/>
    <w:rsid w:val="00335537"/>
    <w:rsid w:val="003367D9"/>
    <w:rsid w:val="00336AFF"/>
    <w:rsid w:val="00337085"/>
    <w:rsid w:val="00337537"/>
    <w:rsid w:val="00337A10"/>
    <w:rsid w:val="00337FE9"/>
    <w:rsid w:val="00340D01"/>
    <w:rsid w:val="00341C4A"/>
    <w:rsid w:val="003426A6"/>
    <w:rsid w:val="00344225"/>
    <w:rsid w:val="00344F71"/>
    <w:rsid w:val="00345147"/>
    <w:rsid w:val="0034632B"/>
    <w:rsid w:val="00346823"/>
    <w:rsid w:val="00347535"/>
    <w:rsid w:val="0034796A"/>
    <w:rsid w:val="00347AB7"/>
    <w:rsid w:val="00347D78"/>
    <w:rsid w:val="00347F89"/>
    <w:rsid w:val="00353B93"/>
    <w:rsid w:val="00353CBD"/>
    <w:rsid w:val="00353DAC"/>
    <w:rsid w:val="00353F3B"/>
    <w:rsid w:val="00354BD5"/>
    <w:rsid w:val="00355313"/>
    <w:rsid w:val="00355392"/>
    <w:rsid w:val="00356EFD"/>
    <w:rsid w:val="0035733D"/>
    <w:rsid w:val="00357463"/>
    <w:rsid w:val="00360D51"/>
    <w:rsid w:val="0036170E"/>
    <w:rsid w:val="00362216"/>
    <w:rsid w:val="003625D6"/>
    <w:rsid w:val="00362F8D"/>
    <w:rsid w:val="00363026"/>
    <w:rsid w:val="00363B7B"/>
    <w:rsid w:val="00364FD3"/>
    <w:rsid w:val="00365014"/>
    <w:rsid w:val="00365762"/>
    <w:rsid w:val="00366710"/>
    <w:rsid w:val="003668F1"/>
    <w:rsid w:val="00367C8C"/>
    <w:rsid w:val="00367D54"/>
    <w:rsid w:val="00370811"/>
    <w:rsid w:val="0037158D"/>
    <w:rsid w:val="00371DD0"/>
    <w:rsid w:val="003728EC"/>
    <w:rsid w:val="00372F3D"/>
    <w:rsid w:val="00373079"/>
    <w:rsid w:val="0037372A"/>
    <w:rsid w:val="003738BC"/>
    <w:rsid w:val="00373D23"/>
    <w:rsid w:val="00374088"/>
    <w:rsid w:val="00374B4B"/>
    <w:rsid w:val="00374D68"/>
    <w:rsid w:val="00375E44"/>
    <w:rsid w:val="0037686F"/>
    <w:rsid w:val="00376951"/>
    <w:rsid w:val="00381C52"/>
    <w:rsid w:val="00382020"/>
    <w:rsid w:val="00383176"/>
    <w:rsid w:val="00383C19"/>
    <w:rsid w:val="00383D55"/>
    <w:rsid w:val="00383E9B"/>
    <w:rsid w:val="00384269"/>
    <w:rsid w:val="003846E5"/>
    <w:rsid w:val="00386743"/>
    <w:rsid w:val="00387F9F"/>
    <w:rsid w:val="003907EB"/>
    <w:rsid w:val="00391262"/>
    <w:rsid w:val="003914C2"/>
    <w:rsid w:val="00391D2A"/>
    <w:rsid w:val="003942DE"/>
    <w:rsid w:val="00394433"/>
    <w:rsid w:val="0039711E"/>
    <w:rsid w:val="003978E2"/>
    <w:rsid w:val="00397B98"/>
    <w:rsid w:val="00397EE8"/>
    <w:rsid w:val="003A1DE6"/>
    <w:rsid w:val="003A2102"/>
    <w:rsid w:val="003A22B1"/>
    <w:rsid w:val="003A3664"/>
    <w:rsid w:val="003A4BDC"/>
    <w:rsid w:val="003A5067"/>
    <w:rsid w:val="003A57FB"/>
    <w:rsid w:val="003A5FC9"/>
    <w:rsid w:val="003A7203"/>
    <w:rsid w:val="003A7872"/>
    <w:rsid w:val="003B08ED"/>
    <w:rsid w:val="003B0BA4"/>
    <w:rsid w:val="003B1B8F"/>
    <w:rsid w:val="003B2099"/>
    <w:rsid w:val="003B225E"/>
    <w:rsid w:val="003B3533"/>
    <w:rsid w:val="003B4219"/>
    <w:rsid w:val="003B5561"/>
    <w:rsid w:val="003B5B1B"/>
    <w:rsid w:val="003B683F"/>
    <w:rsid w:val="003B6F5F"/>
    <w:rsid w:val="003B6FF3"/>
    <w:rsid w:val="003B7ADE"/>
    <w:rsid w:val="003C0229"/>
    <w:rsid w:val="003C03A6"/>
    <w:rsid w:val="003C0543"/>
    <w:rsid w:val="003C0680"/>
    <w:rsid w:val="003C0F78"/>
    <w:rsid w:val="003C1A78"/>
    <w:rsid w:val="003C21B9"/>
    <w:rsid w:val="003C3AA4"/>
    <w:rsid w:val="003C45CA"/>
    <w:rsid w:val="003C4C72"/>
    <w:rsid w:val="003C4F15"/>
    <w:rsid w:val="003C63C4"/>
    <w:rsid w:val="003C7E46"/>
    <w:rsid w:val="003D1C03"/>
    <w:rsid w:val="003D1F7F"/>
    <w:rsid w:val="003D22E4"/>
    <w:rsid w:val="003D27BD"/>
    <w:rsid w:val="003D2A29"/>
    <w:rsid w:val="003D3154"/>
    <w:rsid w:val="003D3174"/>
    <w:rsid w:val="003D3248"/>
    <w:rsid w:val="003D3C70"/>
    <w:rsid w:val="003D3E16"/>
    <w:rsid w:val="003D463C"/>
    <w:rsid w:val="003D5399"/>
    <w:rsid w:val="003D570F"/>
    <w:rsid w:val="003D6E8E"/>
    <w:rsid w:val="003D7C15"/>
    <w:rsid w:val="003E01BD"/>
    <w:rsid w:val="003E0769"/>
    <w:rsid w:val="003E1DAB"/>
    <w:rsid w:val="003E223D"/>
    <w:rsid w:val="003E2363"/>
    <w:rsid w:val="003E2836"/>
    <w:rsid w:val="003E36E1"/>
    <w:rsid w:val="003E4FD9"/>
    <w:rsid w:val="003E5C89"/>
    <w:rsid w:val="003E7339"/>
    <w:rsid w:val="003F2C7D"/>
    <w:rsid w:val="003F3655"/>
    <w:rsid w:val="003F4F31"/>
    <w:rsid w:val="003F5253"/>
    <w:rsid w:val="003F579D"/>
    <w:rsid w:val="003F6566"/>
    <w:rsid w:val="003F747D"/>
    <w:rsid w:val="00400C62"/>
    <w:rsid w:val="004018C1"/>
    <w:rsid w:val="00402A02"/>
    <w:rsid w:val="0040452B"/>
    <w:rsid w:val="00404D8D"/>
    <w:rsid w:val="00406CC9"/>
    <w:rsid w:val="00407AD5"/>
    <w:rsid w:val="00407BBB"/>
    <w:rsid w:val="00410118"/>
    <w:rsid w:val="0041063C"/>
    <w:rsid w:val="004107FA"/>
    <w:rsid w:val="00410A22"/>
    <w:rsid w:val="00410F20"/>
    <w:rsid w:val="004129C5"/>
    <w:rsid w:val="00413B5D"/>
    <w:rsid w:val="00414EE2"/>
    <w:rsid w:val="00416342"/>
    <w:rsid w:val="00417E72"/>
    <w:rsid w:val="004204BA"/>
    <w:rsid w:val="004205CA"/>
    <w:rsid w:val="00420793"/>
    <w:rsid w:val="004208FE"/>
    <w:rsid w:val="00421825"/>
    <w:rsid w:val="00422514"/>
    <w:rsid w:val="004227B5"/>
    <w:rsid w:val="00423422"/>
    <w:rsid w:val="00425150"/>
    <w:rsid w:val="004253C7"/>
    <w:rsid w:val="004253EF"/>
    <w:rsid w:val="004257C4"/>
    <w:rsid w:val="00425918"/>
    <w:rsid w:val="00425CA0"/>
    <w:rsid w:val="004262A6"/>
    <w:rsid w:val="0042696D"/>
    <w:rsid w:val="004317F9"/>
    <w:rsid w:val="00431C12"/>
    <w:rsid w:val="00431CBF"/>
    <w:rsid w:val="0043381B"/>
    <w:rsid w:val="0043617A"/>
    <w:rsid w:val="0043648D"/>
    <w:rsid w:val="00436E90"/>
    <w:rsid w:val="00437A69"/>
    <w:rsid w:val="00437EC5"/>
    <w:rsid w:val="004421DB"/>
    <w:rsid w:val="00443723"/>
    <w:rsid w:val="00443EF8"/>
    <w:rsid w:val="00444044"/>
    <w:rsid w:val="004445A7"/>
    <w:rsid w:val="00446856"/>
    <w:rsid w:val="00447B6E"/>
    <w:rsid w:val="00447BC1"/>
    <w:rsid w:val="004503FF"/>
    <w:rsid w:val="004509E6"/>
    <w:rsid w:val="00452349"/>
    <w:rsid w:val="004530A1"/>
    <w:rsid w:val="00453CE0"/>
    <w:rsid w:val="00454B73"/>
    <w:rsid w:val="00455E4F"/>
    <w:rsid w:val="004567ED"/>
    <w:rsid w:val="0045705A"/>
    <w:rsid w:val="0045714A"/>
    <w:rsid w:val="004613A4"/>
    <w:rsid w:val="00461DFB"/>
    <w:rsid w:val="004627C0"/>
    <w:rsid w:val="00462C3F"/>
    <w:rsid w:val="0046357E"/>
    <w:rsid w:val="00467024"/>
    <w:rsid w:val="004671C2"/>
    <w:rsid w:val="004673E5"/>
    <w:rsid w:val="00470DCC"/>
    <w:rsid w:val="00471E98"/>
    <w:rsid w:val="00471F4F"/>
    <w:rsid w:val="00474315"/>
    <w:rsid w:val="00474FF5"/>
    <w:rsid w:val="004754C9"/>
    <w:rsid w:val="00477074"/>
    <w:rsid w:val="00480A06"/>
    <w:rsid w:val="00481F3F"/>
    <w:rsid w:val="00482011"/>
    <w:rsid w:val="00486F1B"/>
    <w:rsid w:val="0049068A"/>
    <w:rsid w:val="004908F0"/>
    <w:rsid w:val="0049093D"/>
    <w:rsid w:val="00492619"/>
    <w:rsid w:val="00492F2F"/>
    <w:rsid w:val="00493501"/>
    <w:rsid w:val="004939B9"/>
    <w:rsid w:val="0049404C"/>
    <w:rsid w:val="00494BF7"/>
    <w:rsid w:val="00494F12"/>
    <w:rsid w:val="0049537B"/>
    <w:rsid w:val="00495713"/>
    <w:rsid w:val="00496226"/>
    <w:rsid w:val="004964DB"/>
    <w:rsid w:val="004A0CA8"/>
    <w:rsid w:val="004A0EC4"/>
    <w:rsid w:val="004A29F5"/>
    <w:rsid w:val="004A3010"/>
    <w:rsid w:val="004A4F33"/>
    <w:rsid w:val="004A518B"/>
    <w:rsid w:val="004A5821"/>
    <w:rsid w:val="004A6183"/>
    <w:rsid w:val="004A6288"/>
    <w:rsid w:val="004A638F"/>
    <w:rsid w:val="004A6664"/>
    <w:rsid w:val="004A79C7"/>
    <w:rsid w:val="004B0477"/>
    <w:rsid w:val="004B07F9"/>
    <w:rsid w:val="004B1BBA"/>
    <w:rsid w:val="004B1E12"/>
    <w:rsid w:val="004B40CC"/>
    <w:rsid w:val="004B4812"/>
    <w:rsid w:val="004B4C5E"/>
    <w:rsid w:val="004B686C"/>
    <w:rsid w:val="004B7D06"/>
    <w:rsid w:val="004C0D3A"/>
    <w:rsid w:val="004C121D"/>
    <w:rsid w:val="004C1FC0"/>
    <w:rsid w:val="004C234C"/>
    <w:rsid w:val="004C334B"/>
    <w:rsid w:val="004C4FBA"/>
    <w:rsid w:val="004C57AF"/>
    <w:rsid w:val="004C58DA"/>
    <w:rsid w:val="004C5ECE"/>
    <w:rsid w:val="004C5F8F"/>
    <w:rsid w:val="004C770E"/>
    <w:rsid w:val="004C7FFA"/>
    <w:rsid w:val="004D0607"/>
    <w:rsid w:val="004D0D59"/>
    <w:rsid w:val="004D0F0E"/>
    <w:rsid w:val="004D1D1F"/>
    <w:rsid w:val="004D213B"/>
    <w:rsid w:val="004D4A7E"/>
    <w:rsid w:val="004D5F39"/>
    <w:rsid w:val="004D6AEF"/>
    <w:rsid w:val="004D6F41"/>
    <w:rsid w:val="004D72A5"/>
    <w:rsid w:val="004D74E2"/>
    <w:rsid w:val="004D78D0"/>
    <w:rsid w:val="004E1DBA"/>
    <w:rsid w:val="004E22B0"/>
    <w:rsid w:val="004E23F7"/>
    <w:rsid w:val="004E347F"/>
    <w:rsid w:val="004E37A3"/>
    <w:rsid w:val="004E3929"/>
    <w:rsid w:val="004E42E7"/>
    <w:rsid w:val="004E623D"/>
    <w:rsid w:val="004E693C"/>
    <w:rsid w:val="004E6AF8"/>
    <w:rsid w:val="004E70D3"/>
    <w:rsid w:val="004E722C"/>
    <w:rsid w:val="004F0723"/>
    <w:rsid w:val="004F1604"/>
    <w:rsid w:val="004F299E"/>
    <w:rsid w:val="004F2E22"/>
    <w:rsid w:val="004F450E"/>
    <w:rsid w:val="004F614F"/>
    <w:rsid w:val="004F7053"/>
    <w:rsid w:val="00500927"/>
    <w:rsid w:val="005009FD"/>
    <w:rsid w:val="005027D5"/>
    <w:rsid w:val="0050298C"/>
    <w:rsid w:val="0050327A"/>
    <w:rsid w:val="005045A5"/>
    <w:rsid w:val="005054F5"/>
    <w:rsid w:val="00505878"/>
    <w:rsid w:val="00505F42"/>
    <w:rsid w:val="0050743C"/>
    <w:rsid w:val="00507844"/>
    <w:rsid w:val="00510B5D"/>
    <w:rsid w:val="00512486"/>
    <w:rsid w:val="0051305E"/>
    <w:rsid w:val="00515121"/>
    <w:rsid w:val="00515A74"/>
    <w:rsid w:val="00516B71"/>
    <w:rsid w:val="00516FEF"/>
    <w:rsid w:val="00516FFF"/>
    <w:rsid w:val="00517F21"/>
    <w:rsid w:val="00520615"/>
    <w:rsid w:val="0052195E"/>
    <w:rsid w:val="00523732"/>
    <w:rsid w:val="00523944"/>
    <w:rsid w:val="00523C8A"/>
    <w:rsid w:val="00524552"/>
    <w:rsid w:val="005256A8"/>
    <w:rsid w:val="0052646D"/>
    <w:rsid w:val="005265AD"/>
    <w:rsid w:val="00526F61"/>
    <w:rsid w:val="00527025"/>
    <w:rsid w:val="00527250"/>
    <w:rsid w:val="005306E1"/>
    <w:rsid w:val="0053141B"/>
    <w:rsid w:val="00532F12"/>
    <w:rsid w:val="0053310D"/>
    <w:rsid w:val="0053383B"/>
    <w:rsid w:val="0053452E"/>
    <w:rsid w:val="0053510A"/>
    <w:rsid w:val="005374FF"/>
    <w:rsid w:val="00537A49"/>
    <w:rsid w:val="00540334"/>
    <w:rsid w:val="00540AE5"/>
    <w:rsid w:val="00540FB4"/>
    <w:rsid w:val="00542F55"/>
    <w:rsid w:val="005442F0"/>
    <w:rsid w:val="0054479B"/>
    <w:rsid w:val="0054520E"/>
    <w:rsid w:val="0054582E"/>
    <w:rsid w:val="00546F45"/>
    <w:rsid w:val="00547187"/>
    <w:rsid w:val="005474E8"/>
    <w:rsid w:val="0054782D"/>
    <w:rsid w:val="0055092C"/>
    <w:rsid w:val="00550E59"/>
    <w:rsid w:val="00552262"/>
    <w:rsid w:val="00552512"/>
    <w:rsid w:val="005525CA"/>
    <w:rsid w:val="005536AD"/>
    <w:rsid w:val="00554242"/>
    <w:rsid w:val="005546E0"/>
    <w:rsid w:val="00555595"/>
    <w:rsid w:val="00556E67"/>
    <w:rsid w:val="005620FE"/>
    <w:rsid w:val="00562541"/>
    <w:rsid w:val="00562A76"/>
    <w:rsid w:val="00562DBA"/>
    <w:rsid w:val="0056336C"/>
    <w:rsid w:val="00564125"/>
    <w:rsid w:val="00564537"/>
    <w:rsid w:val="005653FC"/>
    <w:rsid w:val="0056621F"/>
    <w:rsid w:val="005671FA"/>
    <w:rsid w:val="00567382"/>
    <w:rsid w:val="00570EA2"/>
    <w:rsid w:val="0057107A"/>
    <w:rsid w:val="0057138E"/>
    <w:rsid w:val="00571405"/>
    <w:rsid w:val="00573502"/>
    <w:rsid w:val="00574142"/>
    <w:rsid w:val="00574807"/>
    <w:rsid w:val="00574F7D"/>
    <w:rsid w:val="00575A21"/>
    <w:rsid w:val="00575BF2"/>
    <w:rsid w:val="0057677D"/>
    <w:rsid w:val="00576805"/>
    <w:rsid w:val="00576B82"/>
    <w:rsid w:val="00577DA1"/>
    <w:rsid w:val="00577DD6"/>
    <w:rsid w:val="00577E26"/>
    <w:rsid w:val="00577F81"/>
    <w:rsid w:val="005802B4"/>
    <w:rsid w:val="00581ADF"/>
    <w:rsid w:val="00582244"/>
    <w:rsid w:val="0058266C"/>
    <w:rsid w:val="00582F35"/>
    <w:rsid w:val="00583071"/>
    <w:rsid w:val="0058400D"/>
    <w:rsid w:val="005843C4"/>
    <w:rsid w:val="00584983"/>
    <w:rsid w:val="00584EA6"/>
    <w:rsid w:val="0058569A"/>
    <w:rsid w:val="00586406"/>
    <w:rsid w:val="0058726B"/>
    <w:rsid w:val="00587335"/>
    <w:rsid w:val="005874F2"/>
    <w:rsid w:val="00587FDC"/>
    <w:rsid w:val="00590876"/>
    <w:rsid w:val="005915CB"/>
    <w:rsid w:val="00591BB5"/>
    <w:rsid w:val="00591D01"/>
    <w:rsid w:val="00592502"/>
    <w:rsid w:val="005933D3"/>
    <w:rsid w:val="0059353B"/>
    <w:rsid w:val="0059466D"/>
    <w:rsid w:val="00595805"/>
    <w:rsid w:val="00595CC5"/>
    <w:rsid w:val="00595FFF"/>
    <w:rsid w:val="005970F7"/>
    <w:rsid w:val="00597655"/>
    <w:rsid w:val="005A0FAB"/>
    <w:rsid w:val="005A2FF4"/>
    <w:rsid w:val="005A3582"/>
    <w:rsid w:val="005A3CB7"/>
    <w:rsid w:val="005A43AC"/>
    <w:rsid w:val="005A43D1"/>
    <w:rsid w:val="005A6504"/>
    <w:rsid w:val="005A662F"/>
    <w:rsid w:val="005A6B90"/>
    <w:rsid w:val="005A79E2"/>
    <w:rsid w:val="005B0321"/>
    <w:rsid w:val="005B0DC7"/>
    <w:rsid w:val="005B130F"/>
    <w:rsid w:val="005B1A42"/>
    <w:rsid w:val="005B460A"/>
    <w:rsid w:val="005B4883"/>
    <w:rsid w:val="005B540A"/>
    <w:rsid w:val="005B54EB"/>
    <w:rsid w:val="005B5960"/>
    <w:rsid w:val="005B5EE4"/>
    <w:rsid w:val="005B6011"/>
    <w:rsid w:val="005B70D6"/>
    <w:rsid w:val="005C011F"/>
    <w:rsid w:val="005C045E"/>
    <w:rsid w:val="005C0782"/>
    <w:rsid w:val="005C25B1"/>
    <w:rsid w:val="005C27FC"/>
    <w:rsid w:val="005C2DDA"/>
    <w:rsid w:val="005C3655"/>
    <w:rsid w:val="005C3987"/>
    <w:rsid w:val="005C45E6"/>
    <w:rsid w:val="005C46F3"/>
    <w:rsid w:val="005C5F7A"/>
    <w:rsid w:val="005C6D83"/>
    <w:rsid w:val="005C7277"/>
    <w:rsid w:val="005D014C"/>
    <w:rsid w:val="005D0825"/>
    <w:rsid w:val="005D2360"/>
    <w:rsid w:val="005D2788"/>
    <w:rsid w:val="005D4CF3"/>
    <w:rsid w:val="005D5637"/>
    <w:rsid w:val="005D5C23"/>
    <w:rsid w:val="005D5ED3"/>
    <w:rsid w:val="005D62CA"/>
    <w:rsid w:val="005D7569"/>
    <w:rsid w:val="005D77D8"/>
    <w:rsid w:val="005D7FCB"/>
    <w:rsid w:val="005E08A4"/>
    <w:rsid w:val="005E0B61"/>
    <w:rsid w:val="005E0FC1"/>
    <w:rsid w:val="005E148C"/>
    <w:rsid w:val="005E1817"/>
    <w:rsid w:val="005E1FEA"/>
    <w:rsid w:val="005E2EFF"/>
    <w:rsid w:val="005E30B5"/>
    <w:rsid w:val="005E373C"/>
    <w:rsid w:val="005E3E57"/>
    <w:rsid w:val="005E50AD"/>
    <w:rsid w:val="005E5A32"/>
    <w:rsid w:val="005E5C50"/>
    <w:rsid w:val="005E5DBD"/>
    <w:rsid w:val="005E6029"/>
    <w:rsid w:val="005E62F9"/>
    <w:rsid w:val="005E69A2"/>
    <w:rsid w:val="005E6BB3"/>
    <w:rsid w:val="005E6DD0"/>
    <w:rsid w:val="005E6E1D"/>
    <w:rsid w:val="005E782D"/>
    <w:rsid w:val="005F0D98"/>
    <w:rsid w:val="005F0F03"/>
    <w:rsid w:val="005F3354"/>
    <w:rsid w:val="005F3651"/>
    <w:rsid w:val="005F3D95"/>
    <w:rsid w:val="005F3E95"/>
    <w:rsid w:val="005F5BD2"/>
    <w:rsid w:val="005F624E"/>
    <w:rsid w:val="005F64DE"/>
    <w:rsid w:val="005F6F7B"/>
    <w:rsid w:val="005F70C1"/>
    <w:rsid w:val="006008D7"/>
    <w:rsid w:val="00601353"/>
    <w:rsid w:val="0060163D"/>
    <w:rsid w:val="00602ECA"/>
    <w:rsid w:val="00603136"/>
    <w:rsid w:val="0060385D"/>
    <w:rsid w:val="006040C5"/>
    <w:rsid w:val="00604230"/>
    <w:rsid w:val="006053C5"/>
    <w:rsid w:val="00605555"/>
    <w:rsid w:val="006102A8"/>
    <w:rsid w:val="006107DF"/>
    <w:rsid w:val="00610821"/>
    <w:rsid w:val="00611124"/>
    <w:rsid w:val="00611EAA"/>
    <w:rsid w:val="00612F5D"/>
    <w:rsid w:val="00613112"/>
    <w:rsid w:val="00613A26"/>
    <w:rsid w:val="00615D35"/>
    <w:rsid w:val="00615E9D"/>
    <w:rsid w:val="00616D7B"/>
    <w:rsid w:val="00621DE4"/>
    <w:rsid w:val="00622142"/>
    <w:rsid w:val="006224C4"/>
    <w:rsid w:val="00623408"/>
    <w:rsid w:val="00623588"/>
    <w:rsid w:val="00627160"/>
    <w:rsid w:val="00627248"/>
    <w:rsid w:val="006273D8"/>
    <w:rsid w:val="00630BF7"/>
    <w:rsid w:val="00631330"/>
    <w:rsid w:val="006321CB"/>
    <w:rsid w:val="006350AF"/>
    <w:rsid w:val="00635159"/>
    <w:rsid w:val="006363B2"/>
    <w:rsid w:val="00636B80"/>
    <w:rsid w:val="006376AD"/>
    <w:rsid w:val="00637B98"/>
    <w:rsid w:val="00640754"/>
    <w:rsid w:val="00641172"/>
    <w:rsid w:val="00641659"/>
    <w:rsid w:val="006421EF"/>
    <w:rsid w:val="0064275B"/>
    <w:rsid w:val="0064277F"/>
    <w:rsid w:val="00643B3A"/>
    <w:rsid w:val="00643CBF"/>
    <w:rsid w:val="00643D9B"/>
    <w:rsid w:val="00644779"/>
    <w:rsid w:val="006456FC"/>
    <w:rsid w:val="006459A8"/>
    <w:rsid w:val="006476E7"/>
    <w:rsid w:val="00647A34"/>
    <w:rsid w:val="00650B91"/>
    <w:rsid w:val="00650C80"/>
    <w:rsid w:val="006532F2"/>
    <w:rsid w:val="0065364D"/>
    <w:rsid w:val="00653C5E"/>
    <w:rsid w:val="00654A23"/>
    <w:rsid w:val="00655509"/>
    <w:rsid w:val="00655A6B"/>
    <w:rsid w:val="00655B20"/>
    <w:rsid w:val="00655FBA"/>
    <w:rsid w:val="00656118"/>
    <w:rsid w:val="0065643E"/>
    <w:rsid w:val="0065675C"/>
    <w:rsid w:val="00657522"/>
    <w:rsid w:val="00657F1D"/>
    <w:rsid w:val="00660348"/>
    <w:rsid w:val="0066049A"/>
    <w:rsid w:val="0066050A"/>
    <w:rsid w:val="00660661"/>
    <w:rsid w:val="00661D34"/>
    <w:rsid w:val="00661F44"/>
    <w:rsid w:val="006620A1"/>
    <w:rsid w:val="00662206"/>
    <w:rsid w:val="00662DDF"/>
    <w:rsid w:val="00663562"/>
    <w:rsid w:val="00665795"/>
    <w:rsid w:val="00666640"/>
    <w:rsid w:val="00666A27"/>
    <w:rsid w:val="00666C27"/>
    <w:rsid w:val="006672B9"/>
    <w:rsid w:val="00667904"/>
    <w:rsid w:val="00667F42"/>
    <w:rsid w:val="006702AA"/>
    <w:rsid w:val="00670B5A"/>
    <w:rsid w:val="0067172C"/>
    <w:rsid w:val="006723EB"/>
    <w:rsid w:val="00672F1D"/>
    <w:rsid w:val="006744A6"/>
    <w:rsid w:val="00675179"/>
    <w:rsid w:val="00676AB3"/>
    <w:rsid w:val="00676DD7"/>
    <w:rsid w:val="00677E91"/>
    <w:rsid w:val="006813EC"/>
    <w:rsid w:val="0068140E"/>
    <w:rsid w:val="0068380B"/>
    <w:rsid w:val="006839FC"/>
    <w:rsid w:val="00683C56"/>
    <w:rsid w:val="00683DEA"/>
    <w:rsid w:val="006841C8"/>
    <w:rsid w:val="0068552A"/>
    <w:rsid w:val="006859FC"/>
    <w:rsid w:val="00686ED1"/>
    <w:rsid w:val="00687ECD"/>
    <w:rsid w:val="00690FA6"/>
    <w:rsid w:val="006911BF"/>
    <w:rsid w:val="0069254C"/>
    <w:rsid w:val="00692A3C"/>
    <w:rsid w:val="00692E27"/>
    <w:rsid w:val="00693453"/>
    <w:rsid w:val="006938DC"/>
    <w:rsid w:val="00693DE6"/>
    <w:rsid w:val="00694E77"/>
    <w:rsid w:val="006965E8"/>
    <w:rsid w:val="00696AF4"/>
    <w:rsid w:val="0069773D"/>
    <w:rsid w:val="00697B45"/>
    <w:rsid w:val="006A006B"/>
    <w:rsid w:val="006A0275"/>
    <w:rsid w:val="006A0B13"/>
    <w:rsid w:val="006A12B2"/>
    <w:rsid w:val="006A12EE"/>
    <w:rsid w:val="006A1D79"/>
    <w:rsid w:val="006A22CE"/>
    <w:rsid w:val="006A2423"/>
    <w:rsid w:val="006A3063"/>
    <w:rsid w:val="006A3416"/>
    <w:rsid w:val="006A500A"/>
    <w:rsid w:val="006B116A"/>
    <w:rsid w:val="006B1929"/>
    <w:rsid w:val="006B3E28"/>
    <w:rsid w:val="006B4A14"/>
    <w:rsid w:val="006B5B21"/>
    <w:rsid w:val="006B638F"/>
    <w:rsid w:val="006B6A1A"/>
    <w:rsid w:val="006B7165"/>
    <w:rsid w:val="006B7A2F"/>
    <w:rsid w:val="006C14D5"/>
    <w:rsid w:val="006C1AA9"/>
    <w:rsid w:val="006C1FF9"/>
    <w:rsid w:val="006C28C3"/>
    <w:rsid w:val="006C3901"/>
    <w:rsid w:val="006C40BD"/>
    <w:rsid w:val="006C45F3"/>
    <w:rsid w:val="006C4742"/>
    <w:rsid w:val="006C5B40"/>
    <w:rsid w:val="006C6FA5"/>
    <w:rsid w:val="006C735E"/>
    <w:rsid w:val="006C7426"/>
    <w:rsid w:val="006C74C4"/>
    <w:rsid w:val="006C7866"/>
    <w:rsid w:val="006C7A5A"/>
    <w:rsid w:val="006D0389"/>
    <w:rsid w:val="006D04CE"/>
    <w:rsid w:val="006D2A39"/>
    <w:rsid w:val="006D3E9A"/>
    <w:rsid w:val="006D48BA"/>
    <w:rsid w:val="006D54C2"/>
    <w:rsid w:val="006D5A3B"/>
    <w:rsid w:val="006D6145"/>
    <w:rsid w:val="006D6642"/>
    <w:rsid w:val="006D6EDA"/>
    <w:rsid w:val="006E0485"/>
    <w:rsid w:val="006E0B3C"/>
    <w:rsid w:val="006E0C9C"/>
    <w:rsid w:val="006E1310"/>
    <w:rsid w:val="006E1315"/>
    <w:rsid w:val="006E1C01"/>
    <w:rsid w:val="006E3B2F"/>
    <w:rsid w:val="006E3EDA"/>
    <w:rsid w:val="006E4D33"/>
    <w:rsid w:val="006E51E7"/>
    <w:rsid w:val="006E60A2"/>
    <w:rsid w:val="006E6BC5"/>
    <w:rsid w:val="006E7011"/>
    <w:rsid w:val="006F02B4"/>
    <w:rsid w:val="006F0B1F"/>
    <w:rsid w:val="006F0E6C"/>
    <w:rsid w:val="006F13FE"/>
    <w:rsid w:val="006F33A4"/>
    <w:rsid w:val="006F34CA"/>
    <w:rsid w:val="006F3F66"/>
    <w:rsid w:val="006F3FC8"/>
    <w:rsid w:val="006F4972"/>
    <w:rsid w:val="006F4A65"/>
    <w:rsid w:val="006F4A6D"/>
    <w:rsid w:val="006F53B8"/>
    <w:rsid w:val="006F5424"/>
    <w:rsid w:val="006F5F0C"/>
    <w:rsid w:val="006F6810"/>
    <w:rsid w:val="006F6E8F"/>
    <w:rsid w:val="006F7370"/>
    <w:rsid w:val="006F7E97"/>
    <w:rsid w:val="00701A96"/>
    <w:rsid w:val="00701CDC"/>
    <w:rsid w:val="00701ECC"/>
    <w:rsid w:val="00702051"/>
    <w:rsid w:val="00702448"/>
    <w:rsid w:val="00702BD8"/>
    <w:rsid w:val="00704465"/>
    <w:rsid w:val="00705DE0"/>
    <w:rsid w:val="00705E34"/>
    <w:rsid w:val="00706876"/>
    <w:rsid w:val="00706D1C"/>
    <w:rsid w:val="00706DD1"/>
    <w:rsid w:val="00707037"/>
    <w:rsid w:val="00711459"/>
    <w:rsid w:val="0071159E"/>
    <w:rsid w:val="00712E09"/>
    <w:rsid w:val="00713C57"/>
    <w:rsid w:val="0071440B"/>
    <w:rsid w:val="0071450A"/>
    <w:rsid w:val="00714984"/>
    <w:rsid w:val="00716A72"/>
    <w:rsid w:val="00717438"/>
    <w:rsid w:val="00717EE7"/>
    <w:rsid w:val="007204A8"/>
    <w:rsid w:val="00720A1B"/>
    <w:rsid w:val="00720BFA"/>
    <w:rsid w:val="00720D5B"/>
    <w:rsid w:val="007212D7"/>
    <w:rsid w:val="007217B3"/>
    <w:rsid w:val="007234CA"/>
    <w:rsid w:val="00723F57"/>
    <w:rsid w:val="00723F8E"/>
    <w:rsid w:val="0072424E"/>
    <w:rsid w:val="00724428"/>
    <w:rsid w:val="007244B9"/>
    <w:rsid w:val="0072463E"/>
    <w:rsid w:val="00725626"/>
    <w:rsid w:val="00726452"/>
    <w:rsid w:val="0072770E"/>
    <w:rsid w:val="00730B3E"/>
    <w:rsid w:val="007314E1"/>
    <w:rsid w:val="00731F68"/>
    <w:rsid w:val="00732317"/>
    <w:rsid w:val="0073337E"/>
    <w:rsid w:val="0073341B"/>
    <w:rsid w:val="00735454"/>
    <w:rsid w:val="0073577D"/>
    <w:rsid w:val="00735A44"/>
    <w:rsid w:val="00736AB3"/>
    <w:rsid w:val="00736D72"/>
    <w:rsid w:val="00737E67"/>
    <w:rsid w:val="007406D2"/>
    <w:rsid w:val="0074095A"/>
    <w:rsid w:val="00741462"/>
    <w:rsid w:val="00741E87"/>
    <w:rsid w:val="007424CE"/>
    <w:rsid w:val="00742654"/>
    <w:rsid w:val="00743078"/>
    <w:rsid w:val="007443C3"/>
    <w:rsid w:val="007448F1"/>
    <w:rsid w:val="00744A88"/>
    <w:rsid w:val="00744B99"/>
    <w:rsid w:val="00745133"/>
    <w:rsid w:val="00745181"/>
    <w:rsid w:val="0074599F"/>
    <w:rsid w:val="007464A7"/>
    <w:rsid w:val="00750DF2"/>
    <w:rsid w:val="0075171F"/>
    <w:rsid w:val="007527A2"/>
    <w:rsid w:val="00754977"/>
    <w:rsid w:val="00754F3D"/>
    <w:rsid w:val="00755363"/>
    <w:rsid w:val="00755BBA"/>
    <w:rsid w:val="00757D67"/>
    <w:rsid w:val="00760182"/>
    <w:rsid w:val="007604D8"/>
    <w:rsid w:val="00760748"/>
    <w:rsid w:val="007609ED"/>
    <w:rsid w:val="00760D32"/>
    <w:rsid w:val="00761243"/>
    <w:rsid w:val="00762507"/>
    <w:rsid w:val="007628FA"/>
    <w:rsid w:val="00763643"/>
    <w:rsid w:val="00763939"/>
    <w:rsid w:val="00764344"/>
    <w:rsid w:val="00764783"/>
    <w:rsid w:val="00766BBB"/>
    <w:rsid w:val="00766E0F"/>
    <w:rsid w:val="007709E9"/>
    <w:rsid w:val="00770F5F"/>
    <w:rsid w:val="007715AF"/>
    <w:rsid w:val="00772AC0"/>
    <w:rsid w:val="0077460D"/>
    <w:rsid w:val="0077565A"/>
    <w:rsid w:val="00775C60"/>
    <w:rsid w:val="00775EC3"/>
    <w:rsid w:val="007761F5"/>
    <w:rsid w:val="00776467"/>
    <w:rsid w:val="007774DE"/>
    <w:rsid w:val="00777970"/>
    <w:rsid w:val="00777EAF"/>
    <w:rsid w:val="007811ED"/>
    <w:rsid w:val="007812B8"/>
    <w:rsid w:val="00781BCE"/>
    <w:rsid w:val="00781E00"/>
    <w:rsid w:val="007828F8"/>
    <w:rsid w:val="00783519"/>
    <w:rsid w:val="007838CD"/>
    <w:rsid w:val="007841B3"/>
    <w:rsid w:val="007843EB"/>
    <w:rsid w:val="00785CCE"/>
    <w:rsid w:val="00785CD3"/>
    <w:rsid w:val="007862B6"/>
    <w:rsid w:val="0078683E"/>
    <w:rsid w:val="007873DE"/>
    <w:rsid w:val="00787CFE"/>
    <w:rsid w:val="00791DB5"/>
    <w:rsid w:val="00792390"/>
    <w:rsid w:val="00792399"/>
    <w:rsid w:val="00793B6F"/>
    <w:rsid w:val="00794B6C"/>
    <w:rsid w:val="0079614D"/>
    <w:rsid w:val="00796CAB"/>
    <w:rsid w:val="0079799F"/>
    <w:rsid w:val="00797C26"/>
    <w:rsid w:val="007A03EF"/>
    <w:rsid w:val="007A057E"/>
    <w:rsid w:val="007A1262"/>
    <w:rsid w:val="007A12E1"/>
    <w:rsid w:val="007A18EE"/>
    <w:rsid w:val="007A1AC4"/>
    <w:rsid w:val="007A1E38"/>
    <w:rsid w:val="007A377D"/>
    <w:rsid w:val="007A3A1D"/>
    <w:rsid w:val="007A4F06"/>
    <w:rsid w:val="007A53A8"/>
    <w:rsid w:val="007A67CE"/>
    <w:rsid w:val="007A6C57"/>
    <w:rsid w:val="007A72CD"/>
    <w:rsid w:val="007A74E8"/>
    <w:rsid w:val="007B0ACB"/>
    <w:rsid w:val="007B26B2"/>
    <w:rsid w:val="007B2811"/>
    <w:rsid w:val="007B3E66"/>
    <w:rsid w:val="007B414D"/>
    <w:rsid w:val="007B4BDF"/>
    <w:rsid w:val="007B4ED4"/>
    <w:rsid w:val="007B4F25"/>
    <w:rsid w:val="007B5172"/>
    <w:rsid w:val="007B53D9"/>
    <w:rsid w:val="007B5E5B"/>
    <w:rsid w:val="007B6620"/>
    <w:rsid w:val="007B68CE"/>
    <w:rsid w:val="007B6EBE"/>
    <w:rsid w:val="007B740F"/>
    <w:rsid w:val="007B7D9D"/>
    <w:rsid w:val="007C0890"/>
    <w:rsid w:val="007C10FD"/>
    <w:rsid w:val="007C1329"/>
    <w:rsid w:val="007C1806"/>
    <w:rsid w:val="007C22BD"/>
    <w:rsid w:val="007C2DC1"/>
    <w:rsid w:val="007C49B3"/>
    <w:rsid w:val="007C5FCA"/>
    <w:rsid w:val="007C6308"/>
    <w:rsid w:val="007C7746"/>
    <w:rsid w:val="007D0CAB"/>
    <w:rsid w:val="007D14C5"/>
    <w:rsid w:val="007D3EBF"/>
    <w:rsid w:val="007D575C"/>
    <w:rsid w:val="007D5BBE"/>
    <w:rsid w:val="007D63F7"/>
    <w:rsid w:val="007D69D7"/>
    <w:rsid w:val="007D6F64"/>
    <w:rsid w:val="007D71D6"/>
    <w:rsid w:val="007E232C"/>
    <w:rsid w:val="007E246D"/>
    <w:rsid w:val="007E2513"/>
    <w:rsid w:val="007E287F"/>
    <w:rsid w:val="007E28B7"/>
    <w:rsid w:val="007E3024"/>
    <w:rsid w:val="007E3080"/>
    <w:rsid w:val="007E4338"/>
    <w:rsid w:val="007E53A9"/>
    <w:rsid w:val="007E5432"/>
    <w:rsid w:val="007E66A8"/>
    <w:rsid w:val="007F0482"/>
    <w:rsid w:val="007F0B21"/>
    <w:rsid w:val="007F1159"/>
    <w:rsid w:val="007F18F5"/>
    <w:rsid w:val="007F36C6"/>
    <w:rsid w:val="007F3C55"/>
    <w:rsid w:val="007F40B9"/>
    <w:rsid w:val="007F4502"/>
    <w:rsid w:val="007F5CD5"/>
    <w:rsid w:val="007F60F8"/>
    <w:rsid w:val="007F7794"/>
    <w:rsid w:val="007F789E"/>
    <w:rsid w:val="00800306"/>
    <w:rsid w:val="0080069F"/>
    <w:rsid w:val="00800ED1"/>
    <w:rsid w:val="00801926"/>
    <w:rsid w:val="00802660"/>
    <w:rsid w:val="00802DBB"/>
    <w:rsid w:val="00802EE8"/>
    <w:rsid w:val="0080343B"/>
    <w:rsid w:val="00803837"/>
    <w:rsid w:val="00804136"/>
    <w:rsid w:val="00804352"/>
    <w:rsid w:val="008046BB"/>
    <w:rsid w:val="008048C8"/>
    <w:rsid w:val="00805413"/>
    <w:rsid w:val="008054BD"/>
    <w:rsid w:val="00805ACA"/>
    <w:rsid w:val="008060FE"/>
    <w:rsid w:val="008063D4"/>
    <w:rsid w:val="008063DC"/>
    <w:rsid w:val="008065EC"/>
    <w:rsid w:val="008065F7"/>
    <w:rsid w:val="00806E9C"/>
    <w:rsid w:val="00807B5F"/>
    <w:rsid w:val="0081043B"/>
    <w:rsid w:val="00811926"/>
    <w:rsid w:val="0081242E"/>
    <w:rsid w:val="0081253B"/>
    <w:rsid w:val="00814297"/>
    <w:rsid w:val="0081577E"/>
    <w:rsid w:val="0081597D"/>
    <w:rsid w:val="00815AD1"/>
    <w:rsid w:val="0081742E"/>
    <w:rsid w:val="008176FB"/>
    <w:rsid w:val="008207F4"/>
    <w:rsid w:val="00821A28"/>
    <w:rsid w:val="0082222A"/>
    <w:rsid w:val="00822A57"/>
    <w:rsid w:val="00822E2C"/>
    <w:rsid w:val="00823F8C"/>
    <w:rsid w:val="00824106"/>
    <w:rsid w:val="0082520F"/>
    <w:rsid w:val="0082656B"/>
    <w:rsid w:val="00827F29"/>
    <w:rsid w:val="00830574"/>
    <w:rsid w:val="008305EF"/>
    <w:rsid w:val="00830B23"/>
    <w:rsid w:val="00830F41"/>
    <w:rsid w:val="00831B7C"/>
    <w:rsid w:val="00831C18"/>
    <w:rsid w:val="0083265B"/>
    <w:rsid w:val="00832D81"/>
    <w:rsid w:val="0083392B"/>
    <w:rsid w:val="00833A2E"/>
    <w:rsid w:val="00834062"/>
    <w:rsid w:val="0083430D"/>
    <w:rsid w:val="0083522A"/>
    <w:rsid w:val="008359C9"/>
    <w:rsid w:val="00837103"/>
    <w:rsid w:val="0084168B"/>
    <w:rsid w:val="00841A19"/>
    <w:rsid w:val="00841C0B"/>
    <w:rsid w:val="00842452"/>
    <w:rsid w:val="00843BCD"/>
    <w:rsid w:val="00843FFB"/>
    <w:rsid w:val="00844849"/>
    <w:rsid w:val="00844AA8"/>
    <w:rsid w:val="00844EAD"/>
    <w:rsid w:val="00845C73"/>
    <w:rsid w:val="00846C4C"/>
    <w:rsid w:val="0084728F"/>
    <w:rsid w:val="008474F7"/>
    <w:rsid w:val="00847F68"/>
    <w:rsid w:val="00851346"/>
    <w:rsid w:val="008526A2"/>
    <w:rsid w:val="00853951"/>
    <w:rsid w:val="0085399B"/>
    <w:rsid w:val="00855986"/>
    <w:rsid w:val="00855B24"/>
    <w:rsid w:val="00855C29"/>
    <w:rsid w:val="00857FDE"/>
    <w:rsid w:val="0086022C"/>
    <w:rsid w:val="0086278F"/>
    <w:rsid w:val="00863D99"/>
    <w:rsid w:val="00864619"/>
    <w:rsid w:val="008649D8"/>
    <w:rsid w:val="00864CAF"/>
    <w:rsid w:val="008659CC"/>
    <w:rsid w:val="00866A14"/>
    <w:rsid w:val="008675AF"/>
    <w:rsid w:val="00870161"/>
    <w:rsid w:val="0087050E"/>
    <w:rsid w:val="00870EAB"/>
    <w:rsid w:val="0087200E"/>
    <w:rsid w:val="008723C4"/>
    <w:rsid w:val="008738B1"/>
    <w:rsid w:val="00875470"/>
    <w:rsid w:val="008757A8"/>
    <w:rsid w:val="00875C78"/>
    <w:rsid w:val="00875EB6"/>
    <w:rsid w:val="00876177"/>
    <w:rsid w:val="00876524"/>
    <w:rsid w:val="00876E8E"/>
    <w:rsid w:val="008801C7"/>
    <w:rsid w:val="00880EB4"/>
    <w:rsid w:val="00881ABD"/>
    <w:rsid w:val="00882B30"/>
    <w:rsid w:val="008830E0"/>
    <w:rsid w:val="008839A5"/>
    <w:rsid w:val="008849C0"/>
    <w:rsid w:val="008854C5"/>
    <w:rsid w:val="00885840"/>
    <w:rsid w:val="00886F96"/>
    <w:rsid w:val="00887D26"/>
    <w:rsid w:val="00890403"/>
    <w:rsid w:val="008907AE"/>
    <w:rsid w:val="00890F13"/>
    <w:rsid w:val="008920BA"/>
    <w:rsid w:val="00892962"/>
    <w:rsid w:val="00892C27"/>
    <w:rsid w:val="008934F8"/>
    <w:rsid w:val="00895B84"/>
    <w:rsid w:val="00895DAE"/>
    <w:rsid w:val="0089619C"/>
    <w:rsid w:val="00897E7E"/>
    <w:rsid w:val="008A1312"/>
    <w:rsid w:val="008A1A75"/>
    <w:rsid w:val="008A2D4F"/>
    <w:rsid w:val="008A4A0A"/>
    <w:rsid w:val="008A580B"/>
    <w:rsid w:val="008A5921"/>
    <w:rsid w:val="008A5B68"/>
    <w:rsid w:val="008A6F6A"/>
    <w:rsid w:val="008A70F5"/>
    <w:rsid w:val="008A7BF8"/>
    <w:rsid w:val="008A7CEB"/>
    <w:rsid w:val="008B04C2"/>
    <w:rsid w:val="008B2A73"/>
    <w:rsid w:val="008B3E83"/>
    <w:rsid w:val="008B5D10"/>
    <w:rsid w:val="008B6772"/>
    <w:rsid w:val="008B7410"/>
    <w:rsid w:val="008B76DE"/>
    <w:rsid w:val="008C0420"/>
    <w:rsid w:val="008C051F"/>
    <w:rsid w:val="008C08BC"/>
    <w:rsid w:val="008C0EBE"/>
    <w:rsid w:val="008C367D"/>
    <w:rsid w:val="008C4466"/>
    <w:rsid w:val="008C51FA"/>
    <w:rsid w:val="008C6424"/>
    <w:rsid w:val="008C7E85"/>
    <w:rsid w:val="008D043A"/>
    <w:rsid w:val="008D06D1"/>
    <w:rsid w:val="008D0CEE"/>
    <w:rsid w:val="008D0FD3"/>
    <w:rsid w:val="008D11A2"/>
    <w:rsid w:val="008D134D"/>
    <w:rsid w:val="008D4E09"/>
    <w:rsid w:val="008D5729"/>
    <w:rsid w:val="008D66CE"/>
    <w:rsid w:val="008D6CF8"/>
    <w:rsid w:val="008D6FBA"/>
    <w:rsid w:val="008D7353"/>
    <w:rsid w:val="008D775D"/>
    <w:rsid w:val="008D7935"/>
    <w:rsid w:val="008E02A0"/>
    <w:rsid w:val="008E08EC"/>
    <w:rsid w:val="008E105F"/>
    <w:rsid w:val="008E1C65"/>
    <w:rsid w:val="008E3483"/>
    <w:rsid w:val="008E36FE"/>
    <w:rsid w:val="008E3EBC"/>
    <w:rsid w:val="008E53B8"/>
    <w:rsid w:val="008E54E1"/>
    <w:rsid w:val="008E624F"/>
    <w:rsid w:val="008E6C45"/>
    <w:rsid w:val="008E71C0"/>
    <w:rsid w:val="008E7458"/>
    <w:rsid w:val="008E7667"/>
    <w:rsid w:val="008F03A7"/>
    <w:rsid w:val="008F0F6A"/>
    <w:rsid w:val="008F15DF"/>
    <w:rsid w:val="008F166C"/>
    <w:rsid w:val="008F17F3"/>
    <w:rsid w:val="008F18E7"/>
    <w:rsid w:val="008F26BC"/>
    <w:rsid w:val="008F316E"/>
    <w:rsid w:val="008F33F3"/>
    <w:rsid w:val="008F3CD6"/>
    <w:rsid w:val="008F41D0"/>
    <w:rsid w:val="008F6E4F"/>
    <w:rsid w:val="008F7492"/>
    <w:rsid w:val="008F7734"/>
    <w:rsid w:val="00900233"/>
    <w:rsid w:val="009004E4"/>
    <w:rsid w:val="00900AB6"/>
    <w:rsid w:val="009011D4"/>
    <w:rsid w:val="00901C32"/>
    <w:rsid w:val="00902322"/>
    <w:rsid w:val="00903259"/>
    <w:rsid w:val="0090336F"/>
    <w:rsid w:val="00903376"/>
    <w:rsid w:val="00903E50"/>
    <w:rsid w:val="00904660"/>
    <w:rsid w:val="00905B23"/>
    <w:rsid w:val="009060F6"/>
    <w:rsid w:val="009063B3"/>
    <w:rsid w:val="0090700F"/>
    <w:rsid w:val="0090702A"/>
    <w:rsid w:val="009073F2"/>
    <w:rsid w:val="00910433"/>
    <w:rsid w:val="0091177E"/>
    <w:rsid w:val="00911B74"/>
    <w:rsid w:val="00911D55"/>
    <w:rsid w:val="00913818"/>
    <w:rsid w:val="0091402E"/>
    <w:rsid w:val="0091412E"/>
    <w:rsid w:val="00914709"/>
    <w:rsid w:val="00915953"/>
    <w:rsid w:val="0091600F"/>
    <w:rsid w:val="00916198"/>
    <w:rsid w:val="00916A00"/>
    <w:rsid w:val="00917890"/>
    <w:rsid w:val="009179EE"/>
    <w:rsid w:val="00920E2D"/>
    <w:rsid w:val="00923AF0"/>
    <w:rsid w:val="0092456B"/>
    <w:rsid w:val="00924EEB"/>
    <w:rsid w:val="009251F2"/>
    <w:rsid w:val="00925B6D"/>
    <w:rsid w:val="00926381"/>
    <w:rsid w:val="0092742D"/>
    <w:rsid w:val="009305C6"/>
    <w:rsid w:val="0093079F"/>
    <w:rsid w:val="009312A3"/>
    <w:rsid w:val="00933A0C"/>
    <w:rsid w:val="00933C15"/>
    <w:rsid w:val="00933E81"/>
    <w:rsid w:val="009342DE"/>
    <w:rsid w:val="00934B04"/>
    <w:rsid w:val="00935189"/>
    <w:rsid w:val="009359B7"/>
    <w:rsid w:val="0093679F"/>
    <w:rsid w:val="00936E04"/>
    <w:rsid w:val="0093772D"/>
    <w:rsid w:val="00941AC1"/>
    <w:rsid w:val="00942B44"/>
    <w:rsid w:val="00942DEB"/>
    <w:rsid w:val="0094345C"/>
    <w:rsid w:val="00943C6A"/>
    <w:rsid w:val="0094406A"/>
    <w:rsid w:val="00944443"/>
    <w:rsid w:val="00944DEF"/>
    <w:rsid w:val="00945378"/>
    <w:rsid w:val="009500D2"/>
    <w:rsid w:val="009506F6"/>
    <w:rsid w:val="0095192E"/>
    <w:rsid w:val="0095277D"/>
    <w:rsid w:val="0095391D"/>
    <w:rsid w:val="00954381"/>
    <w:rsid w:val="00954FDF"/>
    <w:rsid w:val="00955506"/>
    <w:rsid w:val="0095597A"/>
    <w:rsid w:val="0095631E"/>
    <w:rsid w:val="00956BAF"/>
    <w:rsid w:val="00956FC4"/>
    <w:rsid w:val="0095704F"/>
    <w:rsid w:val="0095789E"/>
    <w:rsid w:val="009602DF"/>
    <w:rsid w:val="00960489"/>
    <w:rsid w:val="009618FB"/>
    <w:rsid w:val="00961A6C"/>
    <w:rsid w:val="00961D14"/>
    <w:rsid w:val="0096252E"/>
    <w:rsid w:val="00962DB0"/>
    <w:rsid w:val="009637C7"/>
    <w:rsid w:val="0096395D"/>
    <w:rsid w:val="00963D18"/>
    <w:rsid w:val="00964389"/>
    <w:rsid w:val="009659BC"/>
    <w:rsid w:val="0096702F"/>
    <w:rsid w:val="00970DF5"/>
    <w:rsid w:val="0097177B"/>
    <w:rsid w:val="00972824"/>
    <w:rsid w:val="00972DDE"/>
    <w:rsid w:val="009737FE"/>
    <w:rsid w:val="009746B6"/>
    <w:rsid w:val="00974A53"/>
    <w:rsid w:val="00975167"/>
    <w:rsid w:val="00975430"/>
    <w:rsid w:val="009768CB"/>
    <w:rsid w:val="009768D7"/>
    <w:rsid w:val="00976BF2"/>
    <w:rsid w:val="00976E81"/>
    <w:rsid w:val="0097711C"/>
    <w:rsid w:val="00977380"/>
    <w:rsid w:val="009774B4"/>
    <w:rsid w:val="0097766B"/>
    <w:rsid w:val="009804FD"/>
    <w:rsid w:val="00980752"/>
    <w:rsid w:val="009814EA"/>
    <w:rsid w:val="00984750"/>
    <w:rsid w:val="0098539D"/>
    <w:rsid w:val="00990307"/>
    <w:rsid w:val="00990869"/>
    <w:rsid w:val="00990E80"/>
    <w:rsid w:val="00991922"/>
    <w:rsid w:val="00991B2E"/>
    <w:rsid w:val="00991F4E"/>
    <w:rsid w:val="009939D0"/>
    <w:rsid w:val="00993D88"/>
    <w:rsid w:val="00995080"/>
    <w:rsid w:val="00996120"/>
    <w:rsid w:val="0099698E"/>
    <w:rsid w:val="009A0F7B"/>
    <w:rsid w:val="009A17FA"/>
    <w:rsid w:val="009A2BFB"/>
    <w:rsid w:val="009A2E0B"/>
    <w:rsid w:val="009A3AF3"/>
    <w:rsid w:val="009A41A9"/>
    <w:rsid w:val="009A486E"/>
    <w:rsid w:val="009A4EFB"/>
    <w:rsid w:val="009A6A29"/>
    <w:rsid w:val="009A7162"/>
    <w:rsid w:val="009A74E1"/>
    <w:rsid w:val="009A7FD7"/>
    <w:rsid w:val="009B0414"/>
    <w:rsid w:val="009B12EA"/>
    <w:rsid w:val="009B147C"/>
    <w:rsid w:val="009B505A"/>
    <w:rsid w:val="009B52F6"/>
    <w:rsid w:val="009B5E4C"/>
    <w:rsid w:val="009B646F"/>
    <w:rsid w:val="009B65D8"/>
    <w:rsid w:val="009B79F7"/>
    <w:rsid w:val="009C0F51"/>
    <w:rsid w:val="009C20DD"/>
    <w:rsid w:val="009C2236"/>
    <w:rsid w:val="009C22EF"/>
    <w:rsid w:val="009C2527"/>
    <w:rsid w:val="009C3673"/>
    <w:rsid w:val="009C43DC"/>
    <w:rsid w:val="009C5336"/>
    <w:rsid w:val="009C556C"/>
    <w:rsid w:val="009C5668"/>
    <w:rsid w:val="009C5A54"/>
    <w:rsid w:val="009C6845"/>
    <w:rsid w:val="009C685D"/>
    <w:rsid w:val="009C7015"/>
    <w:rsid w:val="009D007E"/>
    <w:rsid w:val="009D08DD"/>
    <w:rsid w:val="009D18B6"/>
    <w:rsid w:val="009D1C4C"/>
    <w:rsid w:val="009D21C9"/>
    <w:rsid w:val="009D35CD"/>
    <w:rsid w:val="009D394A"/>
    <w:rsid w:val="009D54AB"/>
    <w:rsid w:val="009D5B25"/>
    <w:rsid w:val="009D61AE"/>
    <w:rsid w:val="009D6BE0"/>
    <w:rsid w:val="009D7681"/>
    <w:rsid w:val="009D7A1A"/>
    <w:rsid w:val="009E0913"/>
    <w:rsid w:val="009E1682"/>
    <w:rsid w:val="009E17DD"/>
    <w:rsid w:val="009E1B09"/>
    <w:rsid w:val="009E398E"/>
    <w:rsid w:val="009E3A25"/>
    <w:rsid w:val="009E4CFD"/>
    <w:rsid w:val="009E6F31"/>
    <w:rsid w:val="009E7281"/>
    <w:rsid w:val="009F0BCB"/>
    <w:rsid w:val="009F185F"/>
    <w:rsid w:val="009F1C92"/>
    <w:rsid w:val="009F1DBF"/>
    <w:rsid w:val="009F1EB6"/>
    <w:rsid w:val="009F2BCA"/>
    <w:rsid w:val="009F3E47"/>
    <w:rsid w:val="009F5087"/>
    <w:rsid w:val="009F50F0"/>
    <w:rsid w:val="009F6333"/>
    <w:rsid w:val="009F7852"/>
    <w:rsid w:val="009F793E"/>
    <w:rsid w:val="00A011BD"/>
    <w:rsid w:val="00A03C0A"/>
    <w:rsid w:val="00A03FEE"/>
    <w:rsid w:val="00A04229"/>
    <w:rsid w:val="00A0504A"/>
    <w:rsid w:val="00A0535C"/>
    <w:rsid w:val="00A05BE4"/>
    <w:rsid w:val="00A05FB4"/>
    <w:rsid w:val="00A064E1"/>
    <w:rsid w:val="00A065BF"/>
    <w:rsid w:val="00A074BF"/>
    <w:rsid w:val="00A11854"/>
    <w:rsid w:val="00A1305A"/>
    <w:rsid w:val="00A130D9"/>
    <w:rsid w:val="00A132AF"/>
    <w:rsid w:val="00A13689"/>
    <w:rsid w:val="00A13A04"/>
    <w:rsid w:val="00A13DD7"/>
    <w:rsid w:val="00A1490A"/>
    <w:rsid w:val="00A16F49"/>
    <w:rsid w:val="00A20C85"/>
    <w:rsid w:val="00A20D81"/>
    <w:rsid w:val="00A213A5"/>
    <w:rsid w:val="00A220B7"/>
    <w:rsid w:val="00A2265F"/>
    <w:rsid w:val="00A23226"/>
    <w:rsid w:val="00A2495C"/>
    <w:rsid w:val="00A25185"/>
    <w:rsid w:val="00A25CE5"/>
    <w:rsid w:val="00A26125"/>
    <w:rsid w:val="00A2626B"/>
    <w:rsid w:val="00A30B8D"/>
    <w:rsid w:val="00A30EF5"/>
    <w:rsid w:val="00A31D61"/>
    <w:rsid w:val="00A32904"/>
    <w:rsid w:val="00A32958"/>
    <w:rsid w:val="00A32BFB"/>
    <w:rsid w:val="00A34970"/>
    <w:rsid w:val="00A34A8F"/>
    <w:rsid w:val="00A35F11"/>
    <w:rsid w:val="00A36737"/>
    <w:rsid w:val="00A37350"/>
    <w:rsid w:val="00A37F33"/>
    <w:rsid w:val="00A40349"/>
    <w:rsid w:val="00A40AF4"/>
    <w:rsid w:val="00A411E4"/>
    <w:rsid w:val="00A419D7"/>
    <w:rsid w:val="00A43776"/>
    <w:rsid w:val="00A43CF9"/>
    <w:rsid w:val="00A43DC0"/>
    <w:rsid w:val="00A4425D"/>
    <w:rsid w:val="00A44AA6"/>
    <w:rsid w:val="00A46750"/>
    <w:rsid w:val="00A472E4"/>
    <w:rsid w:val="00A47935"/>
    <w:rsid w:val="00A47BC5"/>
    <w:rsid w:val="00A508BC"/>
    <w:rsid w:val="00A50EF5"/>
    <w:rsid w:val="00A51652"/>
    <w:rsid w:val="00A5220C"/>
    <w:rsid w:val="00A5250B"/>
    <w:rsid w:val="00A52961"/>
    <w:rsid w:val="00A5304E"/>
    <w:rsid w:val="00A534E0"/>
    <w:rsid w:val="00A54717"/>
    <w:rsid w:val="00A54D2B"/>
    <w:rsid w:val="00A54FA2"/>
    <w:rsid w:val="00A55848"/>
    <w:rsid w:val="00A560FC"/>
    <w:rsid w:val="00A56EDC"/>
    <w:rsid w:val="00A5773C"/>
    <w:rsid w:val="00A57A80"/>
    <w:rsid w:val="00A57D3E"/>
    <w:rsid w:val="00A60070"/>
    <w:rsid w:val="00A60AEB"/>
    <w:rsid w:val="00A60BFC"/>
    <w:rsid w:val="00A6148A"/>
    <w:rsid w:val="00A616D0"/>
    <w:rsid w:val="00A618FD"/>
    <w:rsid w:val="00A61BF4"/>
    <w:rsid w:val="00A61CAD"/>
    <w:rsid w:val="00A627A1"/>
    <w:rsid w:val="00A639EE"/>
    <w:rsid w:val="00A64056"/>
    <w:rsid w:val="00A650A1"/>
    <w:rsid w:val="00A6531E"/>
    <w:rsid w:val="00A66AAE"/>
    <w:rsid w:val="00A66FEE"/>
    <w:rsid w:val="00A70BBF"/>
    <w:rsid w:val="00A71BDC"/>
    <w:rsid w:val="00A73201"/>
    <w:rsid w:val="00A745CD"/>
    <w:rsid w:val="00A74D2E"/>
    <w:rsid w:val="00A75CD7"/>
    <w:rsid w:val="00A75F5C"/>
    <w:rsid w:val="00A760D1"/>
    <w:rsid w:val="00A76C8A"/>
    <w:rsid w:val="00A776E5"/>
    <w:rsid w:val="00A80248"/>
    <w:rsid w:val="00A813F3"/>
    <w:rsid w:val="00A81C7B"/>
    <w:rsid w:val="00A81D98"/>
    <w:rsid w:val="00A82F25"/>
    <w:rsid w:val="00A8335B"/>
    <w:rsid w:val="00A84507"/>
    <w:rsid w:val="00A86B37"/>
    <w:rsid w:val="00A87896"/>
    <w:rsid w:val="00A87D48"/>
    <w:rsid w:val="00A904EA"/>
    <w:rsid w:val="00A9056F"/>
    <w:rsid w:val="00A91047"/>
    <w:rsid w:val="00A91A52"/>
    <w:rsid w:val="00A9286B"/>
    <w:rsid w:val="00A92B42"/>
    <w:rsid w:val="00A93121"/>
    <w:rsid w:val="00A95949"/>
    <w:rsid w:val="00A95F99"/>
    <w:rsid w:val="00A972EA"/>
    <w:rsid w:val="00A97877"/>
    <w:rsid w:val="00AA0F2D"/>
    <w:rsid w:val="00AA128F"/>
    <w:rsid w:val="00AA1ECE"/>
    <w:rsid w:val="00AA226E"/>
    <w:rsid w:val="00AA3B4F"/>
    <w:rsid w:val="00AA44BA"/>
    <w:rsid w:val="00AA4A33"/>
    <w:rsid w:val="00AA59F6"/>
    <w:rsid w:val="00AA611F"/>
    <w:rsid w:val="00AA7F8A"/>
    <w:rsid w:val="00AB07B5"/>
    <w:rsid w:val="00AB159A"/>
    <w:rsid w:val="00AB1CED"/>
    <w:rsid w:val="00AB3A43"/>
    <w:rsid w:val="00AB3D8C"/>
    <w:rsid w:val="00AB48C1"/>
    <w:rsid w:val="00AB6AD3"/>
    <w:rsid w:val="00AB6F29"/>
    <w:rsid w:val="00AB74AD"/>
    <w:rsid w:val="00AB7A2F"/>
    <w:rsid w:val="00AC064E"/>
    <w:rsid w:val="00AC06D8"/>
    <w:rsid w:val="00AC0865"/>
    <w:rsid w:val="00AC0C48"/>
    <w:rsid w:val="00AC0C5D"/>
    <w:rsid w:val="00AC157F"/>
    <w:rsid w:val="00AC1D33"/>
    <w:rsid w:val="00AC300D"/>
    <w:rsid w:val="00AC406B"/>
    <w:rsid w:val="00AC5E0E"/>
    <w:rsid w:val="00AC611B"/>
    <w:rsid w:val="00AC6529"/>
    <w:rsid w:val="00AC68F8"/>
    <w:rsid w:val="00AC7DD0"/>
    <w:rsid w:val="00AD0968"/>
    <w:rsid w:val="00AD0AF7"/>
    <w:rsid w:val="00AD0D27"/>
    <w:rsid w:val="00AD2422"/>
    <w:rsid w:val="00AD296F"/>
    <w:rsid w:val="00AD2AD4"/>
    <w:rsid w:val="00AD3665"/>
    <w:rsid w:val="00AD3A02"/>
    <w:rsid w:val="00AD4363"/>
    <w:rsid w:val="00AD4A33"/>
    <w:rsid w:val="00AD4E5D"/>
    <w:rsid w:val="00AD4FF6"/>
    <w:rsid w:val="00AD5109"/>
    <w:rsid w:val="00AD5919"/>
    <w:rsid w:val="00AD6C5D"/>
    <w:rsid w:val="00AE089D"/>
    <w:rsid w:val="00AE11F5"/>
    <w:rsid w:val="00AE14F5"/>
    <w:rsid w:val="00AE18B9"/>
    <w:rsid w:val="00AE237D"/>
    <w:rsid w:val="00AE2F82"/>
    <w:rsid w:val="00AE31BC"/>
    <w:rsid w:val="00AE32FD"/>
    <w:rsid w:val="00AE3994"/>
    <w:rsid w:val="00AE3BE7"/>
    <w:rsid w:val="00AE52B7"/>
    <w:rsid w:val="00AE5703"/>
    <w:rsid w:val="00AE7F09"/>
    <w:rsid w:val="00AF024D"/>
    <w:rsid w:val="00AF07F3"/>
    <w:rsid w:val="00AF08AB"/>
    <w:rsid w:val="00AF190A"/>
    <w:rsid w:val="00AF53F1"/>
    <w:rsid w:val="00AF6CC3"/>
    <w:rsid w:val="00B004F5"/>
    <w:rsid w:val="00B015D3"/>
    <w:rsid w:val="00B017CF"/>
    <w:rsid w:val="00B02AB2"/>
    <w:rsid w:val="00B03C5D"/>
    <w:rsid w:val="00B03D96"/>
    <w:rsid w:val="00B0560B"/>
    <w:rsid w:val="00B056D5"/>
    <w:rsid w:val="00B05A52"/>
    <w:rsid w:val="00B05F6C"/>
    <w:rsid w:val="00B06D57"/>
    <w:rsid w:val="00B07E6A"/>
    <w:rsid w:val="00B10DC2"/>
    <w:rsid w:val="00B129B9"/>
    <w:rsid w:val="00B12BA8"/>
    <w:rsid w:val="00B12C95"/>
    <w:rsid w:val="00B14910"/>
    <w:rsid w:val="00B1506E"/>
    <w:rsid w:val="00B1519A"/>
    <w:rsid w:val="00B15256"/>
    <w:rsid w:val="00B165D1"/>
    <w:rsid w:val="00B20733"/>
    <w:rsid w:val="00B20B03"/>
    <w:rsid w:val="00B21C25"/>
    <w:rsid w:val="00B21EA3"/>
    <w:rsid w:val="00B22EB1"/>
    <w:rsid w:val="00B255B6"/>
    <w:rsid w:val="00B26E41"/>
    <w:rsid w:val="00B30182"/>
    <w:rsid w:val="00B30858"/>
    <w:rsid w:val="00B30E01"/>
    <w:rsid w:val="00B31C9F"/>
    <w:rsid w:val="00B32CAF"/>
    <w:rsid w:val="00B32D06"/>
    <w:rsid w:val="00B33136"/>
    <w:rsid w:val="00B33937"/>
    <w:rsid w:val="00B34DD5"/>
    <w:rsid w:val="00B360BF"/>
    <w:rsid w:val="00B373B8"/>
    <w:rsid w:val="00B377B0"/>
    <w:rsid w:val="00B40957"/>
    <w:rsid w:val="00B40DBE"/>
    <w:rsid w:val="00B41018"/>
    <w:rsid w:val="00B41819"/>
    <w:rsid w:val="00B425AB"/>
    <w:rsid w:val="00B442DD"/>
    <w:rsid w:val="00B4530A"/>
    <w:rsid w:val="00B4606C"/>
    <w:rsid w:val="00B46C36"/>
    <w:rsid w:val="00B4762D"/>
    <w:rsid w:val="00B47E33"/>
    <w:rsid w:val="00B507E7"/>
    <w:rsid w:val="00B515BC"/>
    <w:rsid w:val="00B5439C"/>
    <w:rsid w:val="00B55368"/>
    <w:rsid w:val="00B562E9"/>
    <w:rsid w:val="00B57226"/>
    <w:rsid w:val="00B5775A"/>
    <w:rsid w:val="00B5777D"/>
    <w:rsid w:val="00B57C14"/>
    <w:rsid w:val="00B606DE"/>
    <w:rsid w:val="00B6090F"/>
    <w:rsid w:val="00B60C0C"/>
    <w:rsid w:val="00B610C5"/>
    <w:rsid w:val="00B615CE"/>
    <w:rsid w:val="00B61656"/>
    <w:rsid w:val="00B61956"/>
    <w:rsid w:val="00B63183"/>
    <w:rsid w:val="00B63671"/>
    <w:rsid w:val="00B660A7"/>
    <w:rsid w:val="00B6724C"/>
    <w:rsid w:val="00B6793E"/>
    <w:rsid w:val="00B70D55"/>
    <w:rsid w:val="00B7155F"/>
    <w:rsid w:val="00B7189C"/>
    <w:rsid w:val="00B71D45"/>
    <w:rsid w:val="00B724E0"/>
    <w:rsid w:val="00B7268F"/>
    <w:rsid w:val="00B73251"/>
    <w:rsid w:val="00B74381"/>
    <w:rsid w:val="00B77A62"/>
    <w:rsid w:val="00B77C97"/>
    <w:rsid w:val="00B80AA7"/>
    <w:rsid w:val="00B840A0"/>
    <w:rsid w:val="00B84B9D"/>
    <w:rsid w:val="00B86271"/>
    <w:rsid w:val="00B8682D"/>
    <w:rsid w:val="00B86AC3"/>
    <w:rsid w:val="00B86BFC"/>
    <w:rsid w:val="00B87689"/>
    <w:rsid w:val="00B87B93"/>
    <w:rsid w:val="00B87D01"/>
    <w:rsid w:val="00B90D3F"/>
    <w:rsid w:val="00B9146B"/>
    <w:rsid w:val="00B938B9"/>
    <w:rsid w:val="00B946A8"/>
    <w:rsid w:val="00B94BAA"/>
    <w:rsid w:val="00B95048"/>
    <w:rsid w:val="00B96BC4"/>
    <w:rsid w:val="00B96FB7"/>
    <w:rsid w:val="00B97173"/>
    <w:rsid w:val="00B97B88"/>
    <w:rsid w:val="00BA02B8"/>
    <w:rsid w:val="00BA082B"/>
    <w:rsid w:val="00BA21D1"/>
    <w:rsid w:val="00BA2828"/>
    <w:rsid w:val="00BA2BC8"/>
    <w:rsid w:val="00BA457B"/>
    <w:rsid w:val="00BA4705"/>
    <w:rsid w:val="00BA62AA"/>
    <w:rsid w:val="00BA63DA"/>
    <w:rsid w:val="00BA6483"/>
    <w:rsid w:val="00BA7236"/>
    <w:rsid w:val="00BA7888"/>
    <w:rsid w:val="00BB1041"/>
    <w:rsid w:val="00BB112F"/>
    <w:rsid w:val="00BB2272"/>
    <w:rsid w:val="00BB2295"/>
    <w:rsid w:val="00BB2CD6"/>
    <w:rsid w:val="00BB3202"/>
    <w:rsid w:val="00BB3E04"/>
    <w:rsid w:val="00BB411F"/>
    <w:rsid w:val="00BB4EDD"/>
    <w:rsid w:val="00BB4FBD"/>
    <w:rsid w:val="00BB546B"/>
    <w:rsid w:val="00BB7779"/>
    <w:rsid w:val="00BB7E14"/>
    <w:rsid w:val="00BC023C"/>
    <w:rsid w:val="00BC0AE1"/>
    <w:rsid w:val="00BC1FA4"/>
    <w:rsid w:val="00BC20EA"/>
    <w:rsid w:val="00BC257A"/>
    <w:rsid w:val="00BC26A1"/>
    <w:rsid w:val="00BC3906"/>
    <w:rsid w:val="00BC3C36"/>
    <w:rsid w:val="00BC3C72"/>
    <w:rsid w:val="00BC3D85"/>
    <w:rsid w:val="00BC40DA"/>
    <w:rsid w:val="00BC42CD"/>
    <w:rsid w:val="00BC4E4C"/>
    <w:rsid w:val="00BC7879"/>
    <w:rsid w:val="00BD00A1"/>
    <w:rsid w:val="00BD0ECE"/>
    <w:rsid w:val="00BD14A3"/>
    <w:rsid w:val="00BD1853"/>
    <w:rsid w:val="00BD1A10"/>
    <w:rsid w:val="00BD214E"/>
    <w:rsid w:val="00BD3066"/>
    <w:rsid w:val="00BD36BD"/>
    <w:rsid w:val="00BD3A95"/>
    <w:rsid w:val="00BD4AD8"/>
    <w:rsid w:val="00BD4C19"/>
    <w:rsid w:val="00BD4F6E"/>
    <w:rsid w:val="00BD5413"/>
    <w:rsid w:val="00BD5637"/>
    <w:rsid w:val="00BE0020"/>
    <w:rsid w:val="00BE0053"/>
    <w:rsid w:val="00BE0153"/>
    <w:rsid w:val="00BE0D80"/>
    <w:rsid w:val="00BE16A8"/>
    <w:rsid w:val="00BE1BEC"/>
    <w:rsid w:val="00BE1DA3"/>
    <w:rsid w:val="00BE3618"/>
    <w:rsid w:val="00BE3707"/>
    <w:rsid w:val="00BE3A46"/>
    <w:rsid w:val="00BE471C"/>
    <w:rsid w:val="00BE4A7D"/>
    <w:rsid w:val="00BE4DB6"/>
    <w:rsid w:val="00BE5697"/>
    <w:rsid w:val="00BE660A"/>
    <w:rsid w:val="00BE66C2"/>
    <w:rsid w:val="00BE765C"/>
    <w:rsid w:val="00BE788C"/>
    <w:rsid w:val="00BE7C94"/>
    <w:rsid w:val="00BE7EE6"/>
    <w:rsid w:val="00BE7F27"/>
    <w:rsid w:val="00BF1164"/>
    <w:rsid w:val="00BF2820"/>
    <w:rsid w:val="00BF28D9"/>
    <w:rsid w:val="00BF347F"/>
    <w:rsid w:val="00BF4B2D"/>
    <w:rsid w:val="00BF5DCD"/>
    <w:rsid w:val="00BF63AE"/>
    <w:rsid w:val="00BF799B"/>
    <w:rsid w:val="00BF7F1D"/>
    <w:rsid w:val="00C008C5"/>
    <w:rsid w:val="00C01DD6"/>
    <w:rsid w:val="00C029F1"/>
    <w:rsid w:val="00C030A9"/>
    <w:rsid w:val="00C03605"/>
    <w:rsid w:val="00C047CA"/>
    <w:rsid w:val="00C0587C"/>
    <w:rsid w:val="00C05945"/>
    <w:rsid w:val="00C0744E"/>
    <w:rsid w:val="00C11F62"/>
    <w:rsid w:val="00C12C64"/>
    <w:rsid w:val="00C12F0E"/>
    <w:rsid w:val="00C14F8A"/>
    <w:rsid w:val="00C1644C"/>
    <w:rsid w:val="00C16592"/>
    <w:rsid w:val="00C166B5"/>
    <w:rsid w:val="00C21770"/>
    <w:rsid w:val="00C21AF7"/>
    <w:rsid w:val="00C220C0"/>
    <w:rsid w:val="00C23E1B"/>
    <w:rsid w:val="00C24B70"/>
    <w:rsid w:val="00C25F06"/>
    <w:rsid w:val="00C26FD9"/>
    <w:rsid w:val="00C27062"/>
    <w:rsid w:val="00C30D3D"/>
    <w:rsid w:val="00C31384"/>
    <w:rsid w:val="00C3138F"/>
    <w:rsid w:val="00C3206D"/>
    <w:rsid w:val="00C32E34"/>
    <w:rsid w:val="00C334EA"/>
    <w:rsid w:val="00C34293"/>
    <w:rsid w:val="00C34CDA"/>
    <w:rsid w:val="00C3728D"/>
    <w:rsid w:val="00C373A5"/>
    <w:rsid w:val="00C37CED"/>
    <w:rsid w:val="00C4054F"/>
    <w:rsid w:val="00C42136"/>
    <w:rsid w:val="00C424CA"/>
    <w:rsid w:val="00C42862"/>
    <w:rsid w:val="00C431F6"/>
    <w:rsid w:val="00C4352F"/>
    <w:rsid w:val="00C43595"/>
    <w:rsid w:val="00C45563"/>
    <w:rsid w:val="00C460A4"/>
    <w:rsid w:val="00C464F0"/>
    <w:rsid w:val="00C46CAE"/>
    <w:rsid w:val="00C477EB"/>
    <w:rsid w:val="00C47DFA"/>
    <w:rsid w:val="00C47EB6"/>
    <w:rsid w:val="00C5110F"/>
    <w:rsid w:val="00C51F93"/>
    <w:rsid w:val="00C525E4"/>
    <w:rsid w:val="00C5334D"/>
    <w:rsid w:val="00C53741"/>
    <w:rsid w:val="00C55469"/>
    <w:rsid w:val="00C567C2"/>
    <w:rsid w:val="00C56C39"/>
    <w:rsid w:val="00C57E83"/>
    <w:rsid w:val="00C60019"/>
    <w:rsid w:val="00C6037D"/>
    <w:rsid w:val="00C61512"/>
    <w:rsid w:val="00C63169"/>
    <w:rsid w:val="00C635EA"/>
    <w:rsid w:val="00C63CBA"/>
    <w:rsid w:val="00C63FAA"/>
    <w:rsid w:val="00C64931"/>
    <w:rsid w:val="00C64FD5"/>
    <w:rsid w:val="00C65548"/>
    <w:rsid w:val="00C65ED8"/>
    <w:rsid w:val="00C66E3D"/>
    <w:rsid w:val="00C67591"/>
    <w:rsid w:val="00C6776A"/>
    <w:rsid w:val="00C701EA"/>
    <w:rsid w:val="00C70622"/>
    <w:rsid w:val="00C70FE3"/>
    <w:rsid w:val="00C71E57"/>
    <w:rsid w:val="00C72197"/>
    <w:rsid w:val="00C72233"/>
    <w:rsid w:val="00C725E8"/>
    <w:rsid w:val="00C72A0D"/>
    <w:rsid w:val="00C72ADC"/>
    <w:rsid w:val="00C75032"/>
    <w:rsid w:val="00C77929"/>
    <w:rsid w:val="00C8063D"/>
    <w:rsid w:val="00C818A0"/>
    <w:rsid w:val="00C83CFE"/>
    <w:rsid w:val="00C84716"/>
    <w:rsid w:val="00C85D1D"/>
    <w:rsid w:val="00C864BD"/>
    <w:rsid w:val="00C87DE8"/>
    <w:rsid w:val="00C90D9F"/>
    <w:rsid w:val="00C913AA"/>
    <w:rsid w:val="00C91603"/>
    <w:rsid w:val="00C91A38"/>
    <w:rsid w:val="00C92EC9"/>
    <w:rsid w:val="00C93499"/>
    <w:rsid w:val="00C953F0"/>
    <w:rsid w:val="00C956A0"/>
    <w:rsid w:val="00C95B12"/>
    <w:rsid w:val="00C96C23"/>
    <w:rsid w:val="00CA0B8C"/>
    <w:rsid w:val="00CA0DAF"/>
    <w:rsid w:val="00CA1813"/>
    <w:rsid w:val="00CA1EAA"/>
    <w:rsid w:val="00CA22AD"/>
    <w:rsid w:val="00CA2A5D"/>
    <w:rsid w:val="00CA3A83"/>
    <w:rsid w:val="00CA3B9D"/>
    <w:rsid w:val="00CA4154"/>
    <w:rsid w:val="00CA4D88"/>
    <w:rsid w:val="00CA57F7"/>
    <w:rsid w:val="00CB0098"/>
    <w:rsid w:val="00CB2498"/>
    <w:rsid w:val="00CB2ABB"/>
    <w:rsid w:val="00CB306B"/>
    <w:rsid w:val="00CB33EC"/>
    <w:rsid w:val="00CB3DE9"/>
    <w:rsid w:val="00CB4BE2"/>
    <w:rsid w:val="00CB4D6A"/>
    <w:rsid w:val="00CB5B3A"/>
    <w:rsid w:val="00CB6006"/>
    <w:rsid w:val="00CB6A63"/>
    <w:rsid w:val="00CB775E"/>
    <w:rsid w:val="00CB7BF2"/>
    <w:rsid w:val="00CC00DC"/>
    <w:rsid w:val="00CC0328"/>
    <w:rsid w:val="00CC05C1"/>
    <w:rsid w:val="00CC06E2"/>
    <w:rsid w:val="00CC09BD"/>
    <w:rsid w:val="00CC0F4B"/>
    <w:rsid w:val="00CC1ADA"/>
    <w:rsid w:val="00CC322E"/>
    <w:rsid w:val="00CC4D59"/>
    <w:rsid w:val="00CC5DEB"/>
    <w:rsid w:val="00CC6088"/>
    <w:rsid w:val="00CC6A0F"/>
    <w:rsid w:val="00CC6CFB"/>
    <w:rsid w:val="00CC7CBC"/>
    <w:rsid w:val="00CD060D"/>
    <w:rsid w:val="00CD143B"/>
    <w:rsid w:val="00CD1E76"/>
    <w:rsid w:val="00CD3C3A"/>
    <w:rsid w:val="00CD3F49"/>
    <w:rsid w:val="00CD4A71"/>
    <w:rsid w:val="00CD4EEB"/>
    <w:rsid w:val="00CD61CC"/>
    <w:rsid w:val="00CD6384"/>
    <w:rsid w:val="00CD642D"/>
    <w:rsid w:val="00CD65CC"/>
    <w:rsid w:val="00CD6D9C"/>
    <w:rsid w:val="00CD75BB"/>
    <w:rsid w:val="00CD78D6"/>
    <w:rsid w:val="00CD79AE"/>
    <w:rsid w:val="00CE03CC"/>
    <w:rsid w:val="00CE33B4"/>
    <w:rsid w:val="00CE5466"/>
    <w:rsid w:val="00CE5874"/>
    <w:rsid w:val="00CE5BDD"/>
    <w:rsid w:val="00CE66D1"/>
    <w:rsid w:val="00CE6A5E"/>
    <w:rsid w:val="00CF0E13"/>
    <w:rsid w:val="00CF122B"/>
    <w:rsid w:val="00CF259B"/>
    <w:rsid w:val="00CF278F"/>
    <w:rsid w:val="00CF3EAE"/>
    <w:rsid w:val="00CF403E"/>
    <w:rsid w:val="00CF43EB"/>
    <w:rsid w:val="00CF49F1"/>
    <w:rsid w:val="00CF4A04"/>
    <w:rsid w:val="00CF5B1B"/>
    <w:rsid w:val="00CF6AFC"/>
    <w:rsid w:val="00CF6CF5"/>
    <w:rsid w:val="00D00E5C"/>
    <w:rsid w:val="00D00F72"/>
    <w:rsid w:val="00D0151A"/>
    <w:rsid w:val="00D021E8"/>
    <w:rsid w:val="00D02F18"/>
    <w:rsid w:val="00D03314"/>
    <w:rsid w:val="00D03487"/>
    <w:rsid w:val="00D051E5"/>
    <w:rsid w:val="00D06243"/>
    <w:rsid w:val="00D06BB8"/>
    <w:rsid w:val="00D07509"/>
    <w:rsid w:val="00D07A8A"/>
    <w:rsid w:val="00D11305"/>
    <w:rsid w:val="00D114A6"/>
    <w:rsid w:val="00D135DD"/>
    <w:rsid w:val="00D1442C"/>
    <w:rsid w:val="00D14EAC"/>
    <w:rsid w:val="00D14FB0"/>
    <w:rsid w:val="00D1561E"/>
    <w:rsid w:val="00D171F9"/>
    <w:rsid w:val="00D202E2"/>
    <w:rsid w:val="00D209B4"/>
    <w:rsid w:val="00D21802"/>
    <w:rsid w:val="00D21CF0"/>
    <w:rsid w:val="00D2264D"/>
    <w:rsid w:val="00D2314E"/>
    <w:rsid w:val="00D232E4"/>
    <w:rsid w:val="00D239D5"/>
    <w:rsid w:val="00D23E02"/>
    <w:rsid w:val="00D23EC5"/>
    <w:rsid w:val="00D24165"/>
    <w:rsid w:val="00D24BBF"/>
    <w:rsid w:val="00D24BCD"/>
    <w:rsid w:val="00D25E47"/>
    <w:rsid w:val="00D26750"/>
    <w:rsid w:val="00D26BD9"/>
    <w:rsid w:val="00D30E5F"/>
    <w:rsid w:val="00D33A9F"/>
    <w:rsid w:val="00D33CE0"/>
    <w:rsid w:val="00D3478D"/>
    <w:rsid w:val="00D353AA"/>
    <w:rsid w:val="00D35C26"/>
    <w:rsid w:val="00D37163"/>
    <w:rsid w:val="00D376AB"/>
    <w:rsid w:val="00D37826"/>
    <w:rsid w:val="00D4075F"/>
    <w:rsid w:val="00D40C87"/>
    <w:rsid w:val="00D40D3E"/>
    <w:rsid w:val="00D410B9"/>
    <w:rsid w:val="00D42012"/>
    <w:rsid w:val="00D43218"/>
    <w:rsid w:val="00D434B6"/>
    <w:rsid w:val="00D440B9"/>
    <w:rsid w:val="00D4416E"/>
    <w:rsid w:val="00D44EA1"/>
    <w:rsid w:val="00D4551C"/>
    <w:rsid w:val="00D45CAB"/>
    <w:rsid w:val="00D45EFA"/>
    <w:rsid w:val="00D46FCB"/>
    <w:rsid w:val="00D47413"/>
    <w:rsid w:val="00D511A9"/>
    <w:rsid w:val="00D5133E"/>
    <w:rsid w:val="00D51471"/>
    <w:rsid w:val="00D51912"/>
    <w:rsid w:val="00D51F7B"/>
    <w:rsid w:val="00D52094"/>
    <w:rsid w:val="00D526C7"/>
    <w:rsid w:val="00D52E7B"/>
    <w:rsid w:val="00D53BC5"/>
    <w:rsid w:val="00D543C0"/>
    <w:rsid w:val="00D54644"/>
    <w:rsid w:val="00D609D3"/>
    <w:rsid w:val="00D61E2A"/>
    <w:rsid w:val="00D62881"/>
    <w:rsid w:val="00D62988"/>
    <w:rsid w:val="00D633FE"/>
    <w:rsid w:val="00D634ED"/>
    <w:rsid w:val="00D63F82"/>
    <w:rsid w:val="00D646AA"/>
    <w:rsid w:val="00D64BC4"/>
    <w:rsid w:val="00D65FCA"/>
    <w:rsid w:val="00D709ED"/>
    <w:rsid w:val="00D7140F"/>
    <w:rsid w:val="00D71A1D"/>
    <w:rsid w:val="00D71FA2"/>
    <w:rsid w:val="00D72B2A"/>
    <w:rsid w:val="00D72E87"/>
    <w:rsid w:val="00D72F3A"/>
    <w:rsid w:val="00D72FB9"/>
    <w:rsid w:val="00D732BB"/>
    <w:rsid w:val="00D75D1E"/>
    <w:rsid w:val="00D76707"/>
    <w:rsid w:val="00D76777"/>
    <w:rsid w:val="00D769F4"/>
    <w:rsid w:val="00D80587"/>
    <w:rsid w:val="00D80E3B"/>
    <w:rsid w:val="00D81070"/>
    <w:rsid w:val="00D81A30"/>
    <w:rsid w:val="00D8203B"/>
    <w:rsid w:val="00D820C4"/>
    <w:rsid w:val="00D828CA"/>
    <w:rsid w:val="00D83808"/>
    <w:rsid w:val="00D83D8C"/>
    <w:rsid w:val="00D841F4"/>
    <w:rsid w:val="00D8487C"/>
    <w:rsid w:val="00D84B14"/>
    <w:rsid w:val="00D85404"/>
    <w:rsid w:val="00D8573E"/>
    <w:rsid w:val="00D858BA"/>
    <w:rsid w:val="00D870E3"/>
    <w:rsid w:val="00D901C4"/>
    <w:rsid w:val="00D903AE"/>
    <w:rsid w:val="00D90749"/>
    <w:rsid w:val="00D90DC6"/>
    <w:rsid w:val="00D915A4"/>
    <w:rsid w:val="00D9310E"/>
    <w:rsid w:val="00D935B2"/>
    <w:rsid w:val="00D93FEB"/>
    <w:rsid w:val="00D94BDB"/>
    <w:rsid w:val="00D94CD5"/>
    <w:rsid w:val="00D96FB4"/>
    <w:rsid w:val="00D973FC"/>
    <w:rsid w:val="00D97AEE"/>
    <w:rsid w:val="00DA0884"/>
    <w:rsid w:val="00DA0C25"/>
    <w:rsid w:val="00DA1151"/>
    <w:rsid w:val="00DA1FEA"/>
    <w:rsid w:val="00DA322D"/>
    <w:rsid w:val="00DA39A3"/>
    <w:rsid w:val="00DA4C51"/>
    <w:rsid w:val="00DA4D6A"/>
    <w:rsid w:val="00DA5917"/>
    <w:rsid w:val="00DA72AC"/>
    <w:rsid w:val="00DA77EF"/>
    <w:rsid w:val="00DA7F69"/>
    <w:rsid w:val="00DB035F"/>
    <w:rsid w:val="00DB1B6A"/>
    <w:rsid w:val="00DB21FC"/>
    <w:rsid w:val="00DB27D2"/>
    <w:rsid w:val="00DB282C"/>
    <w:rsid w:val="00DB2ED7"/>
    <w:rsid w:val="00DB33BC"/>
    <w:rsid w:val="00DB38BC"/>
    <w:rsid w:val="00DB3F77"/>
    <w:rsid w:val="00DB4BDD"/>
    <w:rsid w:val="00DB4F11"/>
    <w:rsid w:val="00DB565C"/>
    <w:rsid w:val="00DB5CE3"/>
    <w:rsid w:val="00DB7525"/>
    <w:rsid w:val="00DB7938"/>
    <w:rsid w:val="00DC00F8"/>
    <w:rsid w:val="00DC0DD4"/>
    <w:rsid w:val="00DC1DA8"/>
    <w:rsid w:val="00DC1DF2"/>
    <w:rsid w:val="00DC1E40"/>
    <w:rsid w:val="00DC2406"/>
    <w:rsid w:val="00DC2AEE"/>
    <w:rsid w:val="00DC2F10"/>
    <w:rsid w:val="00DC5ED5"/>
    <w:rsid w:val="00DC7DD7"/>
    <w:rsid w:val="00DC7FDB"/>
    <w:rsid w:val="00DD0163"/>
    <w:rsid w:val="00DD057D"/>
    <w:rsid w:val="00DD0815"/>
    <w:rsid w:val="00DD09E1"/>
    <w:rsid w:val="00DD14C4"/>
    <w:rsid w:val="00DD1BDE"/>
    <w:rsid w:val="00DD2E32"/>
    <w:rsid w:val="00DD39AB"/>
    <w:rsid w:val="00DD3A53"/>
    <w:rsid w:val="00DD3CDF"/>
    <w:rsid w:val="00DD4B11"/>
    <w:rsid w:val="00DD4EE6"/>
    <w:rsid w:val="00DD5167"/>
    <w:rsid w:val="00DD519B"/>
    <w:rsid w:val="00DD5B09"/>
    <w:rsid w:val="00DD6D81"/>
    <w:rsid w:val="00DD72BE"/>
    <w:rsid w:val="00DE35ED"/>
    <w:rsid w:val="00DE5B7F"/>
    <w:rsid w:val="00DE7952"/>
    <w:rsid w:val="00DF0A5C"/>
    <w:rsid w:val="00DF0FE0"/>
    <w:rsid w:val="00DF1A4D"/>
    <w:rsid w:val="00DF2183"/>
    <w:rsid w:val="00DF22CD"/>
    <w:rsid w:val="00DF2DA1"/>
    <w:rsid w:val="00DF3113"/>
    <w:rsid w:val="00DF685E"/>
    <w:rsid w:val="00DF6A57"/>
    <w:rsid w:val="00DF6DC7"/>
    <w:rsid w:val="00DF7244"/>
    <w:rsid w:val="00DF7414"/>
    <w:rsid w:val="00DF7790"/>
    <w:rsid w:val="00E0027C"/>
    <w:rsid w:val="00E00C40"/>
    <w:rsid w:val="00E00CE3"/>
    <w:rsid w:val="00E01417"/>
    <w:rsid w:val="00E016C8"/>
    <w:rsid w:val="00E01C1E"/>
    <w:rsid w:val="00E01D4E"/>
    <w:rsid w:val="00E01F73"/>
    <w:rsid w:val="00E02AA8"/>
    <w:rsid w:val="00E0363A"/>
    <w:rsid w:val="00E03713"/>
    <w:rsid w:val="00E03E1A"/>
    <w:rsid w:val="00E04783"/>
    <w:rsid w:val="00E04CD6"/>
    <w:rsid w:val="00E054AE"/>
    <w:rsid w:val="00E11038"/>
    <w:rsid w:val="00E11408"/>
    <w:rsid w:val="00E12DDF"/>
    <w:rsid w:val="00E13636"/>
    <w:rsid w:val="00E141AB"/>
    <w:rsid w:val="00E142DF"/>
    <w:rsid w:val="00E1491A"/>
    <w:rsid w:val="00E14A23"/>
    <w:rsid w:val="00E151E6"/>
    <w:rsid w:val="00E155E1"/>
    <w:rsid w:val="00E179C4"/>
    <w:rsid w:val="00E17CEC"/>
    <w:rsid w:val="00E20D60"/>
    <w:rsid w:val="00E21444"/>
    <w:rsid w:val="00E21995"/>
    <w:rsid w:val="00E2454D"/>
    <w:rsid w:val="00E25172"/>
    <w:rsid w:val="00E26A5B"/>
    <w:rsid w:val="00E27C2F"/>
    <w:rsid w:val="00E317F3"/>
    <w:rsid w:val="00E31F37"/>
    <w:rsid w:val="00E32271"/>
    <w:rsid w:val="00E322A7"/>
    <w:rsid w:val="00E32908"/>
    <w:rsid w:val="00E330E6"/>
    <w:rsid w:val="00E33F94"/>
    <w:rsid w:val="00E34000"/>
    <w:rsid w:val="00E34EF1"/>
    <w:rsid w:val="00E35D5A"/>
    <w:rsid w:val="00E3733E"/>
    <w:rsid w:val="00E400DE"/>
    <w:rsid w:val="00E40113"/>
    <w:rsid w:val="00E4153D"/>
    <w:rsid w:val="00E41D2B"/>
    <w:rsid w:val="00E42B36"/>
    <w:rsid w:val="00E43E52"/>
    <w:rsid w:val="00E44703"/>
    <w:rsid w:val="00E4472A"/>
    <w:rsid w:val="00E453CB"/>
    <w:rsid w:val="00E45A7D"/>
    <w:rsid w:val="00E46EAB"/>
    <w:rsid w:val="00E50743"/>
    <w:rsid w:val="00E50884"/>
    <w:rsid w:val="00E50B96"/>
    <w:rsid w:val="00E513C3"/>
    <w:rsid w:val="00E52D81"/>
    <w:rsid w:val="00E52E22"/>
    <w:rsid w:val="00E5336F"/>
    <w:rsid w:val="00E56D9F"/>
    <w:rsid w:val="00E57657"/>
    <w:rsid w:val="00E600EB"/>
    <w:rsid w:val="00E6083E"/>
    <w:rsid w:val="00E61F28"/>
    <w:rsid w:val="00E620FC"/>
    <w:rsid w:val="00E630D2"/>
    <w:rsid w:val="00E674AE"/>
    <w:rsid w:val="00E67FBE"/>
    <w:rsid w:val="00E702EC"/>
    <w:rsid w:val="00E71265"/>
    <w:rsid w:val="00E7150E"/>
    <w:rsid w:val="00E71C24"/>
    <w:rsid w:val="00E7237A"/>
    <w:rsid w:val="00E7254F"/>
    <w:rsid w:val="00E727AA"/>
    <w:rsid w:val="00E72F62"/>
    <w:rsid w:val="00E732F6"/>
    <w:rsid w:val="00E73E48"/>
    <w:rsid w:val="00E74EBD"/>
    <w:rsid w:val="00E76980"/>
    <w:rsid w:val="00E771D0"/>
    <w:rsid w:val="00E805E4"/>
    <w:rsid w:val="00E80940"/>
    <w:rsid w:val="00E81944"/>
    <w:rsid w:val="00E829E7"/>
    <w:rsid w:val="00E83121"/>
    <w:rsid w:val="00E83B4C"/>
    <w:rsid w:val="00E85B36"/>
    <w:rsid w:val="00E86EF3"/>
    <w:rsid w:val="00E86F8A"/>
    <w:rsid w:val="00E876D9"/>
    <w:rsid w:val="00E90D72"/>
    <w:rsid w:val="00E9151C"/>
    <w:rsid w:val="00E9273F"/>
    <w:rsid w:val="00E92A97"/>
    <w:rsid w:val="00E92B71"/>
    <w:rsid w:val="00E92DE5"/>
    <w:rsid w:val="00E937A6"/>
    <w:rsid w:val="00E93A01"/>
    <w:rsid w:val="00E94770"/>
    <w:rsid w:val="00E94D79"/>
    <w:rsid w:val="00E96722"/>
    <w:rsid w:val="00E96A2F"/>
    <w:rsid w:val="00E97A33"/>
    <w:rsid w:val="00E97C3D"/>
    <w:rsid w:val="00EA0B96"/>
    <w:rsid w:val="00EA0BD1"/>
    <w:rsid w:val="00EA1B1C"/>
    <w:rsid w:val="00EA1BB0"/>
    <w:rsid w:val="00EA33E5"/>
    <w:rsid w:val="00EA369B"/>
    <w:rsid w:val="00EA48A0"/>
    <w:rsid w:val="00EA4E81"/>
    <w:rsid w:val="00EA4F11"/>
    <w:rsid w:val="00EA569C"/>
    <w:rsid w:val="00EA6729"/>
    <w:rsid w:val="00EA72D0"/>
    <w:rsid w:val="00EB057D"/>
    <w:rsid w:val="00EB4179"/>
    <w:rsid w:val="00EB5225"/>
    <w:rsid w:val="00EB5540"/>
    <w:rsid w:val="00EB7970"/>
    <w:rsid w:val="00EB7B28"/>
    <w:rsid w:val="00EC0173"/>
    <w:rsid w:val="00EC1734"/>
    <w:rsid w:val="00EC23F2"/>
    <w:rsid w:val="00EC2942"/>
    <w:rsid w:val="00EC4D76"/>
    <w:rsid w:val="00EC5328"/>
    <w:rsid w:val="00EC54E4"/>
    <w:rsid w:val="00EC55E0"/>
    <w:rsid w:val="00EC7886"/>
    <w:rsid w:val="00EC79F3"/>
    <w:rsid w:val="00EC7B1B"/>
    <w:rsid w:val="00ED0BF9"/>
    <w:rsid w:val="00ED195C"/>
    <w:rsid w:val="00ED20AF"/>
    <w:rsid w:val="00ED2293"/>
    <w:rsid w:val="00ED2F73"/>
    <w:rsid w:val="00ED3144"/>
    <w:rsid w:val="00ED35CA"/>
    <w:rsid w:val="00ED3650"/>
    <w:rsid w:val="00ED3AAC"/>
    <w:rsid w:val="00ED52F1"/>
    <w:rsid w:val="00ED5A53"/>
    <w:rsid w:val="00ED6424"/>
    <w:rsid w:val="00ED6B03"/>
    <w:rsid w:val="00ED6E48"/>
    <w:rsid w:val="00ED6EDC"/>
    <w:rsid w:val="00ED7436"/>
    <w:rsid w:val="00EE19AE"/>
    <w:rsid w:val="00EE22A5"/>
    <w:rsid w:val="00EE256B"/>
    <w:rsid w:val="00EE2C15"/>
    <w:rsid w:val="00EE46A5"/>
    <w:rsid w:val="00EE6012"/>
    <w:rsid w:val="00EE640E"/>
    <w:rsid w:val="00EE64A1"/>
    <w:rsid w:val="00EE6C26"/>
    <w:rsid w:val="00EE6C75"/>
    <w:rsid w:val="00EE7CC4"/>
    <w:rsid w:val="00EE7FA2"/>
    <w:rsid w:val="00EF001C"/>
    <w:rsid w:val="00EF1B4D"/>
    <w:rsid w:val="00EF1F1F"/>
    <w:rsid w:val="00EF21FC"/>
    <w:rsid w:val="00EF37BF"/>
    <w:rsid w:val="00EF3BE1"/>
    <w:rsid w:val="00EF582F"/>
    <w:rsid w:val="00EF63A2"/>
    <w:rsid w:val="00EF6569"/>
    <w:rsid w:val="00EF6B73"/>
    <w:rsid w:val="00EF7907"/>
    <w:rsid w:val="00EF7EBF"/>
    <w:rsid w:val="00F00BDF"/>
    <w:rsid w:val="00F00BFC"/>
    <w:rsid w:val="00F024F3"/>
    <w:rsid w:val="00F02609"/>
    <w:rsid w:val="00F0428A"/>
    <w:rsid w:val="00F049E2"/>
    <w:rsid w:val="00F04F68"/>
    <w:rsid w:val="00F06191"/>
    <w:rsid w:val="00F06C2B"/>
    <w:rsid w:val="00F06D64"/>
    <w:rsid w:val="00F06DBE"/>
    <w:rsid w:val="00F06E69"/>
    <w:rsid w:val="00F07843"/>
    <w:rsid w:val="00F07E65"/>
    <w:rsid w:val="00F1073F"/>
    <w:rsid w:val="00F107F6"/>
    <w:rsid w:val="00F1101F"/>
    <w:rsid w:val="00F13F7F"/>
    <w:rsid w:val="00F143E5"/>
    <w:rsid w:val="00F14BD7"/>
    <w:rsid w:val="00F14C80"/>
    <w:rsid w:val="00F151A1"/>
    <w:rsid w:val="00F158E0"/>
    <w:rsid w:val="00F200EB"/>
    <w:rsid w:val="00F200F9"/>
    <w:rsid w:val="00F205BB"/>
    <w:rsid w:val="00F221D4"/>
    <w:rsid w:val="00F227A4"/>
    <w:rsid w:val="00F22DD8"/>
    <w:rsid w:val="00F237F4"/>
    <w:rsid w:val="00F2446D"/>
    <w:rsid w:val="00F24A87"/>
    <w:rsid w:val="00F250BC"/>
    <w:rsid w:val="00F254F5"/>
    <w:rsid w:val="00F266AC"/>
    <w:rsid w:val="00F26BC0"/>
    <w:rsid w:val="00F26D39"/>
    <w:rsid w:val="00F27DC6"/>
    <w:rsid w:val="00F30CDC"/>
    <w:rsid w:val="00F30D8A"/>
    <w:rsid w:val="00F32923"/>
    <w:rsid w:val="00F32E8A"/>
    <w:rsid w:val="00F330F1"/>
    <w:rsid w:val="00F34B32"/>
    <w:rsid w:val="00F35067"/>
    <w:rsid w:val="00F3538F"/>
    <w:rsid w:val="00F35B56"/>
    <w:rsid w:val="00F36985"/>
    <w:rsid w:val="00F41234"/>
    <w:rsid w:val="00F4290F"/>
    <w:rsid w:val="00F42A82"/>
    <w:rsid w:val="00F43576"/>
    <w:rsid w:val="00F4379E"/>
    <w:rsid w:val="00F440A8"/>
    <w:rsid w:val="00F44119"/>
    <w:rsid w:val="00F443A5"/>
    <w:rsid w:val="00F45727"/>
    <w:rsid w:val="00F45829"/>
    <w:rsid w:val="00F46D3A"/>
    <w:rsid w:val="00F46EC6"/>
    <w:rsid w:val="00F4703B"/>
    <w:rsid w:val="00F47270"/>
    <w:rsid w:val="00F47D28"/>
    <w:rsid w:val="00F47F04"/>
    <w:rsid w:val="00F47F52"/>
    <w:rsid w:val="00F530A0"/>
    <w:rsid w:val="00F54C97"/>
    <w:rsid w:val="00F5637C"/>
    <w:rsid w:val="00F57524"/>
    <w:rsid w:val="00F57637"/>
    <w:rsid w:val="00F5779C"/>
    <w:rsid w:val="00F618C9"/>
    <w:rsid w:val="00F61C96"/>
    <w:rsid w:val="00F62D76"/>
    <w:rsid w:val="00F63035"/>
    <w:rsid w:val="00F636B7"/>
    <w:rsid w:val="00F6492C"/>
    <w:rsid w:val="00F64AC9"/>
    <w:rsid w:val="00F656A8"/>
    <w:rsid w:val="00F702AC"/>
    <w:rsid w:val="00F70F6B"/>
    <w:rsid w:val="00F71175"/>
    <w:rsid w:val="00F725AC"/>
    <w:rsid w:val="00F73244"/>
    <w:rsid w:val="00F739CA"/>
    <w:rsid w:val="00F74894"/>
    <w:rsid w:val="00F75807"/>
    <w:rsid w:val="00F75D57"/>
    <w:rsid w:val="00F769C4"/>
    <w:rsid w:val="00F76A8C"/>
    <w:rsid w:val="00F7702A"/>
    <w:rsid w:val="00F77B28"/>
    <w:rsid w:val="00F8010B"/>
    <w:rsid w:val="00F80AB0"/>
    <w:rsid w:val="00F80FBA"/>
    <w:rsid w:val="00F81910"/>
    <w:rsid w:val="00F8269F"/>
    <w:rsid w:val="00F8276D"/>
    <w:rsid w:val="00F83760"/>
    <w:rsid w:val="00F83DB3"/>
    <w:rsid w:val="00F85610"/>
    <w:rsid w:val="00F85AC6"/>
    <w:rsid w:val="00F85B99"/>
    <w:rsid w:val="00F85FB3"/>
    <w:rsid w:val="00F86113"/>
    <w:rsid w:val="00F86955"/>
    <w:rsid w:val="00F86EDA"/>
    <w:rsid w:val="00F90057"/>
    <w:rsid w:val="00F9074B"/>
    <w:rsid w:val="00F91BD1"/>
    <w:rsid w:val="00F93703"/>
    <w:rsid w:val="00F93870"/>
    <w:rsid w:val="00F93ABF"/>
    <w:rsid w:val="00F955FB"/>
    <w:rsid w:val="00F95947"/>
    <w:rsid w:val="00F95C8C"/>
    <w:rsid w:val="00F97FD3"/>
    <w:rsid w:val="00FA08E3"/>
    <w:rsid w:val="00FA0ACB"/>
    <w:rsid w:val="00FA0B32"/>
    <w:rsid w:val="00FA227F"/>
    <w:rsid w:val="00FA325E"/>
    <w:rsid w:val="00FA3493"/>
    <w:rsid w:val="00FA35D7"/>
    <w:rsid w:val="00FA3792"/>
    <w:rsid w:val="00FA3A50"/>
    <w:rsid w:val="00FA3BB2"/>
    <w:rsid w:val="00FA3F58"/>
    <w:rsid w:val="00FA3F61"/>
    <w:rsid w:val="00FA4EBB"/>
    <w:rsid w:val="00FA4FED"/>
    <w:rsid w:val="00FA50D3"/>
    <w:rsid w:val="00FA52FB"/>
    <w:rsid w:val="00FA6A9A"/>
    <w:rsid w:val="00FA7FC6"/>
    <w:rsid w:val="00FB0B93"/>
    <w:rsid w:val="00FB182F"/>
    <w:rsid w:val="00FB282E"/>
    <w:rsid w:val="00FB52F2"/>
    <w:rsid w:val="00FB5A9D"/>
    <w:rsid w:val="00FB5D1D"/>
    <w:rsid w:val="00FB6262"/>
    <w:rsid w:val="00FB6831"/>
    <w:rsid w:val="00FB7B5C"/>
    <w:rsid w:val="00FC03E8"/>
    <w:rsid w:val="00FC08DD"/>
    <w:rsid w:val="00FC0A5F"/>
    <w:rsid w:val="00FC1469"/>
    <w:rsid w:val="00FC20DA"/>
    <w:rsid w:val="00FC237B"/>
    <w:rsid w:val="00FC244A"/>
    <w:rsid w:val="00FC3DF5"/>
    <w:rsid w:val="00FC4CDB"/>
    <w:rsid w:val="00FC4CE0"/>
    <w:rsid w:val="00FC5DD1"/>
    <w:rsid w:val="00FC685E"/>
    <w:rsid w:val="00FC703F"/>
    <w:rsid w:val="00FC760C"/>
    <w:rsid w:val="00FC7759"/>
    <w:rsid w:val="00FD04D4"/>
    <w:rsid w:val="00FD1114"/>
    <w:rsid w:val="00FD1315"/>
    <w:rsid w:val="00FD18B9"/>
    <w:rsid w:val="00FD20A7"/>
    <w:rsid w:val="00FD282D"/>
    <w:rsid w:val="00FD2928"/>
    <w:rsid w:val="00FD392A"/>
    <w:rsid w:val="00FD3A6A"/>
    <w:rsid w:val="00FD3DD7"/>
    <w:rsid w:val="00FD4533"/>
    <w:rsid w:val="00FD4C5F"/>
    <w:rsid w:val="00FD53D8"/>
    <w:rsid w:val="00FD5595"/>
    <w:rsid w:val="00FD5B81"/>
    <w:rsid w:val="00FD68FD"/>
    <w:rsid w:val="00FD6FC4"/>
    <w:rsid w:val="00FD72C7"/>
    <w:rsid w:val="00FE10F9"/>
    <w:rsid w:val="00FE1945"/>
    <w:rsid w:val="00FE2691"/>
    <w:rsid w:val="00FE3C82"/>
    <w:rsid w:val="00FE443C"/>
    <w:rsid w:val="00FE486D"/>
    <w:rsid w:val="00FE732C"/>
    <w:rsid w:val="00FF03F8"/>
    <w:rsid w:val="00FF19E8"/>
    <w:rsid w:val="00FF44E7"/>
    <w:rsid w:val="00FF5BB4"/>
    <w:rsid w:val="00FF609F"/>
    <w:rsid w:val="00FF78BB"/>
    <w:rsid w:val="00FF78C0"/>
    <w:rsid w:val="0157021D"/>
    <w:rsid w:val="01633E9B"/>
    <w:rsid w:val="018A7679"/>
    <w:rsid w:val="01EF39FC"/>
    <w:rsid w:val="01F80CC3"/>
    <w:rsid w:val="020F3895"/>
    <w:rsid w:val="021F0EF7"/>
    <w:rsid w:val="022D66A7"/>
    <w:rsid w:val="0253112D"/>
    <w:rsid w:val="025649A5"/>
    <w:rsid w:val="02775BC8"/>
    <w:rsid w:val="02A62291"/>
    <w:rsid w:val="02B3536B"/>
    <w:rsid w:val="02B96468"/>
    <w:rsid w:val="02EF5EA2"/>
    <w:rsid w:val="02FF6285"/>
    <w:rsid w:val="030B6598"/>
    <w:rsid w:val="036D4B44"/>
    <w:rsid w:val="0374238F"/>
    <w:rsid w:val="03AA5DB1"/>
    <w:rsid w:val="03AE2298"/>
    <w:rsid w:val="03D851F9"/>
    <w:rsid w:val="03DB41BC"/>
    <w:rsid w:val="03E35AEF"/>
    <w:rsid w:val="03FA4A80"/>
    <w:rsid w:val="040524AF"/>
    <w:rsid w:val="04293F00"/>
    <w:rsid w:val="047A39D5"/>
    <w:rsid w:val="04AD7FDB"/>
    <w:rsid w:val="04D34B40"/>
    <w:rsid w:val="04D5637C"/>
    <w:rsid w:val="04D952CF"/>
    <w:rsid w:val="04E672BC"/>
    <w:rsid w:val="05027B01"/>
    <w:rsid w:val="05234C3E"/>
    <w:rsid w:val="052A4488"/>
    <w:rsid w:val="053A3164"/>
    <w:rsid w:val="05750B6D"/>
    <w:rsid w:val="05C173E2"/>
    <w:rsid w:val="05D1012B"/>
    <w:rsid w:val="05D60786"/>
    <w:rsid w:val="05F21C32"/>
    <w:rsid w:val="060C0620"/>
    <w:rsid w:val="0624249F"/>
    <w:rsid w:val="06290FF2"/>
    <w:rsid w:val="065E371E"/>
    <w:rsid w:val="066F086A"/>
    <w:rsid w:val="0676641E"/>
    <w:rsid w:val="06A2388B"/>
    <w:rsid w:val="06BF1B73"/>
    <w:rsid w:val="06D6372C"/>
    <w:rsid w:val="07061550"/>
    <w:rsid w:val="07577FFE"/>
    <w:rsid w:val="078342B9"/>
    <w:rsid w:val="07A205C2"/>
    <w:rsid w:val="07BA55A7"/>
    <w:rsid w:val="07C5140B"/>
    <w:rsid w:val="07F917CC"/>
    <w:rsid w:val="082C0F80"/>
    <w:rsid w:val="084338AC"/>
    <w:rsid w:val="085D0A47"/>
    <w:rsid w:val="08643282"/>
    <w:rsid w:val="08741249"/>
    <w:rsid w:val="08B55224"/>
    <w:rsid w:val="09044FC6"/>
    <w:rsid w:val="093F28F7"/>
    <w:rsid w:val="094A3343"/>
    <w:rsid w:val="0980714F"/>
    <w:rsid w:val="09B22820"/>
    <w:rsid w:val="09C5548B"/>
    <w:rsid w:val="09C94AB7"/>
    <w:rsid w:val="09E65ED1"/>
    <w:rsid w:val="09F50506"/>
    <w:rsid w:val="0A277873"/>
    <w:rsid w:val="0A2F5262"/>
    <w:rsid w:val="0A3824FF"/>
    <w:rsid w:val="0A5C7676"/>
    <w:rsid w:val="0A825391"/>
    <w:rsid w:val="0A9450C5"/>
    <w:rsid w:val="0AAB3453"/>
    <w:rsid w:val="0B7D00EF"/>
    <w:rsid w:val="0BEA1661"/>
    <w:rsid w:val="0BEA5551"/>
    <w:rsid w:val="0C4C1587"/>
    <w:rsid w:val="0C840F3B"/>
    <w:rsid w:val="0C890BE3"/>
    <w:rsid w:val="0C8A677F"/>
    <w:rsid w:val="0D2D1571"/>
    <w:rsid w:val="0D815F12"/>
    <w:rsid w:val="0DB60FFE"/>
    <w:rsid w:val="0DC566A4"/>
    <w:rsid w:val="0DCB13F4"/>
    <w:rsid w:val="0DD14649"/>
    <w:rsid w:val="0DE10274"/>
    <w:rsid w:val="0E316003"/>
    <w:rsid w:val="0E66795E"/>
    <w:rsid w:val="0E853848"/>
    <w:rsid w:val="0EB70F20"/>
    <w:rsid w:val="0EC220E9"/>
    <w:rsid w:val="0EF62AD9"/>
    <w:rsid w:val="0F187259"/>
    <w:rsid w:val="0F276507"/>
    <w:rsid w:val="0F432824"/>
    <w:rsid w:val="0F5C6132"/>
    <w:rsid w:val="0F863159"/>
    <w:rsid w:val="0FF3288D"/>
    <w:rsid w:val="0FF9097E"/>
    <w:rsid w:val="100E1475"/>
    <w:rsid w:val="10623784"/>
    <w:rsid w:val="10744E77"/>
    <w:rsid w:val="10B64CA5"/>
    <w:rsid w:val="10BA0D46"/>
    <w:rsid w:val="10E35261"/>
    <w:rsid w:val="1100110B"/>
    <w:rsid w:val="1109113F"/>
    <w:rsid w:val="1149406E"/>
    <w:rsid w:val="114A7BD9"/>
    <w:rsid w:val="115A5DA5"/>
    <w:rsid w:val="11BF336F"/>
    <w:rsid w:val="12246AF1"/>
    <w:rsid w:val="12773E51"/>
    <w:rsid w:val="12A22FE6"/>
    <w:rsid w:val="12B72298"/>
    <w:rsid w:val="12C16C73"/>
    <w:rsid w:val="13695D6B"/>
    <w:rsid w:val="136B139B"/>
    <w:rsid w:val="139E58A3"/>
    <w:rsid w:val="13A62350"/>
    <w:rsid w:val="13EF28C0"/>
    <w:rsid w:val="13F11C23"/>
    <w:rsid w:val="1407040D"/>
    <w:rsid w:val="1461426A"/>
    <w:rsid w:val="147C00C8"/>
    <w:rsid w:val="149D0E1B"/>
    <w:rsid w:val="14B42450"/>
    <w:rsid w:val="15097A8D"/>
    <w:rsid w:val="151718EE"/>
    <w:rsid w:val="15515DB4"/>
    <w:rsid w:val="15A01B20"/>
    <w:rsid w:val="15A909B3"/>
    <w:rsid w:val="15FB34ED"/>
    <w:rsid w:val="1600454E"/>
    <w:rsid w:val="1625599C"/>
    <w:rsid w:val="16346F4D"/>
    <w:rsid w:val="16367FC3"/>
    <w:rsid w:val="164D08EC"/>
    <w:rsid w:val="16553D6F"/>
    <w:rsid w:val="1666282F"/>
    <w:rsid w:val="16770B17"/>
    <w:rsid w:val="16F20517"/>
    <w:rsid w:val="16F5513D"/>
    <w:rsid w:val="16F83DDF"/>
    <w:rsid w:val="172018FF"/>
    <w:rsid w:val="175B1444"/>
    <w:rsid w:val="17DB2585"/>
    <w:rsid w:val="17E73FAE"/>
    <w:rsid w:val="17E7717C"/>
    <w:rsid w:val="185E6D88"/>
    <w:rsid w:val="18650063"/>
    <w:rsid w:val="186E33F9"/>
    <w:rsid w:val="18A72D74"/>
    <w:rsid w:val="18BA4824"/>
    <w:rsid w:val="19341F4D"/>
    <w:rsid w:val="1945164A"/>
    <w:rsid w:val="19AB0116"/>
    <w:rsid w:val="19EB59FF"/>
    <w:rsid w:val="19F70C35"/>
    <w:rsid w:val="1A06729A"/>
    <w:rsid w:val="1A082499"/>
    <w:rsid w:val="1A5F56EF"/>
    <w:rsid w:val="1A615D75"/>
    <w:rsid w:val="1A85645F"/>
    <w:rsid w:val="1AAA402B"/>
    <w:rsid w:val="1AB84DFF"/>
    <w:rsid w:val="1AC41646"/>
    <w:rsid w:val="1AD339E7"/>
    <w:rsid w:val="1AF20D68"/>
    <w:rsid w:val="1B0D4E3F"/>
    <w:rsid w:val="1B3E3557"/>
    <w:rsid w:val="1BA548B0"/>
    <w:rsid w:val="1BAF457F"/>
    <w:rsid w:val="1C077DEC"/>
    <w:rsid w:val="1C4A71F9"/>
    <w:rsid w:val="1C7E1E3C"/>
    <w:rsid w:val="1CA828E8"/>
    <w:rsid w:val="1CAE7EB9"/>
    <w:rsid w:val="1CE912A0"/>
    <w:rsid w:val="1D4D650A"/>
    <w:rsid w:val="1D57141B"/>
    <w:rsid w:val="1D897FA0"/>
    <w:rsid w:val="1DE50621"/>
    <w:rsid w:val="1DF42C49"/>
    <w:rsid w:val="1DFD0837"/>
    <w:rsid w:val="1E032872"/>
    <w:rsid w:val="1E110AAE"/>
    <w:rsid w:val="1E2F362A"/>
    <w:rsid w:val="1E6C2189"/>
    <w:rsid w:val="1E767E8B"/>
    <w:rsid w:val="1E7D79E8"/>
    <w:rsid w:val="1EA71413"/>
    <w:rsid w:val="1EEE6C39"/>
    <w:rsid w:val="1F016D75"/>
    <w:rsid w:val="1F246BB1"/>
    <w:rsid w:val="1F282554"/>
    <w:rsid w:val="1F637562"/>
    <w:rsid w:val="1FE426A0"/>
    <w:rsid w:val="208F40DC"/>
    <w:rsid w:val="20902B53"/>
    <w:rsid w:val="20A06FFF"/>
    <w:rsid w:val="20A30FC9"/>
    <w:rsid w:val="2116462E"/>
    <w:rsid w:val="2126121F"/>
    <w:rsid w:val="213F3A2E"/>
    <w:rsid w:val="21780E44"/>
    <w:rsid w:val="21A34005"/>
    <w:rsid w:val="21A70013"/>
    <w:rsid w:val="21A84A6C"/>
    <w:rsid w:val="22421B7E"/>
    <w:rsid w:val="22581FE4"/>
    <w:rsid w:val="226C50A4"/>
    <w:rsid w:val="22D36DE3"/>
    <w:rsid w:val="234A717D"/>
    <w:rsid w:val="23657AA0"/>
    <w:rsid w:val="23700025"/>
    <w:rsid w:val="23A922B7"/>
    <w:rsid w:val="23CF55FD"/>
    <w:rsid w:val="23E40A13"/>
    <w:rsid w:val="23EB5FF4"/>
    <w:rsid w:val="24030E99"/>
    <w:rsid w:val="240D6FC4"/>
    <w:rsid w:val="242C78E2"/>
    <w:rsid w:val="24476E69"/>
    <w:rsid w:val="24647CF6"/>
    <w:rsid w:val="248544AB"/>
    <w:rsid w:val="249930A4"/>
    <w:rsid w:val="24D3401A"/>
    <w:rsid w:val="24DA7811"/>
    <w:rsid w:val="25417B6F"/>
    <w:rsid w:val="25494FC2"/>
    <w:rsid w:val="25504B0D"/>
    <w:rsid w:val="25B600FC"/>
    <w:rsid w:val="25CB2DFC"/>
    <w:rsid w:val="25D84EDC"/>
    <w:rsid w:val="26077410"/>
    <w:rsid w:val="261D1FBA"/>
    <w:rsid w:val="262D044F"/>
    <w:rsid w:val="2673500D"/>
    <w:rsid w:val="26D55723"/>
    <w:rsid w:val="274E56AF"/>
    <w:rsid w:val="27AA02DA"/>
    <w:rsid w:val="27D11B30"/>
    <w:rsid w:val="27E61368"/>
    <w:rsid w:val="27F868B5"/>
    <w:rsid w:val="28687E65"/>
    <w:rsid w:val="28742A64"/>
    <w:rsid w:val="28785287"/>
    <w:rsid w:val="289547B6"/>
    <w:rsid w:val="28C0157D"/>
    <w:rsid w:val="28DD4ADA"/>
    <w:rsid w:val="28F35A83"/>
    <w:rsid w:val="28FA4F22"/>
    <w:rsid w:val="290A1125"/>
    <w:rsid w:val="291A2FE7"/>
    <w:rsid w:val="292702D5"/>
    <w:rsid w:val="292B4F56"/>
    <w:rsid w:val="29485689"/>
    <w:rsid w:val="294D2BB7"/>
    <w:rsid w:val="29800DCD"/>
    <w:rsid w:val="29BA46F0"/>
    <w:rsid w:val="29C94A4E"/>
    <w:rsid w:val="2A0155AC"/>
    <w:rsid w:val="2A565288"/>
    <w:rsid w:val="2A7551D3"/>
    <w:rsid w:val="2AA02B44"/>
    <w:rsid w:val="2ABC484C"/>
    <w:rsid w:val="2AD27599"/>
    <w:rsid w:val="2B473D61"/>
    <w:rsid w:val="2B7D3EBC"/>
    <w:rsid w:val="2C1467FC"/>
    <w:rsid w:val="2C4C35F9"/>
    <w:rsid w:val="2C6A3498"/>
    <w:rsid w:val="2D265BF9"/>
    <w:rsid w:val="2D2B1461"/>
    <w:rsid w:val="2D451A93"/>
    <w:rsid w:val="2D500C5A"/>
    <w:rsid w:val="2D7921CC"/>
    <w:rsid w:val="2DB651CE"/>
    <w:rsid w:val="2E2A1718"/>
    <w:rsid w:val="2E2F354C"/>
    <w:rsid w:val="2E61338C"/>
    <w:rsid w:val="2E772BB0"/>
    <w:rsid w:val="2E7F3B7F"/>
    <w:rsid w:val="2EA85434"/>
    <w:rsid w:val="2EC5549A"/>
    <w:rsid w:val="2ED316F4"/>
    <w:rsid w:val="2F38224E"/>
    <w:rsid w:val="2F6A7BFA"/>
    <w:rsid w:val="2FF818BA"/>
    <w:rsid w:val="30074C17"/>
    <w:rsid w:val="301B2D20"/>
    <w:rsid w:val="3027551C"/>
    <w:rsid w:val="303232E9"/>
    <w:rsid w:val="30590CBE"/>
    <w:rsid w:val="30662713"/>
    <w:rsid w:val="30D00355"/>
    <w:rsid w:val="30E71077"/>
    <w:rsid w:val="310B75DF"/>
    <w:rsid w:val="310F3573"/>
    <w:rsid w:val="311B066F"/>
    <w:rsid w:val="3127060C"/>
    <w:rsid w:val="316150C0"/>
    <w:rsid w:val="317F14A3"/>
    <w:rsid w:val="31886E82"/>
    <w:rsid w:val="31905D36"/>
    <w:rsid w:val="31B54BB7"/>
    <w:rsid w:val="31B7224A"/>
    <w:rsid w:val="31FD6281"/>
    <w:rsid w:val="3252216F"/>
    <w:rsid w:val="326F1DF0"/>
    <w:rsid w:val="32AA58FA"/>
    <w:rsid w:val="32BE3742"/>
    <w:rsid w:val="32DC53C1"/>
    <w:rsid w:val="32FB467E"/>
    <w:rsid w:val="33327DED"/>
    <w:rsid w:val="337E35BB"/>
    <w:rsid w:val="338373A5"/>
    <w:rsid w:val="33A90B37"/>
    <w:rsid w:val="33AD0E22"/>
    <w:rsid w:val="33B1681F"/>
    <w:rsid w:val="33C024F3"/>
    <w:rsid w:val="33E505BB"/>
    <w:rsid w:val="344B7B58"/>
    <w:rsid w:val="34521440"/>
    <w:rsid w:val="345C291E"/>
    <w:rsid w:val="3465020F"/>
    <w:rsid w:val="349A1626"/>
    <w:rsid w:val="34A86C01"/>
    <w:rsid w:val="34D560DA"/>
    <w:rsid w:val="34F678C3"/>
    <w:rsid w:val="34F77F74"/>
    <w:rsid w:val="350A3B0B"/>
    <w:rsid w:val="3538296D"/>
    <w:rsid w:val="35611EC4"/>
    <w:rsid w:val="35804C41"/>
    <w:rsid w:val="35DA410B"/>
    <w:rsid w:val="36114AFE"/>
    <w:rsid w:val="361A51A9"/>
    <w:rsid w:val="36772F70"/>
    <w:rsid w:val="36A77DAA"/>
    <w:rsid w:val="36D64C6A"/>
    <w:rsid w:val="37591843"/>
    <w:rsid w:val="37B3452D"/>
    <w:rsid w:val="380B6117"/>
    <w:rsid w:val="38385047"/>
    <w:rsid w:val="38A256AD"/>
    <w:rsid w:val="38A64350"/>
    <w:rsid w:val="38E726E0"/>
    <w:rsid w:val="390B6DE3"/>
    <w:rsid w:val="390C2291"/>
    <w:rsid w:val="39975BA6"/>
    <w:rsid w:val="39B50A30"/>
    <w:rsid w:val="3A2A2B85"/>
    <w:rsid w:val="3A4F678F"/>
    <w:rsid w:val="3A686E74"/>
    <w:rsid w:val="3A78266F"/>
    <w:rsid w:val="3A891C39"/>
    <w:rsid w:val="3AAD7829"/>
    <w:rsid w:val="3ACC4283"/>
    <w:rsid w:val="3AEC0481"/>
    <w:rsid w:val="3B0317FE"/>
    <w:rsid w:val="3B223CA0"/>
    <w:rsid w:val="3B635D25"/>
    <w:rsid w:val="3B7E7631"/>
    <w:rsid w:val="3B881F86"/>
    <w:rsid w:val="3BA3301A"/>
    <w:rsid w:val="3BC76554"/>
    <w:rsid w:val="3BC9431F"/>
    <w:rsid w:val="3BF663C8"/>
    <w:rsid w:val="3BFF12C8"/>
    <w:rsid w:val="3C0E4427"/>
    <w:rsid w:val="3C2D67DC"/>
    <w:rsid w:val="3C2E56C4"/>
    <w:rsid w:val="3C9F7A01"/>
    <w:rsid w:val="3CD0758C"/>
    <w:rsid w:val="3CEF3960"/>
    <w:rsid w:val="3D022DAC"/>
    <w:rsid w:val="3D323E6D"/>
    <w:rsid w:val="3D5567B2"/>
    <w:rsid w:val="3D6C6418"/>
    <w:rsid w:val="3D8A3F82"/>
    <w:rsid w:val="3D8A5D30"/>
    <w:rsid w:val="3D9531E8"/>
    <w:rsid w:val="3DA347BA"/>
    <w:rsid w:val="3DCD461D"/>
    <w:rsid w:val="3DFE2E5B"/>
    <w:rsid w:val="3E14257B"/>
    <w:rsid w:val="3E622809"/>
    <w:rsid w:val="3E7278B8"/>
    <w:rsid w:val="3EC30743"/>
    <w:rsid w:val="3EC56296"/>
    <w:rsid w:val="3F4D5267"/>
    <w:rsid w:val="3F667892"/>
    <w:rsid w:val="3FCE6D09"/>
    <w:rsid w:val="40A56767"/>
    <w:rsid w:val="40F571BE"/>
    <w:rsid w:val="41364776"/>
    <w:rsid w:val="41504943"/>
    <w:rsid w:val="416746E0"/>
    <w:rsid w:val="419249A3"/>
    <w:rsid w:val="419A3FAE"/>
    <w:rsid w:val="41B965B9"/>
    <w:rsid w:val="41E00F65"/>
    <w:rsid w:val="42A868A9"/>
    <w:rsid w:val="42A95426"/>
    <w:rsid w:val="42D448B0"/>
    <w:rsid w:val="42ED4847"/>
    <w:rsid w:val="42EF2574"/>
    <w:rsid w:val="43445919"/>
    <w:rsid w:val="4348746D"/>
    <w:rsid w:val="43C26223"/>
    <w:rsid w:val="44974D76"/>
    <w:rsid w:val="449A2293"/>
    <w:rsid w:val="44C63AF1"/>
    <w:rsid w:val="44C77869"/>
    <w:rsid w:val="44D10724"/>
    <w:rsid w:val="450E4647"/>
    <w:rsid w:val="453E16BB"/>
    <w:rsid w:val="4541644A"/>
    <w:rsid w:val="455A248C"/>
    <w:rsid w:val="457F2918"/>
    <w:rsid w:val="458D06B2"/>
    <w:rsid w:val="462742C6"/>
    <w:rsid w:val="463C7CA8"/>
    <w:rsid w:val="4677642B"/>
    <w:rsid w:val="46DA6487"/>
    <w:rsid w:val="46E62BF1"/>
    <w:rsid w:val="46F1770B"/>
    <w:rsid w:val="472B3A30"/>
    <w:rsid w:val="473C545E"/>
    <w:rsid w:val="47906638"/>
    <w:rsid w:val="47D22BC7"/>
    <w:rsid w:val="47DD509E"/>
    <w:rsid w:val="47EF6D70"/>
    <w:rsid w:val="47F24AE7"/>
    <w:rsid w:val="482F2FD6"/>
    <w:rsid w:val="48593D74"/>
    <w:rsid w:val="485B09F4"/>
    <w:rsid w:val="4861761A"/>
    <w:rsid w:val="4863054A"/>
    <w:rsid w:val="487E1A6D"/>
    <w:rsid w:val="48B60321"/>
    <w:rsid w:val="499040AE"/>
    <w:rsid w:val="49CE0AD0"/>
    <w:rsid w:val="49EE57D7"/>
    <w:rsid w:val="4A5E2D37"/>
    <w:rsid w:val="4A91274A"/>
    <w:rsid w:val="4A9207BC"/>
    <w:rsid w:val="4AA414CB"/>
    <w:rsid w:val="4B521983"/>
    <w:rsid w:val="4B5856BF"/>
    <w:rsid w:val="4B593777"/>
    <w:rsid w:val="4B783F5F"/>
    <w:rsid w:val="4B92297F"/>
    <w:rsid w:val="4B9336BF"/>
    <w:rsid w:val="4C262A1D"/>
    <w:rsid w:val="4C701880"/>
    <w:rsid w:val="4CAA64D4"/>
    <w:rsid w:val="4CAE129E"/>
    <w:rsid w:val="4CB52272"/>
    <w:rsid w:val="4D16138E"/>
    <w:rsid w:val="4D1C1FDA"/>
    <w:rsid w:val="4D956757"/>
    <w:rsid w:val="4DA112D1"/>
    <w:rsid w:val="4DBA61BD"/>
    <w:rsid w:val="4E2077F1"/>
    <w:rsid w:val="4E4A12EF"/>
    <w:rsid w:val="4EC24B02"/>
    <w:rsid w:val="4EED041E"/>
    <w:rsid w:val="4F2663C3"/>
    <w:rsid w:val="4F79253B"/>
    <w:rsid w:val="4F7A27FB"/>
    <w:rsid w:val="4F8F55D5"/>
    <w:rsid w:val="4FB14C7D"/>
    <w:rsid w:val="4FBD1A7F"/>
    <w:rsid w:val="50376E4D"/>
    <w:rsid w:val="50602233"/>
    <w:rsid w:val="50F6750C"/>
    <w:rsid w:val="50FB1AAD"/>
    <w:rsid w:val="515406D7"/>
    <w:rsid w:val="515B027E"/>
    <w:rsid w:val="51843775"/>
    <w:rsid w:val="519311FF"/>
    <w:rsid w:val="519A012F"/>
    <w:rsid w:val="51B66C9C"/>
    <w:rsid w:val="51E226F4"/>
    <w:rsid w:val="520E30B5"/>
    <w:rsid w:val="52352944"/>
    <w:rsid w:val="52733BCA"/>
    <w:rsid w:val="528648C0"/>
    <w:rsid w:val="52A751AE"/>
    <w:rsid w:val="52A87EF5"/>
    <w:rsid w:val="52B07B8F"/>
    <w:rsid w:val="530E335F"/>
    <w:rsid w:val="534E4309"/>
    <w:rsid w:val="53612F06"/>
    <w:rsid w:val="536E3688"/>
    <w:rsid w:val="53B84F4D"/>
    <w:rsid w:val="54147A2B"/>
    <w:rsid w:val="545237F1"/>
    <w:rsid w:val="54C92A38"/>
    <w:rsid w:val="54E35DF8"/>
    <w:rsid w:val="54F95E62"/>
    <w:rsid w:val="5528246B"/>
    <w:rsid w:val="55480552"/>
    <w:rsid w:val="55A468C7"/>
    <w:rsid w:val="55E81727"/>
    <w:rsid w:val="55EB0ED2"/>
    <w:rsid w:val="565F3711"/>
    <w:rsid w:val="56786C15"/>
    <w:rsid w:val="56A86F71"/>
    <w:rsid w:val="56AD2A91"/>
    <w:rsid w:val="56DE1DEE"/>
    <w:rsid w:val="572172AD"/>
    <w:rsid w:val="57671164"/>
    <w:rsid w:val="57976692"/>
    <w:rsid w:val="57C670E2"/>
    <w:rsid w:val="57D65D4E"/>
    <w:rsid w:val="57EC36C4"/>
    <w:rsid w:val="57F347A6"/>
    <w:rsid w:val="582453E1"/>
    <w:rsid w:val="58262DCD"/>
    <w:rsid w:val="58816255"/>
    <w:rsid w:val="5886060A"/>
    <w:rsid w:val="5890142E"/>
    <w:rsid w:val="58AD3401"/>
    <w:rsid w:val="58B33A31"/>
    <w:rsid w:val="59316DF8"/>
    <w:rsid w:val="59350C74"/>
    <w:rsid w:val="594B1686"/>
    <w:rsid w:val="595F5367"/>
    <w:rsid w:val="59AC28B3"/>
    <w:rsid w:val="59CA5802"/>
    <w:rsid w:val="59E36A9C"/>
    <w:rsid w:val="59EF3512"/>
    <w:rsid w:val="59F362D1"/>
    <w:rsid w:val="5A326537"/>
    <w:rsid w:val="5A56261D"/>
    <w:rsid w:val="5A6A4571"/>
    <w:rsid w:val="5B070B67"/>
    <w:rsid w:val="5B303F63"/>
    <w:rsid w:val="5C030465"/>
    <w:rsid w:val="5C1318BA"/>
    <w:rsid w:val="5CA10EA0"/>
    <w:rsid w:val="5CB03BFC"/>
    <w:rsid w:val="5D5340D1"/>
    <w:rsid w:val="5D7A552B"/>
    <w:rsid w:val="5D8F4F70"/>
    <w:rsid w:val="5DC758F6"/>
    <w:rsid w:val="5DE630AA"/>
    <w:rsid w:val="5E3033B1"/>
    <w:rsid w:val="5E7E0FE9"/>
    <w:rsid w:val="5EBF7C12"/>
    <w:rsid w:val="5F2318C4"/>
    <w:rsid w:val="5F2D5E82"/>
    <w:rsid w:val="5F7C0B0A"/>
    <w:rsid w:val="5F903222"/>
    <w:rsid w:val="60295975"/>
    <w:rsid w:val="604E779B"/>
    <w:rsid w:val="60D4171D"/>
    <w:rsid w:val="60E66E9B"/>
    <w:rsid w:val="60FF7953"/>
    <w:rsid w:val="61623D8F"/>
    <w:rsid w:val="6189594B"/>
    <w:rsid w:val="61D373F6"/>
    <w:rsid w:val="61ED495B"/>
    <w:rsid w:val="62062B2E"/>
    <w:rsid w:val="621C616D"/>
    <w:rsid w:val="62214E92"/>
    <w:rsid w:val="624922BE"/>
    <w:rsid w:val="626544F2"/>
    <w:rsid w:val="629A2C3C"/>
    <w:rsid w:val="63071A4D"/>
    <w:rsid w:val="6308647F"/>
    <w:rsid w:val="63756FC4"/>
    <w:rsid w:val="638D67F3"/>
    <w:rsid w:val="63A77F35"/>
    <w:rsid w:val="63AB284B"/>
    <w:rsid w:val="63DF2082"/>
    <w:rsid w:val="64316F73"/>
    <w:rsid w:val="64487926"/>
    <w:rsid w:val="64681393"/>
    <w:rsid w:val="648465D8"/>
    <w:rsid w:val="648B12DD"/>
    <w:rsid w:val="64BB76D0"/>
    <w:rsid w:val="64BD0AE6"/>
    <w:rsid w:val="64BF0946"/>
    <w:rsid w:val="64F470DF"/>
    <w:rsid w:val="64FD5FBF"/>
    <w:rsid w:val="65405808"/>
    <w:rsid w:val="657E3E58"/>
    <w:rsid w:val="65891362"/>
    <w:rsid w:val="65C2639F"/>
    <w:rsid w:val="66195F86"/>
    <w:rsid w:val="66707FC0"/>
    <w:rsid w:val="66C37A39"/>
    <w:rsid w:val="66C814F3"/>
    <w:rsid w:val="6727621A"/>
    <w:rsid w:val="6748639C"/>
    <w:rsid w:val="67772B8B"/>
    <w:rsid w:val="680668D1"/>
    <w:rsid w:val="681542C4"/>
    <w:rsid w:val="68190258"/>
    <w:rsid w:val="685E1529"/>
    <w:rsid w:val="68D75A1D"/>
    <w:rsid w:val="69493201"/>
    <w:rsid w:val="69A842DD"/>
    <w:rsid w:val="69B00FCA"/>
    <w:rsid w:val="69B018C1"/>
    <w:rsid w:val="69C266CE"/>
    <w:rsid w:val="69CC61E8"/>
    <w:rsid w:val="69D305BF"/>
    <w:rsid w:val="6A011D75"/>
    <w:rsid w:val="6A4A2640"/>
    <w:rsid w:val="6A5645D1"/>
    <w:rsid w:val="6B145063"/>
    <w:rsid w:val="6B32518D"/>
    <w:rsid w:val="6B657311"/>
    <w:rsid w:val="6B6E08BB"/>
    <w:rsid w:val="6BAC7340"/>
    <w:rsid w:val="6BEC4C00"/>
    <w:rsid w:val="6BF96482"/>
    <w:rsid w:val="6C060F0D"/>
    <w:rsid w:val="6C7C2B64"/>
    <w:rsid w:val="6CC67584"/>
    <w:rsid w:val="6D0019E7"/>
    <w:rsid w:val="6D216736"/>
    <w:rsid w:val="6D3618D2"/>
    <w:rsid w:val="6D4F64CA"/>
    <w:rsid w:val="6D51777A"/>
    <w:rsid w:val="6D567E14"/>
    <w:rsid w:val="6D601515"/>
    <w:rsid w:val="6DAB19F7"/>
    <w:rsid w:val="6DDD0582"/>
    <w:rsid w:val="6DE54A49"/>
    <w:rsid w:val="6DF90F09"/>
    <w:rsid w:val="6E097153"/>
    <w:rsid w:val="6E0B1F97"/>
    <w:rsid w:val="6E4E22DE"/>
    <w:rsid w:val="6E665FDB"/>
    <w:rsid w:val="6E680EDE"/>
    <w:rsid w:val="6E6A7668"/>
    <w:rsid w:val="6E791F84"/>
    <w:rsid w:val="6E797A32"/>
    <w:rsid w:val="6E7E6E54"/>
    <w:rsid w:val="6E815E18"/>
    <w:rsid w:val="6E903869"/>
    <w:rsid w:val="6EB653E3"/>
    <w:rsid w:val="6ECB392F"/>
    <w:rsid w:val="6EF90AB4"/>
    <w:rsid w:val="6F24720E"/>
    <w:rsid w:val="6F6F4C02"/>
    <w:rsid w:val="6F9401C4"/>
    <w:rsid w:val="6F9A0ECB"/>
    <w:rsid w:val="6FAD74D8"/>
    <w:rsid w:val="6FB72105"/>
    <w:rsid w:val="6FD81756"/>
    <w:rsid w:val="6FFE7D34"/>
    <w:rsid w:val="70A03013"/>
    <w:rsid w:val="70F5346D"/>
    <w:rsid w:val="710C21F5"/>
    <w:rsid w:val="712F49A0"/>
    <w:rsid w:val="71311217"/>
    <w:rsid w:val="71836742"/>
    <w:rsid w:val="71A25FEB"/>
    <w:rsid w:val="71AA0173"/>
    <w:rsid w:val="71F95820"/>
    <w:rsid w:val="7227337A"/>
    <w:rsid w:val="726C71D7"/>
    <w:rsid w:val="72B542F6"/>
    <w:rsid w:val="72F242CD"/>
    <w:rsid w:val="72F62F44"/>
    <w:rsid w:val="7306762B"/>
    <w:rsid w:val="734008AD"/>
    <w:rsid w:val="73734E62"/>
    <w:rsid w:val="73A6496A"/>
    <w:rsid w:val="73D2750D"/>
    <w:rsid w:val="73D72A64"/>
    <w:rsid w:val="73E47BA6"/>
    <w:rsid w:val="73EB6228"/>
    <w:rsid w:val="741B5358"/>
    <w:rsid w:val="74566413"/>
    <w:rsid w:val="7457323E"/>
    <w:rsid w:val="745E614E"/>
    <w:rsid w:val="74685095"/>
    <w:rsid w:val="7481774B"/>
    <w:rsid w:val="74C37D65"/>
    <w:rsid w:val="74D31A39"/>
    <w:rsid w:val="74E67E6E"/>
    <w:rsid w:val="753B1060"/>
    <w:rsid w:val="75A1363B"/>
    <w:rsid w:val="75A60C51"/>
    <w:rsid w:val="75B0672C"/>
    <w:rsid w:val="75CD4430"/>
    <w:rsid w:val="75F71914"/>
    <w:rsid w:val="75FD607E"/>
    <w:rsid w:val="764C5C54"/>
    <w:rsid w:val="768E0063"/>
    <w:rsid w:val="76B358E0"/>
    <w:rsid w:val="76D10E1C"/>
    <w:rsid w:val="76ED79DE"/>
    <w:rsid w:val="77917B1B"/>
    <w:rsid w:val="77C22035"/>
    <w:rsid w:val="784365C6"/>
    <w:rsid w:val="784F737E"/>
    <w:rsid w:val="78547CED"/>
    <w:rsid w:val="78725B8D"/>
    <w:rsid w:val="78880AE2"/>
    <w:rsid w:val="789E2D9C"/>
    <w:rsid w:val="78CE1BFC"/>
    <w:rsid w:val="79140DD9"/>
    <w:rsid w:val="79564D35"/>
    <w:rsid w:val="795F61B4"/>
    <w:rsid w:val="79622AB2"/>
    <w:rsid w:val="79C42028"/>
    <w:rsid w:val="79CC341B"/>
    <w:rsid w:val="79F4375A"/>
    <w:rsid w:val="7A37631C"/>
    <w:rsid w:val="7A4128EC"/>
    <w:rsid w:val="7A6660F8"/>
    <w:rsid w:val="7AA35300"/>
    <w:rsid w:val="7AB65CAD"/>
    <w:rsid w:val="7B05489B"/>
    <w:rsid w:val="7B134E72"/>
    <w:rsid w:val="7B2B6CA8"/>
    <w:rsid w:val="7B5F5B2A"/>
    <w:rsid w:val="7B637D34"/>
    <w:rsid w:val="7BD55DED"/>
    <w:rsid w:val="7C1D11E6"/>
    <w:rsid w:val="7C3043BE"/>
    <w:rsid w:val="7C45009D"/>
    <w:rsid w:val="7C556E5C"/>
    <w:rsid w:val="7C824C3D"/>
    <w:rsid w:val="7CA33E88"/>
    <w:rsid w:val="7CB56D3B"/>
    <w:rsid w:val="7CCD74EF"/>
    <w:rsid w:val="7CF22C0D"/>
    <w:rsid w:val="7D0F1A31"/>
    <w:rsid w:val="7D2004BC"/>
    <w:rsid w:val="7D3D4087"/>
    <w:rsid w:val="7D68553C"/>
    <w:rsid w:val="7DA92F6C"/>
    <w:rsid w:val="7DE107F3"/>
    <w:rsid w:val="7DE42994"/>
    <w:rsid w:val="7E3C65F7"/>
    <w:rsid w:val="7E413C0D"/>
    <w:rsid w:val="7E80767D"/>
    <w:rsid w:val="7EAA3560"/>
    <w:rsid w:val="7ED33A65"/>
    <w:rsid w:val="7EFF7307"/>
    <w:rsid w:val="7F285F22"/>
    <w:rsid w:val="7F5C05D3"/>
    <w:rsid w:val="7F8E145F"/>
    <w:rsid w:val="7F906D27"/>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qFormat="1" w:unhideWhenUsed="0" w:uiPriority="0" w:semiHidden="0" w:name="macro"/>
    <w:lsdException w:uiPriority="99" w:name="toa heading"/>
    <w:lsdException w:qFormat="1"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新宋体" w:eastAsia="新宋体" w:hAnsiTheme="minorHAnsi" w:cstheme="minorBidi"/>
      <w:kern w:val="2"/>
      <w:sz w:val="24"/>
      <w:szCs w:val="21"/>
      <w:lang w:val="en-US" w:eastAsia="zh-CN" w:bidi="ar-SA"/>
    </w:rPr>
  </w:style>
  <w:style w:type="paragraph" w:styleId="3">
    <w:name w:val="heading 1"/>
    <w:basedOn w:val="1"/>
    <w:next w:val="1"/>
    <w:link w:val="52"/>
    <w:qFormat/>
    <w:uiPriority w:val="0"/>
    <w:pPr>
      <w:keepNext/>
      <w:keepLines/>
      <w:spacing w:before="340" w:after="330" w:line="578" w:lineRule="auto"/>
      <w:outlineLvl w:val="0"/>
    </w:pPr>
    <w:rPr>
      <w:rFonts w:eastAsiaTheme="majorEastAsia"/>
      <w:b/>
      <w:bCs/>
      <w:kern w:val="44"/>
      <w:sz w:val="44"/>
      <w:szCs w:val="44"/>
    </w:rPr>
  </w:style>
  <w:style w:type="paragraph" w:styleId="4">
    <w:name w:val="heading 2"/>
    <w:basedOn w:val="1"/>
    <w:next w:val="1"/>
    <w:link w:val="55"/>
    <w:unhideWhenUsed/>
    <w:qFormat/>
    <w:uiPriority w:val="0"/>
    <w:pPr>
      <w:keepNext/>
      <w:keepLines/>
      <w:spacing w:line="360" w:lineRule="auto"/>
      <w:outlineLvl w:val="1"/>
    </w:pPr>
    <w:rPr>
      <w:rFonts w:ascii="Times New Roman" w:hAnsi="Times New Roman" w:eastAsia="黑体" w:cs="Times New Roman"/>
      <w:b/>
      <w:bCs/>
      <w:sz w:val="32"/>
      <w:szCs w:val="32"/>
    </w:rPr>
  </w:style>
  <w:style w:type="paragraph" w:styleId="5">
    <w:name w:val="heading 3"/>
    <w:basedOn w:val="1"/>
    <w:next w:val="1"/>
    <w:link w:val="56"/>
    <w:unhideWhenUsed/>
    <w:qFormat/>
    <w:uiPriority w:val="0"/>
    <w:pPr>
      <w:keepNext/>
      <w:keepLines/>
      <w:spacing w:line="360" w:lineRule="auto"/>
      <w:outlineLvl w:val="2"/>
    </w:pPr>
    <w:rPr>
      <w:rFonts w:ascii="Times New Roman" w:hAnsi="Times New Roman" w:eastAsia="黑体" w:cs="Times New Roman"/>
      <w:b/>
      <w:bCs/>
      <w:sz w:val="32"/>
      <w:szCs w:val="32"/>
    </w:rPr>
  </w:style>
  <w:style w:type="paragraph" w:styleId="6">
    <w:name w:val="heading 4"/>
    <w:basedOn w:val="1"/>
    <w:next w:val="1"/>
    <w:link w:val="57"/>
    <w:unhideWhenUsed/>
    <w:qFormat/>
    <w:uiPriority w:val="0"/>
    <w:pPr>
      <w:keepNext/>
      <w:keepLines/>
      <w:spacing w:line="360" w:lineRule="auto"/>
      <w:outlineLvl w:val="3"/>
    </w:pPr>
    <w:rPr>
      <w:rFonts w:ascii="Times New Roman" w:hAnsi="Times New Roman" w:eastAsia="黑体" w:cs="Times New Roman"/>
      <w:b/>
      <w:bCs/>
      <w:sz w:val="28"/>
      <w:szCs w:val="28"/>
    </w:rPr>
  </w:style>
  <w:style w:type="paragraph" w:styleId="7">
    <w:name w:val="heading 5"/>
    <w:basedOn w:val="1"/>
    <w:next w:val="1"/>
    <w:link w:val="58"/>
    <w:unhideWhenUsed/>
    <w:qFormat/>
    <w:uiPriority w:val="9"/>
    <w:pPr>
      <w:keepNext/>
      <w:keepLines/>
      <w:spacing w:before="280" w:after="290" w:line="376" w:lineRule="auto"/>
      <w:outlineLvl w:val="4"/>
    </w:pPr>
    <w:rPr>
      <w:b/>
      <w:bCs/>
      <w:sz w:val="28"/>
      <w:szCs w:val="28"/>
    </w:rPr>
  </w:style>
  <w:style w:type="paragraph" w:styleId="8">
    <w:name w:val="heading 8"/>
    <w:basedOn w:val="1"/>
    <w:next w:val="1"/>
    <w:link w:val="59"/>
    <w:unhideWhenUsed/>
    <w:qFormat/>
    <w:uiPriority w:val="9"/>
    <w:pPr>
      <w:keepNext/>
      <w:keepLines/>
      <w:spacing w:before="240" w:after="64" w:line="320" w:lineRule="auto"/>
      <w:outlineLvl w:val="7"/>
    </w:pPr>
    <w:rPr>
      <w:rFonts w:asciiTheme="majorHAnsi" w:hAnsiTheme="majorHAnsi" w:eastAsiaTheme="majorEastAsia" w:cstheme="majorBidi"/>
      <w:szCs w:val="24"/>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macro"/>
    <w:link w:val="12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9">
    <w:name w:val="toc 7"/>
    <w:basedOn w:val="1"/>
    <w:next w:val="1"/>
    <w:unhideWhenUsed/>
    <w:qFormat/>
    <w:uiPriority w:val="39"/>
    <w:pPr>
      <w:ind w:left="1440"/>
    </w:pPr>
    <w:rPr>
      <w:rFonts w:cstheme="minorHAnsi"/>
      <w:sz w:val="18"/>
      <w:szCs w:val="18"/>
    </w:rPr>
  </w:style>
  <w:style w:type="paragraph" w:styleId="10">
    <w:name w:val="Normal Indent"/>
    <w:basedOn w:val="1"/>
    <w:link w:val="184"/>
    <w:qFormat/>
    <w:uiPriority w:val="0"/>
    <w:pPr>
      <w:widowControl w:val="0"/>
      <w:adjustRightInd w:val="0"/>
      <w:snapToGrid w:val="0"/>
      <w:spacing w:line="360" w:lineRule="auto"/>
      <w:ind w:firstLine="510"/>
      <w:jc w:val="both"/>
      <w:textAlignment w:val="baseline"/>
    </w:pPr>
    <w:rPr>
      <w:rFonts w:ascii="Times New Roman" w:hAnsi="Times New Roman" w:eastAsia="宋体" w:cs="Times New Roman"/>
      <w:kern w:val="0"/>
      <w:szCs w:val="20"/>
    </w:rPr>
  </w:style>
  <w:style w:type="paragraph" w:styleId="11">
    <w:name w:val="caption"/>
    <w:next w:val="1"/>
    <w:link w:val="121"/>
    <w:qFormat/>
    <w:uiPriority w:val="35"/>
    <w:pPr>
      <w:widowControl w:val="0"/>
      <w:adjustRightInd w:val="0"/>
      <w:snapToGrid w:val="0"/>
      <w:jc w:val="center"/>
    </w:pPr>
    <w:rPr>
      <w:rFonts w:ascii="Times New Roman" w:hAnsi="Times New Roman" w:eastAsia="宋体" w:cs="Times New Roman"/>
      <w:b/>
      <w:sz w:val="24"/>
      <w:lang w:val="en-US" w:eastAsia="zh-CN" w:bidi="ar-SA"/>
    </w:rPr>
  </w:style>
  <w:style w:type="paragraph" w:styleId="12">
    <w:name w:val="annotation text"/>
    <w:basedOn w:val="1"/>
    <w:link w:val="100"/>
    <w:unhideWhenUsed/>
    <w:qFormat/>
    <w:uiPriority w:val="99"/>
  </w:style>
  <w:style w:type="paragraph" w:styleId="13">
    <w:name w:val="Body Text"/>
    <w:basedOn w:val="1"/>
    <w:next w:val="1"/>
    <w:link w:val="93"/>
    <w:unhideWhenUsed/>
    <w:qFormat/>
    <w:uiPriority w:val="0"/>
    <w:pPr>
      <w:spacing w:after="120"/>
    </w:pPr>
  </w:style>
  <w:style w:type="paragraph" w:styleId="14">
    <w:name w:val="Body Text Indent"/>
    <w:basedOn w:val="1"/>
    <w:link w:val="104"/>
    <w:unhideWhenUsed/>
    <w:qFormat/>
    <w:uiPriority w:val="99"/>
    <w:pPr>
      <w:spacing w:after="120"/>
      <w:ind w:left="420" w:leftChars="200"/>
    </w:pPr>
  </w:style>
  <w:style w:type="paragraph" w:styleId="15">
    <w:name w:val="Block Text"/>
    <w:basedOn w:val="1"/>
    <w:qFormat/>
    <w:uiPriority w:val="0"/>
    <w:pPr>
      <w:autoSpaceDE w:val="0"/>
      <w:autoSpaceDN w:val="0"/>
      <w:spacing w:line="360" w:lineRule="auto"/>
      <w:ind w:left="412" w:right="306" w:firstLine="710"/>
    </w:pPr>
    <w:rPr>
      <w:rFonts w:ascii="Times New Roman" w:hAnsi="Times New Roman" w:eastAsia="宋体" w:cs="Times New Roman"/>
      <w:kern w:val="0"/>
      <w:sz w:val="28"/>
      <w:szCs w:val="20"/>
    </w:rPr>
  </w:style>
  <w:style w:type="paragraph" w:styleId="16">
    <w:name w:val="toc 5"/>
    <w:basedOn w:val="1"/>
    <w:next w:val="1"/>
    <w:qFormat/>
    <w:uiPriority w:val="39"/>
    <w:pPr>
      <w:ind w:left="960"/>
    </w:pPr>
    <w:rPr>
      <w:rFonts w:cstheme="minorHAnsi"/>
      <w:sz w:val="18"/>
      <w:szCs w:val="18"/>
    </w:rPr>
  </w:style>
  <w:style w:type="paragraph" w:styleId="17">
    <w:name w:val="toc 3"/>
    <w:basedOn w:val="1"/>
    <w:next w:val="1"/>
    <w:unhideWhenUsed/>
    <w:qFormat/>
    <w:uiPriority w:val="39"/>
    <w:pPr>
      <w:ind w:left="480"/>
    </w:pPr>
    <w:rPr>
      <w:rFonts w:eastAsiaTheme="minorEastAsia" w:cstheme="minorHAnsi"/>
      <w:iCs/>
      <w:sz w:val="20"/>
      <w:szCs w:val="20"/>
    </w:rPr>
  </w:style>
  <w:style w:type="paragraph" w:styleId="18">
    <w:name w:val="Plain Text"/>
    <w:basedOn w:val="1"/>
    <w:link w:val="106"/>
    <w:qFormat/>
    <w:uiPriority w:val="0"/>
    <w:pPr>
      <w:spacing w:before="100" w:beforeAutospacing="1" w:after="100" w:afterAutospacing="1"/>
    </w:pPr>
    <w:rPr>
      <w:rFonts w:ascii="Arial Unicode MS" w:hAnsi="Arial Unicode MS" w:eastAsia="Arial Unicode MS" w:cs="Arial Unicode MS"/>
      <w:kern w:val="0"/>
      <w:szCs w:val="24"/>
    </w:rPr>
  </w:style>
  <w:style w:type="paragraph" w:styleId="19">
    <w:name w:val="List Bullet 5"/>
    <w:basedOn w:val="1"/>
    <w:semiHidden/>
    <w:unhideWhenUsed/>
    <w:qFormat/>
    <w:uiPriority w:val="99"/>
    <w:pPr>
      <w:numPr>
        <w:ilvl w:val="0"/>
        <w:numId w:val="1"/>
      </w:numPr>
    </w:pPr>
  </w:style>
  <w:style w:type="paragraph" w:styleId="20">
    <w:name w:val="toc 8"/>
    <w:basedOn w:val="1"/>
    <w:next w:val="1"/>
    <w:unhideWhenUsed/>
    <w:qFormat/>
    <w:uiPriority w:val="39"/>
    <w:pPr>
      <w:ind w:left="1680"/>
    </w:pPr>
    <w:rPr>
      <w:rFonts w:cstheme="minorHAnsi"/>
      <w:sz w:val="18"/>
      <w:szCs w:val="18"/>
    </w:rPr>
  </w:style>
  <w:style w:type="paragraph" w:styleId="21">
    <w:name w:val="Date"/>
    <w:basedOn w:val="1"/>
    <w:next w:val="1"/>
    <w:link w:val="60"/>
    <w:unhideWhenUsed/>
    <w:qFormat/>
    <w:uiPriority w:val="99"/>
    <w:pPr>
      <w:spacing w:line="480" w:lineRule="auto"/>
      <w:ind w:left="100" w:leftChars="2500"/>
    </w:pPr>
  </w:style>
  <w:style w:type="paragraph" w:styleId="22">
    <w:name w:val="Body Text Indent 2"/>
    <w:basedOn w:val="1"/>
    <w:link w:val="61"/>
    <w:unhideWhenUsed/>
    <w:qFormat/>
    <w:uiPriority w:val="99"/>
    <w:pPr>
      <w:spacing w:after="120" w:line="480" w:lineRule="auto"/>
      <w:ind w:left="420" w:leftChars="200"/>
    </w:pPr>
  </w:style>
  <w:style w:type="paragraph" w:styleId="23">
    <w:name w:val="endnote text"/>
    <w:basedOn w:val="1"/>
    <w:link w:val="103"/>
    <w:semiHidden/>
    <w:unhideWhenUsed/>
    <w:qFormat/>
    <w:uiPriority w:val="99"/>
    <w:pPr>
      <w:snapToGrid w:val="0"/>
    </w:pPr>
  </w:style>
  <w:style w:type="paragraph" w:styleId="24">
    <w:name w:val="Balloon Text"/>
    <w:basedOn w:val="1"/>
    <w:link w:val="62"/>
    <w:unhideWhenUsed/>
    <w:qFormat/>
    <w:uiPriority w:val="0"/>
    <w:rPr>
      <w:sz w:val="18"/>
      <w:szCs w:val="18"/>
    </w:rPr>
  </w:style>
  <w:style w:type="paragraph" w:styleId="25">
    <w:name w:val="footer"/>
    <w:basedOn w:val="1"/>
    <w:link w:val="63"/>
    <w:unhideWhenUsed/>
    <w:qFormat/>
    <w:uiPriority w:val="99"/>
    <w:pPr>
      <w:pBdr>
        <w:top w:val="single" w:color="auto" w:sz="4" w:space="1"/>
      </w:pBdr>
      <w:tabs>
        <w:tab w:val="center" w:pos="4153"/>
        <w:tab w:val="right" w:pos="8306"/>
      </w:tabs>
      <w:snapToGrid w:val="0"/>
    </w:pPr>
    <w:rPr>
      <w:sz w:val="18"/>
      <w:szCs w:val="18"/>
    </w:rPr>
  </w:style>
  <w:style w:type="paragraph" w:styleId="26">
    <w:name w:val="header"/>
    <w:basedOn w:val="1"/>
    <w:link w:val="64"/>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spacing w:before="120" w:after="120"/>
    </w:pPr>
    <w:rPr>
      <w:rFonts w:eastAsiaTheme="minorEastAsia" w:cstheme="minorHAnsi"/>
      <w:b/>
      <w:bCs/>
      <w:caps/>
      <w:sz w:val="20"/>
      <w:szCs w:val="20"/>
    </w:rPr>
  </w:style>
  <w:style w:type="paragraph" w:styleId="28">
    <w:name w:val="toc 4"/>
    <w:basedOn w:val="1"/>
    <w:next w:val="1"/>
    <w:unhideWhenUsed/>
    <w:qFormat/>
    <w:uiPriority w:val="39"/>
    <w:pPr>
      <w:ind w:left="720"/>
    </w:pPr>
    <w:rPr>
      <w:rFonts w:cstheme="minorHAnsi"/>
      <w:sz w:val="18"/>
      <w:szCs w:val="18"/>
    </w:rPr>
  </w:style>
  <w:style w:type="paragraph" w:styleId="29">
    <w:name w:val="List"/>
    <w:basedOn w:val="1"/>
    <w:semiHidden/>
    <w:unhideWhenUsed/>
    <w:qFormat/>
    <w:uiPriority w:val="0"/>
    <w:pPr>
      <w:ind w:left="200" w:hanging="200" w:hangingChars="200"/>
      <w:contextualSpacing/>
    </w:pPr>
  </w:style>
  <w:style w:type="paragraph" w:styleId="30">
    <w:name w:val="toc 6"/>
    <w:basedOn w:val="1"/>
    <w:next w:val="1"/>
    <w:unhideWhenUsed/>
    <w:qFormat/>
    <w:uiPriority w:val="39"/>
    <w:pPr>
      <w:ind w:left="1200"/>
    </w:pPr>
    <w:rPr>
      <w:rFonts w:cstheme="minorHAnsi"/>
      <w:sz w:val="18"/>
      <w:szCs w:val="18"/>
    </w:rPr>
  </w:style>
  <w:style w:type="paragraph" w:styleId="31">
    <w:name w:val="Body Text Indent 3"/>
    <w:basedOn w:val="1"/>
    <w:link w:val="166"/>
    <w:qFormat/>
    <w:uiPriority w:val="0"/>
    <w:pPr>
      <w:widowControl w:val="0"/>
      <w:spacing w:after="120"/>
      <w:ind w:left="420" w:leftChars="200"/>
      <w:jc w:val="both"/>
    </w:pPr>
    <w:rPr>
      <w:rFonts w:ascii="Times New Roman" w:hAnsi="Times New Roman" w:eastAsia="宋体" w:cs="Times New Roman"/>
      <w:sz w:val="16"/>
      <w:szCs w:val="16"/>
    </w:rPr>
  </w:style>
  <w:style w:type="paragraph" w:styleId="32">
    <w:name w:val="toc 2"/>
    <w:basedOn w:val="1"/>
    <w:next w:val="1"/>
    <w:unhideWhenUsed/>
    <w:qFormat/>
    <w:uiPriority w:val="39"/>
    <w:pPr>
      <w:ind w:left="240"/>
    </w:pPr>
    <w:rPr>
      <w:rFonts w:eastAsiaTheme="minorEastAsia" w:cstheme="minorHAnsi"/>
      <w:smallCaps/>
      <w:sz w:val="20"/>
      <w:szCs w:val="20"/>
    </w:rPr>
  </w:style>
  <w:style w:type="paragraph" w:styleId="33">
    <w:name w:val="toc 9"/>
    <w:basedOn w:val="1"/>
    <w:next w:val="1"/>
    <w:unhideWhenUsed/>
    <w:qFormat/>
    <w:uiPriority w:val="39"/>
    <w:pPr>
      <w:ind w:left="1920"/>
    </w:pPr>
    <w:rPr>
      <w:rFonts w:cstheme="minorHAnsi"/>
      <w:sz w:val="18"/>
      <w:szCs w:val="18"/>
    </w:rPr>
  </w:style>
  <w:style w:type="paragraph" w:styleId="34">
    <w:name w:val="Normal (Web)"/>
    <w:basedOn w:val="1"/>
    <w:link w:val="97"/>
    <w:qFormat/>
    <w:uiPriority w:val="99"/>
    <w:pPr>
      <w:spacing w:before="100" w:beforeAutospacing="1" w:after="100" w:afterAutospacing="1"/>
    </w:pPr>
    <w:rPr>
      <w:rFonts w:ascii="宋体" w:hAnsi="宋体" w:eastAsia="宋体" w:cs="宋体"/>
      <w:kern w:val="0"/>
      <w:szCs w:val="24"/>
    </w:rPr>
  </w:style>
  <w:style w:type="paragraph" w:styleId="35">
    <w:name w:val="annotation subject"/>
    <w:basedOn w:val="12"/>
    <w:next w:val="12"/>
    <w:link w:val="101"/>
    <w:semiHidden/>
    <w:unhideWhenUsed/>
    <w:qFormat/>
    <w:uiPriority w:val="99"/>
    <w:rPr>
      <w:b/>
      <w:bCs/>
    </w:rPr>
  </w:style>
  <w:style w:type="paragraph" w:styleId="36">
    <w:name w:val="Body Text First Indent"/>
    <w:basedOn w:val="13"/>
    <w:next w:val="1"/>
    <w:link w:val="94"/>
    <w:semiHidden/>
    <w:unhideWhenUsed/>
    <w:qFormat/>
    <w:uiPriority w:val="99"/>
    <w:pPr>
      <w:ind w:firstLine="420" w:firstLineChars="100"/>
    </w:pPr>
  </w:style>
  <w:style w:type="table" w:styleId="38">
    <w:name w:val="Table Grid"/>
    <w:basedOn w:val="37"/>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22"/>
    <w:rPr>
      <w:b/>
      <w:bCs/>
    </w:rPr>
  </w:style>
  <w:style w:type="character" w:styleId="41">
    <w:name w:val="endnote reference"/>
    <w:basedOn w:val="39"/>
    <w:semiHidden/>
    <w:unhideWhenUsed/>
    <w:qFormat/>
    <w:uiPriority w:val="99"/>
    <w:rPr>
      <w:vertAlign w:val="superscript"/>
    </w:rPr>
  </w:style>
  <w:style w:type="character" w:styleId="42">
    <w:name w:val="page number"/>
    <w:basedOn w:val="39"/>
    <w:qFormat/>
    <w:uiPriority w:val="0"/>
  </w:style>
  <w:style w:type="character" w:styleId="43">
    <w:name w:val="FollowedHyperlink"/>
    <w:basedOn w:val="39"/>
    <w:qFormat/>
    <w:uiPriority w:val="99"/>
    <w:rPr>
      <w:rFonts w:ascii="Times New Roman" w:hAnsi="Times New Roman"/>
      <w:color w:val="800080"/>
      <w:szCs w:val="24"/>
      <w:u w:val="single"/>
    </w:rPr>
  </w:style>
  <w:style w:type="character" w:styleId="44">
    <w:name w:val="Emphasis"/>
    <w:basedOn w:val="39"/>
    <w:qFormat/>
    <w:uiPriority w:val="20"/>
    <w:rPr>
      <w:i/>
      <w:iCs/>
    </w:rPr>
  </w:style>
  <w:style w:type="character" w:styleId="45">
    <w:name w:val="HTML Definition"/>
    <w:qFormat/>
    <w:uiPriority w:val="0"/>
    <w:rPr>
      <w:rFonts w:ascii="Arial Black" w:hAnsi="Arial Black" w:eastAsia="ˎ̥"/>
      <w:i/>
      <w:iCs/>
      <w:szCs w:val="21"/>
      <w:lang w:val="en-US" w:eastAsia="en-US" w:bidi="ar-SA"/>
    </w:rPr>
  </w:style>
  <w:style w:type="character" w:styleId="46">
    <w:name w:val="Hyperlink"/>
    <w:basedOn w:val="39"/>
    <w:qFormat/>
    <w:uiPriority w:val="99"/>
    <w:rPr>
      <w:color w:val="0000FF"/>
      <w:u w:val="single"/>
    </w:rPr>
  </w:style>
  <w:style w:type="character" w:styleId="47">
    <w:name w:val="annotation reference"/>
    <w:basedOn w:val="39"/>
    <w:unhideWhenUsed/>
    <w:qFormat/>
    <w:uiPriority w:val="99"/>
    <w:rPr>
      <w:sz w:val="21"/>
      <w:szCs w:val="21"/>
    </w:rPr>
  </w:style>
  <w:style w:type="paragraph" w:customStyle="1" w:styleId="48">
    <w:name w:val="Default"/>
    <w:basedOn w:val="49"/>
    <w:next w:val="1"/>
    <w:qFormat/>
    <w:uiPriority w:val="0"/>
    <w:pPr>
      <w:widowControl w:val="0"/>
      <w:autoSpaceDE w:val="0"/>
      <w:autoSpaceDN w:val="0"/>
    </w:pPr>
    <w:rPr>
      <w:rFonts w:hAnsi="Times New Roman" w:eastAsia="宋体" w:cs="宋体"/>
      <w:szCs w:val="24"/>
    </w:rPr>
  </w:style>
  <w:style w:type="paragraph" w:customStyle="1" w:styleId="49">
    <w:name w:val="纯文本1"/>
    <w:basedOn w:val="3"/>
    <w:qFormat/>
    <w:uiPriority w:val="99"/>
    <w:pPr>
      <w:keepNext w:val="0"/>
      <w:keepLines w:val="0"/>
      <w:adjustRightInd w:val="0"/>
      <w:spacing w:before="0" w:after="0" w:line="500" w:lineRule="atLeast"/>
      <w:ind w:firstLine="425" w:firstLineChars="177"/>
      <w:outlineLvl w:val="9"/>
    </w:pPr>
    <w:rPr>
      <w:rFonts w:ascii="宋体" w:hAnsi="Courier New"/>
      <w:b w:val="0"/>
      <w:bCs w:val="0"/>
      <w:color w:val="000000"/>
      <w:kern w:val="2"/>
      <w:sz w:val="24"/>
      <w:szCs w:val="20"/>
    </w:rPr>
  </w:style>
  <w:style w:type="paragraph" w:customStyle="1" w:styleId="50">
    <w:name w:val="样式 正文首行缩进 + 首行缩进:  2 字符1"/>
    <w:basedOn w:val="1"/>
    <w:next w:val="27"/>
    <w:qFormat/>
    <w:uiPriority w:val="0"/>
    <w:pPr>
      <w:spacing w:line="360" w:lineRule="auto"/>
      <w:ind w:firstLine="480" w:firstLineChars="200"/>
    </w:pPr>
  </w:style>
  <w:style w:type="paragraph" w:customStyle="1" w:styleId="51">
    <w:name w:val="No Spacing1"/>
    <w:qFormat/>
    <w:uiPriority w:val="99"/>
    <w:pPr>
      <w:widowControl w:val="0"/>
      <w:jc w:val="both"/>
    </w:pPr>
    <w:rPr>
      <w:rFonts w:ascii="Calibri" w:hAnsi="Calibri" w:eastAsia="宋体" w:cs="Times New Roman"/>
      <w:kern w:val="2"/>
      <w:sz w:val="32"/>
      <w:szCs w:val="32"/>
      <w:lang w:val="en-US" w:eastAsia="zh-CN" w:bidi="ar-SA"/>
    </w:rPr>
  </w:style>
  <w:style w:type="character" w:customStyle="1" w:styleId="52">
    <w:name w:val="标题 1 Char"/>
    <w:basedOn w:val="39"/>
    <w:link w:val="3"/>
    <w:qFormat/>
    <w:uiPriority w:val="0"/>
    <w:rPr>
      <w:rFonts w:ascii="新宋体" w:eastAsiaTheme="majorEastAsia"/>
      <w:b/>
      <w:bCs/>
      <w:kern w:val="44"/>
      <w:sz w:val="44"/>
      <w:szCs w:val="44"/>
    </w:rPr>
  </w:style>
  <w:style w:type="paragraph" w:customStyle="1" w:styleId="53">
    <w:name w:val="Normal (Web)1"/>
    <w:basedOn w:val="1"/>
    <w:next w:val="1"/>
    <w:qFormat/>
    <w:uiPriority w:val="0"/>
    <w:rPr>
      <w:rFonts w:ascii="宋体" w:cs="Times New Roman"/>
      <w:kern w:val="0"/>
    </w:rPr>
  </w:style>
  <w:style w:type="paragraph" w:customStyle="1" w:styleId="54">
    <w:name w:val="Date1"/>
    <w:basedOn w:val="1"/>
    <w:next w:val="1"/>
    <w:qFormat/>
    <w:uiPriority w:val="0"/>
    <w:pPr>
      <w:ind w:left="2500" w:leftChars="2500"/>
    </w:pPr>
  </w:style>
  <w:style w:type="character" w:customStyle="1" w:styleId="55">
    <w:name w:val="标题 2 Char"/>
    <w:basedOn w:val="39"/>
    <w:link w:val="4"/>
    <w:qFormat/>
    <w:uiPriority w:val="9"/>
    <w:rPr>
      <w:rFonts w:ascii="Times New Roman" w:hAnsi="Times New Roman" w:eastAsia="黑体" w:cs="Times New Roman"/>
      <w:b/>
      <w:bCs/>
      <w:kern w:val="2"/>
      <w:sz w:val="32"/>
      <w:szCs w:val="32"/>
    </w:rPr>
  </w:style>
  <w:style w:type="character" w:customStyle="1" w:styleId="56">
    <w:name w:val="标题 3 Char"/>
    <w:basedOn w:val="39"/>
    <w:link w:val="5"/>
    <w:qFormat/>
    <w:uiPriority w:val="9"/>
    <w:rPr>
      <w:rFonts w:ascii="Times New Roman" w:hAnsi="Times New Roman" w:eastAsia="黑体" w:cs="Times New Roman"/>
      <w:b/>
      <w:bCs/>
      <w:kern w:val="2"/>
      <w:sz w:val="32"/>
      <w:szCs w:val="32"/>
    </w:rPr>
  </w:style>
  <w:style w:type="character" w:customStyle="1" w:styleId="57">
    <w:name w:val="标题 4 Char"/>
    <w:basedOn w:val="39"/>
    <w:link w:val="6"/>
    <w:qFormat/>
    <w:uiPriority w:val="9"/>
    <w:rPr>
      <w:rFonts w:ascii="Times New Roman" w:hAnsi="Times New Roman" w:eastAsia="黑体" w:cs="Times New Roman"/>
      <w:b/>
      <w:bCs/>
      <w:kern w:val="2"/>
      <w:sz w:val="28"/>
      <w:szCs w:val="28"/>
    </w:rPr>
  </w:style>
  <w:style w:type="character" w:customStyle="1" w:styleId="58">
    <w:name w:val="标题 5 Char"/>
    <w:basedOn w:val="39"/>
    <w:link w:val="7"/>
    <w:semiHidden/>
    <w:qFormat/>
    <w:uiPriority w:val="9"/>
    <w:rPr>
      <w:b/>
      <w:bCs/>
      <w:sz w:val="28"/>
      <w:szCs w:val="28"/>
    </w:rPr>
  </w:style>
  <w:style w:type="character" w:customStyle="1" w:styleId="59">
    <w:name w:val="标题 8 Char"/>
    <w:basedOn w:val="39"/>
    <w:link w:val="8"/>
    <w:semiHidden/>
    <w:qFormat/>
    <w:uiPriority w:val="9"/>
    <w:rPr>
      <w:rFonts w:asciiTheme="majorHAnsi" w:hAnsiTheme="majorHAnsi" w:eastAsiaTheme="majorEastAsia" w:cstheme="majorBidi"/>
      <w:sz w:val="24"/>
      <w:szCs w:val="24"/>
    </w:rPr>
  </w:style>
  <w:style w:type="character" w:customStyle="1" w:styleId="60">
    <w:name w:val="日期 Char"/>
    <w:basedOn w:val="39"/>
    <w:link w:val="21"/>
    <w:semiHidden/>
    <w:qFormat/>
    <w:uiPriority w:val="99"/>
    <w:rPr>
      <w:sz w:val="24"/>
    </w:rPr>
  </w:style>
  <w:style w:type="character" w:customStyle="1" w:styleId="61">
    <w:name w:val="正文文本缩进 2 Char"/>
    <w:basedOn w:val="39"/>
    <w:link w:val="22"/>
    <w:semiHidden/>
    <w:qFormat/>
    <w:uiPriority w:val="99"/>
    <w:rPr>
      <w:sz w:val="24"/>
    </w:rPr>
  </w:style>
  <w:style w:type="character" w:customStyle="1" w:styleId="62">
    <w:name w:val="批注框文本 Char"/>
    <w:basedOn w:val="39"/>
    <w:link w:val="24"/>
    <w:qFormat/>
    <w:uiPriority w:val="0"/>
    <w:rPr>
      <w:sz w:val="18"/>
      <w:szCs w:val="18"/>
    </w:rPr>
  </w:style>
  <w:style w:type="character" w:customStyle="1" w:styleId="63">
    <w:name w:val="页脚 Char"/>
    <w:basedOn w:val="39"/>
    <w:link w:val="25"/>
    <w:qFormat/>
    <w:uiPriority w:val="99"/>
    <w:rPr>
      <w:sz w:val="18"/>
      <w:szCs w:val="18"/>
    </w:rPr>
  </w:style>
  <w:style w:type="character" w:customStyle="1" w:styleId="64">
    <w:name w:val="页眉 Char"/>
    <w:basedOn w:val="39"/>
    <w:link w:val="26"/>
    <w:qFormat/>
    <w:uiPriority w:val="99"/>
    <w:rPr>
      <w:sz w:val="18"/>
      <w:szCs w:val="18"/>
    </w:rPr>
  </w:style>
  <w:style w:type="paragraph" w:customStyle="1" w:styleId="65">
    <w:name w:val="缩进"/>
    <w:basedOn w:val="1"/>
    <w:qFormat/>
    <w:uiPriority w:val="0"/>
    <w:pPr>
      <w:spacing w:line="360" w:lineRule="auto"/>
      <w:ind w:firstLine="442" w:firstLineChars="200"/>
    </w:pPr>
    <w:rPr>
      <w:rFonts w:ascii="Times New Roman" w:hAnsi="Times New Roman" w:cs="Times New Roman" w:eastAsiaTheme="minorEastAsia"/>
    </w:rPr>
  </w:style>
  <w:style w:type="paragraph" w:customStyle="1" w:styleId="66">
    <w:name w:val="表头"/>
    <w:basedOn w:val="32"/>
    <w:link w:val="68"/>
    <w:qFormat/>
    <w:uiPriority w:val="0"/>
    <w:pPr>
      <w:jc w:val="center"/>
    </w:pPr>
    <w:rPr>
      <w:sz w:val="21"/>
    </w:rPr>
  </w:style>
  <w:style w:type="paragraph" w:customStyle="1" w:styleId="67">
    <w:name w:val="样式4"/>
    <w:basedOn w:val="1"/>
    <w:qFormat/>
    <w:uiPriority w:val="0"/>
    <w:pPr>
      <w:adjustRightInd w:val="0"/>
      <w:snapToGrid w:val="0"/>
      <w:jc w:val="center"/>
    </w:pPr>
    <w:rPr>
      <w:szCs w:val="20"/>
    </w:rPr>
  </w:style>
  <w:style w:type="character" w:customStyle="1" w:styleId="68">
    <w:name w:val="表头 Char"/>
    <w:link w:val="66"/>
    <w:qFormat/>
    <w:uiPriority w:val="0"/>
    <w:rPr>
      <w:rFonts w:ascii="新宋体" w:eastAsia="新宋体"/>
      <w:kern w:val="2"/>
      <w:sz w:val="21"/>
      <w:szCs w:val="21"/>
    </w:rPr>
  </w:style>
  <w:style w:type="paragraph" w:customStyle="1" w:styleId="69">
    <w:name w:val="Char"/>
    <w:basedOn w:val="1"/>
    <w:qFormat/>
    <w:uiPriority w:val="0"/>
    <w:pPr>
      <w:spacing w:after="160" w:line="240" w:lineRule="exact"/>
    </w:pPr>
    <w:rPr>
      <w:rFonts w:ascii="Verdana" w:hAnsi="Verdana" w:eastAsia="宋体" w:cs="Times New Roman"/>
      <w:w w:val="90"/>
      <w:kern w:val="0"/>
      <w:sz w:val="20"/>
      <w:szCs w:val="20"/>
      <w:lang w:eastAsia="en-US"/>
    </w:rPr>
  </w:style>
  <w:style w:type="paragraph" w:customStyle="1" w:styleId="70">
    <w:name w:val="表格"/>
    <w:basedOn w:val="1"/>
    <w:qFormat/>
    <w:uiPriority w:val="0"/>
    <w:rPr>
      <w:rFonts w:asciiTheme="minorHAnsi" w:eastAsiaTheme="minorEastAsia"/>
    </w:rPr>
  </w:style>
  <w:style w:type="paragraph" w:customStyle="1" w:styleId="71">
    <w:name w:val="Char2"/>
    <w:basedOn w:val="1"/>
    <w:semiHidden/>
    <w:qFormat/>
    <w:uiPriority w:val="0"/>
    <w:pPr>
      <w:spacing w:after="160" w:line="240" w:lineRule="exact"/>
    </w:pPr>
    <w:rPr>
      <w:rFonts w:ascii="Verdana" w:hAnsi="Verdana" w:eastAsia="宋体" w:cs="Times New Roman"/>
      <w:w w:val="90"/>
      <w:kern w:val="0"/>
      <w:sz w:val="20"/>
      <w:szCs w:val="20"/>
      <w:lang w:eastAsia="en-US"/>
    </w:rPr>
  </w:style>
  <w:style w:type="paragraph" w:customStyle="1" w:styleId="72">
    <w:name w:val="2"/>
    <w:basedOn w:val="1"/>
    <w:semiHidden/>
    <w:qFormat/>
    <w:uiPriority w:val="0"/>
    <w:pPr>
      <w:spacing w:after="160" w:line="240" w:lineRule="exact"/>
    </w:pPr>
    <w:rPr>
      <w:rFonts w:ascii="Verdana" w:hAnsi="Verdana" w:eastAsia="宋体" w:cs="Times New Roman"/>
      <w:w w:val="90"/>
      <w:kern w:val="0"/>
      <w:sz w:val="20"/>
      <w:szCs w:val="20"/>
      <w:lang w:eastAsia="en-US"/>
    </w:rPr>
  </w:style>
  <w:style w:type="paragraph" w:customStyle="1" w:styleId="73">
    <w:name w:val="Char Char Char Char"/>
    <w:basedOn w:val="1"/>
    <w:qFormat/>
    <w:uiPriority w:val="0"/>
    <w:pPr>
      <w:spacing w:after="160" w:line="240" w:lineRule="exact"/>
    </w:pPr>
    <w:rPr>
      <w:rFonts w:ascii="Verdana" w:hAnsi="Verdana" w:eastAsia="宋体" w:cs="Verdana"/>
      <w:kern w:val="0"/>
      <w:sz w:val="20"/>
      <w:szCs w:val="20"/>
      <w:lang w:eastAsia="en-US"/>
    </w:rPr>
  </w:style>
  <w:style w:type="paragraph" w:customStyle="1" w:styleId="74">
    <w:name w:val="正文(首行缩进)"/>
    <w:basedOn w:val="1"/>
    <w:link w:val="75"/>
    <w:semiHidden/>
    <w:qFormat/>
    <w:uiPriority w:val="0"/>
    <w:pPr>
      <w:ind w:firstLine="200" w:firstLineChars="200"/>
    </w:pPr>
    <w:rPr>
      <w:rFonts w:ascii="Times New Roman" w:hAnsi="Times New Roman" w:eastAsia="宋体" w:cs="Times New Roman"/>
      <w:snapToGrid w:val="0"/>
      <w:kern w:val="0"/>
      <w:szCs w:val="24"/>
    </w:rPr>
  </w:style>
  <w:style w:type="character" w:customStyle="1" w:styleId="75">
    <w:name w:val="正文(首行缩进) Char"/>
    <w:basedOn w:val="39"/>
    <w:link w:val="74"/>
    <w:semiHidden/>
    <w:qFormat/>
    <w:uiPriority w:val="0"/>
    <w:rPr>
      <w:rFonts w:ascii="Times New Roman" w:hAnsi="Times New Roman" w:eastAsia="宋体" w:cs="Times New Roman"/>
      <w:snapToGrid w:val="0"/>
      <w:kern w:val="0"/>
      <w:sz w:val="24"/>
      <w:szCs w:val="24"/>
    </w:rPr>
  </w:style>
  <w:style w:type="paragraph" w:customStyle="1" w:styleId="76">
    <w:name w:val="ZW"/>
    <w:basedOn w:val="1"/>
    <w:semiHidden/>
    <w:qFormat/>
    <w:uiPriority w:val="0"/>
    <w:pPr>
      <w:adjustRightInd w:val="0"/>
      <w:spacing w:line="300" w:lineRule="auto"/>
      <w:ind w:firstLine="480" w:firstLineChars="200"/>
    </w:pPr>
    <w:rPr>
      <w:rFonts w:ascii="Times New Roman" w:hAnsi="Times New Roman" w:eastAsia="楷体_GB2312" w:cs="宋体"/>
      <w:szCs w:val="24"/>
    </w:rPr>
  </w:style>
  <w:style w:type="paragraph" w:customStyle="1" w:styleId="77">
    <w:name w:val="【表中文字】"/>
    <w:basedOn w:val="78"/>
    <w:link w:val="79"/>
    <w:semiHidden/>
    <w:qFormat/>
    <w:uiPriority w:val="0"/>
    <w:rPr>
      <w:rFonts w:ascii="Times New Roman" w:hAnsi="Times New Roman" w:eastAsia="宋体" w:cs="Times New Roman"/>
      <w:sz w:val="21"/>
      <w:szCs w:val="20"/>
    </w:rPr>
  </w:style>
  <w:style w:type="paragraph" w:customStyle="1" w:styleId="78">
    <w:name w:val="表格字"/>
    <w:basedOn w:val="29"/>
    <w:qFormat/>
    <w:uiPriority w:val="0"/>
    <w:pPr>
      <w:ind w:left="0" w:firstLine="0" w:firstLineChars="0"/>
      <w:jc w:val="center"/>
    </w:pPr>
  </w:style>
  <w:style w:type="character" w:customStyle="1" w:styleId="79">
    <w:name w:val="【表中文字】 Char"/>
    <w:link w:val="77"/>
    <w:semiHidden/>
    <w:qFormat/>
    <w:uiPriority w:val="0"/>
    <w:rPr>
      <w:rFonts w:ascii="Times New Roman" w:hAnsi="Times New Roman" w:eastAsia="宋体" w:cs="Times New Roman"/>
      <w:szCs w:val="20"/>
    </w:rPr>
  </w:style>
  <w:style w:type="paragraph" w:customStyle="1" w:styleId="80">
    <w:name w:val="【标题3】"/>
    <w:basedOn w:val="5"/>
    <w:link w:val="81"/>
    <w:semiHidden/>
    <w:qFormat/>
    <w:uiPriority w:val="0"/>
    <w:pPr>
      <w:keepNext w:val="0"/>
      <w:spacing w:before="240" w:after="240" w:line="240" w:lineRule="auto"/>
    </w:pPr>
    <w:rPr>
      <w:rFonts w:eastAsia="宋体"/>
      <w:sz w:val="30"/>
      <w:szCs w:val="20"/>
    </w:rPr>
  </w:style>
  <w:style w:type="character" w:customStyle="1" w:styleId="81">
    <w:name w:val="【标题3】 Char"/>
    <w:link w:val="80"/>
    <w:semiHidden/>
    <w:qFormat/>
    <w:uiPriority w:val="0"/>
    <w:rPr>
      <w:rFonts w:ascii="Times New Roman" w:hAnsi="Times New Roman" w:eastAsia="宋体" w:cs="Times New Roman"/>
      <w:b/>
      <w:bCs/>
      <w:sz w:val="30"/>
      <w:szCs w:val="20"/>
    </w:rPr>
  </w:style>
  <w:style w:type="paragraph" w:customStyle="1" w:styleId="82">
    <w:name w:val="Char Char3"/>
    <w:basedOn w:val="1"/>
    <w:semiHidden/>
    <w:qFormat/>
    <w:uiPriority w:val="0"/>
    <w:pPr>
      <w:spacing w:after="160" w:line="240" w:lineRule="exact"/>
    </w:pPr>
    <w:rPr>
      <w:rFonts w:ascii="Verdana" w:hAnsi="Verdana" w:eastAsia="宋体" w:cs="Times New Roman"/>
      <w:w w:val="90"/>
      <w:kern w:val="0"/>
      <w:sz w:val="20"/>
      <w:szCs w:val="20"/>
      <w:lang w:eastAsia="en-US"/>
    </w:rPr>
  </w:style>
  <w:style w:type="paragraph" w:customStyle="1" w:styleId="83">
    <w:name w:val="列出段落1"/>
    <w:basedOn w:val="1"/>
    <w:qFormat/>
    <w:uiPriority w:val="34"/>
    <w:pPr>
      <w:spacing w:line="480" w:lineRule="auto"/>
      <w:ind w:firstLine="420" w:firstLineChars="200"/>
    </w:pPr>
  </w:style>
  <w:style w:type="paragraph" w:customStyle="1" w:styleId="84">
    <w:name w:val="Char1"/>
    <w:basedOn w:val="1"/>
    <w:qFormat/>
    <w:uiPriority w:val="0"/>
    <w:pPr>
      <w:spacing w:after="160" w:line="240" w:lineRule="exact"/>
    </w:pPr>
    <w:rPr>
      <w:rFonts w:ascii="Verdana" w:hAnsi="Verdana" w:eastAsia="宋体" w:cs="Times New Roman"/>
      <w:kern w:val="0"/>
      <w:sz w:val="20"/>
      <w:szCs w:val="20"/>
      <w:lang w:eastAsia="en-US"/>
    </w:rPr>
  </w:style>
  <w:style w:type="paragraph" w:customStyle="1" w:styleId="85">
    <w:name w:val="Char Char31"/>
    <w:basedOn w:val="1"/>
    <w:semiHidden/>
    <w:qFormat/>
    <w:uiPriority w:val="0"/>
    <w:pPr>
      <w:spacing w:after="160" w:line="240" w:lineRule="exact"/>
    </w:pPr>
    <w:rPr>
      <w:rFonts w:ascii="Verdana" w:hAnsi="Verdana" w:eastAsia="宋体" w:cs="Times New Roman"/>
      <w:w w:val="90"/>
      <w:kern w:val="0"/>
      <w:sz w:val="20"/>
      <w:szCs w:val="20"/>
      <w:lang w:eastAsia="en-US"/>
    </w:rPr>
  </w:style>
  <w:style w:type="paragraph" w:customStyle="1" w:styleId="86">
    <w:name w:val="TOC 标题1"/>
    <w:basedOn w:val="3"/>
    <w:next w:val="1"/>
    <w:unhideWhenUsed/>
    <w:qFormat/>
    <w:uiPriority w:val="39"/>
    <w:pPr>
      <w:spacing w:before="480" w:after="0" w:line="276" w:lineRule="auto"/>
      <w:outlineLvl w:val="9"/>
    </w:pPr>
    <w:rPr>
      <w:rFonts w:asciiTheme="majorHAnsi" w:hAnsiTheme="majorHAnsi" w:cstheme="majorBidi"/>
      <w:color w:val="376092" w:themeColor="accent1" w:themeShade="BF"/>
      <w:kern w:val="0"/>
      <w:sz w:val="28"/>
      <w:szCs w:val="28"/>
    </w:rPr>
  </w:style>
  <w:style w:type="paragraph" w:customStyle="1" w:styleId="87">
    <w:name w:val="Char3"/>
    <w:basedOn w:val="1"/>
    <w:semiHidden/>
    <w:qFormat/>
    <w:uiPriority w:val="0"/>
    <w:pPr>
      <w:spacing w:after="160" w:line="240" w:lineRule="exact"/>
    </w:pPr>
    <w:rPr>
      <w:rFonts w:ascii="Verdana" w:hAnsi="Verdana" w:eastAsia="宋体" w:cs="Times New Roman"/>
      <w:w w:val="90"/>
      <w:kern w:val="0"/>
      <w:sz w:val="20"/>
      <w:szCs w:val="20"/>
      <w:lang w:eastAsia="en-US"/>
    </w:rPr>
  </w:style>
  <w:style w:type="character" w:customStyle="1" w:styleId="88">
    <w:name w:val="占位符文本1"/>
    <w:basedOn w:val="39"/>
    <w:semiHidden/>
    <w:qFormat/>
    <w:uiPriority w:val="99"/>
    <w:rPr>
      <w:color w:val="808080"/>
    </w:rPr>
  </w:style>
  <w:style w:type="character" w:customStyle="1" w:styleId="89">
    <w:name w:val="表文 Char"/>
    <w:basedOn w:val="39"/>
    <w:link w:val="90"/>
    <w:qFormat/>
    <w:uiPriority w:val="0"/>
    <w:rPr>
      <w:rFonts w:eastAsia="宋体"/>
    </w:rPr>
  </w:style>
  <w:style w:type="paragraph" w:customStyle="1" w:styleId="90">
    <w:name w:val="表文"/>
    <w:basedOn w:val="1"/>
    <w:link w:val="89"/>
    <w:qFormat/>
    <w:uiPriority w:val="0"/>
    <w:pPr>
      <w:jc w:val="center"/>
    </w:pPr>
    <w:rPr>
      <w:rFonts w:eastAsia="宋体" w:asciiTheme="minorHAnsi"/>
      <w:sz w:val="21"/>
    </w:rPr>
  </w:style>
  <w:style w:type="paragraph" w:customStyle="1" w:styleId="91">
    <w:name w:val="Char Char2 Char Char Char Char Char Char"/>
    <w:basedOn w:val="1"/>
    <w:qFormat/>
    <w:uiPriority w:val="0"/>
    <w:rPr>
      <w:rFonts w:ascii="Times New Roman" w:hAnsi="Times New Roman" w:eastAsia="宋体" w:cs="Times New Roman"/>
      <w:sz w:val="44"/>
      <w:szCs w:val="20"/>
    </w:rPr>
  </w:style>
  <w:style w:type="paragraph" w:customStyle="1" w:styleId="92">
    <w:name w:val="Char Char2 Char Char Char Char Char Char1"/>
    <w:basedOn w:val="1"/>
    <w:qFormat/>
    <w:uiPriority w:val="0"/>
    <w:rPr>
      <w:rFonts w:ascii="Times New Roman" w:hAnsi="Times New Roman" w:eastAsia="宋体" w:cs="Times New Roman"/>
      <w:sz w:val="44"/>
      <w:szCs w:val="20"/>
    </w:rPr>
  </w:style>
  <w:style w:type="character" w:customStyle="1" w:styleId="93">
    <w:name w:val="正文文本 Char"/>
    <w:basedOn w:val="39"/>
    <w:link w:val="13"/>
    <w:semiHidden/>
    <w:qFormat/>
    <w:uiPriority w:val="99"/>
    <w:rPr>
      <w:rFonts w:ascii="新宋体" w:eastAsia="新宋体"/>
      <w:kern w:val="2"/>
      <w:sz w:val="24"/>
      <w:szCs w:val="21"/>
    </w:rPr>
  </w:style>
  <w:style w:type="character" w:customStyle="1" w:styleId="94">
    <w:name w:val="正文首行缩进 Char"/>
    <w:basedOn w:val="93"/>
    <w:link w:val="36"/>
    <w:semiHidden/>
    <w:qFormat/>
    <w:uiPriority w:val="99"/>
    <w:rPr>
      <w:rFonts w:ascii="新宋体" w:eastAsia="新宋体"/>
      <w:kern w:val="2"/>
      <w:sz w:val="24"/>
      <w:szCs w:val="21"/>
    </w:rPr>
  </w:style>
  <w:style w:type="character" w:customStyle="1" w:styleId="95">
    <w:name w:val="Normal Char"/>
    <w:link w:val="96"/>
    <w:qFormat/>
    <w:uiPriority w:val="0"/>
    <w:rPr>
      <w:rFonts w:ascii="宋体"/>
      <w:sz w:val="24"/>
    </w:rPr>
  </w:style>
  <w:style w:type="paragraph" w:customStyle="1" w:styleId="96">
    <w:name w:val="正文1"/>
    <w:next w:val="1"/>
    <w:link w:val="95"/>
    <w:qFormat/>
    <w:uiPriority w:val="0"/>
    <w:pPr>
      <w:widowControl w:val="0"/>
      <w:adjustRightInd w:val="0"/>
      <w:spacing w:line="360" w:lineRule="atLeast"/>
      <w:textAlignment w:val="baseline"/>
    </w:pPr>
    <w:rPr>
      <w:rFonts w:ascii="宋体" w:hAnsiTheme="minorHAnsi" w:eastAsiaTheme="minorEastAsia" w:cstheme="minorBidi"/>
      <w:sz w:val="24"/>
      <w:lang w:val="en-US" w:eastAsia="zh-CN" w:bidi="ar-SA"/>
    </w:rPr>
  </w:style>
  <w:style w:type="character" w:customStyle="1" w:styleId="97">
    <w:name w:val="普通(网站) Char"/>
    <w:link w:val="34"/>
    <w:qFormat/>
    <w:uiPriority w:val="0"/>
    <w:rPr>
      <w:rFonts w:ascii="宋体" w:hAnsi="宋体" w:eastAsia="宋体" w:cs="宋体"/>
      <w:sz w:val="24"/>
      <w:szCs w:val="24"/>
    </w:rPr>
  </w:style>
  <w:style w:type="character" w:styleId="98">
    <w:name w:val="Placeholder Text"/>
    <w:basedOn w:val="39"/>
    <w:unhideWhenUsed/>
    <w:qFormat/>
    <w:uiPriority w:val="99"/>
    <w:rPr>
      <w:color w:val="808080"/>
    </w:rPr>
  </w:style>
  <w:style w:type="paragraph" w:styleId="99">
    <w:name w:val="List Paragraph"/>
    <w:basedOn w:val="1"/>
    <w:unhideWhenUsed/>
    <w:qFormat/>
    <w:uiPriority w:val="1"/>
    <w:pPr>
      <w:ind w:firstLine="420" w:firstLineChars="200"/>
    </w:pPr>
  </w:style>
  <w:style w:type="character" w:customStyle="1" w:styleId="100">
    <w:name w:val="批注文字 Char"/>
    <w:basedOn w:val="39"/>
    <w:link w:val="12"/>
    <w:qFormat/>
    <w:uiPriority w:val="99"/>
    <w:rPr>
      <w:rFonts w:ascii="新宋体" w:eastAsia="新宋体"/>
      <w:kern w:val="2"/>
      <w:sz w:val="24"/>
      <w:szCs w:val="21"/>
    </w:rPr>
  </w:style>
  <w:style w:type="character" w:customStyle="1" w:styleId="101">
    <w:name w:val="批注主题 Char"/>
    <w:basedOn w:val="100"/>
    <w:link w:val="35"/>
    <w:semiHidden/>
    <w:qFormat/>
    <w:uiPriority w:val="99"/>
    <w:rPr>
      <w:rFonts w:ascii="新宋体" w:eastAsia="新宋体"/>
      <w:b/>
      <w:bCs/>
      <w:kern w:val="2"/>
      <w:sz w:val="24"/>
      <w:szCs w:val="21"/>
    </w:rPr>
  </w:style>
  <w:style w:type="paragraph" w:customStyle="1" w:styleId="102">
    <w:name w:val="正文 New New"/>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03">
    <w:name w:val="尾注文本 Char"/>
    <w:basedOn w:val="39"/>
    <w:link w:val="23"/>
    <w:semiHidden/>
    <w:qFormat/>
    <w:uiPriority w:val="99"/>
    <w:rPr>
      <w:rFonts w:ascii="新宋体" w:eastAsia="新宋体"/>
      <w:kern w:val="2"/>
      <w:sz w:val="24"/>
      <w:szCs w:val="21"/>
    </w:rPr>
  </w:style>
  <w:style w:type="character" w:customStyle="1" w:styleId="104">
    <w:name w:val="正文文本缩进 Char"/>
    <w:basedOn w:val="39"/>
    <w:link w:val="14"/>
    <w:qFormat/>
    <w:uiPriority w:val="99"/>
    <w:rPr>
      <w:rFonts w:ascii="新宋体" w:eastAsia="新宋体"/>
      <w:kern w:val="2"/>
      <w:sz w:val="24"/>
      <w:szCs w:val="21"/>
    </w:rPr>
  </w:style>
  <w:style w:type="paragraph" w:customStyle="1" w:styleId="105">
    <w:name w:val="Table Paragraph"/>
    <w:basedOn w:val="1"/>
    <w:qFormat/>
    <w:uiPriority w:val="99"/>
    <w:rPr>
      <w:rFonts w:ascii="Calibri" w:hAnsi="Calibri" w:eastAsia="宋体" w:cs="宋体"/>
      <w:kern w:val="0"/>
      <w:sz w:val="22"/>
      <w:szCs w:val="22"/>
    </w:rPr>
  </w:style>
  <w:style w:type="character" w:customStyle="1" w:styleId="106">
    <w:name w:val="纯文本 Char"/>
    <w:basedOn w:val="39"/>
    <w:link w:val="18"/>
    <w:qFormat/>
    <w:uiPriority w:val="0"/>
    <w:rPr>
      <w:rFonts w:ascii="Arial Unicode MS" w:hAnsi="Arial Unicode MS" w:eastAsia="Arial Unicode MS" w:cs="Arial Unicode MS"/>
      <w:sz w:val="24"/>
      <w:szCs w:val="24"/>
    </w:rPr>
  </w:style>
  <w:style w:type="character" w:customStyle="1" w:styleId="107">
    <w:name w:val="title41"/>
    <w:qFormat/>
    <w:uiPriority w:val="0"/>
    <w:rPr>
      <w:rFonts w:ascii="宋体" w:hAnsi="宋体" w:eastAsia="宋体" w:cs="宋体"/>
      <w:color w:val="auto"/>
      <w:sz w:val="36"/>
      <w:szCs w:val="36"/>
    </w:rPr>
  </w:style>
  <w:style w:type="character" w:customStyle="1" w:styleId="108">
    <w:name w:val="正文00 Char"/>
    <w:link w:val="109"/>
    <w:qFormat/>
    <w:uiPriority w:val="0"/>
    <w:rPr>
      <w:rFonts w:ascii="宋体" w:hAnsi="宋体" w:cs="宋体"/>
      <w:kern w:val="2"/>
      <w:sz w:val="24"/>
      <w:szCs w:val="24"/>
    </w:rPr>
  </w:style>
  <w:style w:type="paragraph" w:customStyle="1" w:styleId="109">
    <w:name w:val="正文00"/>
    <w:basedOn w:val="1"/>
    <w:link w:val="108"/>
    <w:qFormat/>
    <w:uiPriority w:val="0"/>
    <w:pPr>
      <w:widowControl w:val="0"/>
      <w:spacing w:line="360" w:lineRule="auto"/>
      <w:ind w:firstLine="480" w:firstLineChars="200"/>
      <w:jc w:val="both"/>
    </w:pPr>
    <w:rPr>
      <w:rFonts w:ascii="宋体" w:hAnsi="宋体" w:cs="宋体" w:eastAsiaTheme="minorEastAsia"/>
      <w:szCs w:val="24"/>
    </w:rPr>
  </w:style>
  <w:style w:type="paragraph" w:customStyle="1" w:styleId="110">
    <w:name w:val="样式 Times New Roman 五号 居中1"/>
    <w:basedOn w:val="1"/>
    <w:next w:val="66"/>
    <w:qFormat/>
    <w:uiPriority w:val="0"/>
    <w:pPr>
      <w:jc w:val="center"/>
    </w:pPr>
    <w:rPr>
      <w:rFonts w:ascii="Times New Roman" w:cs="宋体"/>
      <w:sz w:val="21"/>
    </w:rPr>
  </w:style>
  <w:style w:type="paragraph" w:customStyle="1" w:styleId="111">
    <w:name w:val="表格标题"/>
    <w:basedOn w:val="1"/>
    <w:link w:val="112"/>
    <w:qFormat/>
    <w:uiPriority w:val="0"/>
    <w:pPr>
      <w:widowControl w:val="0"/>
      <w:adjustRightInd w:val="0"/>
      <w:spacing w:line="480" w:lineRule="auto"/>
      <w:jc w:val="center"/>
    </w:pPr>
    <w:rPr>
      <w:rFonts w:ascii="Arial" w:hAnsi="Arial" w:eastAsia="宋体" w:cs="宋体"/>
      <w:spacing w:val="20"/>
      <w:sz w:val="21"/>
    </w:rPr>
  </w:style>
  <w:style w:type="character" w:customStyle="1" w:styleId="112">
    <w:name w:val="表格标题 Char"/>
    <w:basedOn w:val="39"/>
    <w:link w:val="111"/>
    <w:qFormat/>
    <w:uiPriority w:val="0"/>
    <w:rPr>
      <w:rFonts w:ascii="Arial" w:hAnsi="Arial" w:eastAsia="宋体" w:cs="宋体"/>
      <w:spacing w:val="20"/>
      <w:kern w:val="2"/>
      <w:sz w:val="21"/>
      <w:szCs w:val="21"/>
    </w:rPr>
  </w:style>
  <w:style w:type="character" w:customStyle="1" w:styleId="113">
    <w:name w:val="【标题4】 Char"/>
    <w:link w:val="114"/>
    <w:qFormat/>
    <w:uiPriority w:val="0"/>
    <w:rPr>
      <w:rFonts w:eastAsia="宋体" w:cs="宋体"/>
      <w:b/>
      <w:bCs/>
      <w:kern w:val="2"/>
      <w:sz w:val="24"/>
    </w:rPr>
  </w:style>
  <w:style w:type="paragraph" w:customStyle="1" w:styleId="114">
    <w:name w:val="【标题4】"/>
    <w:basedOn w:val="1"/>
    <w:link w:val="113"/>
    <w:qFormat/>
    <w:uiPriority w:val="0"/>
    <w:pPr>
      <w:keepLines/>
      <w:widowControl w:val="0"/>
      <w:spacing w:before="120" w:after="120"/>
      <w:outlineLvl w:val="3"/>
    </w:pPr>
    <w:rPr>
      <w:rFonts w:eastAsia="宋体" w:cs="宋体" w:asciiTheme="minorHAnsi"/>
      <w:b/>
      <w:bCs/>
      <w:szCs w:val="20"/>
    </w:rPr>
  </w:style>
  <w:style w:type="paragraph" w:customStyle="1" w:styleId="115">
    <w:name w:val="Normal_21_0"/>
    <w:qFormat/>
    <w:uiPriority w:val="0"/>
    <w:pPr>
      <w:spacing w:before="120" w:after="240"/>
      <w:jc w:val="both"/>
    </w:pPr>
    <w:rPr>
      <w:rFonts w:ascii="Calibri" w:hAnsi="Calibri" w:eastAsia="宋体" w:cs="Times New Roman"/>
      <w:sz w:val="22"/>
      <w:szCs w:val="22"/>
      <w:lang w:val="en-US" w:eastAsia="en-US" w:bidi="ar-SA"/>
    </w:rPr>
  </w:style>
  <w:style w:type="character" w:customStyle="1" w:styleId="116">
    <w:name w:val="【正文】 Char"/>
    <w:link w:val="117"/>
    <w:qFormat/>
    <w:uiPriority w:val="0"/>
    <w:rPr>
      <w:rFonts w:eastAsia="宋体" w:cs="宋体"/>
      <w:spacing w:val="16"/>
      <w:kern w:val="2"/>
      <w:sz w:val="24"/>
    </w:rPr>
  </w:style>
  <w:style w:type="paragraph" w:customStyle="1" w:styleId="117">
    <w:name w:val="【正文】"/>
    <w:basedOn w:val="13"/>
    <w:link w:val="116"/>
    <w:qFormat/>
    <w:uiPriority w:val="0"/>
    <w:pPr>
      <w:widowControl w:val="0"/>
      <w:spacing w:line="440" w:lineRule="exact"/>
      <w:ind w:firstLine="544" w:firstLineChars="200"/>
      <w:jc w:val="both"/>
    </w:pPr>
    <w:rPr>
      <w:rFonts w:eastAsia="宋体" w:cs="宋体" w:asciiTheme="minorHAnsi"/>
      <w:spacing w:val="16"/>
      <w:szCs w:val="20"/>
    </w:rPr>
  </w:style>
  <w:style w:type="paragraph" w:customStyle="1" w:styleId="118">
    <w:name w:val="2级标题"/>
    <w:basedOn w:val="4"/>
    <w:next w:val="1"/>
    <w:qFormat/>
    <w:uiPriority w:val="0"/>
    <w:pPr>
      <w:spacing w:line="700" w:lineRule="exact"/>
      <w:ind w:firstLine="538" w:firstLineChars="196"/>
      <w:jc w:val="both"/>
    </w:pPr>
    <w:rPr>
      <w:rFonts w:ascii="黑体" w:hAnsi="黑体" w:cs="Arial"/>
      <w:b w:val="0"/>
      <w:color w:val="000000"/>
      <w:kern w:val="0"/>
      <w:sz w:val="28"/>
      <w:szCs w:val="28"/>
      <w:lang w:val="zh-CN"/>
    </w:rPr>
  </w:style>
  <w:style w:type="character" w:customStyle="1" w:styleId="119">
    <w:name w:val="报告书表格 Char"/>
    <w:link w:val="120"/>
    <w:qFormat/>
    <w:uiPriority w:val="0"/>
    <w:rPr>
      <w:rFonts w:eastAsia="宋体"/>
      <w:sz w:val="21"/>
    </w:rPr>
  </w:style>
  <w:style w:type="paragraph" w:customStyle="1" w:styleId="120">
    <w:name w:val="报告书表格"/>
    <w:basedOn w:val="1"/>
    <w:link w:val="119"/>
    <w:qFormat/>
    <w:uiPriority w:val="0"/>
    <w:pPr>
      <w:widowControl w:val="0"/>
      <w:adjustRightInd w:val="0"/>
      <w:spacing w:line="240" w:lineRule="atLeast"/>
      <w:jc w:val="center"/>
      <w:textAlignment w:val="baseline"/>
    </w:pPr>
    <w:rPr>
      <w:rFonts w:eastAsia="宋体" w:asciiTheme="minorHAnsi"/>
      <w:kern w:val="0"/>
      <w:sz w:val="21"/>
      <w:szCs w:val="20"/>
    </w:rPr>
  </w:style>
  <w:style w:type="character" w:customStyle="1" w:styleId="121">
    <w:name w:val="题注 Char"/>
    <w:link w:val="11"/>
    <w:qFormat/>
    <w:uiPriority w:val="35"/>
    <w:rPr>
      <w:rFonts w:ascii="Times New Roman" w:hAnsi="Times New Roman" w:eastAsia="宋体" w:cs="Times New Roman"/>
      <w:b/>
      <w:sz w:val="24"/>
    </w:rPr>
  </w:style>
  <w:style w:type="character" w:customStyle="1" w:styleId="122">
    <w:name w:val="a-表内 Char"/>
    <w:link w:val="123"/>
    <w:qFormat/>
    <w:uiPriority w:val="0"/>
    <w:rPr>
      <w:rFonts w:ascii="Times New Roman" w:hAnsi="Times New Roman" w:eastAsia="宋体"/>
      <w:color w:val="000000"/>
      <w:kern w:val="2"/>
      <w:sz w:val="21"/>
      <w:szCs w:val="21"/>
    </w:rPr>
  </w:style>
  <w:style w:type="paragraph" w:customStyle="1" w:styleId="123">
    <w:name w:val="a-表内"/>
    <w:link w:val="122"/>
    <w:qFormat/>
    <w:uiPriority w:val="0"/>
    <w:pPr>
      <w:adjustRightInd w:val="0"/>
      <w:snapToGrid w:val="0"/>
      <w:spacing w:line="300" w:lineRule="auto"/>
      <w:jc w:val="center"/>
    </w:pPr>
    <w:rPr>
      <w:rFonts w:ascii="Times New Roman" w:hAnsi="Times New Roman" w:eastAsia="宋体" w:cstheme="minorBidi"/>
      <w:color w:val="000000"/>
      <w:kern w:val="2"/>
      <w:sz w:val="21"/>
      <w:szCs w:val="21"/>
      <w:lang w:val="en-US" w:eastAsia="zh-CN" w:bidi="ar-SA"/>
    </w:rPr>
  </w:style>
  <w:style w:type="paragraph" w:customStyle="1" w:styleId="124">
    <w:name w:val="样式1"/>
    <w:basedOn w:val="1"/>
    <w:link w:val="125"/>
    <w:qFormat/>
    <w:uiPriority w:val="0"/>
    <w:pPr>
      <w:widowControl w:val="0"/>
      <w:adjustRightInd w:val="0"/>
      <w:snapToGrid w:val="0"/>
      <w:spacing w:line="360" w:lineRule="auto"/>
      <w:ind w:firstLine="480" w:firstLineChars="200"/>
      <w:jc w:val="center"/>
    </w:pPr>
    <w:rPr>
      <w:rFonts w:ascii="Times New Roman" w:hAnsi="Times New Roman" w:eastAsia="宋体" w:cs="Times New Roman"/>
    </w:rPr>
  </w:style>
  <w:style w:type="character" w:customStyle="1" w:styleId="125">
    <w:name w:val="样式1 Char"/>
    <w:link w:val="124"/>
    <w:qFormat/>
    <w:uiPriority w:val="0"/>
    <w:rPr>
      <w:rFonts w:ascii="Times New Roman" w:hAnsi="Times New Roman" w:eastAsia="宋体" w:cs="Times New Roman"/>
      <w:kern w:val="2"/>
      <w:sz w:val="24"/>
      <w:szCs w:val="21"/>
    </w:rPr>
  </w:style>
  <w:style w:type="character" w:customStyle="1" w:styleId="126">
    <w:name w:val="宏文本 Char"/>
    <w:basedOn w:val="39"/>
    <w:link w:val="2"/>
    <w:qFormat/>
    <w:uiPriority w:val="0"/>
    <w:rPr>
      <w:rFonts w:ascii="Courier New" w:hAnsi="Courier New" w:eastAsia="宋体" w:cs="Courier New"/>
      <w:kern w:val="2"/>
      <w:sz w:val="24"/>
      <w:szCs w:val="24"/>
    </w:rPr>
  </w:style>
  <w:style w:type="paragraph" w:customStyle="1" w:styleId="127">
    <w:name w:val="图表内容"/>
    <w:next w:val="13"/>
    <w:qFormat/>
    <w:uiPriority w:val="0"/>
    <w:pPr>
      <w:jc w:val="center"/>
    </w:pPr>
    <w:rPr>
      <w:rFonts w:asciiTheme="minorHAnsi" w:hAnsiTheme="minorHAnsi" w:eastAsiaTheme="minorEastAsia" w:cstheme="minorBidi"/>
      <w:kern w:val="2"/>
      <w:sz w:val="21"/>
      <w:szCs w:val="21"/>
      <w:lang w:val="en-US" w:eastAsia="zh-CN" w:bidi="ar-SA"/>
    </w:rPr>
  </w:style>
  <w:style w:type="paragraph" w:customStyle="1" w:styleId="128">
    <w:name w:val="_Style 8"/>
    <w:qFormat/>
    <w:uiPriority w:val="1"/>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_Style 5"/>
    <w:qFormat/>
    <w:uiPriority w:val="1"/>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图表名称"/>
    <w:qFormat/>
    <w:uiPriority w:val="0"/>
    <w:pPr>
      <w:spacing w:line="360" w:lineRule="auto"/>
      <w:jc w:val="center"/>
    </w:pPr>
    <w:rPr>
      <w:rFonts w:eastAsia="黑体" w:asciiTheme="minorHAnsi" w:hAnsiTheme="minorHAnsi" w:cstheme="minorBidi"/>
      <w:b/>
      <w:kern w:val="2"/>
      <w:sz w:val="21"/>
      <w:szCs w:val="22"/>
      <w:lang w:val="en-US" w:eastAsia="zh-CN" w:bidi="ar-SA"/>
    </w:rPr>
  </w:style>
  <w:style w:type="paragraph" w:customStyle="1" w:styleId="131">
    <w:name w:val="_Style 9"/>
    <w:qFormat/>
    <w:uiPriority w:val="1"/>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无间隔1"/>
    <w:next w:val="13"/>
    <w:qFormat/>
    <w:uiPriority w:val="1"/>
    <w:pPr>
      <w:widowControl w:val="0"/>
      <w:spacing w:line="200" w:lineRule="exact"/>
      <w:jc w:val="both"/>
    </w:pPr>
    <w:rPr>
      <w:rFonts w:eastAsia="楷体" w:asciiTheme="minorHAnsi" w:hAnsiTheme="minorHAnsi" w:cstheme="minorBidi"/>
      <w:kern w:val="2"/>
      <w:sz w:val="18"/>
      <w:szCs w:val="24"/>
      <w:lang w:val="en-US" w:eastAsia="zh-CN" w:bidi="ar-SA"/>
    </w:rPr>
  </w:style>
  <w:style w:type="paragraph" w:customStyle="1" w:styleId="133">
    <w:name w:val="Char Char Char Char Char Char"/>
    <w:basedOn w:val="1"/>
    <w:next w:val="2"/>
    <w:qFormat/>
    <w:uiPriority w:val="0"/>
    <w:pPr>
      <w:widowControl w:val="0"/>
      <w:spacing w:line="360" w:lineRule="auto"/>
      <w:jc w:val="both"/>
    </w:pPr>
    <w:rPr>
      <w:rFonts w:ascii="Times New Roman" w:hAnsi="Times New Roman" w:eastAsia="宋体" w:cs="Times New Roman"/>
      <w:sz w:val="28"/>
      <w:szCs w:val="28"/>
    </w:rPr>
  </w:style>
  <w:style w:type="paragraph" w:customStyle="1" w:styleId="134">
    <w:name w:val="Char Char1"/>
    <w:basedOn w:val="1"/>
    <w:qFormat/>
    <w:uiPriority w:val="0"/>
    <w:pPr>
      <w:spacing w:before="100" w:beforeAutospacing="1" w:after="100" w:afterAutospacing="1" w:line="360" w:lineRule="auto"/>
      <w:ind w:firstLine="200" w:firstLineChars="200"/>
    </w:pPr>
    <w:rPr>
      <w:rFonts w:ascii="Verdana" w:hAnsi="Verdana" w:eastAsia="仿宋_GB2312" w:cs="Times New Roman"/>
      <w:kern w:val="0"/>
      <w:sz w:val="20"/>
      <w:lang w:eastAsia="en-US"/>
    </w:rPr>
  </w:style>
  <w:style w:type="paragraph" w:customStyle="1" w:styleId="135">
    <w:name w:val="无间隔2"/>
    <w:qFormat/>
    <w:uiPriority w:val="1"/>
    <w:pPr>
      <w:widowControl w:val="0"/>
      <w:ind w:firstLine="200" w:firstLineChars="200"/>
      <w:jc w:val="both"/>
    </w:pPr>
    <w:rPr>
      <w:rFonts w:ascii="Times New Roman" w:hAnsi="Times New Roman" w:eastAsia="宋体" w:cs="Times New Roman"/>
      <w:kern w:val="2"/>
      <w:sz w:val="21"/>
      <w:lang w:val="en-US" w:eastAsia="zh-CN" w:bidi="ar-SA"/>
    </w:rPr>
  </w:style>
  <w:style w:type="paragraph" w:customStyle="1" w:styleId="136">
    <w:name w:val="7"/>
    <w:basedOn w:val="1"/>
    <w:qFormat/>
    <w:uiPriority w:val="0"/>
    <w:pPr>
      <w:widowControl w:val="0"/>
      <w:spacing w:line="360" w:lineRule="auto"/>
      <w:jc w:val="both"/>
    </w:pPr>
    <w:rPr>
      <w:rFonts w:ascii="Times New Roman" w:hAnsi="Times New Roman" w:eastAsia="宋体" w:cs="Times New Roman"/>
      <w:szCs w:val="24"/>
    </w:rPr>
  </w:style>
  <w:style w:type="character" w:customStyle="1" w:styleId="137">
    <w:name w:val="font11"/>
    <w:basedOn w:val="39"/>
    <w:qFormat/>
    <w:uiPriority w:val="0"/>
    <w:rPr>
      <w:rFonts w:hint="eastAsia" w:ascii="宋体" w:hAnsi="宋体" w:eastAsia="宋体" w:cs="宋体"/>
      <w:color w:val="000000"/>
      <w:sz w:val="22"/>
      <w:szCs w:val="22"/>
      <w:u w:val="none"/>
    </w:rPr>
  </w:style>
  <w:style w:type="paragraph" w:customStyle="1" w:styleId="138">
    <w:name w:val="G表格内容"/>
    <w:basedOn w:val="1"/>
    <w:qFormat/>
    <w:uiPriority w:val="0"/>
    <w:pPr>
      <w:widowControl w:val="0"/>
      <w:adjustRightInd w:val="0"/>
      <w:spacing w:line="360" w:lineRule="auto"/>
      <w:jc w:val="center"/>
    </w:pPr>
    <w:rPr>
      <w:rFonts w:ascii="Times New Roman" w:hAnsi="Times New Roman" w:eastAsia="宋体" w:cs="Times New Roman"/>
      <w:kern w:val="0"/>
      <w:szCs w:val="24"/>
    </w:rPr>
  </w:style>
  <w:style w:type="paragraph" w:customStyle="1" w:styleId="139">
    <w:name w:val="报告书"/>
    <w:basedOn w:val="1"/>
    <w:link w:val="140"/>
    <w:qFormat/>
    <w:uiPriority w:val="0"/>
    <w:pPr>
      <w:widowControl w:val="0"/>
      <w:autoSpaceDE w:val="0"/>
      <w:autoSpaceDN w:val="0"/>
      <w:adjustRightInd w:val="0"/>
      <w:spacing w:line="360" w:lineRule="auto"/>
      <w:textAlignment w:val="bottom"/>
    </w:pPr>
    <w:rPr>
      <w:rFonts w:ascii="Times New Roman" w:hAnsi="Times New Roman" w:eastAsia="宋体" w:cs="Times New Roman"/>
      <w:bCs/>
      <w:kern w:val="0"/>
      <w:szCs w:val="24"/>
    </w:rPr>
  </w:style>
  <w:style w:type="character" w:customStyle="1" w:styleId="140">
    <w:name w:val="报告书 Char"/>
    <w:link w:val="139"/>
    <w:qFormat/>
    <w:uiPriority w:val="0"/>
    <w:rPr>
      <w:rFonts w:ascii="Times New Roman" w:hAnsi="Times New Roman" w:eastAsia="宋体" w:cs="Times New Roman"/>
      <w:bCs/>
      <w:sz w:val="24"/>
      <w:szCs w:val="24"/>
    </w:rPr>
  </w:style>
  <w:style w:type="paragraph" w:customStyle="1" w:styleId="141">
    <w:name w:val="Char Char"/>
    <w:basedOn w:val="1"/>
    <w:qFormat/>
    <w:uiPriority w:val="0"/>
    <w:pPr>
      <w:widowControl w:val="0"/>
      <w:snapToGrid w:val="0"/>
      <w:spacing w:line="440" w:lineRule="exact"/>
      <w:ind w:firstLine="200" w:firstLineChars="200"/>
      <w:jc w:val="both"/>
    </w:pPr>
    <w:rPr>
      <w:rFonts w:ascii="Times New Roman" w:hAnsi="Times New Roman" w:eastAsia="宋体" w:cs="Times New Roman"/>
      <w:szCs w:val="24"/>
    </w:rPr>
  </w:style>
  <w:style w:type="paragraph" w:customStyle="1" w:styleId="142">
    <w:name w:val="Char Char Char Char Char Char Char"/>
    <w:basedOn w:val="3"/>
    <w:qFormat/>
    <w:uiPriority w:val="0"/>
    <w:pPr>
      <w:widowControl w:val="0"/>
      <w:spacing w:before="156" w:after="156" w:line="240" w:lineRule="auto"/>
      <w:jc w:val="center"/>
    </w:pPr>
    <w:rPr>
      <w:rFonts w:ascii="黑体" w:hAnsi="Times New Roman" w:eastAsia="黑体" w:cs="Times New Roman"/>
      <w:sz w:val="21"/>
      <w:szCs w:val="21"/>
    </w:rPr>
  </w:style>
  <w:style w:type="paragraph" w:customStyle="1" w:styleId="143">
    <w:name w:val="图头"/>
    <w:basedOn w:val="1"/>
    <w:qFormat/>
    <w:uiPriority w:val="0"/>
    <w:pPr>
      <w:widowControl w:val="0"/>
      <w:spacing w:line="360" w:lineRule="auto"/>
      <w:jc w:val="center"/>
    </w:pPr>
    <w:rPr>
      <w:rFonts w:ascii="黑体" w:eastAsia="黑体"/>
      <w:sz w:val="28"/>
      <w:szCs w:val="28"/>
    </w:rPr>
  </w:style>
  <w:style w:type="paragraph" w:customStyle="1" w:styleId="144">
    <w:name w:val="表格内容"/>
    <w:basedOn w:val="1"/>
    <w:qFormat/>
    <w:uiPriority w:val="0"/>
    <w:pPr>
      <w:widowControl w:val="0"/>
      <w:jc w:val="center"/>
    </w:pPr>
    <w:rPr>
      <w:rFonts w:ascii="Arial" w:hAnsi="Arial" w:eastAsia="宋体" w:cs="宋体"/>
      <w:sz w:val="21"/>
      <w:szCs w:val="24"/>
    </w:rPr>
  </w:style>
  <w:style w:type="paragraph" w:customStyle="1" w:styleId="145">
    <w:name w:val="a-文本缩2"/>
    <w:qFormat/>
    <w:uiPriority w:val="0"/>
    <w:pPr>
      <w:adjustRightInd w:val="0"/>
      <w:snapToGrid w:val="0"/>
      <w:spacing w:line="360" w:lineRule="auto"/>
      <w:ind w:firstLine="200" w:firstLineChars="200"/>
      <w:jc w:val="both"/>
    </w:pPr>
    <w:rPr>
      <w:rFonts w:ascii="Times New Roman" w:hAnsi="Times New Roman" w:eastAsia="宋体" w:cs="Times New Roman"/>
      <w:color w:val="000000"/>
      <w:kern w:val="2"/>
      <w:sz w:val="24"/>
      <w:szCs w:val="21"/>
      <w:lang w:val="en-US" w:eastAsia="zh-CN" w:bidi="ar-SA"/>
    </w:rPr>
  </w:style>
  <w:style w:type="paragraph" w:customStyle="1" w:styleId="146">
    <w:name w:val="报告正文"/>
    <w:basedOn w:val="1"/>
    <w:qFormat/>
    <w:uiPriority w:val="0"/>
    <w:pPr>
      <w:widowControl w:val="0"/>
      <w:adjustRightInd w:val="0"/>
      <w:snapToGrid w:val="0"/>
      <w:spacing w:line="360" w:lineRule="auto"/>
      <w:ind w:firstLine="200" w:firstLineChars="200"/>
      <w:jc w:val="both"/>
    </w:pPr>
    <w:rPr>
      <w:rFonts w:asciiTheme="minorHAnsi" w:eastAsiaTheme="minorEastAsia"/>
      <w:szCs w:val="24"/>
    </w:rPr>
  </w:style>
  <w:style w:type="paragraph" w:customStyle="1" w:styleId="147">
    <w:name w:val="报告表格"/>
    <w:basedOn w:val="1"/>
    <w:semiHidden/>
    <w:qFormat/>
    <w:uiPriority w:val="0"/>
    <w:pPr>
      <w:widowControl w:val="0"/>
      <w:autoSpaceDE w:val="0"/>
      <w:autoSpaceDN w:val="0"/>
      <w:adjustRightInd w:val="0"/>
      <w:spacing w:before="40" w:after="40" w:line="360" w:lineRule="auto"/>
      <w:jc w:val="center"/>
      <w:textAlignment w:val="bottom"/>
    </w:pPr>
    <w:rPr>
      <w:rFonts w:ascii="Times New Roman" w:hAnsi="Times New Roman" w:eastAsia="宋体" w:cs="Times New Roman"/>
      <w:kern w:val="0"/>
      <w:szCs w:val="20"/>
    </w:rPr>
  </w:style>
  <w:style w:type="paragraph" w:customStyle="1" w:styleId="148">
    <w:name w:val="正文文本1"/>
    <w:basedOn w:val="1"/>
    <w:qFormat/>
    <w:uiPriority w:val="0"/>
    <w:pPr>
      <w:widowControl w:val="0"/>
      <w:shd w:val="clear" w:color="auto" w:fill="FFFFFF"/>
      <w:spacing w:line="408" w:lineRule="auto"/>
      <w:ind w:firstLine="400"/>
      <w:jc w:val="distribute"/>
    </w:pPr>
    <w:rPr>
      <w:rFonts w:ascii="宋体" w:hAnsi="宋体" w:eastAsia="宋体" w:cs="宋体"/>
      <w:color w:val="000000"/>
      <w:kern w:val="0"/>
      <w:szCs w:val="24"/>
    </w:rPr>
  </w:style>
  <w:style w:type="character" w:customStyle="1" w:styleId="149">
    <w:name w:val="doc_title"/>
    <w:basedOn w:val="39"/>
    <w:qFormat/>
    <w:uiPriority w:val="0"/>
  </w:style>
  <w:style w:type="character" w:customStyle="1" w:styleId="150">
    <w:name w:val="表头1 Char"/>
    <w:link w:val="151"/>
    <w:qFormat/>
    <w:uiPriority w:val="0"/>
    <w:rPr>
      <w:rFonts w:eastAsia="黑体"/>
      <w:sz w:val="21"/>
      <w:szCs w:val="28"/>
    </w:rPr>
  </w:style>
  <w:style w:type="paragraph" w:customStyle="1" w:styleId="151">
    <w:name w:val="表头1"/>
    <w:basedOn w:val="1"/>
    <w:next w:val="1"/>
    <w:link w:val="150"/>
    <w:qFormat/>
    <w:uiPriority w:val="0"/>
    <w:pPr>
      <w:widowControl w:val="0"/>
      <w:tabs>
        <w:tab w:val="left" w:pos="605"/>
      </w:tabs>
      <w:adjustRightInd w:val="0"/>
      <w:snapToGrid w:val="0"/>
      <w:jc w:val="center"/>
    </w:pPr>
    <w:rPr>
      <w:rFonts w:ascii="Times New Roman" w:hAnsi="Times New Roman" w:eastAsia="黑体" w:cs="Times New Roman"/>
      <w:kern w:val="0"/>
      <w:sz w:val="21"/>
      <w:szCs w:val="28"/>
    </w:rPr>
  </w:style>
  <w:style w:type="character" w:customStyle="1" w:styleId="152">
    <w:name w:val="article_title1"/>
    <w:basedOn w:val="39"/>
    <w:qFormat/>
    <w:uiPriority w:val="0"/>
    <w:rPr>
      <w:rFonts w:hint="eastAsia" w:ascii="微软雅黑" w:hAnsi="微软雅黑" w:eastAsia="微软雅黑"/>
      <w:b/>
      <w:bCs/>
      <w:sz w:val="24"/>
      <w:szCs w:val="24"/>
    </w:rPr>
  </w:style>
  <w:style w:type="paragraph" w:customStyle="1" w:styleId="153">
    <w:name w:val="正文2"/>
    <w:qFormat/>
    <w:uiPriority w:val="0"/>
    <w:pPr>
      <w:widowControl w:val="0"/>
      <w:adjustRightInd w:val="0"/>
      <w:spacing w:line="360" w:lineRule="atLeast"/>
      <w:textAlignment w:val="baseline"/>
    </w:pPr>
    <w:rPr>
      <w:rFonts w:ascii="宋体" w:hAnsi="Times New Roman" w:eastAsia="宋体" w:cs="Times New Roman"/>
      <w:sz w:val="24"/>
      <w:szCs w:val="22"/>
      <w:lang w:val="en-US" w:eastAsia="zh-CN" w:bidi="ar-SA"/>
    </w:rPr>
  </w:style>
  <w:style w:type="character" w:customStyle="1" w:styleId="154">
    <w:name w:val="fontstyle01"/>
    <w:qFormat/>
    <w:uiPriority w:val="0"/>
    <w:rPr>
      <w:rFonts w:hint="default" w:ascii="F3" w:hAnsi="F3"/>
      <w:color w:val="000000"/>
      <w:sz w:val="24"/>
      <w:szCs w:val="24"/>
    </w:rPr>
  </w:style>
  <w:style w:type="character" w:customStyle="1" w:styleId="155">
    <w:name w:val="fontstyle21"/>
    <w:qFormat/>
    <w:uiPriority w:val="0"/>
    <w:rPr>
      <w:rFonts w:hint="default" w:ascii="TimesNewRomanPSMT" w:hAnsi="TimesNewRomanPSMT"/>
      <w:color w:val="000000"/>
      <w:sz w:val="24"/>
      <w:szCs w:val="24"/>
    </w:rPr>
  </w:style>
  <w:style w:type="character" w:customStyle="1" w:styleId="156">
    <w:name w:val="font31"/>
    <w:basedOn w:val="39"/>
    <w:qFormat/>
    <w:uiPriority w:val="0"/>
    <w:rPr>
      <w:rFonts w:hint="default" w:ascii="Times New Roman" w:hAnsi="Times New Roman" w:cs="Times New Roman"/>
      <w:color w:val="000000"/>
      <w:sz w:val="21"/>
      <w:szCs w:val="21"/>
      <w:u w:val="none"/>
    </w:rPr>
  </w:style>
  <w:style w:type="character" w:customStyle="1" w:styleId="157">
    <w:name w:val="font41"/>
    <w:basedOn w:val="39"/>
    <w:qFormat/>
    <w:uiPriority w:val="0"/>
    <w:rPr>
      <w:rFonts w:hint="default" w:ascii="Times New Roman" w:hAnsi="Times New Roman" w:cs="Times New Roman"/>
      <w:color w:val="000000"/>
      <w:sz w:val="21"/>
      <w:szCs w:val="21"/>
      <w:u w:val="none"/>
    </w:rPr>
  </w:style>
  <w:style w:type="character" w:customStyle="1" w:styleId="158">
    <w:name w:val="font21"/>
    <w:basedOn w:val="39"/>
    <w:qFormat/>
    <w:uiPriority w:val="0"/>
    <w:rPr>
      <w:rFonts w:hint="eastAsia" w:ascii="宋体" w:hAnsi="宋体" w:eastAsia="宋体" w:cs="宋体"/>
      <w:color w:val="000000"/>
      <w:sz w:val="21"/>
      <w:szCs w:val="21"/>
      <w:u w:val="none"/>
    </w:rPr>
  </w:style>
  <w:style w:type="character" w:customStyle="1" w:styleId="159">
    <w:name w:val="正文格式 Char"/>
    <w:basedOn w:val="39"/>
    <w:link w:val="160"/>
    <w:qFormat/>
    <w:uiPriority w:val="0"/>
    <w:rPr>
      <w:rFonts w:ascii="宋体" w:hAnsi="宋体"/>
      <w:sz w:val="24"/>
      <w:szCs w:val="24"/>
    </w:rPr>
  </w:style>
  <w:style w:type="paragraph" w:customStyle="1" w:styleId="160">
    <w:name w:val="正文格式"/>
    <w:basedOn w:val="1"/>
    <w:link w:val="159"/>
    <w:qFormat/>
    <w:uiPriority w:val="0"/>
    <w:pPr>
      <w:widowControl w:val="0"/>
      <w:spacing w:line="360" w:lineRule="auto"/>
      <w:ind w:firstLine="482"/>
      <w:jc w:val="both"/>
    </w:pPr>
    <w:rPr>
      <w:rFonts w:ascii="宋体" w:hAnsi="宋体" w:eastAsia="宋体" w:cs="Times New Roman"/>
      <w:kern w:val="0"/>
      <w:szCs w:val="24"/>
    </w:rPr>
  </w:style>
  <w:style w:type="character" w:customStyle="1" w:styleId="161">
    <w:name w:val="段落1 Char1"/>
    <w:link w:val="162"/>
    <w:qFormat/>
    <w:uiPriority w:val="0"/>
    <w:rPr>
      <w:iCs/>
      <w:color w:val="000000"/>
      <w:spacing w:val="6"/>
      <w:kern w:val="2"/>
      <w:sz w:val="24"/>
      <w:szCs w:val="24"/>
    </w:rPr>
  </w:style>
  <w:style w:type="paragraph" w:customStyle="1" w:styleId="162">
    <w:name w:val="段落1"/>
    <w:basedOn w:val="1"/>
    <w:link w:val="161"/>
    <w:qFormat/>
    <w:uiPriority w:val="0"/>
    <w:pPr>
      <w:widowControl w:val="0"/>
      <w:adjustRightInd w:val="0"/>
      <w:spacing w:line="360" w:lineRule="auto"/>
      <w:ind w:firstLine="504" w:firstLineChars="200"/>
      <w:jc w:val="both"/>
    </w:pPr>
    <w:rPr>
      <w:rFonts w:ascii="Times New Roman" w:hAnsi="Times New Roman" w:eastAsia="宋体" w:cs="Times New Roman"/>
      <w:iCs/>
      <w:color w:val="000000"/>
      <w:spacing w:val="6"/>
      <w:szCs w:val="24"/>
    </w:rPr>
  </w:style>
  <w:style w:type="paragraph" w:customStyle="1" w:styleId="163">
    <w:name w:val="Char Char Char Char Char Char Char Char Char Char Char Char1 Char Char Char Char Char Char Char Char Char Char Char Char1 Char"/>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64">
    <w:name w:val="Char Char Char Char Char Char Char Char Char Char Char Char1 Char Char Char Char Char Char Char Char Char Char Char Char1 Char9"/>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65">
    <w:name w:val="Char Char Char Char Char Char Char Char Char Char Char Char1 Char Char Char Char Char Char Char Char Char Char Char Char1 Char8"/>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character" w:customStyle="1" w:styleId="166">
    <w:name w:val="正文文本缩进 3 Char"/>
    <w:basedOn w:val="39"/>
    <w:link w:val="31"/>
    <w:qFormat/>
    <w:uiPriority w:val="0"/>
    <w:rPr>
      <w:kern w:val="2"/>
      <w:sz w:val="16"/>
      <w:szCs w:val="16"/>
    </w:rPr>
  </w:style>
  <w:style w:type="paragraph" w:customStyle="1" w:styleId="167">
    <w:name w:val="Char Char Char Char Char Char Char Char Char Char Char Char1 Char Char Char Char Char Char Char Char Char Char Char Char1 Char7"/>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68">
    <w:name w:val="样式 Microsoft Yahei 四号 灰色-80% 左 行距: 1.5 倍行距"/>
    <w:basedOn w:val="1"/>
    <w:qFormat/>
    <w:uiPriority w:val="0"/>
    <w:pPr>
      <w:widowControl w:val="0"/>
      <w:spacing w:line="360" w:lineRule="auto"/>
      <w:ind w:firstLine="560" w:firstLineChars="200"/>
    </w:pPr>
    <w:rPr>
      <w:rFonts w:ascii="微软雅黑" w:hAnsi="微软雅黑" w:eastAsia="宋体" w:cs="宋体"/>
      <w:color w:val="333333"/>
      <w:kern w:val="0"/>
      <w:sz w:val="28"/>
      <w:szCs w:val="20"/>
    </w:rPr>
  </w:style>
  <w:style w:type="paragraph" w:customStyle="1" w:styleId="169">
    <w:name w:val="Char Char Char Char Char Char Char Char Char Char Char Char1 Char Char Char Char Char Char Char Char Char Char Char Char1 Char6"/>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70">
    <w:name w:val="Char Char Char Char Char Char Char Char Char Char Char Char1 Char Char Char Char Char Char Char Char Char Char Char Char1 Char5"/>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71">
    <w:name w:val="表格文字"/>
    <w:basedOn w:val="10"/>
    <w:qFormat/>
    <w:uiPriority w:val="0"/>
    <w:pPr>
      <w:spacing w:before="10" w:beforeLines="10" w:after="10" w:afterLines="10" w:line="0" w:lineRule="atLeast"/>
      <w:jc w:val="center"/>
    </w:pPr>
    <w:rPr>
      <w:kern w:val="2"/>
      <w:sz w:val="18"/>
      <w:szCs w:val="21"/>
    </w:rPr>
  </w:style>
  <w:style w:type="table" w:customStyle="1" w:styleId="172">
    <w:name w:val="标准表格"/>
    <w:basedOn w:val="37"/>
    <w:qFormat/>
    <w:uiPriority w:val="99"/>
    <w:pPr>
      <w:spacing w:before="74"/>
      <w:jc w:val="center"/>
    </w:pPr>
    <w:rPr>
      <w:sz w:val="18"/>
    </w:rPr>
    <w:tblPr>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
    <w:trPr>
      <w:jc w:val="center"/>
    </w:trPr>
    <w:tcPr>
      <w:shd w:val="clear" w:color="auto" w:fill="FFFFFF" w:themeFill="background1"/>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宋体"/>
        <w:sz w:val="18"/>
      </w:rPr>
      <w:tblPr/>
      <w:trPr>
        <w:tblHeader/>
      </w:trPr>
    </w:tblStylePr>
    <w:tblStylePr w:type="firstCol">
      <w:pPr>
        <w:jc w:val="center"/>
      </w:pPr>
    </w:tblStylePr>
  </w:style>
  <w:style w:type="paragraph" w:customStyle="1" w:styleId="173">
    <w:name w:val="表中文字"/>
    <w:basedOn w:val="66"/>
    <w:qFormat/>
    <w:uiPriority w:val="0"/>
    <w:pPr>
      <w:widowControl w:val="0"/>
      <w:adjustRightInd w:val="0"/>
      <w:snapToGrid w:val="0"/>
    </w:pPr>
    <w:rPr>
      <w:rFonts w:ascii="Times New Roman" w:hAnsi="Times New Roman" w:eastAsia="宋体" w:cs="Arial"/>
      <w:color w:val="000000"/>
      <w:kern w:val="0"/>
      <w:szCs w:val="24"/>
      <w:lang w:val="zh-CN"/>
    </w:rPr>
  </w:style>
  <w:style w:type="paragraph" w:customStyle="1" w:styleId="174">
    <w:name w:val="Char Char Char Char Char Char Char Char Char Char Char Char1 Char Char Char Char Char Char Char Char Char Char Char Char1 Char4"/>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75">
    <w:name w:val="Char2 Char Char Char"/>
    <w:basedOn w:val="1"/>
    <w:qFormat/>
    <w:uiPriority w:val="0"/>
    <w:pPr>
      <w:widowControl w:val="0"/>
      <w:jc w:val="both"/>
    </w:pPr>
    <w:rPr>
      <w:rFonts w:ascii="Times New Roman" w:hAnsi="Times New Roman" w:eastAsia="宋体" w:cs="Times New Roman"/>
      <w:sz w:val="21"/>
      <w:szCs w:val="24"/>
    </w:rPr>
  </w:style>
  <w:style w:type="table" w:customStyle="1" w:styleId="176">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177">
    <w:name w:val="Char Char Char Char Char Char Char Char Char Char Char Char1 Char Char Char Char Char Char Char Char Char Char Char Char1 Char3"/>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78">
    <w:name w:val="标准条文"/>
    <w:link w:val="179"/>
    <w:qFormat/>
    <w:uiPriority w:val="0"/>
    <w:pPr>
      <w:tabs>
        <w:tab w:val="left" w:pos="6096"/>
      </w:tabs>
      <w:adjustRightInd w:val="0"/>
      <w:ind w:right="-143" w:rightChars="-68" w:firstLine="567" w:firstLineChars="270"/>
    </w:pPr>
    <w:rPr>
      <w:rFonts w:ascii="Times New Roman" w:hAnsi="Times New Roman" w:eastAsia="宋体" w:cs="Times New Roman"/>
      <w:bCs/>
      <w:kern w:val="2"/>
      <w:sz w:val="21"/>
      <w:szCs w:val="24"/>
      <w:lang w:val="en-US" w:eastAsia="zh-CN" w:bidi="ar-SA"/>
    </w:rPr>
  </w:style>
  <w:style w:type="character" w:customStyle="1" w:styleId="179">
    <w:name w:val="标准条文 Char Char"/>
    <w:basedOn w:val="39"/>
    <w:link w:val="178"/>
    <w:qFormat/>
    <w:uiPriority w:val="0"/>
    <w:rPr>
      <w:bCs/>
      <w:kern w:val="2"/>
      <w:sz w:val="21"/>
      <w:szCs w:val="24"/>
    </w:rPr>
  </w:style>
  <w:style w:type="table" w:customStyle="1" w:styleId="180">
    <w:name w:val="标准表格1"/>
    <w:basedOn w:val="37"/>
    <w:qFormat/>
    <w:uiPriority w:val="0"/>
    <w:pPr>
      <w:spacing w:before="74"/>
      <w:jc w:val="center"/>
    </w:pPr>
    <w:rPr>
      <w:rFonts w:eastAsia="Times New Roman"/>
      <w:sz w:val="18"/>
      <w:szCs w:val="18"/>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FFFFFF"/>
      <w:vAlign w:val="center"/>
    </w:tcPr>
    <w:tblStylePr w:type="firstRow">
      <w:pPr>
        <w:ind w:firstLine="0" w:firstLineChars="0"/>
        <w:jc w:val="center"/>
      </w:pPr>
      <w:rPr>
        <w:rFonts w:hint="default" w:ascii="Times New Roman" w:hAnsi="Times New Roman" w:eastAsia="宋体" w:cs="Times New Roman"/>
        <w:sz w:val="18"/>
        <w:szCs w:val="18"/>
      </w:rPr>
    </w:tblStylePr>
    <w:tblStylePr w:type="firstCol">
      <w:pPr>
        <w:jc w:val="center"/>
      </w:pPr>
    </w:tblStylePr>
  </w:style>
  <w:style w:type="paragraph" w:customStyle="1" w:styleId="181">
    <w:name w:val="Char Char Char Char Char Char Char Char Char Char Char Char1 Char Char Char Char Char Char Char Char Char Char Char Char1 Char2"/>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character" w:customStyle="1" w:styleId="182">
    <w:name w:val="表1 Char"/>
    <w:basedOn w:val="39"/>
    <w:link w:val="183"/>
    <w:qFormat/>
    <w:uiPriority w:val="0"/>
    <w:rPr>
      <w:sz w:val="21"/>
    </w:rPr>
  </w:style>
  <w:style w:type="paragraph" w:customStyle="1" w:styleId="183">
    <w:name w:val="表1"/>
    <w:next w:val="1"/>
    <w:link w:val="182"/>
    <w:qFormat/>
    <w:uiPriority w:val="0"/>
    <w:pPr>
      <w:adjustRightInd w:val="0"/>
      <w:snapToGrid w:val="0"/>
      <w:jc w:val="center"/>
    </w:pPr>
    <w:rPr>
      <w:rFonts w:ascii="Times New Roman" w:hAnsi="Times New Roman" w:eastAsia="宋体" w:cs="Times New Roman"/>
      <w:sz w:val="21"/>
      <w:lang w:val="en-US" w:eastAsia="zh-CN" w:bidi="ar-SA"/>
    </w:rPr>
  </w:style>
  <w:style w:type="character" w:customStyle="1" w:styleId="184">
    <w:name w:val="正文缩进 Char"/>
    <w:basedOn w:val="39"/>
    <w:link w:val="10"/>
    <w:qFormat/>
    <w:uiPriority w:val="0"/>
    <w:rPr>
      <w:sz w:val="24"/>
    </w:rPr>
  </w:style>
  <w:style w:type="paragraph" w:customStyle="1" w:styleId="185">
    <w:name w:val="Char Char Char Char Char Char Char Char Char Char Char Char1 Char Char Char Char Char Char Char Char Char Char Char Char1 Char1"/>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paragraph" w:customStyle="1" w:styleId="186">
    <w:name w:val="Char Char Char Char Char Char Char Char Char Char Char Char1 Char Char Char Char Char Char Char Char Char Char Char Char1 Char10"/>
    <w:basedOn w:val="1"/>
    <w:next w:val="1"/>
    <w:semiHidden/>
    <w:qFormat/>
    <w:uiPriority w:val="0"/>
    <w:pPr>
      <w:widowControl w:val="0"/>
      <w:spacing w:line="336" w:lineRule="auto"/>
      <w:ind w:firstLine="200" w:firstLineChars="200"/>
      <w:jc w:val="both"/>
    </w:pPr>
    <w:rPr>
      <w:rFonts w:ascii="宋体" w:hAnsi="宋体" w:eastAsia="汉鼎简书宋" w:cs="宋体"/>
      <w:kern w:val="0"/>
      <w:szCs w:val="24"/>
    </w:rPr>
  </w:style>
  <w:style w:type="character" w:customStyle="1" w:styleId="187">
    <w:name w:val="标题1"/>
    <w:basedOn w:val="39"/>
    <w:qFormat/>
    <w:uiPriority w:val="0"/>
  </w:style>
  <w:style w:type="character" w:customStyle="1" w:styleId="188">
    <w:name w:val="正文1 Char"/>
    <w:qFormat/>
    <w:uiPriority w:val="0"/>
    <w:rPr>
      <w:rFonts w:ascii="宋体" w:hAnsi="宋体" w:eastAsia="宋体" w:cs="宋体"/>
      <w:kern w:val="2"/>
      <w:sz w:val="28"/>
      <w:szCs w:val="24"/>
      <w:lang w:val="en-US" w:eastAsia="zh-CN" w:bidi="ar-SA"/>
    </w:rPr>
  </w:style>
  <w:style w:type="character" w:customStyle="1" w:styleId="189">
    <w:name w:val="纯文本 字符1"/>
    <w:qFormat/>
    <w:uiPriority w:val="0"/>
    <w:rPr>
      <w:rFonts w:ascii="宋体" w:hAnsi="Courier New" w:cs="Courier New"/>
      <w:kern w:val="2"/>
      <w:sz w:val="21"/>
      <w:szCs w:val="21"/>
    </w:rPr>
  </w:style>
  <w:style w:type="paragraph" w:customStyle="1" w:styleId="190">
    <w:name w:val="+正文"/>
    <w:basedOn w:val="1"/>
    <w:qFormat/>
    <w:uiPriority w:val="0"/>
    <w:pPr>
      <w:widowControl w:val="0"/>
      <w:spacing w:line="360" w:lineRule="auto"/>
      <w:ind w:firstLine="200" w:firstLineChars="200"/>
    </w:pPr>
    <w:rPr>
      <w:rFonts w:ascii="Calibri" w:hAnsi="Calibri" w:eastAsia="宋体fal" w:cs="Times New Roman"/>
      <w:sz w:val="28"/>
      <w:szCs w:val="28"/>
    </w:rPr>
  </w:style>
  <w:style w:type="character" w:customStyle="1" w:styleId="191">
    <w:name w:val="正文缩进 字符1"/>
    <w:qFormat/>
    <w:uiPriority w:val="0"/>
    <w:rPr>
      <w:rFonts w:eastAsia="宋体"/>
      <w:kern w:val="2"/>
      <w:sz w:val="24"/>
      <w:szCs w:val="24"/>
      <w:lang w:val="en-US" w:eastAsia="zh-CN" w:bidi="ar-SA"/>
    </w:rPr>
  </w:style>
  <w:style w:type="paragraph" w:customStyle="1" w:styleId="192">
    <w:name w:val="Char4"/>
    <w:basedOn w:val="1"/>
    <w:qFormat/>
    <w:uiPriority w:val="0"/>
    <w:pPr>
      <w:widowControl w:val="0"/>
      <w:jc w:val="both"/>
    </w:pPr>
    <w:rPr>
      <w:rFonts w:ascii="Times New Roman" w:hAnsi="Times New Roman" w:eastAsia="宋体" w:cs="Times New Roman"/>
      <w:sz w:val="21"/>
      <w:szCs w:val="24"/>
    </w:rPr>
  </w:style>
  <w:style w:type="paragraph" w:customStyle="1" w:styleId="193">
    <w:name w:val="表文字居中"/>
    <w:qFormat/>
    <w:uiPriority w:val="0"/>
    <w:pPr>
      <w:adjustRightInd w:val="0"/>
      <w:spacing w:line="360" w:lineRule="auto"/>
      <w:jc w:val="center"/>
    </w:pPr>
    <w:rPr>
      <w:rFonts w:ascii="Times New Roman" w:hAnsi="Times New Roman" w:eastAsia="宋体" w:cs="Times New Roman"/>
      <w:kern w:val="2"/>
      <w:sz w:val="21"/>
      <w:szCs w:val="24"/>
      <w:lang w:val="en-US" w:eastAsia="zh-CN" w:bidi="ar-SA"/>
    </w:rPr>
  </w:style>
  <w:style w:type="paragraph" w:customStyle="1" w:styleId="194">
    <w:name w:val="报告书正文"/>
    <w:basedOn w:val="1"/>
    <w:qFormat/>
    <w:uiPriority w:val="0"/>
    <w:pPr>
      <w:autoSpaceDE w:val="0"/>
      <w:autoSpaceDN w:val="0"/>
      <w:spacing w:line="520" w:lineRule="exact"/>
      <w:ind w:firstLine="200" w:firstLineChars="200"/>
    </w:pPr>
    <w:rPr>
      <w:szCs w:val="28"/>
    </w:rPr>
  </w:style>
  <w:style w:type="paragraph" w:customStyle="1" w:styleId="195">
    <w:name w:val="Table Text"/>
    <w:basedOn w:val="1"/>
    <w:semiHidden/>
    <w:qFormat/>
    <w:uiPriority w:val="0"/>
    <w:rPr>
      <w:rFonts w:ascii="宋体" w:hAnsi="宋体" w:eastAsia="宋体" w:cs="宋体"/>
      <w:sz w:val="20"/>
      <w:szCs w:val="20"/>
      <w:lang w:eastAsia="en-US"/>
    </w:rPr>
  </w:style>
  <w:style w:type="paragraph" w:customStyle="1" w:styleId="196">
    <w:name w:val="表内正文"/>
    <w:basedOn w:val="1"/>
    <w:qFormat/>
    <w:uiPriority w:val="0"/>
    <w:pPr>
      <w:widowControl w:val="0"/>
      <w:spacing w:line="360" w:lineRule="auto"/>
      <w:ind w:firstLine="200" w:firstLineChars="200"/>
      <w:jc w:val="both"/>
    </w:pPr>
    <w:rPr>
      <w:rFonts w:ascii="宋体" w:hAnsi="宋体"/>
      <w:szCs w:val="24"/>
    </w:rPr>
  </w:style>
  <w:style w:type="paragraph" w:customStyle="1" w:styleId="197">
    <w:name w:val="正文内容"/>
    <w:basedOn w:val="1"/>
    <w:qFormat/>
    <w:uiPriority w:val="0"/>
    <w:pPr>
      <w:ind w:firstLine="200" w:firstLineChars="200"/>
    </w:pPr>
    <w:rPr>
      <w:rFonts w:ascii="Times New Roman" w:hAnsi="Times New Roman"/>
      <w:sz w:val="28"/>
      <w:szCs w:val="24"/>
    </w:rPr>
  </w:style>
  <w:style w:type="character" w:customStyle="1" w:styleId="198">
    <w:name w:val="font51"/>
    <w:basedOn w:val="39"/>
    <w:qFormat/>
    <w:uiPriority w:val="0"/>
    <w:rPr>
      <w:rFonts w:hint="default" w:ascii="Times New Roman" w:hAnsi="Times New Roman" w:cs="Times New Roman"/>
      <w:color w:val="000000"/>
      <w:sz w:val="20"/>
      <w:szCs w:val="20"/>
      <w:u w:val="none"/>
    </w:rPr>
  </w:style>
  <w:style w:type="character" w:customStyle="1" w:styleId="199">
    <w:name w:val="font71"/>
    <w:basedOn w:val="39"/>
    <w:qFormat/>
    <w:uiPriority w:val="0"/>
    <w:rPr>
      <w:rFonts w:hint="default" w:ascii="Times New Roman" w:hAnsi="Times New Roman" w:cs="Times New Roman"/>
      <w:color w:val="000000"/>
      <w:sz w:val="21"/>
      <w:szCs w:val="21"/>
      <w:u w:val="none"/>
    </w:rPr>
  </w:style>
  <w:style w:type="character" w:customStyle="1" w:styleId="200">
    <w:name w:val="font81"/>
    <w:basedOn w:val="39"/>
    <w:qFormat/>
    <w:uiPriority w:val="0"/>
    <w:rPr>
      <w:rFonts w:hint="eastAsia" w:ascii="宋体" w:hAnsi="宋体" w:eastAsia="宋体" w:cs="宋体"/>
      <w:color w:val="000000"/>
      <w:sz w:val="22"/>
      <w:szCs w:val="22"/>
      <w:u w:val="none"/>
      <w:vertAlign w:val="superscript"/>
    </w:rPr>
  </w:style>
  <w:style w:type="character" w:customStyle="1" w:styleId="201">
    <w:name w:val="font01"/>
    <w:basedOn w:val="39"/>
    <w:qFormat/>
    <w:uiPriority w:val="0"/>
    <w:rPr>
      <w:rFonts w:hint="eastAsia" w:ascii="宋体" w:hAnsi="宋体" w:eastAsia="宋体" w:cs="宋体"/>
      <w:color w:val="000000"/>
      <w:sz w:val="22"/>
      <w:szCs w:val="22"/>
      <w:u w:val="none"/>
    </w:rPr>
  </w:style>
  <w:style w:type="character" w:customStyle="1" w:styleId="202">
    <w:name w:val="font61"/>
    <w:basedOn w:val="39"/>
    <w:qFormat/>
    <w:uiPriority w:val="0"/>
    <w:rPr>
      <w:rFonts w:ascii="宋体" w:hAnsi="宋体" w:eastAsia="宋体" w:cs="宋体"/>
      <w:color w:val="000000"/>
      <w:sz w:val="14"/>
      <w:szCs w:val="14"/>
      <w:u w:val="none"/>
    </w:rPr>
  </w:style>
  <w:style w:type="paragraph" w:customStyle="1" w:styleId="203">
    <w:name w:val="..正文"/>
    <w:basedOn w:val="1"/>
    <w:qFormat/>
    <w:uiPriority w:val="0"/>
    <w:pPr>
      <w:spacing w:line="500" w:lineRule="exact"/>
      <w:ind w:firstLine="480" w:firstLineChars="200"/>
    </w:pPr>
    <w:rPr>
      <w:kern w:val="0"/>
      <w:szCs w:val="24"/>
    </w:rPr>
  </w:style>
  <w:style w:type="paragraph" w:customStyle="1" w:styleId="204">
    <w:name w:val="【表头】"/>
    <w:basedOn w:val="1"/>
    <w:qFormat/>
    <w:uiPriority w:val="99"/>
    <w:pPr>
      <w:keepNext/>
      <w:adjustRightInd w:val="0"/>
      <w:snapToGrid w:val="0"/>
      <w:spacing w:line="520" w:lineRule="exact"/>
      <w:jc w:val="center"/>
    </w:pPr>
    <w:rPr>
      <w:b/>
      <w:kern w:val="0"/>
      <w:sz w:val="21"/>
    </w:rPr>
  </w:style>
  <w:style w:type="paragraph" w:customStyle="1" w:styleId="205">
    <w:name w:val="正文4"/>
    <w:basedOn w:val="1"/>
    <w:semiHidden/>
    <w:qFormat/>
    <w:uiPriority w:val="0"/>
    <w:pPr>
      <w:tabs>
        <w:tab w:val="left" w:pos="8640"/>
      </w:tabs>
      <w:autoSpaceDE w:val="0"/>
      <w:autoSpaceDN w:val="0"/>
      <w:spacing w:line="324" w:lineRule="auto"/>
      <w:ind w:right="6" w:firstLine="200" w:firstLineChars="200"/>
      <w:jc w:val="center"/>
      <w:textAlignment w:val="bottom"/>
    </w:pPr>
    <w:rPr>
      <w:rFonts w:ascii="宋体"/>
      <w:kern w:val="0"/>
      <w:sz w:val="21"/>
      <w:szCs w:val="24"/>
    </w:rPr>
  </w:style>
  <w:style w:type="paragraph" w:customStyle="1" w:styleId="206">
    <w:name w:val="我的表格"/>
    <w:basedOn w:val="1"/>
    <w:next w:val="1"/>
    <w:qFormat/>
    <w:uiPriority w:val="0"/>
    <w:pPr>
      <w:adjustRightInd w:val="0"/>
      <w:snapToGrid w:val="0"/>
      <w:spacing w:before="10" w:beforeLines="10" w:after="10" w:afterLines="10" w:line="240" w:lineRule="atLeast"/>
      <w:jc w:val="center"/>
    </w:pPr>
    <w:rPr>
      <w:rFonts w:ascii="Times New Roman" w:hAnsi="Times New Roman" w:eastAsia="宋体"/>
      <w:kern w:val="0"/>
      <w:szCs w:val="20"/>
    </w:rPr>
  </w:style>
  <w:style w:type="paragraph" w:customStyle="1" w:styleId="207">
    <w:name w:val="表内字"/>
    <w:qFormat/>
    <w:uiPriority w:val="0"/>
    <w:pPr>
      <w:spacing w:line="320" w:lineRule="exact"/>
      <w:jc w:val="center"/>
    </w:pPr>
    <w:rPr>
      <w:rFonts w:ascii="Times New Roman" w:hAnsi="Times New Roman" w:eastAsia="宋体" w:cs="Times New Roman"/>
      <w:bCs/>
      <w:kern w:val="2"/>
      <w:sz w:val="21"/>
      <w:szCs w:val="21"/>
      <w:lang w:val="en-US" w:eastAsia="zh-CN" w:bidi="ar-SA"/>
    </w:rPr>
  </w:style>
  <w:style w:type="paragraph" w:customStyle="1" w:styleId="208">
    <w:name w:val="《正文》"/>
    <w:basedOn w:val="1"/>
    <w:qFormat/>
    <w:uiPriority w:val="0"/>
    <w:pPr>
      <w:spacing w:line="500" w:lineRule="exact"/>
      <w:ind w:firstLine="200" w:firstLineChars="200"/>
    </w:pPr>
    <w:rPr>
      <w:rFonts w:eastAsia="仿宋"/>
      <w:kern w:val="0"/>
      <w:szCs w:val="20"/>
    </w:rPr>
  </w:style>
  <w:style w:type="table" w:customStyle="1" w:styleId="209">
    <w:name w:val="[表格样式]"/>
    <w:basedOn w:val="37"/>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210">
    <w:name w:val="【表中表】"/>
    <w:basedOn w:val="1"/>
    <w:next w:val="1"/>
    <w:qFormat/>
    <w:uiPriority w:val="0"/>
    <w:pPr>
      <w:adjustRightInd w:val="0"/>
      <w:snapToGrid w:val="0"/>
      <w:jc w:val="center"/>
    </w:pPr>
    <w:rPr>
      <w:rFonts w:eastAsia="仿宋"/>
      <w:kern w:val="0"/>
      <w:szCs w:val="20"/>
    </w:rPr>
  </w:style>
  <w:style w:type="paragraph" w:customStyle="1" w:styleId="211">
    <w:name w:val="内容列表"/>
    <w:basedOn w:val="1"/>
    <w:qFormat/>
    <w:uiPriority w:val="0"/>
    <w:pPr>
      <w:spacing w:line="480" w:lineRule="exact"/>
      <w:ind w:firstLine="480" w:firstLineChars="200"/>
    </w:pPr>
    <w:rPr>
      <w:bCs/>
    </w:rPr>
  </w:style>
  <w:style w:type="paragraph" w:customStyle="1" w:styleId="212">
    <w:name w:val="【表中】"/>
    <w:basedOn w:val="1"/>
    <w:qFormat/>
    <w:uiPriority w:val="99"/>
    <w:pPr>
      <w:tabs>
        <w:tab w:val="left" w:leader="middleDot" w:pos="7371"/>
      </w:tabs>
      <w:adjustRightInd w:val="0"/>
      <w:snapToGrid w:val="0"/>
      <w:jc w:val="center"/>
    </w:pPr>
    <w:rPr>
      <w:sz w:val="21"/>
    </w:rPr>
  </w:style>
  <w:style w:type="paragraph" w:customStyle="1" w:styleId="213">
    <w:name w:val="首行缩进表格正文"/>
    <w:basedOn w:val="1"/>
    <w:qFormat/>
    <w:uiPriority w:val="0"/>
    <w:pPr>
      <w:spacing w:line="360" w:lineRule="auto"/>
      <w:ind w:firstLine="720" w:firstLineChars="200"/>
    </w:pPr>
  </w:style>
  <w:style w:type="character" w:customStyle="1" w:styleId="214">
    <w:name w:val="font91"/>
    <w:basedOn w:val="39"/>
    <w:qFormat/>
    <w:uiPriority w:val="0"/>
    <w:rPr>
      <w:rFonts w:hint="default" w:ascii="Times New Roman" w:hAnsi="Times New Roman" w:cs="Times New Roman"/>
      <w:color w:val="0000FF"/>
      <w:sz w:val="21"/>
      <w:szCs w:val="21"/>
      <w:u w:val="none"/>
      <w:vertAlign w:val="subscript"/>
    </w:rPr>
  </w:style>
  <w:style w:type="paragraph" w:customStyle="1" w:styleId="215">
    <w:name w:val="00通用正文"/>
    <w:basedOn w:val="1"/>
    <w:qFormat/>
    <w:uiPriority w:val="0"/>
    <w:pPr>
      <w:widowControl w:val="0"/>
      <w:wordWrap w:val="0"/>
      <w:spacing w:line="360" w:lineRule="auto"/>
      <w:ind w:firstLine="420" w:firstLineChars="200"/>
    </w:pPr>
    <w:rPr>
      <w:rFonts w:ascii="Times New Roman" w:hAnsi="Times New Roman" w:eastAsia="宋体" w:cs="Times New Roman"/>
      <w:color w:val="000000"/>
      <w:szCs w:val="24"/>
    </w:rPr>
  </w:style>
  <w:style w:type="paragraph" w:customStyle="1" w:styleId="216">
    <w:name w:val="首行缩进正文"/>
    <w:basedOn w:val="117"/>
    <w:qFormat/>
    <w:uiPriority w:val="0"/>
    <w:rPr>
      <w:sz w:val="21"/>
    </w:rPr>
  </w:style>
  <w:style w:type="paragraph" w:customStyle="1" w:styleId="217">
    <w:name w:val="AAA首行缩进2字符正文"/>
    <w:basedOn w:val="216"/>
    <w:qFormat/>
    <w:uiPriority w:val="0"/>
    <w:pPr>
      <w:adjustRightInd w:val="0"/>
      <w:snapToGrid w:val="0"/>
      <w:spacing w:line="500" w:lineRule="exact"/>
    </w:pPr>
    <w:rPr>
      <w:rFonts w:eastAsia="仿宋"/>
      <w:sz w:val="24"/>
    </w:rPr>
  </w:style>
  <w:style w:type="character" w:customStyle="1" w:styleId="218">
    <w:name w:val="font161"/>
    <w:basedOn w:val="39"/>
    <w:qFormat/>
    <w:uiPriority w:val="0"/>
    <w:rPr>
      <w:rFonts w:ascii="宋体" w:hAnsi="宋体" w:eastAsia="宋体" w:cs="宋体"/>
      <w:color w:val="000000"/>
      <w:sz w:val="36"/>
      <w:szCs w:val="36"/>
      <w:u w:val="none"/>
    </w:rPr>
  </w:style>
  <w:style w:type="character" w:customStyle="1" w:styleId="219">
    <w:name w:val="font121"/>
    <w:basedOn w:val="39"/>
    <w:qFormat/>
    <w:uiPriority w:val="0"/>
    <w:rPr>
      <w:rFonts w:hint="eastAsia" w:ascii="宋体" w:hAnsi="宋体" w:eastAsia="宋体" w:cs="宋体"/>
      <w:color w:val="000000"/>
      <w:sz w:val="36"/>
      <w:szCs w:val="36"/>
      <w:u w:val="none"/>
    </w:rPr>
  </w:style>
  <w:style w:type="character" w:customStyle="1" w:styleId="220">
    <w:name w:val="font181"/>
    <w:basedOn w:val="39"/>
    <w:qFormat/>
    <w:uiPriority w:val="0"/>
    <w:rPr>
      <w:rFonts w:ascii="Arial" w:hAnsi="Arial" w:cs="Arial"/>
      <w:color w:val="000000"/>
      <w:sz w:val="36"/>
      <w:szCs w:val="36"/>
      <w:u w:val="none"/>
    </w:rPr>
  </w:style>
  <w:style w:type="character" w:customStyle="1" w:styleId="221">
    <w:name w:val="font171"/>
    <w:basedOn w:val="39"/>
    <w:qFormat/>
    <w:uiPriority w:val="0"/>
    <w:rPr>
      <w:rFonts w:ascii="Calibri" w:hAnsi="Calibri" w:cs="Calibri"/>
      <w:color w:val="0070C0"/>
      <w:sz w:val="36"/>
      <w:szCs w:val="36"/>
      <w:u w:val="none"/>
    </w:rPr>
  </w:style>
  <w:style w:type="character" w:customStyle="1" w:styleId="222">
    <w:name w:val="font101"/>
    <w:basedOn w:val="39"/>
    <w:qFormat/>
    <w:uiPriority w:val="0"/>
    <w:rPr>
      <w:rFonts w:hint="eastAsia" w:ascii="宋体" w:hAnsi="宋体" w:eastAsia="宋体" w:cs="宋体"/>
      <w:color w:val="00B0F0"/>
      <w:sz w:val="36"/>
      <w:szCs w:val="36"/>
      <w:u w:val="none"/>
    </w:rPr>
  </w:style>
  <w:style w:type="character" w:customStyle="1" w:styleId="223">
    <w:name w:val="font112"/>
    <w:basedOn w:val="39"/>
    <w:qFormat/>
    <w:uiPriority w:val="0"/>
    <w:rPr>
      <w:rFonts w:hint="default" w:ascii="Times New Roman" w:hAnsi="Times New Roman" w:cs="Times New Roman"/>
      <w:color w:val="00B0F0"/>
      <w:sz w:val="36"/>
      <w:szCs w:val="36"/>
      <w:u w:val="none"/>
    </w:rPr>
  </w:style>
  <w:style w:type="character" w:customStyle="1" w:styleId="224">
    <w:name w:val="font191"/>
    <w:basedOn w:val="39"/>
    <w:qFormat/>
    <w:uiPriority w:val="0"/>
    <w:rPr>
      <w:rFonts w:hint="eastAsia" w:ascii="宋体" w:hAnsi="宋体" w:eastAsia="宋体" w:cs="宋体"/>
      <w:color w:val="000000"/>
      <w:sz w:val="36"/>
      <w:szCs w:val="36"/>
      <w:u w:val="none"/>
    </w:rPr>
  </w:style>
  <w:style w:type="character" w:customStyle="1" w:styleId="225">
    <w:name w:val="font131"/>
    <w:basedOn w:val="39"/>
    <w:qFormat/>
    <w:uiPriority w:val="0"/>
    <w:rPr>
      <w:rFonts w:hint="default" w:ascii="Times New Roman" w:hAnsi="Times New Roman" w:cs="Times New Roman"/>
      <w:color w:val="000000"/>
      <w:sz w:val="36"/>
      <w:szCs w:val="36"/>
      <w:u w:val="none"/>
    </w:rPr>
  </w:style>
  <w:style w:type="paragraph" w:customStyle="1" w:styleId="226">
    <w:name w:val="报告"/>
    <w:basedOn w:val="1"/>
    <w:qFormat/>
    <w:uiPriority w:val="0"/>
    <w:pPr>
      <w:adjustRightInd w:val="0"/>
      <w:spacing w:line="360" w:lineRule="auto"/>
      <w:ind w:firstLine="505"/>
      <w:textAlignment w:val="baseline"/>
    </w:pPr>
    <w:rPr>
      <w:kern w:val="0"/>
      <w:szCs w:val="20"/>
    </w:rPr>
  </w:style>
  <w:style w:type="paragraph" w:customStyle="1" w:styleId="227">
    <w:name w:val="表格题目"/>
    <w:basedOn w:val="1"/>
    <w:qFormat/>
    <w:uiPriority w:val="0"/>
    <w:pPr>
      <w:spacing w:line="240" w:lineRule="atLeast"/>
      <w:jc w:val="center"/>
    </w:pPr>
    <w:rPr>
      <w:rFonts w:ascii="黑体" w:hAnsi="宋体" w:eastAsia="黑体" w:cs="Times New Roman"/>
      <w:szCs w:val="24"/>
    </w:rPr>
  </w:style>
  <w:style w:type="table" w:customStyle="1" w:styleId="228">
    <w:name w:val="网格型11"/>
    <w:basedOn w:val="37"/>
    <w:qFormat/>
    <w:uiPriority w:val="59"/>
    <w:pPr>
      <w:jc w:val="center"/>
    </w:pPr>
    <w:rPr>
      <w:rFonts w:ascii="Calibri" w:hAnsi="Calibri"/>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229">
    <w:name w:val="表格、图形标题"/>
    <w:basedOn w:val="1"/>
    <w:next w:val="1"/>
    <w:qFormat/>
    <w:uiPriority w:val="0"/>
    <w:pPr>
      <w:jc w:val="center"/>
    </w:pPr>
    <w:rPr>
      <w:rFonts w:ascii="黑体" w:hAnsi="黑体" w:eastAsia="黑体"/>
    </w:rPr>
  </w:style>
  <w:style w:type="paragraph" w:customStyle="1" w:styleId="230">
    <w:name w:val="表格内容格式"/>
    <w:next w:val="171"/>
    <w:qFormat/>
    <w:uiPriority w:val="0"/>
    <w:pPr>
      <w:widowControl w:val="0"/>
      <w:adjustRightInd w:val="0"/>
      <w:snapToGrid w:val="0"/>
      <w:spacing w:line="360" w:lineRule="exact"/>
      <w:jc w:val="center"/>
    </w:pPr>
    <w:rPr>
      <w:rFonts w:ascii="Times New Roman" w:hAnsi="Times New Roman" w:eastAsia="宋体" w:cs="Times New Roman"/>
      <w:sz w:val="21"/>
      <w:szCs w:val="21"/>
      <w:lang w:val="en-US" w:eastAsia="zh-CN" w:bidi="ar-SA"/>
    </w:rPr>
  </w:style>
  <w:style w:type="paragraph" w:customStyle="1" w:styleId="231">
    <w:name w:val="0图表表头"/>
    <w:basedOn w:val="215"/>
    <w:next w:val="232"/>
    <w:qFormat/>
    <w:uiPriority w:val="0"/>
    <w:pPr>
      <w:spacing w:line="240" w:lineRule="auto"/>
      <w:ind w:firstLine="0" w:firstLineChars="0"/>
      <w:jc w:val="center"/>
    </w:pPr>
    <w:rPr>
      <w:rFonts w:hint="eastAsia" w:cs="宋体"/>
      <w:b/>
    </w:rPr>
  </w:style>
  <w:style w:type="paragraph" w:customStyle="1" w:styleId="232">
    <w:name w:val="0通用正文"/>
    <w:basedOn w:val="1"/>
    <w:qFormat/>
    <w:uiPriority w:val="0"/>
    <w:pPr>
      <w:wordWrap w:val="0"/>
      <w:topLinePunct/>
      <w:ind w:firstLine="420" w:firstLineChars="200"/>
    </w:pPr>
  </w:style>
  <w:style w:type="paragraph" w:customStyle="1" w:styleId="233">
    <w:name w:val="0表格文字"/>
    <w:basedOn w:val="215"/>
    <w:next w:val="215"/>
    <w:qFormat/>
    <w:uiPriority w:val="0"/>
    <w:pPr>
      <w:spacing w:line="240" w:lineRule="auto"/>
      <w:ind w:firstLine="0" w:firstLineChars="0"/>
      <w:jc w:val="center"/>
    </w:pPr>
    <w:rPr>
      <w:rFonts w:cs="宋体"/>
      <w:sz w:val="21"/>
      <w:szCs w:val="21"/>
    </w:rPr>
  </w:style>
  <w:style w:type="paragraph" w:customStyle="1" w:styleId="234">
    <w:name w:val="11111"/>
    <w:basedOn w:val="1"/>
    <w:next w:val="1"/>
    <w:autoRedefine/>
    <w:qFormat/>
    <w:uiPriority w:val="0"/>
    <w:pPr>
      <w:spacing w:line="360" w:lineRule="auto"/>
      <w:ind w:firstLine="200" w:firstLineChars="200"/>
    </w:pPr>
    <w:rPr>
      <w:rFonts w:ascii="宋体" w:hAnsi="宋体" w:cs="宋体"/>
    </w:rPr>
  </w:style>
  <w:style w:type="paragraph" w:customStyle="1" w:styleId="235">
    <w:name w:val="表5.2"/>
    <w:basedOn w:val="236"/>
    <w:qFormat/>
    <w:uiPriority w:val="0"/>
    <w:pPr>
      <w:numPr>
        <w:ilvl w:val="0"/>
        <w:numId w:val="2"/>
      </w:numPr>
    </w:pPr>
    <w:rPr>
      <w:rFonts w:cs="Times New Roman"/>
      <w:color w:val="auto"/>
    </w:rPr>
  </w:style>
  <w:style w:type="paragraph" w:customStyle="1" w:styleId="236">
    <w:name w:val="合稿【表头】"/>
    <w:basedOn w:val="1"/>
    <w:next w:val="1"/>
    <w:qFormat/>
    <w:uiPriority w:val="0"/>
    <w:pPr>
      <w:adjustRightInd w:val="0"/>
      <w:snapToGrid w:val="0"/>
      <w:ind w:left="420"/>
      <w:jc w:val="center"/>
    </w:pPr>
    <w:rPr>
      <w:rFonts w:cs="宋体"/>
      <w:b/>
      <w:snapToGrid w:val="0"/>
      <w:color w:val="000000"/>
      <w:kern w:val="28"/>
      <w:szCs w:val="20"/>
    </w:rPr>
  </w:style>
  <w:style w:type="paragraph" w:customStyle="1" w:styleId="237">
    <w:name w:val="合稿【表中文字】"/>
    <w:basedOn w:val="1"/>
    <w:qFormat/>
    <w:uiPriority w:val="0"/>
    <w:pPr>
      <w:adjustRightInd w:val="0"/>
      <w:snapToGrid w:val="0"/>
      <w:spacing w:line="312" w:lineRule="auto"/>
      <w:ind w:left="9" w:leftChars="9" w:right="9" w:rightChars="9"/>
      <w:jc w:val="center"/>
    </w:pPr>
    <w:rPr>
      <w:snapToGrid w:val="0"/>
      <w:color w:val="000000"/>
      <w:sz w:val="21"/>
      <w:szCs w:val="20"/>
    </w:rPr>
  </w:style>
  <w:style w:type="paragraph" w:customStyle="1" w:styleId="238">
    <w:name w:val="表7.1"/>
    <w:basedOn w:val="235"/>
    <w:qFormat/>
    <w:uiPriority w:val="0"/>
    <w:rPr>
      <w:rFonts w:ascii="Calibri" w:hAnsi="Calibri"/>
    </w:rPr>
  </w:style>
</w:styles>
</file>

<file path=word/_rels/document.xml.rels><?xml version="1.0" encoding="UTF-8" standalone="yes"?>
<Relationships xmlns="http://schemas.openxmlformats.org/package/2006/relationships"><Relationship Id="rId99" Type="http://schemas.openxmlformats.org/officeDocument/2006/relationships/image" Target="media/image68.png"/><Relationship Id="rId98" Type="http://schemas.openxmlformats.org/officeDocument/2006/relationships/image" Target="media/image67.png"/><Relationship Id="rId97" Type="http://schemas.openxmlformats.org/officeDocument/2006/relationships/image" Target="media/image66.jpeg"/><Relationship Id="rId96" Type="http://schemas.openxmlformats.org/officeDocument/2006/relationships/image" Target="media/image65.png"/><Relationship Id="rId95" Type="http://schemas.openxmlformats.org/officeDocument/2006/relationships/image" Target="media/image64.png"/><Relationship Id="rId94" Type="http://schemas.openxmlformats.org/officeDocument/2006/relationships/image" Target="media/image63.png"/><Relationship Id="rId93" Type="http://schemas.openxmlformats.org/officeDocument/2006/relationships/image" Target="media/image62.png"/><Relationship Id="rId92" Type="http://schemas.openxmlformats.org/officeDocument/2006/relationships/image" Target="media/image61.png"/><Relationship Id="rId91" Type="http://schemas.openxmlformats.org/officeDocument/2006/relationships/image" Target="media/image60.png"/><Relationship Id="rId90" Type="http://schemas.openxmlformats.org/officeDocument/2006/relationships/image" Target="media/image59.png"/><Relationship Id="rId9" Type="http://schemas.openxmlformats.org/officeDocument/2006/relationships/header" Target="header4.xml"/><Relationship Id="rId89" Type="http://schemas.openxmlformats.org/officeDocument/2006/relationships/image" Target="media/image58.png"/><Relationship Id="rId88" Type="http://schemas.openxmlformats.org/officeDocument/2006/relationships/image" Target="media/image57.wmf"/><Relationship Id="rId87" Type="http://schemas.openxmlformats.org/officeDocument/2006/relationships/oleObject" Target="embeddings/oleObject13.bin"/><Relationship Id="rId86" Type="http://schemas.openxmlformats.org/officeDocument/2006/relationships/image" Target="media/image56.wmf"/><Relationship Id="rId85" Type="http://schemas.openxmlformats.org/officeDocument/2006/relationships/oleObject" Target="embeddings/oleObject12.bin"/><Relationship Id="rId84" Type="http://schemas.openxmlformats.org/officeDocument/2006/relationships/image" Target="media/image55.wmf"/><Relationship Id="rId83" Type="http://schemas.openxmlformats.org/officeDocument/2006/relationships/oleObject" Target="embeddings/oleObject11.bin"/><Relationship Id="rId82" Type="http://schemas.openxmlformats.org/officeDocument/2006/relationships/image" Target="media/image54.wmf"/><Relationship Id="rId81" Type="http://schemas.openxmlformats.org/officeDocument/2006/relationships/oleObject" Target="embeddings/oleObject10.bin"/><Relationship Id="rId80" Type="http://schemas.openxmlformats.org/officeDocument/2006/relationships/image" Target="media/image53.wmf"/><Relationship Id="rId8" Type="http://schemas.openxmlformats.org/officeDocument/2006/relationships/footer" Target="footer3.xml"/><Relationship Id="rId79" Type="http://schemas.openxmlformats.org/officeDocument/2006/relationships/oleObject" Target="embeddings/oleObject9.bin"/><Relationship Id="rId78" Type="http://schemas.openxmlformats.org/officeDocument/2006/relationships/image" Target="media/image52.wmf"/><Relationship Id="rId77" Type="http://schemas.openxmlformats.org/officeDocument/2006/relationships/oleObject" Target="embeddings/oleObject8.bin"/><Relationship Id="rId76" Type="http://schemas.openxmlformats.org/officeDocument/2006/relationships/image" Target="media/image51.wmf"/><Relationship Id="rId75" Type="http://schemas.openxmlformats.org/officeDocument/2006/relationships/oleObject" Target="embeddings/oleObject7.bin"/><Relationship Id="rId74" Type="http://schemas.openxmlformats.org/officeDocument/2006/relationships/image" Target="media/image50.wmf"/><Relationship Id="rId73" Type="http://schemas.openxmlformats.org/officeDocument/2006/relationships/oleObject" Target="embeddings/oleObject6.bin"/><Relationship Id="rId72" Type="http://schemas.openxmlformats.org/officeDocument/2006/relationships/image" Target="media/image49.wmf"/><Relationship Id="rId71" Type="http://schemas.openxmlformats.org/officeDocument/2006/relationships/oleObject" Target="embeddings/oleObject5.bin"/><Relationship Id="rId70" Type="http://schemas.openxmlformats.org/officeDocument/2006/relationships/image" Target="media/image48.wmf"/><Relationship Id="rId7" Type="http://schemas.openxmlformats.org/officeDocument/2006/relationships/footer" Target="footer2.xml"/><Relationship Id="rId69" Type="http://schemas.openxmlformats.org/officeDocument/2006/relationships/oleObject" Target="embeddings/oleObject4.bin"/><Relationship Id="rId68" Type="http://schemas.openxmlformats.org/officeDocument/2006/relationships/image" Target="media/image47.png"/><Relationship Id="rId67" Type="http://schemas.openxmlformats.org/officeDocument/2006/relationships/image" Target="media/image46.png"/><Relationship Id="rId66" Type="http://schemas.openxmlformats.org/officeDocument/2006/relationships/image" Target="media/image45.png"/><Relationship Id="rId65" Type="http://schemas.openxmlformats.org/officeDocument/2006/relationships/image" Target="media/image44.png"/><Relationship Id="rId64" Type="http://schemas.openxmlformats.org/officeDocument/2006/relationships/image" Target="media/image43.png"/><Relationship Id="rId63" Type="http://schemas.openxmlformats.org/officeDocument/2006/relationships/image" Target="media/image42.png"/><Relationship Id="rId62" Type="http://schemas.openxmlformats.org/officeDocument/2006/relationships/chart" Target="charts/chart1.xml"/><Relationship Id="rId61" Type="http://schemas.openxmlformats.org/officeDocument/2006/relationships/image" Target="media/image41.wmf"/><Relationship Id="rId60" Type="http://schemas.openxmlformats.org/officeDocument/2006/relationships/oleObject" Target="embeddings/oleObject3.bin"/><Relationship Id="rId6" Type="http://schemas.openxmlformats.org/officeDocument/2006/relationships/header" Target="header3.xml"/><Relationship Id="rId59" Type="http://schemas.openxmlformats.org/officeDocument/2006/relationships/image" Target="media/image40.emf"/><Relationship Id="rId58" Type="http://schemas.openxmlformats.org/officeDocument/2006/relationships/image" Target="media/image39.png"/><Relationship Id="rId57" Type="http://schemas.openxmlformats.org/officeDocument/2006/relationships/image" Target="media/image38.emf"/><Relationship Id="rId56" Type="http://schemas.openxmlformats.org/officeDocument/2006/relationships/oleObject" Target="embeddings/oleObject2.bin"/><Relationship Id="rId55" Type="http://schemas.openxmlformats.org/officeDocument/2006/relationships/image" Target="media/image37.png"/><Relationship Id="rId54" Type="http://schemas.openxmlformats.org/officeDocument/2006/relationships/image" Target="media/image36.png"/><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media/image33.png"/><Relationship Id="rId50" Type="http://schemas.openxmlformats.org/officeDocument/2006/relationships/image" Target="media/image32.png"/><Relationship Id="rId5" Type="http://schemas.openxmlformats.org/officeDocument/2006/relationships/footer" Target="footer1.xml"/><Relationship Id="rId49" Type="http://schemas.openxmlformats.org/officeDocument/2006/relationships/image" Target="media/image31.png"/><Relationship Id="rId48" Type="http://schemas.openxmlformats.org/officeDocument/2006/relationships/image" Target="media/image30.png"/><Relationship Id="rId47" Type="http://schemas.openxmlformats.org/officeDocument/2006/relationships/image" Target="media/image29.png"/><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pn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header" Target="header2.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header" Target="head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wmf"/><Relationship Id="rId24" Type="http://schemas.openxmlformats.org/officeDocument/2006/relationships/oleObject" Target="embeddings/oleObject1.bin"/><Relationship Id="rId23" Type="http://schemas.openxmlformats.org/officeDocument/2006/relationships/image" Target="media/image6.jpeg"/><Relationship Id="rId22" Type="http://schemas.openxmlformats.org/officeDocument/2006/relationships/image" Target="media/image5.jpe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7" Type="http://schemas.openxmlformats.org/officeDocument/2006/relationships/fontTable" Target="fontTable.xml"/><Relationship Id="rId126" Type="http://schemas.openxmlformats.org/officeDocument/2006/relationships/customXml" Target="../customXml/item2.xml"/><Relationship Id="rId125" Type="http://schemas.openxmlformats.org/officeDocument/2006/relationships/numbering" Target="numbering.xml"/><Relationship Id="rId124" Type="http://schemas.openxmlformats.org/officeDocument/2006/relationships/customXml" Target="../customXml/item1.xml"/><Relationship Id="rId123" Type="http://schemas.openxmlformats.org/officeDocument/2006/relationships/image" Target="media/image90.jpeg"/><Relationship Id="rId122" Type="http://schemas.openxmlformats.org/officeDocument/2006/relationships/image" Target="media/image89.jpeg"/><Relationship Id="rId121" Type="http://schemas.openxmlformats.org/officeDocument/2006/relationships/image" Target="media/image88.jpeg"/><Relationship Id="rId120" Type="http://schemas.openxmlformats.org/officeDocument/2006/relationships/image" Target="media/image87.jpeg"/><Relationship Id="rId12" Type="http://schemas.openxmlformats.org/officeDocument/2006/relationships/header" Target="header6.xml"/><Relationship Id="rId119" Type="http://schemas.openxmlformats.org/officeDocument/2006/relationships/image" Target="media/image86.jpeg"/><Relationship Id="rId118" Type="http://schemas.openxmlformats.org/officeDocument/2006/relationships/image" Target="media/image85.jpeg"/><Relationship Id="rId117" Type="http://schemas.openxmlformats.org/officeDocument/2006/relationships/image" Target="media/image84.jpeg"/><Relationship Id="rId116" Type="http://schemas.openxmlformats.org/officeDocument/2006/relationships/image" Target="media/image83.jpeg"/><Relationship Id="rId115" Type="http://schemas.openxmlformats.org/officeDocument/2006/relationships/image" Target="media/image82.jpeg"/><Relationship Id="rId114" Type="http://schemas.openxmlformats.org/officeDocument/2006/relationships/image" Target="media/image81.wmf"/><Relationship Id="rId113" Type="http://schemas.openxmlformats.org/officeDocument/2006/relationships/oleObject" Target="embeddings/oleObject15.bin"/><Relationship Id="rId112" Type="http://schemas.openxmlformats.org/officeDocument/2006/relationships/image" Target="media/image80.jpeg"/><Relationship Id="rId111" Type="http://schemas.openxmlformats.org/officeDocument/2006/relationships/image" Target="media/image79.png"/><Relationship Id="rId110" Type="http://schemas.openxmlformats.org/officeDocument/2006/relationships/image" Target="media/image78.png"/><Relationship Id="rId11" Type="http://schemas.openxmlformats.org/officeDocument/2006/relationships/footer" Target="footer4.xml"/><Relationship Id="rId109" Type="http://schemas.openxmlformats.org/officeDocument/2006/relationships/image" Target="media/image77.png"/><Relationship Id="rId108" Type="http://schemas.openxmlformats.org/officeDocument/2006/relationships/image" Target="media/image76.png"/><Relationship Id="rId107" Type="http://schemas.openxmlformats.org/officeDocument/2006/relationships/image" Target="media/image75.png"/><Relationship Id="rId106" Type="http://schemas.openxmlformats.org/officeDocument/2006/relationships/oleObject" Target="embeddings/oleObject14.bin"/><Relationship Id="rId105" Type="http://schemas.openxmlformats.org/officeDocument/2006/relationships/image" Target="media/image74.png"/><Relationship Id="rId104" Type="http://schemas.openxmlformats.org/officeDocument/2006/relationships/image" Target="media/image73.png"/><Relationship Id="rId103" Type="http://schemas.openxmlformats.org/officeDocument/2006/relationships/image" Target="media/image72.png"/><Relationship Id="rId102" Type="http://schemas.openxmlformats.org/officeDocument/2006/relationships/image" Target="media/image71.png"/><Relationship Id="rId101" Type="http://schemas.openxmlformats.org/officeDocument/2006/relationships/image" Target="media/image70.png"/><Relationship Id="rId100" Type="http://schemas.openxmlformats.org/officeDocument/2006/relationships/image" Target="media/image69.png"/><Relationship Id="rId10" Type="http://schemas.openxmlformats.org/officeDocument/2006/relationships/header" Target="head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E:\&#24037;&#20316;\&#26032;&#24314;&#25991;&#20214;&#22841;\&#22320;&#19979;&#27700;H\&#29615;&#35780;&#25253;&#21578;\&#27849;&#26519;&#22320;&#19979;&#27700;&#35780;&#20215;\&#27849;&#26519;11-29\&#19996;&#20852;&#29028;&#21270;&#2403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1"/>
          <c:order val="0"/>
          <c:tx>
            <c:strRef>
              <c:f>"长兴村监测井"</c:f>
              <c:strCache>
                <c:ptCount val="1"/>
                <c:pt idx="0">
                  <c:v>长兴村监测井</c:v>
                </c:pt>
              </c:strCache>
            </c:strRef>
          </c:tx>
          <c:spPr>
            <a:ln w="19050" cap="rnd" cmpd="sng" algn="ctr">
              <a:solidFill>
                <a:schemeClr val="accent2"/>
              </a:solidFill>
              <a:prstDash val="solid"/>
              <a:round/>
            </a:ln>
            <a:effectLst/>
          </c:spPr>
          <c:marker>
            <c:symbol val="circle"/>
            <c:size val="5"/>
            <c:spPr>
              <a:noFill/>
              <a:ln w="9525" cap="flat" cmpd="sng" algn="ctr">
                <a:noFill/>
                <a:prstDash val="solid"/>
                <a:round/>
              </a:ln>
              <a:effectLst/>
            </c:spPr>
          </c:marker>
          <c:dLbls>
            <c:delete val="1"/>
          </c:dLbls>
          <c:xVal>
            <c:numRef>
              <c:f>[东兴煤化工.xls]Sheet1!$E$3:$E$14</c:f>
              <c:numCache>
                <c:formatCode>General</c:formatCode>
                <c:ptCount val="12"/>
                <c:pt idx="0">
                  <c:v>1.15</c:v>
                </c:pt>
                <c:pt idx="1">
                  <c:v>2.15</c:v>
                </c:pt>
                <c:pt idx="2">
                  <c:v>3.15</c:v>
                </c:pt>
                <c:pt idx="3">
                  <c:v>4.15</c:v>
                </c:pt>
                <c:pt idx="4">
                  <c:v>5.15</c:v>
                </c:pt>
                <c:pt idx="5">
                  <c:v>6.15</c:v>
                </c:pt>
                <c:pt idx="6">
                  <c:v>7.15</c:v>
                </c:pt>
                <c:pt idx="7">
                  <c:v>8.15</c:v>
                </c:pt>
                <c:pt idx="8">
                  <c:v>9.15</c:v>
                </c:pt>
                <c:pt idx="9">
                  <c:v>10.15</c:v>
                </c:pt>
                <c:pt idx="10">
                  <c:v>11.15</c:v>
                </c:pt>
                <c:pt idx="11">
                  <c:v>12.15</c:v>
                </c:pt>
              </c:numCache>
            </c:numRef>
          </c:xVal>
          <c:yVal>
            <c:numRef>
              <c:f>[东兴煤化工.xls]Sheet1!$J$3:$J$14</c:f>
              <c:numCache>
                <c:formatCode>General</c:formatCode>
                <c:ptCount val="12"/>
                <c:pt idx="0">
                  <c:v>75.25</c:v>
                </c:pt>
                <c:pt idx="1">
                  <c:v>75.2</c:v>
                </c:pt>
                <c:pt idx="2">
                  <c:v>75.12</c:v>
                </c:pt>
                <c:pt idx="3">
                  <c:v>75.05</c:v>
                </c:pt>
                <c:pt idx="4">
                  <c:v>75.44</c:v>
                </c:pt>
                <c:pt idx="5">
                  <c:v>75.8</c:v>
                </c:pt>
                <c:pt idx="6">
                  <c:v>75.95</c:v>
                </c:pt>
                <c:pt idx="7">
                  <c:v>75.99</c:v>
                </c:pt>
                <c:pt idx="8">
                  <c:v>75.6</c:v>
                </c:pt>
                <c:pt idx="9">
                  <c:v>75.1</c:v>
                </c:pt>
                <c:pt idx="10">
                  <c:v>75.1</c:v>
                </c:pt>
                <c:pt idx="11">
                  <c:v>75.22</c:v>
                </c:pt>
              </c:numCache>
            </c:numRef>
          </c:yVal>
          <c:smooth val="0"/>
        </c:ser>
        <c:ser>
          <c:idx val="0"/>
          <c:order val="1"/>
          <c:tx>
            <c:strRef>
              <c:f>"东兴煤化工监测井"</c:f>
              <c:strCache>
                <c:ptCount val="1"/>
                <c:pt idx="0">
                  <c:v>东兴煤化工监测井</c:v>
                </c:pt>
              </c:strCache>
            </c:strRef>
          </c:tx>
          <c:spPr>
            <a:ln w="19050" cap="rnd" cmpd="sng" algn="ctr">
              <a:solidFill>
                <a:schemeClr val="accent1"/>
              </a:solidFill>
              <a:prstDash val="solid"/>
              <a:round/>
            </a:ln>
            <a:effectLst/>
          </c:spPr>
          <c:marker>
            <c:symbol val="circle"/>
            <c:size val="5"/>
            <c:spPr>
              <a:noFill/>
              <a:ln w="9525" cap="flat" cmpd="sng" algn="ctr">
                <a:noFill/>
                <a:prstDash val="solid"/>
                <a:round/>
              </a:ln>
              <a:effectLst/>
            </c:spPr>
          </c:marker>
          <c:dLbls>
            <c:delete val="1"/>
          </c:dLbls>
          <c:xVal>
            <c:numRef>
              <c:f>[东兴煤化工.xls]Sheet1!$E$3:$E$14</c:f>
              <c:numCache>
                <c:formatCode>General</c:formatCode>
                <c:ptCount val="12"/>
                <c:pt idx="0">
                  <c:v>1.15</c:v>
                </c:pt>
                <c:pt idx="1">
                  <c:v>2.15</c:v>
                </c:pt>
                <c:pt idx="2">
                  <c:v>3.15</c:v>
                </c:pt>
                <c:pt idx="3">
                  <c:v>4.15</c:v>
                </c:pt>
                <c:pt idx="4">
                  <c:v>5.15</c:v>
                </c:pt>
                <c:pt idx="5">
                  <c:v>6.15</c:v>
                </c:pt>
                <c:pt idx="6">
                  <c:v>7.15</c:v>
                </c:pt>
                <c:pt idx="7">
                  <c:v>8.15</c:v>
                </c:pt>
                <c:pt idx="8">
                  <c:v>9.15</c:v>
                </c:pt>
                <c:pt idx="9">
                  <c:v>10.15</c:v>
                </c:pt>
                <c:pt idx="10">
                  <c:v>11.15</c:v>
                </c:pt>
                <c:pt idx="11">
                  <c:v>12.15</c:v>
                </c:pt>
              </c:numCache>
            </c:numRef>
          </c:xVal>
          <c:yVal>
            <c:numRef>
              <c:f>[东兴煤化工.xls]Sheet1!$J$19:$J$30</c:f>
              <c:numCache>
                <c:formatCode>General</c:formatCode>
                <c:ptCount val="12"/>
                <c:pt idx="0">
                  <c:v>74.79</c:v>
                </c:pt>
                <c:pt idx="1">
                  <c:v>74.74</c:v>
                </c:pt>
                <c:pt idx="2">
                  <c:v>74.72</c:v>
                </c:pt>
                <c:pt idx="3">
                  <c:v>74.74</c:v>
                </c:pt>
                <c:pt idx="4">
                  <c:v>74.988</c:v>
                </c:pt>
                <c:pt idx="5">
                  <c:v>75.5</c:v>
                </c:pt>
                <c:pt idx="6">
                  <c:v>75.688</c:v>
                </c:pt>
                <c:pt idx="7">
                  <c:v>75.808</c:v>
                </c:pt>
                <c:pt idx="8">
                  <c:v>75.468</c:v>
                </c:pt>
                <c:pt idx="9">
                  <c:v>75.038</c:v>
                </c:pt>
                <c:pt idx="10">
                  <c:v>74.988</c:v>
                </c:pt>
                <c:pt idx="11">
                  <c:v>74.958</c:v>
                </c:pt>
              </c:numCache>
            </c:numRef>
          </c:yVal>
          <c:smooth val="0"/>
        </c:ser>
        <c:dLbls>
          <c:showLegendKey val="0"/>
          <c:showVal val="0"/>
          <c:showCatName val="0"/>
          <c:showSerName val="0"/>
          <c:showPercent val="0"/>
          <c:showBubbleSize val="0"/>
        </c:dLbls>
        <c:axId val="48947200"/>
        <c:axId val="48948352"/>
      </c:scatterChart>
      <c:valAx>
        <c:axId val="48947200"/>
        <c:scaling>
          <c:orientation val="minMax"/>
          <c:max val="12"/>
          <c:min val="1"/>
        </c:scaling>
        <c:delete val="0"/>
        <c:axPos val="b"/>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48352"/>
        <c:crosses val="autoZero"/>
        <c:crossBetween val="midCat"/>
        <c:majorUnit val="1"/>
      </c:valAx>
      <c:valAx>
        <c:axId val="4894835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47200"/>
        <c:crosses val="autoZero"/>
        <c:crossBetween val="midCat"/>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cbc415-c400-4bd3-a42b-d5acaab2ba3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3e0c2596-c6c0-4799-8f40-c68ec7e1e79c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45A7F051</paraID>
      <start>0</start>
      <end>2</end>
      <status>unmodified</status>
      <modifiedWord/>
      <trackRevisions>false</trackRevisions>
    </reviewItem>
    <reviewItem>
      <errorID>2b3ab495-03f7-4e9a-b1dc-b70f2ad72efa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4CB18AE9</paraID>
      <start>0</start>
      <end>2</end>
      <status>unmodified</status>
      <modifiedWord/>
      <trackRevisions>false</trackRevisions>
    </reviewItem>
    <reviewItem>
      <errorID>af2392f3-44c7-4904-b561-ffa4c4f9d018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285A1362</paraID>
      <start>0</start>
      <end>2</end>
      <status>unmodified</status>
      <modifiedWord/>
      <trackRevisions>false</trackRevisions>
    </reviewItem>
    <reviewItem>
      <errorID>2bbabdea-f123-4be3-9a84-35f15b600bdd</errorID>
      <errorWord>(</errorWord>
      <group>L1_Format</group>
      <groupName>格式问题</groupName>
      <ability>L2_HalfPunc</ability>
      <abilityName>全半角检查</abilityName>
      <candidateList>
        <item>（</item>
      </candidateList>
      <explain>文本全半角错误。</explain>
      <paraID>59C8E367</paraID>
      <start>91</start>
      <end>92</end>
      <status>unmodified</status>
      <modifiedWord/>
      <trackRevisions>false</trackRevisions>
    </reviewItem>
    <reviewItem>
      <errorID>b455e098-ad91-423b-ac2e-72cd74242b4f</errorID>
      <errorWord>)</errorWord>
      <group>L1_Format</group>
      <groupName>格式问题</groupName>
      <ability>L2_HalfPunc</ability>
      <abilityName>全半角检查</abilityName>
      <candidateList>
        <item>）</item>
      </candidateList>
      <explain>文本全半角错误。</explain>
      <paraID>59C8E367</paraID>
      <start>107</start>
      <end>108</end>
      <status>unmodified</status>
      <modifiedWord/>
      <trackRevisions>false</trackRevisions>
    </reviewItem>
    <reviewItem>
      <errorID>0bbbc6a4-27c2-4bef-928b-e18b5e147c25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5FB940E1</paraID>
      <start>141</start>
      <end>144</end>
      <status>unmodified</status>
      <modifiedWord/>
      <trackRevisions>false</trackRevisions>
    </reviewItem>
    <reviewItem>
      <errorID>b2be1efc-981f-42b1-ae62-9ac681e8c512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4568673</paraID>
      <start>0</start>
      <end>2</end>
      <status>unmodified</status>
      <modifiedWord/>
      <trackRevisions>false</trackRevisions>
    </reviewItem>
    <reviewItem>
      <errorID>1148094d-d81c-4571-a580-c20eedeefd85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7A76985C</paraID>
      <start>0</start>
      <end>2</end>
      <status>unmodified</status>
      <modifiedWord/>
      <trackRevisions>false</trackRevisions>
    </reviewItem>
    <reviewItem>
      <errorID>1ef856c8-f5f8-4bf0-ba38-7a2c27a07298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2D78734</paraID>
      <start>0</start>
      <end>2</end>
      <status>unmodified</status>
      <modifiedWord/>
      <trackRevisions>false</trackRevisions>
    </reviewItem>
    <reviewItem>
      <errorID>6be657fa-fb9d-4ea7-aff1-0071f2a86e32</errorID>
      <errorWord>(</errorWord>
      <group>L1_Format</group>
      <groupName>格式问题</groupName>
      <ability>L2_HalfPunc</ability>
      <abilityName>全半角检查</abilityName>
      <candidateList>
        <item>（</item>
      </candidateList>
      <explain>文本全半角错误。</explain>
      <paraID>5169681B</paraID>
      <start>176</start>
      <end>177</end>
      <status>unmodified</status>
      <modifiedWord/>
      <trackRevisions>false</trackRevisions>
    </reviewItem>
    <reviewItem>
      <errorID>69f32cf3-7392-4b17-9485-9e6b1571768a</errorID>
      <errorWord>)</errorWord>
      <group>L1_Format</group>
      <groupName>格式问题</groupName>
      <ability>L2_HalfPunc</ability>
      <abilityName>全半角检查</abilityName>
      <candidateList>
        <item>）</item>
      </candidateList>
      <explain>文本全半角错误。</explain>
      <paraID>5169681B</paraID>
      <start>192</start>
      <end>193</end>
      <status>unmodified</status>
      <modifiedWord/>
      <trackRevisions>false</trackRevisions>
    </reviewItem>
    <reviewItem>
      <errorID>c24ef055-8edf-4cc6-b0a0-2353170349bf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298F918</paraID>
      <start>0</start>
      <end>2</end>
      <status>unmodified</status>
      <modifiedWord/>
      <trackRevisions>false</trackRevisions>
    </reviewItem>
    <reviewItem>
      <errorID>014c5fe5-db37-4241-b379-a6bc65f0a39c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4D69B1</paraID>
      <start>0</start>
      <end>2</end>
      <status>unmodified</status>
      <modifiedWord/>
      <trackRevisions>false</trackRevisions>
    </reviewItem>
    <reviewItem>
      <errorID>ca72ad69-f3bb-4b35-b2a5-ac306b888a7e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7721D247</paraID>
      <start>0</start>
      <end>2</end>
      <status>unmodified</status>
      <modifiedWord/>
      <trackRevisions>false</trackRevisions>
    </reviewItem>
    <reviewItem>
      <errorID>86faa759-0ed7-4c75-9fd7-492b0f4aa471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1A8651B1</paraID>
      <start>0</start>
      <end>2</end>
      <status>unmodified</status>
      <modifiedWord/>
      <trackRevisions>false</trackRevisions>
    </reviewItem>
    <reviewItem>
      <errorID>0497543a-1e84-4604-b9be-a9ead370a52f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519B5A84</paraID>
      <start>0</start>
      <end>2</end>
      <status>unmodified</status>
      <modifiedWord/>
      <trackRevisions>false</trackRevisions>
    </reviewItem>
    <reviewItem>
      <errorID>91aaf1b3-b99e-4ece-8886-8053430bb6cf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6AD62FF0</paraID>
      <start>0</start>
      <end>2</end>
      <status>unmodified</status>
      <modifiedWord/>
      <trackRevisions>false</trackRevisions>
    </reviewItem>
    <reviewItem>
      <errorID>bb7e8576-4600-42a6-913b-b3fcd17127dc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2D3A6983</paraID>
      <start>0</start>
      <end>2</end>
      <status>unmodified</status>
      <modifiedWord/>
      <trackRevisions>false</trackRevisions>
    </reviewItem>
    <reviewItem>
      <errorID>d68fdae2-2593-4bca-b069-611be720d05a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7429BD34</paraID>
      <start>0</start>
      <end>2</end>
      <status>unmodified</status>
      <modifiedWord/>
      <trackRevisions>false</trackRevisions>
    </reviewItem>
    <reviewItem>
      <errorID>e48d9346-5087-4c8f-bd4e-0baa0852282b</errorID>
      <errorWord>现场踏察</errorWord>
      <group>L1_Knowledge</group>
      <groupName>知识性问题</groupName>
      <ability>L2_Term</ability>
      <abilityName>专业术语</abilityName>
      <candidateList>
        <item>现场踏勘</item>
      </candidateList>
      <explain/>
      <paraID>19CE63F0</paraID>
      <start>6</start>
      <end>10</end>
      <status>unmodified</status>
      <modifiedWord/>
      <trackRevisions>false</trackRevisions>
    </reviewItem>
    <reviewItem>
      <errorID>26cae46b-deb1-4388-9e7c-af5658498eb5</errorID>
      <errorWord>定</errorWord>
      <group>L1_Word</group>
      <groupName>字词问题</groupName>
      <ability>L2_Typo</ability>
      <abilityName>字词错误</abilityName>
      <candidateList>
        <item>定了</item>
      </candidateList>
      <explain/>
      <paraID>19CE63F0</paraID>
      <start>112</start>
      <end>113</end>
      <status>unmodified</status>
      <modifiedWord/>
      <trackRevisions>false</trackRevisions>
    </reviewItem>
    <reviewItem>
      <errorID>66dc8c1a-d224-4c13-a785-7b55ae460dc8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49029127</paraID>
      <start>0</start>
      <end>2</end>
      <status>unmodified</status>
      <modifiedWord/>
      <trackRevisions>false</trackRevisions>
    </reviewItem>
    <reviewItem>
      <errorID>5f857085-485f-45bb-bc68-ede42887957c</errorID>
      <errorWord>项目是</errorWord>
      <group>L1_Word</group>
      <groupName>字词问题</groupName>
      <ability>L2_Typo</ability>
      <abilityName>字词错误</abilityName>
      <candidateList>
        <item>项目</item>
      </candidateList>
      <explain>〈名〉事物分成的门类：服务～｜体育～｜建设～。</explain>
      <paraID>57934D76</paraID>
      <start>1</start>
      <end>4</end>
      <status>unmodified</status>
      <modifiedWord/>
      <trackRevisions>false</trackRevisions>
    </reviewItem>
    <reviewItem>
      <errorID>75d6c261-c50a-4db0-b52e-044f3edf98bb</errorID>
      <errorWord>同过</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 B46BF2F</paraID>
      <start>236</start>
      <end>238</end>
      <status>modified</status>
      <modifiedWord>通过</modifiedWord>
      <trackRevisions>false</trackRevisions>
    </reviewItem>
    <reviewItem>
      <errorID>30d891f3-78eb-42f8-8c5c-e503339db91c</errorID>
      <errorWord>塔塔</errorWord>
      <group>L1_Word</group>
      <groupName>字词问题</groupName>
      <ability>L2_Typo</ability>
      <abilityName>字词错误</abilityName>
      <candidateList>
        <item>塔</item>
      </candidateList>
      <explain/>
      <paraID> B46BF2F</paraID>
      <start>444</start>
      <end>445</end>
      <status>modified</status>
      <modifiedWord>塔</modifiedWord>
      <trackRevisions>false</trackRevisions>
    </reviewItem>
    <reviewItem>
      <errorID>6bb8226f-b75c-4f5b-b0c9-57ed04b1a92e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6FC7651C</paraID>
      <start>0</start>
      <end>2</end>
      <status>unmodified</status>
      <modifiedWord/>
      <trackRevisions>false</trackRevisions>
    </reviewItem>
    <reviewItem>
      <errorID>b4e1a1d2-cd97-486c-bb4e-ebcbe6576444</errorID>
      <errorWord>器</errorWord>
      <group>L1_Word</group>
      <groupName>字词问题</groupName>
      <ability>L2_Typo</ability>
      <abilityName>字词错误</abilityName>
      <candidateList>
        <item>器完</item>
      </candidateList>
      <explain/>
      <paraID>6FC7651C</paraID>
      <start>12</start>
      <end>14</end>
      <status>modified</status>
      <modifiedWord>器完</modifiedWord>
      <trackRevisions>false</trackRevisions>
    </reviewItem>
    <reviewItem>
      <errorID>4f5cd8d3-0119-4386-b93e-968ab59d2e0e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3D0EC93B</paraID>
      <start>0</start>
      <end>2</end>
      <status>unmodified</status>
      <modifiedWord/>
      <trackRevisions>false</trackRevisions>
    </reviewItem>
    <reviewItem>
      <errorID>20353995-618e-44b4-9af8-293101bfdf51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4BE933ED</paraID>
      <start>0</start>
      <end>2</end>
      <status>unmodified</status>
      <modifiedWord/>
      <trackRevisions>false</trackRevisions>
    </reviewItem>
    <reviewItem>
      <errorID>615591d9-f652-4e16-9e13-73e171f760da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6CDB035D</paraID>
      <start>0</start>
      <end>2</end>
      <status>unmodified</status>
      <modifiedWord/>
      <trackRevisions>false</trackRevisions>
    </reviewItem>
    <reviewItem>
      <errorID>87437cd5-1464-474b-b884-c6e389ad219d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2503F088</paraID>
      <start>0</start>
      <end>2</end>
      <status>unmodified</status>
      <modifiedWord/>
      <trackRevisions>false</trackRevisions>
    </reviewItem>
    <reviewItem>
      <errorID>8a8c8103-2a89-402e-a681-6a483b5abc6a</errorID>
      <errorWord>(</errorWord>
      <group>L1_Format</group>
      <groupName>格式问题</groupName>
      <ability>L2_HalfPunc</ability>
      <abilityName>全半角检查</abilityName>
      <candidateList>
        <item>（</item>
      </candidateList>
      <explain>文本全半角错误。</explain>
      <paraID>44B9D484</paraID>
      <start>68</start>
      <end>69</end>
      <status>unmodified</status>
      <modifiedWord/>
      <trackRevisions>false</trackRevisions>
    </reviewItem>
    <reviewItem>
      <errorID>ca2accea-00ae-4d25-9f48-623645a12663</errorID>
      <errorWord>)</errorWord>
      <group>L1_Format</group>
      <groupName>格式问题</groupName>
      <ability>L2_HalfPunc</ability>
      <abilityName>全半角检查</abilityName>
      <candidateList>
        <item>）</item>
      </candidateList>
      <explain>文本全半角错误。</explain>
      <paraID>44B9D484</paraID>
      <start>75</start>
      <end>76</end>
      <status>unmodified</status>
      <modifiedWord/>
      <trackRevisions>false</trackRevisions>
    </reviewItem>
    <reviewItem>
      <errorID>d236051b-729c-454d-8e89-302b51c95f50</errorID>
      <errorWord>法律、法规</errorWord>
      <group>L1_Word</group>
      <groupName>字词问题</groupName>
      <ability>L2_Typo</ability>
      <abilityName>字词错误</abilityName>
      <candidateList>
        <item>法律法规</item>
      </candidateList>
      <explain/>
      <paraID>44B9D484</paraID>
      <start>164</start>
      <end>169</end>
      <status>unmodified</status>
      <modifiedWord/>
      <trackRevisions>false</trackRevisions>
    </reviewItem>
    <reviewItem>
      <errorID>f7afa6c7-35c7-41dd-93fb-42a5e02d11fc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3607F354</paraID>
      <start>28</start>
      <end>29</end>
      <status>unmodified</status>
      <modifiedWord/>
      <trackRevisions>false</trackRevisions>
    </reviewItem>
    <reviewItem>
      <errorID>7caccfee-f6f4-428d-8c5c-3e94dc05ff4c</errorID>
      <errorWord>战略新兴产业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词汇“战略性新兴产业”在特定场景下为固定表述形式，请确认此处的“战略新兴产业”是否存在不当。</explain>
      <paraID>1CA1AE1F</paraID>
      <start>88</start>
      <end>94</end>
      <status>unmodified</status>
      <modifiedWord/>
      <trackRevisions>false</trackRevisions>
    </reviewItem>
    <reviewItem>
      <errorID>35ae4a85-d69a-4156-be47-2df38f3653f2</errorID>
      <errorWord>园区中</errorWord>
      <group>L1_Word</group>
      <groupName>字词问题</groupName>
      <ability>L2_Typo</ability>
      <abilityName>字词错误</abilityName>
      <candidateList>
        <item>园区</item>
      </candidateList>
      <explain/>
      <paraID>6FA9D917</paraID>
      <start>23</start>
      <end>26</end>
      <status>unmodified</status>
      <modifiedWord/>
      <trackRevisions>false</trackRevisions>
    </reviewItem>
    <reviewItem>
      <errorID>c0afe324-5a3f-454c-8aae-a637c8420f5b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77D23F01</paraID>
      <start>123</start>
      <end>124</end>
      <status>unmodified</status>
      <modifiedWord/>
      <trackRevisions>false</trackRevisions>
    </reviewItem>
    <reviewItem>
      <errorID>5fdc957f-99c8-4d2b-908f-0823437d2448</errorID>
      <errorWord>.</errorWord>
      <group>L1_Format</group>
      <groupName>格式问题</groupName>
      <ability>L2_HalfPunc</ability>
      <abilityName>全半角检查</abilityName>
      <candidateList>
        <item>。</item>
      </candidateList>
      <explain>文本全半角错误。</explain>
      <paraID>77D23F01</paraID>
      <start>133</start>
      <end>134</end>
      <status>unmodified</status>
      <modifiedWord/>
      <trackRevisions>false</trackRevisions>
    </reviewItem>
    <reviewItem>
      <errorID>94d717d4-51a8-4b44-a915-cdf7e394de3c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58F69844</paraID>
      <start>104</start>
      <end>107</end>
      <status>unmodified</status>
      <modifiedWord/>
      <trackRevisions>false</trackRevisions>
    </reviewItem>
    <reviewItem>
      <errorID>5a5178a6-e913-4a84-8b9c-f9cac1fe23a0</errorID>
      <errorWord>(</errorWord>
      <group>L1_Format</group>
      <groupName>格式问题</groupName>
      <ability>L2_HalfPunc</ability>
      <abilityName>全半角检查</abilityName>
      <candidateList>
        <item>（</item>
      </candidateList>
      <explain>文本全半角错误。</explain>
      <paraID>58F69844</paraID>
      <start>164</start>
      <end>165</end>
      <status>unmodified</status>
      <modifiedWord/>
      <trackRevisions>false</trackRevisions>
    </reviewItem>
    <reviewItem>
      <errorID>b30162ad-69eb-4fce-bbf2-300e6c668722</errorID>
      <errorWord>)</errorWord>
      <group>L1_Format</group>
      <groupName>格式问题</groupName>
      <ability>L2_HalfPunc</ability>
      <abilityName>全半角检查</abilityName>
      <candidateList>
        <item>）</item>
      </candidateList>
      <explain>文本全半角错误。</explain>
      <paraID>58F69844</paraID>
      <start>171</start>
      <end>172</end>
      <status>unmodified</status>
      <modifiedWord/>
      <trackRevisions>false</trackRevisions>
    </reviewItem>
    <reviewItem>
      <errorID>a77df7ba-c95a-4f30-ab29-b4c5093655cf</errorID>
      <errorWord>属</errorWord>
      <group>L1_Word</group>
      <groupName>字词问题</groupName>
      <ability>L2_Typo</ability>
      <abilityName>字词错误</abilityName>
      <candidateList>
        <item>属于</item>
      </candidateList>
      <explain/>
      <paraID>1DA352A5</paraID>
      <start>16</start>
      <end>17</end>
      <status>unmodified</status>
      <modifiedWord/>
      <trackRevisions>false</trackRevisions>
    </reviewItem>
    <reviewItem>
      <errorID>378340e1-9f58-4c1a-b8df-0b7c2527bae9</errorID>
      <errorWord>.</errorWord>
      <group>L1_Format</group>
      <groupName>格式问题</groupName>
      <ability>L2_HalfPunc</ability>
      <abilityName>全半角检查</abilityName>
      <candidateList>
        <item>。</item>
      </candidateList>
      <explain>文本全半角错误。</explain>
      <paraID>1DA352A5</paraID>
      <start>34</start>
      <end>35</end>
      <status>unmodified</status>
      <modifiedWord/>
      <trackRevisions>false</trackRevisions>
    </reviewItem>
    <reviewItem>
      <errorID>7ba866d8-ee41-48ac-9fb1-1dee3e1138e5</errorID>
      <errorWord>(</errorWord>
      <group>L1_Format</group>
      <groupName>格式问题</groupName>
      <ability>L2_HalfPunc</ability>
      <abilityName>全半角检查</abilityName>
      <candidateList>
        <item>（</item>
      </candidateList>
      <explain>文本全半角错误。</explain>
      <paraID>745E4976</paraID>
      <start>507</start>
      <end>508</end>
      <status>unmodified</status>
      <modifiedWord/>
      <trackRevisions>false</trackRevisions>
    </reviewItem>
    <reviewItem>
      <errorID>9e338240-620b-4ba2-800d-cfcacc49ff46</errorID>
      <errorWord>)</errorWord>
      <group>L1_Format</group>
      <groupName>格式问题</groupName>
      <ability>L2_HalfPunc</ability>
      <abilityName>全半角检查</abilityName>
      <candidateList>
        <item>）</item>
      </candidateList>
      <explain>文本全半角错误。</explain>
      <paraID>745E4976</paraID>
      <start>510</start>
      <end>511</end>
      <status>unmodified</status>
      <modifiedWord/>
      <trackRevisions>false</trackRevisions>
    </reviewItem>
    <reviewItem>
      <errorID>c9e0e765-7a8c-4424-a63d-ef3b225fc7e1</errorID>
      <errorWord>三氟乙烷</errorWord>
      <group>L1_Knowledge</group>
      <groupName>知识性问题</groupName>
      <ability>L2_Term</ability>
      <abilityName>专业术语</abilityName>
      <candidateList>
        <item>氟烷</item>
      </candidateList>
      <explain>医学名词[三氟乙烷]为不规范表述或旧称，其规范书面表述为[氟烷]。</explain>
      <paraID>745E4976</paraID>
      <start>608</start>
      <end>612</end>
      <status>unmodified</status>
      <modifiedWord/>
      <trackRevisions>false</trackRevisions>
    </reviewItem>
    <reviewItem>
      <errorID>7d41cc59-b354-4d49-9921-947fd603d451</errorID>
      <errorWord>项</errorWord>
      <group>L1_Word</group>
      <groupName>字词问题</groupName>
      <ability>L2_Typo</ability>
      <abilityName>字词错误</abilityName>
      <candidateList>
        <item>项目</item>
      </candidateList>
      <explain>〈名〉事物分成的门类：服务～｜体育～｜建设～。</explain>
      <paraID>7C0A8658</paraID>
      <start>34</start>
      <end>36</end>
      <status>modified</status>
      <modifiedWord>项目</modifiedWord>
      <trackRevisions>false</trackRevisions>
    </reviewItem>
    <reviewItem>
      <errorID>d6251657-27a0-4c44-80a7-c32e4666610f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12BD741E</paraID>
      <start>0</start>
      <end>2</end>
      <status>unmodified</status>
      <modifiedWord/>
      <trackRevisions>false</trackRevisions>
    </reviewItem>
    <reviewItem>
      <errorID>ade90347-e762-49f5-967a-f5d9aa804ec9</errorID>
      <errorWord>》中</errorWord>
      <group>L1_Word</group>
      <groupName>字词问题</groupName>
      <ability>L2_Typo</ability>
      <abilityName>字词错误</abilityName>
      <candidateList>
        <item>》</item>
      </candidateList>
      <explain/>
      <paraID>47D11938</paraID>
      <start>14</start>
      <end>16</end>
      <status>unmodified</status>
      <modifiedWord/>
      <trackRevisions>false</trackRevisions>
    </reviewItem>
    <reviewItem>
      <errorID>52ad58e7-9445-4c49-82fc-e0c4f6215316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6BF3A86F</paraID>
      <start>0</start>
      <end>2</end>
      <status>unmodified</status>
      <modifiedWord/>
      <trackRevisions>false</trackRevisions>
    </reviewItem>
    <reviewItem>
      <errorID>999326da-7c04-436e-88f8-40b2f09f29eb</errorID>
      <errorWord>加强</errorWord>
      <group>L1_Grammar</group>
      <groupName>语法问题</groupName>
      <ability>L2_Grammar</ability>
      <abilityName>语法错误</abilityName>
      <candidateList>
        <item>促进</item>
      </candidateList>
      <explain>“加强～转型”搭配不当，建议修改为“促进～转型”。</explain>
      <paraID>6B914612</paraID>
      <start>113</start>
      <end>115</end>
      <status>unmodified</status>
      <modifiedWord/>
      <trackRevisions>false</trackRevisions>
    </reviewItem>
    <reviewItem>
      <errorID>3b03dfd9-3457-4576-8035-1e7e51dd76e7</errorID>
      <errorWord>(</errorWord>
      <group>L1_Format</group>
      <groupName>格式问题</groupName>
      <ability>L2_HalfPunc</ability>
      <abilityName>全半角检查</abilityName>
      <candidateList>
        <item>（</item>
      </candidateList>
      <explain>文本全半角错误。</explain>
      <paraID>6B914612</paraID>
      <start>260</start>
      <end>261</end>
      <status>unmodified</status>
      <modifiedWord/>
      <trackRevisions>false</trackRevisions>
    </reviewItem>
    <reviewItem>
      <errorID>d762b68c-cc5f-4ec7-9bfb-8afa645cf10d</errorID>
      <errorWord>)</errorWord>
      <group>L1_Format</group>
      <groupName>格式问题</groupName>
      <ability>L2_HalfPunc</ability>
      <abilityName>全半角检查</abilityName>
      <candidateList>
        <item>）</item>
      </candidateList>
      <explain>文本全半角错误。</explain>
      <paraID>6B914612</paraID>
      <start>262</start>
      <end>263</end>
      <status>unmodified</status>
      <modifiedWord/>
      <trackRevisions>false</trackRevisions>
    </reviewItem>
    <reviewItem>
      <errorID>4efe3ad9-0c44-4c3b-ab33-8c5b9ed291b1</errorID>
      <errorWord>(</errorWord>
      <group>L1_Format</group>
      <groupName>格式问题</groupName>
      <ability>L2_HalfPunc</ability>
      <abilityName>全半角检查</abilityName>
      <candidateList>
        <item>（</item>
      </candidateList>
      <explain>文本全半角错误。</explain>
      <paraID>7089649D</paraID>
      <start>6</start>
      <end>7</end>
      <status>unmodified</status>
      <modifiedWord/>
      <trackRevisions>false</trackRevisions>
    </reviewItem>
    <reviewItem>
      <errorID>c5f499ef-e256-4128-b7c3-33a6df8805fe</errorID>
      <errorWord>)</errorWord>
      <group>L1_Format</group>
      <groupName>格式问题</groupName>
      <ability>L2_HalfPunc</ability>
      <abilityName>全半角检查</abilityName>
      <candidateList>
        <item>）</item>
      </candidateList>
      <explain>文本全半角错误。</explain>
      <paraID>7089649D</paraID>
      <start>13</start>
      <end>14</end>
      <status>unmodified</status>
      <modifiedWord/>
      <trackRevisions>false</trackRevisions>
    </reviewItem>
    <reviewItem>
      <errorID>6dc02c15-6404-48ea-8517-bd82e7730ebb</errorID>
      <errorWord>(</errorWord>
      <group>L1_Format</group>
      <groupName>格式问题</groupName>
      <ability>L2_HalfPunc</ability>
      <abilityName>全半角检查</abilityName>
      <candidateList>
        <item>（</item>
      </candidateList>
      <explain>文本全半角错误。</explain>
      <paraID>7089649D</paraID>
      <start>67</start>
      <end>68</end>
      <status>unmodified</status>
      <modifiedWord/>
      <trackRevisions>false</trackRevisions>
    </reviewItem>
    <reviewItem>
      <errorID>2db53aa5-1b61-4269-9819-bd4247a4e005</errorID>
      <errorWord>)</errorWord>
      <group>L1_Format</group>
      <groupName>格式问题</groupName>
      <ability>L2_HalfPunc</ability>
      <abilityName>全半角检查</abilityName>
      <candidateList>
        <item>）</item>
      </candidateList>
      <explain>文本全半角错误。</explain>
      <paraID>7089649D</paraID>
      <start>69</start>
      <end>70</end>
      <status>unmodified</status>
      <modifiedWord/>
      <trackRevisions>false</trackRevisions>
    </reviewItem>
    <reviewItem>
      <errorID>57e671bf-60a7-4a9e-8e2c-1527d175ca2d</errorID>
      <errorWord>属</errorWord>
      <group>L1_Word</group>
      <groupName>字词问题</groupName>
      <ability>L2_Typo</ability>
      <abilityName>字词错误</abilityName>
      <candidateList>
        <item>属于</item>
      </candidateList>
      <explain/>
      <paraID>4D2F244E</paraID>
      <start>16</start>
      <end>17</end>
      <status>unmodified</status>
      <modifiedWord/>
      <trackRevisions>false</trackRevisions>
    </reviewItem>
    <reviewItem>
      <errorID>e6c1c7d7-9464-4760-96fc-642c480c8392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361A14D1</paraID>
      <start>0</start>
      <end>2</end>
      <status>unmodified</status>
      <modifiedWord/>
      <trackRevisions>false</trackRevisions>
    </reviewItem>
    <reviewItem>
      <errorID>070dedc7-a94c-4e80-b0b1-7e31dd4ac8b2</errorID>
      <errorWord>(</errorWord>
      <group>L1_Format</group>
      <groupName>格式问题</groupName>
      <ability>L2_HalfPunc</ability>
      <abilityName>全半角检查</abilityName>
      <candidateList>
        <item>（</item>
      </candidateList>
      <explain>文本全半角错误。</explain>
      <paraID>361A14D1</paraID>
      <start>10</start>
      <end>11</end>
      <status>unmodified</status>
      <modifiedWord/>
      <trackRevisions>false</trackRevisions>
    </reviewItem>
    <reviewItem>
      <errorID>66c35265-eeaf-491c-9e15-fdbb444dd9c9</errorID>
      <errorWord>)</errorWord>
      <group>L1_Format</group>
      <groupName>格式问题</groupName>
      <ability>L2_HalfPunc</ability>
      <abilityName>全半角检查</abilityName>
      <candidateList>
        <item>）</item>
      </candidateList>
      <explain>文本全半角错误。</explain>
      <paraID>361A14D1</paraID>
      <start>15</start>
      <end>16</end>
      <status>unmodified</status>
      <modifiedWord/>
      <trackRevisions>false</trackRevisions>
    </reviewItem>
    <reviewItem>
      <errorID>67f2839d-3435-48c2-9055-2c4564e42d29</errorID>
      <errorWord>(</errorWord>
      <group>L1_Format</group>
      <groupName>格式问题</groupName>
      <ability>L2_HalfPunc</ability>
      <abilityName>全半角检查</abilityName>
      <candidateList>
        <item>（</item>
      </candidateList>
      <explain>文本全半角错误。</explain>
      <paraID>361A14D1</paraID>
      <start>25</start>
      <end>26</end>
      <status>unmodified</status>
      <modifiedWord/>
      <trackRevisions>false</trackRevisions>
    </reviewItem>
    <reviewItem>
      <errorID>aa240d5d-4650-498c-a9a8-ccd89ba5f112</errorID>
      <errorWord>)</errorWord>
      <group>L1_Format</group>
      <groupName>格式问题</groupName>
      <ability>L2_HalfPunc</ability>
      <abilityName>全半角检查</abilityName>
      <candidateList>
        <item>）</item>
      </candidateList>
      <explain>文本全半角错误。</explain>
      <paraID>361A14D1</paraID>
      <start>43</start>
      <end>44</end>
      <status>unmodified</status>
      <modifiedWord/>
      <trackRevisions>false</trackRevisions>
    </reviewItem>
    <reviewItem>
      <errorID>101bbf20-a5fc-4906-9b0c-de3ea995686e</errorID>
      <errorWord>(</errorWord>
      <group>L1_Format</group>
      <groupName>格式问题</groupName>
      <ability>L2_HalfPunc</ability>
      <abilityName>全半角检查</abilityName>
      <candidateList>
        <item>（</item>
      </candidateList>
      <explain>文本全半角错误。</explain>
      <paraID>435C2AD1</paraID>
      <start>9</start>
      <end>10</end>
      <status>unmodified</status>
      <modifiedWord/>
      <trackRevisions>false</trackRevisions>
    </reviewItem>
    <reviewItem>
      <errorID>582438ac-d918-4fee-be5d-c2021b75e690</errorID>
      <errorWord>)</errorWord>
      <group>L1_Format</group>
      <groupName>格式问题</groupName>
      <ability>L2_HalfPunc</ability>
      <abilityName>全半角检查</abilityName>
      <candidateList>
        <item>）</item>
      </candidateList>
      <explain>文本全半角错误。</explain>
      <paraID>435C2AD1</paraID>
      <start>14</start>
      <end>15</end>
      <status>unmodified</status>
      <modifiedWord/>
      <trackRevisions>false</trackRevisions>
    </reviewItem>
    <reviewItem>
      <errorID>74b76ff4-2eaa-4596-a0db-84779b91076e</errorID>
      <errorWord>(</errorWord>
      <group>L1_Format</group>
      <groupName>格式问题</groupName>
      <ability>L2_HalfPunc</ability>
      <abilityName>全半角检查</abilityName>
      <candidateList>
        <item>（</item>
      </candidateList>
      <explain>文本全半角错误。</explain>
      <paraID>435C2AD1</paraID>
      <start>24</start>
      <end>25</end>
      <status>unmodified</status>
      <modifiedWord/>
      <trackRevisions>false</trackRevisions>
    </reviewItem>
    <reviewItem>
      <errorID>5add8a6e-cbf9-4892-aafc-068140918aa0</errorID>
      <errorWord>)</errorWord>
      <group>L1_Format</group>
      <groupName>格式问题</groupName>
      <ability>L2_HalfPunc</ability>
      <abilityName>全半角检查</abilityName>
      <candidateList>
        <item>）</item>
      </candidateList>
      <explain>文本全半角错误。</explain>
      <paraID>435C2AD1</paraID>
      <start>42</start>
      <end>43</end>
      <status>unmodified</status>
      <modifiedWord/>
      <trackRevisions>false</trackRevisions>
    </reviewItem>
    <reviewItem>
      <errorID>0ae3aa11-1ebc-476e-a9e7-4a3473253695</errorID>
      <errorWord>》中</errorWord>
      <group>L1_Word</group>
      <groupName>字词问题</groupName>
      <ability>L2_Typo</ability>
      <abilityName>字词错误</abilityName>
      <candidateList>
        <item>》</item>
      </candidateList>
      <explain/>
      <paraID>55D65004</paraID>
      <start>23</start>
      <end>25</end>
      <status>unmodified</status>
      <modifiedWord/>
      <trackRevisions>false</trackRevisions>
    </reviewItem>
    <reviewItem>
      <errorID>54948f40-418a-4de8-97a2-55bd8b83e951</errorID>
      <errorWord>胶粘剂</errorWord>
      <group>L1_Word</group>
      <groupName>字词问题</groupName>
      <ability>L2_Typo</ability>
      <abilityName>字词错误</abilityName>
      <candidateList>
        <item>胶黏剂</item>
      </candidateList>
      <explain/>
      <paraID>55D65004</paraID>
      <start>245</start>
      <end>248</end>
      <status>unmodified</status>
      <modifiedWord/>
      <trackRevisions>false</trackRevisions>
    </reviewItem>
    <reviewItem>
      <errorID>3ce3594b-2b91-4dbe-b82b-452217f27f25</errorID>
      <errorWord>、就</errorWord>
      <group>L1_Punc</group>
      <groupName>标点问题</groupName>
      <ability>L2_Punc</ability>
      <abilityName>标点符号检查</abilityName>
      <candidateList>
        <item>，就</item>
      </candidateList>
      <explain>连接词前后不宜使用顿号，建议使用逗号。</explain>
      <paraID>77BE081A</paraID>
      <start>60</start>
      <end>62</end>
      <status>unmodified</status>
      <modifiedWord/>
      <trackRevisions>false</trackRevisions>
    </reviewItem>
    <reviewItem>
      <errorID>680817e2-d122-4035-b63e-68963e97f00b</errorID>
      <errorWord>县（市）区</errorWord>
      <group>L1_Punc</group>
      <groupName>标点问题</groupName>
      <ability>L2_Punc</ability>
      <abilityName>标点符号检查</abilityName>
      <candidateList>
        <item>县（市、区）</item>
      </candidateList>
      <explain/>
      <paraID>77BE081A</paraID>
      <start>76</start>
      <end>81</end>
      <status>unmodified</status>
      <modifiedWord/>
      <trackRevisions>false</trackRevisions>
    </reviewItem>
    <reviewItem>
      <errorID>a04e46c8-c69b-4c64-a1cb-0574264b364e</errorID>
      <errorWord>属</errorWord>
      <group>L1_Word</group>
      <groupName>字词问题</groupName>
      <ability>L2_Typo</ability>
      <abilityName>字词错误</abilityName>
      <candidateList>
        <item>属于</item>
      </candidateList>
      <explain/>
      <paraID>1CDF9698</paraID>
      <start>16</start>
      <end>17</end>
      <status>unmodified</status>
      <modifiedWord/>
      <trackRevisions>false</trackRevisions>
    </reviewItem>
    <reviewItem>
      <errorID>c034920a-591f-4e77-b45a-4466ff9af721</errorID>
      <errorWord>(</errorWord>
      <group>L1_Format</group>
      <groupName>格式问题</groupName>
      <ability>L2_HalfPunc</ability>
      <abilityName>全半角检查</abilityName>
      <candidateList>
        <item>（</item>
      </candidateList>
      <explain>文本全半角错误。</explain>
      <paraID>5D4E761B</paraID>
      <start>204</start>
      <end>205</end>
      <status>unmodified</status>
      <modifiedWord/>
      <trackRevisions>false</trackRevisions>
    </reviewItem>
    <reviewItem>
      <errorID>bc6bf1c0-e29f-4e92-8b07-b0dabb72ab47</errorID>
      <errorWord>)</errorWord>
      <group>L1_Format</group>
      <groupName>格式问题</groupName>
      <ability>L2_HalfPunc</ability>
      <abilityName>全半角检查</abilityName>
      <candidateList>
        <item>）</item>
      </candidateList>
      <explain>文本全半角错误。</explain>
      <paraID>5D4E761B</paraID>
      <start>206</start>
      <end>207</end>
      <status>unmodified</status>
      <modifiedWord/>
      <trackRevisions>false</trackRevisions>
    </reviewItem>
    <reviewItem>
      <errorID>0e31cf91-fcfe-4593-84e2-21d4e6f11806</errorID>
      <errorWord>氣</errorWord>
      <group>L1_Word</group>
      <groupName>字词问题</groupName>
      <ability>L2_Fanti</ability>
      <abilityName>繁转简</abilityName>
      <candidateList>
        <item>气</item>
      </candidateList>
      <explain/>
      <paraID>5D4E761B</paraID>
      <start>207</start>
      <end>208</end>
      <status>unmodified</status>
      <modifiedWord/>
      <trackRevisions>false</trackRevisions>
    </reviewItem>
    <reviewItem>
      <errorID>8e44d6a9-b350-4824-ae6f-9c3aa7e31262</errorID>
      <errorWord>)</errorWord>
      <group>L1_Format</group>
      <groupName>格式问题</groupName>
      <ability>L2_HalfPunc</ability>
      <abilityName>全半角检查</abilityName>
      <candidateList>
        <item>）</item>
      </candidateList>
      <explain>文本全半角错误。</explain>
      <paraID>5D4E761B</paraID>
      <start>237</start>
      <end>238</end>
      <status>unmodified</status>
      <modifiedWord/>
      <trackRevisions>false</trackRevisions>
    </reviewItem>
    <reviewItem>
      <errorID>57925f26-b2e5-4d5f-843b-0c7d85696594</errorID>
      <errorWord>属</errorWord>
      <group>L1_Word</group>
      <groupName>字词问题</groupName>
      <ability>L2_Typo</ability>
      <abilityName>字词错误</abilityName>
      <candidateList>
        <item>属于</item>
      </candidateList>
      <explain/>
      <paraID>58FB874B</paraID>
      <start>16</start>
      <end>17</end>
      <status>unmodified</status>
      <modifiedWord/>
      <trackRevisions>false</trackRevisions>
    </reviewItem>
    <reviewItem>
      <errorID>bb121cf8-02cb-4e38-905e-138e1299bf86</errorID>
      <errorWord>(</errorWord>
      <group>L1_Format</group>
      <groupName>格式问题</groupName>
      <ability>L2_HalfPunc</ability>
      <abilityName>全半角检查</abilityName>
      <candidateList>
        <item>（</item>
      </candidateList>
      <explain>文本全半角错误。</explain>
      <paraID>58FB874B</paraID>
      <start>64</start>
      <end>65</end>
      <status>unmodified</status>
      <modifiedWord/>
      <trackRevisions>false</trackRevisions>
    </reviewItem>
    <reviewItem>
      <errorID>6717b6b2-79e6-414d-95b3-9a45607a1dad</errorID>
      <errorWord>)</errorWord>
      <group>L1_Format</group>
      <groupName>格式问题</groupName>
      <ability>L2_HalfPunc</ability>
      <abilityName>全半角检查</abilityName>
      <candidateList>
        <item>）</item>
      </candidateList>
      <explain>文本全半角错误。</explain>
      <paraID>58FB874B</paraID>
      <start>103</start>
      <end>104</end>
      <status>unmodified</status>
      <modifiedWord/>
      <trackRevisions>false</trackRevisions>
    </reviewItem>
    <reviewItem>
      <errorID>c0a8cde9-05b9-4da6-ba1e-02962ab52acc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669DAEDF</paraID>
      <start>0</start>
      <end>2</end>
      <status>unmodified</status>
      <modifiedWord/>
      <trackRevisions>false</trackRevisions>
    </reviewItem>
    <reviewItem>
      <errorID>85935635-8943-4403-8eaa-8094b2ffeb62</errorID>
      <errorWord>防治中</errorWord>
      <group>L1_Word</group>
      <groupName>字词问题</groupName>
      <ability>L2_Typo</ability>
      <abilityName>字词错误</abilityName>
      <candidateList>
        <item>防治</item>
      </candidateList>
      <explain>〈动〉预防和治疗、治理（疾病、灾害等）：～结核病｜～病虫害｜～风沙。</explain>
      <paraID>11C08384</paraID>
      <start>70</start>
      <end>73</end>
      <status>unmodified</status>
      <modifiedWord/>
      <trackRevisions>false</trackRevisions>
    </reviewItem>
    <reviewItem>
      <errorID>a3ae24ee-2ee2-4bec-a0c0-bfb6dbce9abd</errorID>
      <errorWord>胶粘剂</errorWord>
      <group>L1_Word</group>
      <groupName>字词问题</groupName>
      <ability>L2_Typo</ability>
      <abilityName>字词错误</abilityName>
      <candidateList>
        <item>胶黏剂</item>
      </candidateList>
      <explain/>
      <paraID>11C08384</paraID>
      <start>196</start>
      <end>199</end>
      <status>unmodified</status>
      <modifiedWord/>
      <trackRevisions>false</trackRevisions>
    </reviewItem>
    <reviewItem>
      <errorID>03c86f32-6401-4727-9f1c-63f87eab2d46</errorID>
      <errorWord>粘合</errorWord>
      <group>L1_Word</group>
      <groupName>字词问题</groupName>
      <ability>L2_Alias</ability>
      <abilityName>也作/曾用词</abilityName>
      <candidateList>
        <item>黏合</item>
      </candidateList>
      <explain>词汇[粘合]为不规范表述或旧称，其规范书面表述为[黏合]。</explain>
      <paraID>11C08384</paraID>
      <start>227</start>
      <end>229</end>
      <status>unmodified</status>
      <modifiedWord/>
      <trackRevisions>false</trackRevisions>
    </reviewItem>
    <reviewItem>
      <errorID>d3600678-ece1-4f3b-9d40-6743d9558409</errorID>
      <errorWord>(</errorWord>
      <group>L1_Format</group>
      <groupName>格式问题</groupName>
      <ability>L2_HalfPunc</ability>
      <abilityName>全半角检查</abilityName>
      <candidateList>
        <item>（</item>
      </candidateList>
      <explain>文本全半角错误。</explain>
      <paraID>26C7CC96</paraID>
      <start>68</start>
      <end>69</end>
      <status>unmodified</status>
      <modifiedWord/>
      <trackRevisions>false</trackRevisions>
    </reviewItem>
    <reviewItem>
      <errorID>95fc39b9-1ddf-491e-bd9b-a2cedca8d45d</errorID>
      <errorWord>)</errorWord>
      <group>L1_Format</group>
      <groupName>格式问题</groupName>
      <ability>L2_HalfPunc</ability>
      <abilityName>全半角检查</abilityName>
      <candidateList>
        <item>）</item>
      </candidateList>
      <explain>文本全半角错误。</explain>
      <paraID>26C7CC96</paraID>
      <start>74</start>
      <end>75</end>
      <status>unmodified</status>
      <modifiedWord/>
      <trackRevisions>false</trackRevisions>
    </reviewItem>
    <reviewItem>
      <errorID>49076cf3-61cc-476c-889d-bc3da4353cbf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3FE81912</paraID>
      <start>0</start>
      <end>2</end>
      <status>unmodified</status>
      <modifiedWord/>
      <trackRevisions>false</trackRevisions>
    </reviewItem>
    <reviewItem>
      <errorID>43db3187-a70d-4cf0-8260-a1a49421484c</errorID>
      <errorWord>胶粘剂</errorWord>
      <group>L1_Word</group>
      <groupName>字词问题</groupName>
      <ability>L2_Typo</ability>
      <abilityName>字词错误</abilityName>
      <candidateList>
        <item>胶黏剂</item>
      </candidateList>
      <explain/>
      <paraID>515D7756</paraID>
      <start>262</start>
      <end>265</end>
      <status>unmodified</status>
      <modifiedWord/>
      <trackRevisions>false</trackRevisions>
    </reviewItem>
    <reviewItem>
      <errorID>e9916bbf-d556-4f46-9f44-082f0876497a</errorID>
      <errorWord>(</errorWord>
      <group>L1_Format</group>
      <groupName>格式问题</groupName>
      <ability>L2_HalfPunc</ability>
      <abilityName>全半角检查</abilityName>
      <candidateList>
        <item>（</item>
      </candidateList>
      <explain>文本全半角错误。</explain>
      <paraID>71DE43A4</paraID>
      <start>190</start>
      <end>191</end>
      <status>unmodified</status>
      <modifiedWord/>
      <trackRevisions>false</trackRevisions>
    </reviewItem>
    <reviewItem>
      <errorID>4cc9012f-1138-44c9-bb46-2e5c4aa25f17</errorID>
      <errorWord>)</errorWord>
      <group>L1_Format</group>
      <groupName>格式问题</groupName>
      <ability>L2_HalfPunc</ability>
      <abilityName>全半角检查</abilityName>
      <candidateList>
        <item>）</item>
      </candidateList>
      <explain>文本全半角错误。</explain>
      <paraID>71DE43A4</paraID>
      <start>196</start>
      <end>197</end>
      <status>unmodified</status>
      <modifiedWord/>
      <trackRevisions>false</trackRevisions>
    </reviewItem>
    <reviewItem>
      <errorID>57483305-a1ec-46b9-aa43-648abbd3384f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4E5384A4</paraID>
      <start>0</start>
      <end>2</end>
      <status>unmodified</status>
      <modifiedWord/>
      <trackRevisions>false</trackRevisions>
    </reviewItem>
    <reviewItem>
      <errorID>cde8130d-b7e6-44a2-afad-e2ea7e49b781</errorID>
      <errorWord>(</errorWord>
      <group>L1_Format</group>
      <groupName>格式问题</groupName>
      <ability>L2_HalfPunc</ability>
      <abilityName>全半角检查</abilityName>
      <candidateList>
        <item>（</item>
      </candidateList>
      <explain>文本全半角错误。</explain>
      <paraID>4E5384A4</paraID>
      <start>14</start>
      <end>15</end>
      <status>unmodified</status>
      <modifiedWord/>
      <trackRevisions>false</trackRevisions>
    </reviewItem>
    <reviewItem>
      <errorID>14ac4a7b-e1bd-41d3-8226-95e226feb859</errorID>
      <errorWord>)</errorWord>
      <group>L1_Format</group>
      <groupName>格式问题</groupName>
      <ability>L2_HalfPunc</ability>
      <abilityName>全半角检查</abilityName>
      <candidateList>
        <item>）</item>
      </candidateList>
      <explain>文本全半角错误。</explain>
      <paraID>4E5384A4</paraID>
      <start>21</start>
      <end>22</end>
      <status>unmodified</status>
      <modifiedWord/>
      <trackRevisions>false</trackRevisions>
    </reviewItem>
    <reviewItem>
      <errorID>5007063f-15c7-4800-abc9-35482eba57f4</errorID>
      <errorWord>法律、法规</errorWord>
      <group>L1_Word</group>
      <groupName>字词问题</groupName>
      <ability>L2_Typo</ability>
      <abilityName>字词错误</abilityName>
      <candidateList>
        <item>法律法规</item>
      </candidateList>
      <explain/>
      <paraID>6CF25430</paraID>
      <start>82</start>
      <end>87</end>
      <status>unmodified</status>
      <modifiedWord/>
      <trackRevisions>false</trackRevisions>
    </reviewItem>
    <reviewItem>
      <errorID>bcae6a97-7122-4649-a93d-ca5d1be1d8a2</errorID>
      <errorWord>法律、法规</errorWord>
      <group>L1_Word</group>
      <groupName>字词问题</groupName>
      <ability>L2_Typo</ability>
      <abilityName>字词错误</abilityName>
      <candidateList>
        <item>法律法规</item>
      </candidateList>
      <explain/>
      <paraID>1C215F0B</paraID>
      <start>92</start>
      <end>97</end>
      <status>unmodified</status>
      <modifiedWord/>
      <trackRevisions>false</trackRevisions>
    </reviewItem>
    <reviewItem>
      <errorID>27d4caff-3551-4acf-a345-f4453e25da10</errorID>
      <errorWord>(</errorWord>
      <group>L1_Format</group>
      <groupName>格式问题</groupName>
      <ability>L2_HalfPunc</ability>
      <abilityName>全半角检查</abilityName>
      <candidateList>
        <item>（</item>
      </candidateList>
      <explain>文本全半角错误。</explain>
      <paraID>699C043C</paraID>
      <start>58</start>
      <end>59</end>
      <status>unmodified</status>
      <modifiedWord/>
      <trackRevisions>false</trackRevisions>
    </reviewItem>
    <reviewItem>
      <errorID>1c41ff25-13e5-419c-82c2-780a44ca1bf3</errorID>
      <errorWord>)</errorWord>
      <group>L1_Format</group>
      <groupName>格式问题</groupName>
      <ability>L2_HalfPunc</ability>
      <abilityName>全半角检查</abilityName>
      <candidateList>
        <item>）</item>
      </candidateList>
      <explain>文本全半角错误。</explain>
      <paraID>699C043C</paraID>
      <start>66</start>
      <end>67</end>
      <status>unmodified</status>
      <modifiedWord/>
      <trackRevisions>false</trackRevisions>
    </reviewItem>
    <reviewItem>
      <errorID>41700bd4-ef45-41f3-b0f1-49af3fe93b14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65E36256</paraID>
      <start>0</start>
      <end>2</end>
      <status>unmodified</status>
      <modifiedWord/>
      <trackRevisions>false</trackRevisions>
    </reviewItem>
    <reviewItem>
      <errorID>ca622dcd-4268-446b-8411-7b78643bb983</errorID>
      <errorWord>、以及</errorWord>
      <group>L1_Punc</group>
      <groupName>标点问题</groupName>
      <ability>L2_Punc</ability>
      <abilityName>标点符号检查</abilityName>
      <candidateList>
        <item>，以及</item>
      </candidateList>
      <explain>连接词前后不宜使用顿号，建议使用逗号。</explain>
      <paraID>53564F3A</paraID>
      <start>114</start>
      <end>117</end>
      <status>unmodified</status>
      <modifiedWord/>
      <trackRevisions>false</trackRevisions>
    </reviewItem>
    <reviewItem>
      <errorID>7cf7086a-45c1-41f3-81be-f6678c7f922c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4CB3C9C5</paraID>
      <start>0</start>
      <end>2</end>
      <status>unmodified</status>
      <modifiedWord/>
      <trackRevisions>false</trackRevisions>
    </reviewItem>
    <reviewItem>
      <errorID>cf9fca6a-1aad-46f4-ab94-d527b202d0fb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74757471</paraID>
      <start>0</start>
      <end>2</end>
      <status>unmodified</status>
      <modifiedWord/>
      <trackRevisions>false</trackRevisions>
    </reviewItem>
    <reviewItem>
      <errorID>be02c056-d34e-4226-ac36-b598987d3a77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57322221</paraID>
      <start>0</start>
      <end>2</end>
      <status>unmodified</status>
      <modifiedWord/>
      <trackRevisions>false</trackRevisions>
    </reviewItem>
    <reviewItem>
      <errorID>5453c2e3-c80d-4008-9206-e785f5305c41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61B84A4A</paraID>
      <start>0</start>
      <end>2</end>
      <status>unmodified</status>
      <modifiedWord/>
      <trackRevisions>false</trackRevisions>
    </reviewItem>
    <reviewItem>
      <errorID>d8e9b666-0900-4237-ba34-30628f1301fe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9C92A41</paraID>
      <start>21</start>
      <end>22</end>
      <status>unmodified</status>
      <modifiedWord/>
      <trackRevisions>false</trackRevisions>
    </reviewItem>
    <reviewItem>
      <errorID>08b0203f-20f0-4a50-9ef1-f4eb95b12ee2</errorID>
      <errorWord>~</errorWord>
      <group>L1_Format</group>
      <groupName>格式问题</groupName>
      <ability>L2_HalfPunc</ability>
      <abilityName>全半角检查</abilityName>
      <candidateList>
        <item>～</item>
      </candidateList>
      <explain>文本全半角错误。</explain>
      <paraID> 9C92A41</paraID>
      <start>116</start>
      <end>117</end>
      <status>unmodified</status>
      <modifiedWord/>
      <trackRevisions>false</trackRevisions>
    </reviewItem>
    <reviewItem>
      <errorID>aa2fbea2-d85d-48dc-b159-7cc2671ef624</errorID>
      <errorWord>III类</errorWord>
      <group>L1_Knowledge</group>
      <groupName>知识性问题</groupName>
      <ability>L2_Knowledge</ability>
      <abilityName>其他知识</abilityName>
      <candidateList>
        <item>Ⅲ类</item>
      </candidateList>
      <explain/>
      <paraID> 9C92A41</paraID>
      <start>170</start>
      <end>174</end>
      <status>unmodified</status>
      <modifiedWord/>
      <trackRevisions>false</trackRevisions>
    </reviewItem>
    <reviewItem>
      <errorID>68647afa-eef6-4ef6-8eff-9b92825e1b05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61C4217F</paraID>
      <start>0</start>
      <end>2</end>
      <status>unmodified</status>
      <modifiedWord/>
      <trackRevisions>false</trackRevisions>
    </reviewItem>
    <reviewItem>
      <errorID>f674edb6-cd73-44f2-ae6f-90c1fe3f030d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4BCCC363</paraID>
      <start>0</start>
      <end>2</end>
      <status>unmodified</status>
      <modifiedWord/>
      <trackRevisions>false</trackRevisions>
    </reviewItem>
    <reviewItem>
      <errorID>420af148-79c9-4648-a20d-766c10be7111</errorID>
      <errorWord>法律、法规</errorWord>
      <group>L1_Word</group>
      <groupName>字词问题</groupName>
      <ability>L2_Typo</ability>
      <abilityName>字词错误</abilityName>
      <candidateList>
        <item>法律法规</item>
      </candidateList>
      <explain/>
      <paraID>1D9B7654</paraID>
      <start>7</start>
      <end>12</end>
      <status>unmodified</status>
      <modifiedWord/>
      <trackRevisions>false</trackRevisions>
    </reviewItem>
    <reviewItem>
      <errorID>1f29b658-a192-4162-bced-952868a39803</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21645617</paraID>
      <start>4</start>
      <end>20</end>
      <status>unmodified</status>
      <modifiedWord/>
      <trackRevisions>false</trackRevisions>
    </reviewItem>
    <reviewItem>
      <errorID>5c9fa246-d986-49b8-b33b-16116af2de47</errorID>
      <errorWord>部部</errorWord>
      <group>L1_Word</group>
      <groupName>字词问题</groupName>
      <ability>L2_Typo</ability>
      <abilityName>字词错误</abilityName>
      <candidateList>
        <item>部</item>
      </candidateList>
      <explain>❶部分；部位：内～｜上～｜胸～｜局～。❷〈名〉中央政府按业务划分的单位（级别比局、厅高）：外交～｜商务～。❸一般机关企业按业务划分的单位：编辑～｜门市～。❹军队（连以上）等的领导机构或其所在地：连～｜司令～。❺〈名〉指部队：率～突围。❻〈书〉统辖；统率；所～｜～领。❼〈量〉a）用于书籍、影片等：两～字典｜一～纪录片｜三～电视剧。</explain>
      <paraID>6D3B75CE</paraID>
      <start>23</start>
      <end>25</end>
      <status>unmodified</status>
      <modifiedWord/>
      <trackRevisions>false</trackRevisions>
    </reviewItem>
    <reviewItem>
      <errorID>710682db-f2c8-40ca-9181-b352a2efd712</errorID>
      <errorWord>(</errorWord>
      <group>L1_Format</group>
      <groupName>格式问题</groupName>
      <ability>L2_HalfPunc</ability>
      <abilityName>全半角检查</abilityName>
      <candidateList>
        <item>（</item>
      </candidateList>
      <explain>文本全半角错误。</explain>
      <paraID>200EE68C</paraID>
      <start>24</start>
      <end>25</end>
      <status>unmodified</status>
      <modifiedWord/>
      <trackRevisions>false</trackRevisions>
    </reviewItem>
    <reviewItem>
      <errorID>24e3cb3e-f9ff-4715-921d-5eebfb3cdb20</errorID>
      <errorWord>)</errorWord>
      <group>L1_Format</group>
      <groupName>格式问题</groupName>
      <ability>L2_HalfPunc</ability>
      <abilityName>全半角检查</abilityName>
      <candidateList>
        <item>）</item>
      </candidateList>
      <explain>文本全半角错误。</explain>
      <paraID>200EE68C</paraID>
      <start>50</start>
      <end>51</end>
      <status>unmodified</status>
      <modifiedWord/>
      <trackRevisions>false</trackRevisions>
    </reviewItem>
    <reviewItem>
      <errorID>6e7b9611-36b4-43a0-903d-24e7fd1c51ac</errorID>
      <errorWord>(</errorWord>
      <group>L1_Format</group>
      <groupName>格式问题</groupName>
      <ability>L2_HalfPunc</ability>
      <abilityName>全半角检查</abilityName>
      <candidateList>
        <item>（</item>
      </candidateList>
      <explain>文本全半角错误。</explain>
      <paraID>1C1DE588</paraID>
      <start>22</start>
      <end>23</end>
      <status>unmodified</status>
      <modifiedWord/>
      <trackRevisions>false</trackRevisions>
    </reviewItem>
    <reviewItem>
      <errorID>78207280-3b9d-4932-b906-35b6ad05420a</errorID>
      <errorWord>)</errorWord>
      <group>L1_Format</group>
      <groupName>格式问题</groupName>
      <ability>L2_HalfPunc</ability>
      <abilityName>全半角检查</abilityName>
      <candidateList>
        <item>）</item>
      </candidateList>
      <explain>文本全半角错误。</explain>
      <paraID>1C1DE588</paraID>
      <start>33</start>
      <end>34</end>
      <status>unmodified</status>
      <modifiedWord/>
      <trackRevisions>false</trackRevisions>
    </reviewItem>
    <reviewItem>
      <errorID>4df440a3-1d00-44bb-ba51-adf5049690ce</errorID>
      <errorWord>(</errorWord>
      <group>L1_Format</group>
      <groupName>格式问题</groupName>
      <ability>L2_HalfPunc</ability>
      <abilityName>全半角检查</abilityName>
      <candidateList>
        <item>（</item>
      </candidateList>
      <explain>文本全半角错误。</explain>
      <paraID>387A1AD3</paraID>
      <start>20</start>
      <end>21</end>
      <status>unmodified</status>
      <modifiedWord/>
      <trackRevisions>false</trackRevisions>
    </reviewItem>
    <reviewItem>
      <errorID>afc518ec-db57-442a-ac4c-154d5a53a828</errorID>
      <errorWord>)</errorWord>
      <group>L1_Format</group>
      <groupName>格式问题</groupName>
      <ability>L2_HalfPunc</ability>
      <abilityName>全半角检查</abilityName>
      <candidateList>
        <item>）</item>
      </candidateList>
      <explain>文本全半角错误。</explain>
      <paraID>387A1AD3</paraID>
      <start>31</start>
      <end>32</end>
      <status>unmodified</status>
      <modifiedWord/>
      <trackRevisions>false</trackRevisions>
    </reviewItem>
    <reviewItem>
      <errorID>1c27ef48-184b-4f3d-8789-0ea229e733eb</errorID>
      <errorWord>(</errorWord>
      <group>L1_Format</group>
      <groupName>格式问题</groupName>
      <ability>L2_HalfPunc</ability>
      <abilityName>全半角检查</abilityName>
      <candidateList>
        <item>（</item>
      </candidateList>
      <explain>文本全半角错误。</explain>
      <paraID>3255DDEF</paraID>
      <start>21</start>
      <end>22</end>
      <status>unmodified</status>
      <modifiedWord/>
      <trackRevisions>false</trackRevisions>
    </reviewItem>
    <reviewItem>
      <errorID>1f469b58-01f0-4641-be16-254c73d0e789</errorID>
      <errorWord>(</errorWord>
      <group>L1_Format</group>
      <groupName>格式问题</groupName>
      <ability>L2_HalfPunc</ability>
      <abilityName>全半角检查</abilityName>
      <candidateList>
        <item>（</item>
      </candidateList>
      <explain>文本全半角错误。</explain>
      <paraID> 49C16BB</paraID>
      <start>21</start>
      <end>22</end>
      <status>unmodified</status>
      <modifiedWord/>
      <trackRevisions>false</trackRevisions>
    </reviewItem>
    <reviewItem>
      <errorID>43247acb-dc6b-49e4-99ba-957c8dd39878</errorID>
      <errorWord>)</errorWord>
      <group>L1_Format</group>
      <groupName>格式问题</groupName>
      <ability>L2_HalfPunc</ability>
      <abilityName>全半角检查</abilityName>
      <candidateList>
        <item>）</item>
      </candidateList>
      <explain>文本全半角错误。</explain>
      <paraID> 49C16BB</paraID>
      <start>32</start>
      <end>33</end>
      <status>unmodified</status>
      <modifiedWord/>
      <trackRevisions>false</trackRevisions>
    </reviewItem>
    <reviewItem>
      <errorID>9352f3eb-8de2-43f5-bf29-2dd2d490f3b1</errorID>
      <errorWord>(</errorWord>
      <group>L1_Format</group>
      <groupName>格式问题</groupName>
      <ability>L2_HalfPunc</ability>
      <abilityName>全半角检查</abilityName>
      <candidateList>
        <item>（</item>
      </candidateList>
      <explain>文本全半角错误。</explain>
      <paraID>2234C6C5</paraID>
      <start>19</start>
      <end>20</end>
      <status>unmodified</status>
      <modifiedWord/>
      <trackRevisions>false</trackRevisions>
    </reviewItem>
    <reviewItem>
      <errorID>6f1751d2-20d8-4ee7-b97a-436d8514d7a5</errorID>
      <errorWord>)</errorWord>
      <group>L1_Format</group>
      <groupName>格式问题</groupName>
      <ability>L2_HalfPunc</ability>
      <abilityName>全半角检查</abilityName>
      <candidateList>
        <item>）</item>
      </candidateList>
      <explain>文本全半角错误。</explain>
      <paraID>2234C6C5</paraID>
      <start>30</start>
      <end>31</end>
      <status>unmodified</status>
      <modifiedWord/>
      <trackRevisions>false</trackRevisions>
    </reviewItem>
    <reviewItem>
      <errorID>a9d66abb-0ea1-419d-8d8f-50e71813174a</errorID>
      <errorWord>(</errorWord>
      <group>L1_Format</group>
      <groupName>格式问题</groupName>
      <ability>L2_HalfPunc</ability>
      <abilityName>全半角检查</abilityName>
      <candidateList>
        <item>（</item>
      </candidateList>
      <explain>文本全半角错误。</explain>
      <paraID> 5C40FBC</paraID>
      <start>20</start>
      <end>21</end>
      <status>unmodified</status>
      <modifiedWord/>
      <trackRevisions>false</trackRevisions>
    </reviewItem>
    <reviewItem>
      <errorID>efc34a6c-1c81-4931-aa27-1c37faf35d40</errorID>
      <errorWord>)</errorWord>
      <group>L1_Format</group>
      <groupName>格式问题</groupName>
      <ability>L2_HalfPunc</ability>
      <abilityName>全半角检查</abilityName>
      <candidateList>
        <item>）</item>
      </candidateList>
      <explain>文本全半角错误。</explain>
      <paraID> 5C40FBC</paraID>
      <start>30</start>
      <end>31</end>
      <status>unmodified</status>
      <modifiedWord/>
      <trackRevisions>false</trackRevisions>
    </reviewItem>
    <reviewItem>
      <errorID>feffdb13-8a54-4f67-97ad-026cbf1a0454</errorID>
      <errorWord>(</errorWord>
      <group>L1_Format</group>
      <groupName>格式问题</groupName>
      <ability>L2_HalfPunc</ability>
      <abilityName>全半角检查</abilityName>
      <candidateList>
        <item>（</item>
      </candidateList>
      <explain>文本全半角错误。</explain>
      <paraID>255CFAF9</paraID>
      <start>19</start>
      <end>20</end>
      <status>unmodified</status>
      <modifiedWord/>
      <trackRevisions>false</trackRevisions>
    </reviewItem>
    <reviewItem>
      <errorID>b8d3e898-5f32-408b-add6-f53d634e625d</errorID>
      <errorWord>)</errorWord>
      <group>L1_Format</group>
      <groupName>格式问题</groupName>
      <ability>L2_HalfPunc</ability>
      <abilityName>全半角检查</abilityName>
      <candidateList>
        <item>）</item>
      </candidateList>
      <explain>文本全半角错误。</explain>
      <paraID>255CFAF9</paraID>
      <start>30</start>
      <end>31</end>
      <status>unmodified</status>
      <modifiedWord/>
      <trackRevisions>false</trackRevisions>
    </reviewItem>
    <reviewItem>
      <errorID>84e7aaee-3d93-4d53-8a9f-5917765723bc</errorID>
      <errorWord>(</errorWord>
      <group>L1_Format</group>
      <groupName>格式问题</groupName>
      <ability>L2_HalfPunc</ability>
      <abilityName>全半角检查</abilityName>
      <candidateList>
        <item>（</item>
      </candidateList>
      <explain>文本全半角错误。</explain>
      <paraID> 790F699</paraID>
      <start>20</start>
      <end>21</end>
      <status>unmodified</status>
      <modifiedWord/>
      <trackRevisions>false</trackRevisions>
    </reviewItem>
    <reviewItem>
      <errorID>33e165a0-01cd-4a05-b281-7ca4658d1569</errorID>
      <errorWord>)</errorWord>
      <group>L1_Format</group>
      <groupName>格式问题</groupName>
      <ability>L2_HalfPunc</ability>
      <abilityName>全半角检查</abilityName>
      <candidateList>
        <item>）</item>
      </candidateList>
      <explain>文本全半角错误。</explain>
      <paraID> 790F699</paraID>
      <start>31</start>
      <end>32</end>
      <status>unmodified</status>
      <modifiedWord/>
      <trackRevisions>false</trackRevisions>
    </reviewItem>
    <reviewItem>
      <errorID>6df2509c-0fae-4702-a05d-653bba3f910a</errorID>
      <errorWord>(</errorWord>
      <group>L1_Format</group>
      <groupName>格式问题</groupName>
      <ability>L2_HalfPunc</ability>
      <abilityName>全半角检查</abilityName>
      <candidateList>
        <item>（</item>
      </candidateList>
      <explain>文本全半角错误。</explain>
      <paraID>75A020BA</paraID>
      <start>20</start>
      <end>21</end>
      <status>unmodified</status>
      <modifiedWord/>
      <trackRevisions>false</trackRevisions>
    </reviewItem>
    <reviewItem>
      <errorID>01954371-80d2-4390-8e9d-9ee899da4fd1</errorID>
      <errorWord>)</errorWord>
      <group>L1_Format</group>
      <groupName>格式问题</groupName>
      <ability>L2_HalfPunc</ability>
      <abilityName>全半角检查</abilityName>
      <candidateList>
        <item>）</item>
      </candidateList>
      <explain>文本全半角错误。</explain>
      <paraID>75A020BA</paraID>
      <start>32</start>
      <end>33</end>
      <status>unmodified</status>
      <modifiedWord/>
      <trackRevisions>false</trackRevisions>
    </reviewItem>
    <reviewItem>
      <errorID>620af0bd-a3bc-4582-b4a1-4188bf6b28a5</errorID>
      <errorWord>-</errorWord>
      <group>L1_Format</group>
      <groupName>格式问题</groupName>
      <ability>L2_HalfPunc</ability>
      <abilityName>全半角检查</abilityName>
      <candidateList>
        <item>－</item>
      </candidateList>
      <explain>文本全半角错误。</explain>
      <paraID> F132643</paraID>
      <start>17</start>
      <end>18</end>
      <status>unmodified</status>
      <modifiedWord/>
      <trackRevisions>false</trackRevisions>
    </reviewItem>
    <reviewItem>
      <errorID>862ad4b5-964c-4dff-ac86-15e809cbd8f1</errorID>
      <errorWord>(</errorWord>
      <group>L1_Format</group>
      <groupName>格式问题</groupName>
      <ability>L2_HalfPunc</ability>
      <abilityName>全半角检查</abilityName>
      <candidateList>
        <item>（</item>
      </candidateList>
      <explain>文本全半角错误。</explain>
      <paraID> F132643</paraID>
      <start>23</start>
      <end>24</end>
      <status>unmodified</status>
      <modifiedWord/>
      <trackRevisions>false</trackRevisions>
    </reviewItem>
    <reviewItem>
      <errorID>3262f8fa-d77a-4de3-b754-7b71fdbac747</errorID>
      <errorWord>)</errorWord>
      <group>L1_Format</group>
      <groupName>格式问题</groupName>
      <ability>L2_HalfPunc</ability>
      <abilityName>全半角检查</abilityName>
      <candidateList>
        <item>）</item>
      </candidateList>
      <explain>文本全半角错误。</explain>
      <paraID> F132643</paraID>
      <start>35</start>
      <end>36</end>
      <status>unmodified</status>
      <modifiedWord/>
      <trackRevisions>false</trackRevisions>
    </reviewItem>
    <reviewItem>
      <errorID>193051ea-94f5-4a59-80fa-ece4a2ec8313</errorID>
      <errorWord>(</errorWord>
      <group>L1_Format</group>
      <groupName>格式问题</groupName>
      <ability>L2_HalfPunc</ability>
      <abilityName>全半角检查</abilityName>
      <candidateList>
        <item>（</item>
      </candidateList>
      <explain>文本全半角错误。</explain>
      <paraID>6A98BD65</paraID>
      <start>20</start>
      <end>21</end>
      <status>unmodified</status>
      <modifiedWord/>
      <trackRevisions>false</trackRevisions>
    </reviewItem>
    <reviewItem>
      <errorID>efd55203-0145-4950-88db-0af1a8f2c154</errorID>
      <errorWord>)</errorWord>
      <group>L1_Format</group>
      <groupName>格式问题</groupName>
      <ability>L2_HalfPunc</ability>
      <abilityName>全半角检查</abilityName>
      <candidateList>
        <item>）</item>
      </candidateList>
      <explain>文本全半角错误。</explain>
      <paraID>6A98BD65</paraID>
      <start>31</start>
      <end>32</end>
      <status>unmodified</status>
      <modifiedWord/>
      <trackRevisions>false</trackRevisions>
    </reviewItem>
    <reviewItem>
      <errorID>f87cf02f-3a19-48e5-a258-9d18107f073c</errorID>
      <errorWord>（2019）72号</errorWord>
      <group>L1_Knowledge</group>
      <groupName>知识性问题</groupName>
      <ability>L2_Knowledge</ability>
      <abilityName>其他知识</abilityName>
      <candidateList>
        <item>〔2019〕72号</item>
      </candidateList>
      <explain>发文字号格式错误。</explain>
      <paraID>5E42FA69</paraID>
      <start>62</start>
      <end>71</end>
      <status>unmodified</status>
      <modifiedWord/>
      <trackRevisions>false</trackRevisions>
    </reviewItem>
    <reviewItem>
      <errorID>11a51d6f-0c63-4721-81fc-33c34f2022fd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F16C686</paraID>
      <start>0</start>
      <end>2</end>
      <status>unmodified</status>
      <modifiedWord/>
      <trackRevisions>false</trackRevisions>
    </reviewItem>
    <reviewItem>
      <errorID>2e9516c3-4c5b-4941-8a37-2153fb38bc90</errorID>
      <errorWord>-</errorWord>
      <group>L1_Format</group>
      <groupName>格式问题</groupName>
      <ability>L2_HalfPunc</ability>
      <abilityName>全半角检查</abilityName>
      <candidateList>
        <item>－</item>
      </candidateList>
      <explain>文本全半角错误。</explain>
      <paraID> F16C686</paraID>
      <start>7</start>
      <end>8</end>
      <status>unmodified</status>
      <modifiedWord/>
      <trackRevisions>false</trackRevisions>
    </reviewItem>
    <reviewItem>
      <errorID>78f3024f-7f01-49f2-8160-dd922fb07b35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54C8AE7F</paraID>
      <start>0</start>
      <end>2</end>
      <status>unmodified</status>
      <modifiedWord/>
      <trackRevisions>false</trackRevisions>
    </reviewItem>
    <reviewItem>
      <errorID>13c850ad-29ab-4754-bf86-983f90033b08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35CB8FA7</paraID>
      <start>263</start>
      <end>264</end>
      <status>unmodified</status>
      <modifiedWord/>
      <trackRevisions>false</trackRevisions>
    </reviewItem>
    <reviewItem>
      <errorID>85814bb9-c62e-4979-8f35-a589eec68441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3B3839D</paraID>
      <start>151</start>
      <end>152</end>
      <status>unmodified</status>
      <modifiedWord/>
      <trackRevisions>false</trackRevisions>
    </reviewItem>
    <reviewItem>
      <errorID>09e9fc48-611c-4edc-8213-2e5760aaa755</errorID>
      <errorWord>~</errorWord>
      <group>L1_Format</group>
      <groupName>格式问题</groupName>
      <ability>L2_HalfPunc</ability>
      <abilityName>全半角检查</abilityName>
      <candidateList>
        <item>～</item>
      </candidateList>
      <explain>文本全半角错误。</explain>
      <paraID> 3B3839D</paraID>
      <start>246</start>
      <end>247</end>
      <status>unmodified</status>
      <modifiedWord/>
      <trackRevisions>false</trackRevisions>
    </reviewItem>
    <reviewItem>
      <errorID>bd5b576c-832d-4a38-816c-869b1c48dded</errorID>
      <errorWord>III类</errorWord>
      <group>L1_Knowledge</group>
      <groupName>知识性问题</groupName>
      <ability>L2_Knowledge</ability>
      <abilityName>其他知识</abilityName>
      <candidateList>
        <item>Ⅲ类</item>
      </candidateList>
      <explain/>
      <paraID> 3B3839D</paraID>
      <start>285</start>
      <end>289</end>
      <status>unmodified</status>
      <modifiedWord/>
      <trackRevisions>false</trackRevisions>
    </reviewItem>
    <reviewItem>
      <errorID>3a27e617-8c54-4213-a1b5-3d0daea49c5b</errorID>
      <errorWord>III类</errorWord>
      <group>L1_Knowledge</group>
      <groupName>知识性问题</groupName>
      <ability>L2_Knowledge</ability>
      <abilityName>其他知识</abilityName>
      <candidateList>
        <item>Ⅲ类</item>
      </candidateList>
      <explain/>
      <paraID> 3B3839D</paraID>
      <start>300</start>
      <end>304</end>
      <status>unmodified</status>
      <modifiedWord/>
      <trackRevisions>false</trackRevisions>
    </reviewItem>
    <reviewItem>
      <errorID>85ab4c86-94e8-404c-9fd1-58b17930bff7</errorID>
      <errorWord>III类</errorWord>
      <group>L1_Knowledge</group>
      <groupName>知识性问题</groupName>
      <ability>L2_Knowledge</ability>
      <abilityName>其他知识</abilityName>
      <candidateList>
        <item>Ⅲ类</item>
      </candidateList>
      <explain/>
      <paraID> 3B3839D</paraID>
      <start>321</start>
      <end>325</end>
      <status>unmodified</status>
      <modifiedWord/>
      <trackRevisions>false</trackRevisions>
    </reviewItem>
    <reviewItem>
      <errorID>3e5ab738-e8ef-4460-b649-537be137c74a</errorID>
      <errorWord>III</errorWord>
      <group>L1_Knowledge</group>
      <groupName>知识性问题</groupName>
      <ability>L2_Knowledge</ability>
      <abilityName>其他知识</abilityName>
      <candidateList>
        <item>Ⅲ</item>
      </candidateList>
      <explain/>
      <paraID>115ADC25</paraID>
      <start>0</start>
      <end>3</end>
      <status>unmodified</status>
      <modifiedWord/>
      <trackRevisions>false</trackRevisions>
    </reviewItem>
    <reviewItem>
      <errorID>cfeafd78-0ab2-491d-95bc-d16448877a2b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1B381E07</paraID>
      <start>0</start>
      <end>2</end>
      <status>unmodified</status>
      <modifiedWord/>
      <trackRevisions>false</trackRevisions>
    </reviewItem>
    <reviewItem>
      <errorID>42feac4b-3d44-4785-aac2-c27c79205807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5BC93BFC</paraID>
      <start>84</start>
      <end>85</end>
      <status>unmodified</status>
      <modifiedWord/>
      <trackRevisions>false</trackRevisions>
    </reviewItem>
    <reviewItem>
      <errorID>8f9539f7-f6b7-4e39-9101-7f9cde34112e</errorID>
      <errorWord>~</errorWord>
      <group>L1_Format</group>
      <groupName>格式问题</groupName>
      <ability>L2_HalfPunc</ability>
      <abilityName>全半角检查</abilityName>
      <candidateList>
        <item>～</item>
      </candidateList>
      <explain>文本全半角错误。</explain>
      <paraID>5BC93BFC</paraID>
      <start>179</start>
      <end>180</end>
      <status>unmodified</status>
      <modifiedWord/>
      <trackRevisions>false</trackRevisions>
    </reviewItem>
    <reviewItem>
      <errorID>561b22c5-5034-4d04-9194-e0eccba0e0cd</errorID>
      <errorWord>III类</errorWord>
      <group>L1_Knowledge</group>
      <groupName>知识性问题</groupName>
      <ability>L2_Knowledge</ability>
      <abilityName>其他知识</abilityName>
      <candidateList>
        <item>Ⅲ类</item>
      </candidateList>
      <explain/>
      <paraID>5BC93BFC</paraID>
      <start>218</start>
      <end>222</end>
      <status>unmodified</status>
      <modifiedWord/>
      <trackRevisions>false</trackRevisions>
    </reviewItem>
    <reviewItem>
      <errorID>22cafe4e-8111-4fad-bb5b-6fb6a7d6d1a8</errorID>
      <errorWord>III类</errorWord>
      <group>L1_Knowledge</group>
      <groupName>知识性问题</groupName>
      <ability>L2_Knowledge</ability>
      <abilityName>其他知识</abilityName>
      <candidateList>
        <item>Ⅲ类</item>
      </candidateList>
      <explain/>
      <paraID>5BC93BFC</paraID>
      <start>233</start>
      <end>237</end>
      <status>unmodified</status>
      <modifiedWord/>
      <trackRevisions>false</trackRevisions>
    </reviewItem>
    <reviewItem>
      <errorID>f30d2771-06f9-4212-b7d9-d300df395113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4C7D3B1B</paraID>
      <start>0</start>
      <end>2</end>
      <status>unmodified</status>
      <modifiedWord/>
      <trackRevisions>false</trackRevisions>
    </reviewItem>
    <reviewItem>
      <errorID>9797620e-2e3b-4c8f-84bf-375e7f806faf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29404439</paraID>
      <start>0</start>
      <end>2</end>
      <status>unmodified</status>
      <modifiedWord/>
      <trackRevisions>false</trackRevisions>
    </reviewItem>
    <reviewItem>
      <errorID>6eee8aff-0b1d-4992-a612-2758cb052e7c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6982506D</paraID>
      <start>0</start>
      <end>2</end>
      <status>unmodified</status>
      <modifiedWord/>
      <trackRevisions>false</trackRevisions>
    </reviewItem>
    <reviewItem>
      <errorID>22339ef7-1bf1-4df3-8d5d-435dcd5c2018</errorID>
      <errorWord>(</errorWord>
      <group>L1_Format</group>
      <groupName>格式问题</groupName>
      <ability>L2_HalfPunc</ability>
      <abilityName>全半角检查</abilityName>
      <candidateList>
        <item>（</item>
      </candidateList>
      <explain>文本全半角错误。</explain>
      <paraID>6982506D</paraID>
      <start>142</start>
      <end>143</end>
      <status>unmodified</status>
      <modifiedWord/>
      <trackRevisions>false</trackRevisions>
    </reviewItem>
    <reviewItem>
      <errorID>a616cc4d-d435-4e98-9055-b3ae5e456ce9</errorID>
      <errorWord>)</errorWord>
      <group>L1_Format</group>
      <groupName>格式问题</groupName>
      <ability>L2_HalfPunc</ability>
      <abilityName>全半角检查</abilityName>
      <candidateList>
        <item>）</item>
      </candidateList>
      <explain>文本全半角错误。</explain>
      <paraID>6982506D</paraID>
      <start>155</start>
      <end>156</end>
      <status>unmodified</status>
      <modifiedWord/>
      <trackRevisions>false</trackRevisions>
    </reviewItem>
    <reviewItem>
      <errorID>f8a0fd57-1360-4df1-8c8a-51f420eeb369</errorID>
      <errorWord>III类</errorWord>
      <group>L1_Knowledge</group>
      <groupName>知识性问题</groupName>
      <ability>L2_Knowledge</ability>
      <abilityName>其他知识</abilityName>
      <candidateList>
        <item>Ⅲ类</item>
      </candidateList>
      <explain/>
      <paraID>3F82478A</paraID>
      <start>24</start>
      <end>28</end>
      <status>unmodified</status>
      <modifiedWord/>
      <trackRevisions>false</trackRevisions>
    </reviewItem>
    <reviewItem>
      <errorID>b3702de4-c6ef-42a8-b507-7a0ea664bf7f</errorID>
      <errorWord>～</errorWord>
      <group>L1_Format</group>
      <groupName>格式问题</groupName>
      <ability>L2_HalfPunc</ability>
      <abilityName>全半角检查</abilityName>
      <candidateList>
        <item>~</item>
      </candidateList>
      <explain>文本全半角错误。</explain>
      <paraID>50BF2876</paraID>
      <start>1</start>
      <end>2</end>
      <status>unmodified</status>
      <modifiedWord/>
      <trackRevisions>false</trackRevisions>
    </reviewItem>
    <reviewItem>
      <errorID>41b9ba88-f700-4e02-8a7f-d410ece5690b</errorID>
      <errorWord>&gt;</errorWord>
      <group>L1_Punc</group>
      <groupName>标点问题</groupName>
      <ability>L2_Punc</ability>
      <abilityName>标点符号检查</abilityName>
      <candidateList/>
      <explain/>
      <paraID>  4B9986</paraID>
      <start>0</start>
      <end>1</end>
      <status>unmodified</status>
      <modifiedWord/>
      <trackRevisions>false</trackRevisions>
    </reviewItem>
    <reviewItem>
      <errorID>0703b093-f443-4bde-b71c-f28af250942f</errorID>
      <errorWord>（</errorWord>
      <group>L1_Format</group>
      <groupName>格式问题</groupName>
      <ability>L2_HalfPunc</ability>
      <abilityName>全半角检查</abilityName>
      <candidateList>
        <item>(</item>
      </candidateList>
      <explain>文本全半角错误。</explain>
      <paraID>2EF8D766</paraID>
      <start>2</start>
      <end>3</end>
      <status>unmodified</status>
      <modifiedWord/>
      <trackRevisions>false</trackRevisions>
    </reviewItem>
    <reviewItem>
      <errorID>e09fa0fb-6797-4fe7-8134-ee5538c8fbd9</errorID>
      <errorWord>）</errorWord>
      <group>L1_Format</group>
      <groupName>格式问题</groupName>
      <ability>L2_HalfPunc</ability>
      <abilityName>全半角检查</abilityName>
      <candidateList>
        <item>)</item>
      </candidateList>
      <explain>文本全半角错误。</explain>
      <paraID>2EF8D766</paraID>
      <start>4</start>
      <end>5</end>
      <status>unmodified</status>
      <modifiedWord/>
      <trackRevisions>false</trackRevisions>
    </reviewItem>
    <reviewItem>
      <errorID>ddf616fe-2f9a-4b8e-93af-d4a2f52c1f8d</errorID>
      <errorWord>～</errorWord>
      <group>L1_Format</group>
      <groupName>格式问题</groupName>
      <ability>L2_HalfPunc</ability>
      <abilityName>全半角检查</abilityName>
      <candidateList>
        <item>~</item>
      </candidateList>
      <explain>文本全半角错误。</explain>
      <paraID>546F1A5E</paraID>
      <start>3</start>
      <end>4</end>
      <status>unmodified</status>
      <modifiedWord/>
      <trackRevisions>false</trackRevisions>
    </reviewItem>
    <reviewItem>
      <errorID>0e26fae1-9a2f-4f20-ae0d-38a961c2debb</errorID>
      <errorWord>(</errorWord>
      <group>L1_Format</group>
      <groupName>格式问题</groupName>
      <ability>L2_HalfPunc</ability>
      <abilityName>全半角检查</abilityName>
      <candidateList>
        <item>（</item>
      </candidateList>
      <explain>文本全半角错误。</explain>
      <paraID>591184FD</paraID>
      <start>1</start>
      <end>2</end>
      <status>unmodified</status>
      <modifiedWord/>
      <trackRevisions>false</trackRevisions>
    </reviewItem>
    <reviewItem>
      <errorID>8ca1907b-7f8e-4cd6-855c-69e48c332a71</errorID>
      <errorWord>)</errorWord>
      <group>L1_Format</group>
      <groupName>格式问题</groupName>
      <ability>L2_HalfPunc</ability>
      <abilityName>全半角检查</abilityName>
      <candidateList>
        <item>）</item>
      </candidateList>
      <explain>文本全半角错误。</explain>
      <paraID>591184FD</paraID>
      <start>4</start>
      <end>5</end>
      <status>unmodified</status>
      <modifiedWord/>
      <trackRevisions>false</trackRevisions>
    </reviewItem>
    <reviewItem>
      <errorID>22c590dc-23d6-4e33-a611-d48f8b74daaf</errorID>
      <errorWord>(</errorWord>
      <group>L1_Format</group>
      <groupName>格式问题</groupName>
      <ability>L2_HalfPunc</ability>
      <abilityName>全半角检查</abilityName>
      <candidateList>
        <item>（</item>
      </candidateList>
      <explain>文本全半角错误。</explain>
      <paraID>1501678B</paraID>
      <start>3</start>
      <end>4</end>
      <status>unmodified</status>
      <modifiedWord/>
      <trackRevisions>false</trackRevisions>
    </reviewItem>
    <reviewItem>
      <errorID>7c7f2d02-5bdd-437a-9071-892c7c77acb0</errorID>
      <errorWord>)</errorWord>
      <group>L1_Format</group>
      <groupName>格式问题</groupName>
      <ability>L2_HalfPunc</ability>
      <abilityName>全半角检查</abilityName>
      <candidateList>
        <item>）</item>
      </candidateList>
      <explain>文本全半角错误。</explain>
      <paraID>1501678B</paraID>
      <start>11</start>
      <end>12</end>
      <status>unmodified</status>
      <modifiedWord/>
      <trackRevisions>false</trackRevisions>
    </reviewItem>
    <reviewItem>
      <errorID>2c881ac5-314c-44ae-90b3-07c5da5d2a59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770BDAFE</paraID>
      <start>0</start>
      <end>2</end>
      <status>unmodified</status>
      <modifiedWord/>
      <trackRevisions>false</trackRevisions>
    </reviewItem>
    <reviewItem>
      <errorID>0593f8bf-9164-4fb7-bd57-57bea8db946a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167931CD</paraID>
      <start>0</start>
      <end>2</end>
      <status>unmodified</status>
      <modifiedWord/>
      <trackRevisions>false</trackRevisions>
    </reviewItem>
    <reviewItem>
      <errorID>7e0c57f3-3a6a-4b6f-8516-ea6154c14594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74B5A8C5</paraID>
      <start>0</start>
      <end>2</end>
      <status>unmodified</status>
      <modifiedWord/>
      <trackRevisions>false</trackRevisions>
    </reviewItem>
    <reviewItem>
      <errorID>f6dc4498-3c58-4754-8d8a-7ae0e2d4dd97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26779F24</paraID>
      <start>0</start>
      <end>2</end>
      <status>unmodified</status>
      <modifiedWord/>
      <trackRevisions>false</trackRevisions>
    </reviewItem>
    <reviewItem>
      <errorID>7fa41085-afc5-4c3f-b6ca-e57ec387af64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30F821B2</paraID>
      <start>0</start>
      <end>2</end>
      <status>unmodified</status>
      <modifiedWord/>
      <trackRevisions>false</trackRevisions>
    </reviewItem>
    <reviewItem>
      <errorID>9cf8c69c-6269-4dce-8d0e-6808ac81bf71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23F612B7</paraID>
      <start>0</start>
      <end>2</end>
      <status>unmodified</status>
      <modifiedWord/>
      <trackRevisions>false</trackRevisions>
    </reviewItem>
    <reviewItem>
      <errorID>e80037a4-32a8-4709-b0e6-cf9076d55465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1DB5944B</paraID>
      <start>0</start>
      <end>2</end>
      <status>unmodified</status>
      <modifiedWord/>
      <trackRevisions>false</trackRevisions>
    </reviewItem>
    <reviewItem>
      <errorID>c3d7e6ad-9085-4509-8498-9ea43be68497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50B6A52D</paraID>
      <start>0</start>
      <end>2</end>
      <status>unmodified</status>
      <modifiedWord/>
      <trackRevisions>false</trackRevisions>
    </reviewItem>
    <reviewItem>
      <errorID>1e53ea8d-2cc5-472b-bdcf-3999f0f19b68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C5A6F6F</paraID>
      <start>0</start>
      <end>2</end>
      <status>unmodified</status>
      <modifiedWord/>
      <trackRevisions>false</trackRevisions>
    </reviewItem>
    <reviewItem>
      <errorID>06c0c40d-c7df-4d39-a22e-a35aaed8bb9b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76A55394</paraID>
      <start>0</start>
      <end>2</end>
      <status>unmodified</status>
      <modifiedWord/>
      <trackRevisions>false</trackRevisions>
    </reviewItem>
    <reviewItem>
      <errorID>89311b5f-a742-462e-b8e1-848d0667e27c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470A0A18</paraID>
      <start>0</start>
      <end>2</end>
      <status>unmodified</status>
      <modifiedWord/>
      <trackRevisions>false</trackRevisions>
    </reviewItem>
    <reviewItem>
      <errorID>b4eb70ea-a058-4d05-aac6-de7a1645ab6d</errorID>
      <errorWord>(</errorWord>
      <group>L1_Format</group>
      <groupName>格式问题</groupName>
      <ability>L2_HalfPunc</ability>
      <abilityName>全半角检查</abilityName>
      <candidateList>
        <item>（</item>
      </candidateList>
      <explain>文本全半角错误。</explain>
      <paraID>2BC88462</paraID>
      <start>2</start>
      <end>3</end>
      <status>unmodified</status>
      <modifiedWord/>
      <trackRevisions>false</trackRevisions>
    </reviewItem>
    <reviewItem>
      <errorID>f17c67ce-45b7-482e-88ee-4c6106431620</errorID>
      <errorWord>)</errorWord>
      <group>L1_Format</group>
      <groupName>格式问题</groupName>
      <ability>L2_HalfPunc</ability>
      <abilityName>全半角检查</abilityName>
      <candidateList>
        <item>）</item>
      </candidateList>
      <explain>文本全半角错误。</explain>
      <paraID>2BC88462</paraID>
      <start>4</start>
      <end>5</end>
      <status>unmodified</status>
      <modifiedWord/>
      <trackRevisions>false</trackRevisions>
    </reviewItem>
    <reviewItem>
      <errorID>72fd72e0-d3ae-47f6-a67c-192fe8400e8d</errorID>
      <errorWord>(</errorWord>
      <group>L1_Format</group>
      <groupName>格式问题</groupName>
      <ability>L2_HalfPunc</ability>
      <abilityName>全半角检查</abilityName>
      <candidateList>
        <item>（</item>
      </candidateList>
      <explain>文本全半角错误。</explain>
      <paraID>51DB57FE</paraID>
      <start>2</start>
      <end>3</end>
      <status>unmodified</status>
      <modifiedWord/>
      <trackRevisions>false</trackRevisions>
    </reviewItem>
    <reviewItem>
      <errorID>7ff12e39-a03f-43d2-adbb-ac3687e532b0</errorID>
      <errorWord>)</errorWord>
      <group>L1_Format</group>
      <groupName>格式问题</groupName>
      <ability>L2_HalfPunc</ability>
      <abilityName>全半角检查</abilityName>
      <candidateList>
        <item>）</item>
      </candidateList>
      <explain>文本全半角错误。</explain>
      <paraID>51DB57FE</paraID>
      <start>4</start>
      <end>5</end>
      <status>unmodified</status>
      <modifiedWord/>
      <trackRevisions>false</trackRevisions>
    </reviewItem>
    <reviewItem>
      <errorID>59f9d449-6bfb-40d7-a708-b0a54bfb8bf5</errorID>
      <errorWord>(</errorWord>
      <group>L1_Format</group>
      <groupName>格式问题</groupName>
      <ability>L2_HalfPunc</ability>
      <abilityName>全半角检查</abilityName>
      <candidateList>
        <item>（</item>
      </candidateList>
      <explain>文本全半角错误。</explain>
      <paraID>429D9955</paraID>
      <start>2</start>
      <end>3</end>
      <status>unmodified</status>
      <modifiedWord/>
      <trackRevisions>false</trackRevisions>
    </reviewItem>
    <reviewItem>
      <errorID>6e92958f-d393-4178-8997-4e88b671b02a</errorID>
      <errorWord>)</errorWord>
      <group>L1_Format</group>
      <groupName>格式问题</groupName>
      <ability>L2_HalfPunc</ability>
      <abilityName>全半角检查</abilityName>
      <candidateList>
        <item>）</item>
      </candidateList>
      <explain>文本全半角错误。</explain>
      <paraID>429D9955</paraID>
      <start>4</start>
      <end>5</end>
      <status>unmodified</status>
      <modifiedWord/>
      <trackRevisions>false</trackRevisions>
    </reviewItem>
    <reviewItem>
      <errorID>250abda3-5ab0-4247-b99b-551d92c1d77d</errorID>
      <errorWord>(</errorWord>
      <group>L1_Format</group>
      <groupName>格式问题</groupName>
      <ability>L2_HalfPunc</ability>
      <abilityName>全半角检查</abilityName>
      <candidateList>
        <item>（</item>
      </candidateList>
      <explain>文本全半角错误。</explain>
      <paraID>47896ADB</paraID>
      <start>2</start>
      <end>3</end>
      <status>unmodified</status>
      <modifiedWord/>
      <trackRevisions>false</trackRevisions>
    </reviewItem>
    <reviewItem>
      <errorID>41220d1d-5138-4032-92d5-c12ee8ffde4d</errorID>
      <errorWord>)</errorWord>
      <group>L1_Format</group>
      <groupName>格式问题</groupName>
      <ability>L2_HalfPunc</ability>
      <abilityName>全半角检查</abilityName>
      <candidateList>
        <item>）</item>
      </candidateList>
      <explain>文本全半角错误。</explain>
      <paraID>47896ADB</paraID>
      <start>4</start>
      <end>5</end>
      <status>unmodified</status>
      <modifiedWord/>
      <trackRevisions>false</trackRevisions>
    </reviewItem>
    <reviewItem>
      <errorID>0b30b013-6f7e-41ad-a412-03b62a52c0a2</errorID>
      <errorWord>(</errorWord>
      <group>L1_Format</group>
      <groupName>格式问题</groupName>
      <ability>L2_HalfPunc</ability>
      <abilityName>全半角检查</abilityName>
      <candidateList>
        <item>（</item>
      </candidateList>
      <explain>文本全半角错误。</explain>
      <paraID>59BC8A85</paraID>
      <start>2</start>
      <end>3</end>
      <status>unmodified</status>
      <modifiedWord/>
      <trackRevisions>false</trackRevisions>
    </reviewItem>
    <reviewItem>
      <errorID>2c38f53e-2d5d-475b-b948-93c0f0e5a9a1</errorID>
      <errorWord>)</errorWord>
      <group>L1_Format</group>
      <groupName>格式问题</groupName>
      <ability>L2_HalfPunc</ability>
      <abilityName>全半角检查</abilityName>
      <candidateList>
        <item>）</item>
      </candidateList>
      <explain>文本全半角错误。</explain>
      <paraID>59BC8A85</paraID>
      <start>12</start>
      <end>13</end>
      <status>unmodified</status>
      <modifiedWord/>
      <trackRevisions>false</trackRevisions>
    </reviewItem>
    <reviewItem>
      <errorID>28e95fb5-366e-4e0c-a661-e7ba7b7fc606</errorID>
      <errorWord>:</errorWord>
      <group>L1_Format</group>
      <groupName>格式问题</groupName>
      <ability>L2_HalfPunc</ability>
      <abilityName>全半角检查</abilityName>
      <candidateList>
        <item>：</item>
      </candidateList>
      <explain>文本全半角错误。</explain>
      <paraID>289CD1D7</paraID>
      <start>16</start>
      <end>17</end>
      <status>unmodified</status>
      <modifiedWord/>
      <trackRevisions>false</trackRevisions>
    </reviewItem>
    <reviewItem>
      <errorID>bdb84aa6-727c-44dd-b983-a17a0a2948ba</errorID>
      <errorWord>(</errorWord>
      <group>L1_Format</group>
      <groupName>格式问题</groupName>
      <ability>L2_HalfPunc</ability>
      <abilityName>全半角检查</abilityName>
      <candidateList>
        <item>（</item>
      </candidateList>
      <explain>文本全半角错误。</explain>
      <paraID>6FC774B1</paraID>
      <start>23</start>
      <end>24</end>
      <status>unmodified</status>
      <modifiedWord/>
      <trackRevisions>false</trackRevisions>
    </reviewItem>
    <reviewItem>
      <errorID>e79bab83-66f9-4913-92d1-95b599920967</errorID>
      <errorWord>)</errorWord>
      <group>L1_Format</group>
      <groupName>格式问题</groupName>
      <ability>L2_HalfPunc</ability>
      <abilityName>全半角检查</abilityName>
      <candidateList>
        <item>）</item>
      </candidateList>
      <explain>文本全半角错误。</explain>
      <paraID>6FC774B1</paraID>
      <start>36</start>
      <end>37</end>
      <status>unmodified</status>
      <modifiedWord/>
      <trackRevisions>false</trackRevisions>
    </reviewItem>
    <reviewItem>
      <errorID>5e68d990-c5e6-480c-a2f0-b291ae03979a</errorID>
      <errorWord>(</errorWord>
      <group>L1_Format</group>
      <groupName>格式问题</groupName>
      <ability>L2_HalfPunc</ability>
      <abilityName>全半角检查</abilityName>
      <candidateList>
        <item>（</item>
      </candidateList>
      <explain>文本全半角错误。</explain>
      <paraID>6FC774B1</paraID>
      <start>47</start>
      <end>48</end>
      <status>unmodified</status>
      <modifiedWord/>
      <trackRevisions>false</trackRevisions>
    </reviewItem>
    <reviewItem>
      <errorID>9009b64e-1d30-49ec-a10b-9c4d93ca7969</errorID>
      <errorWord>)</errorWord>
      <group>L1_Format</group>
      <groupName>格式问题</groupName>
      <ability>L2_HalfPunc</ability>
      <abilityName>全半角检查</abilityName>
      <candidateList>
        <item>）</item>
      </candidateList>
      <explain>文本全半角错误。</explain>
      <paraID>6FC774B1</paraID>
      <start>56</start>
      <end>57</end>
      <status>unmodified</status>
      <modifiedWord/>
      <trackRevisions>false</trackRevisions>
    </reviewItem>
    <reviewItem>
      <errorID>4b5d5828-9d40-427b-af69-7cb87e87fab2</errorID>
      <errorWord>(</errorWord>
      <group>L1_Format</group>
      <groupName>格式问题</groupName>
      <ability>L2_HalfPunc</ability>
      <abilityName>全半角检查</abilityName>
      <candidateList>
        <item>（</item>
      </candidateList>
      <explain>文本全半角错误。</explain>
      <paraID>6FC774B1</paraID>
      <start>131</start>
      <end>132</end>
      <status>unmodified</status>
      <modifiedWord/>
      <trackRevisions>false</trackRevisions>
    </reviewItem>
    <reviewItem>
      <errorID>1ae444cc-5f7f-4aef-9207-66db3ae0c151</errorID>
      <errorWord>)</errorWord>
      <group>L1_Format</group>
      <groupName>格式问题</groupName>
      <ability>L2_HalfPunc</ability>
      <abilityName>全半角检查</abilityName>
      <candidateList>
        <item>）</item>
      </candidateList>
      <explain>文本全半角错误。</explain>
      <paraID>6FC774B1</paraID>
      <start>144</start>
      <end>145</end>
      <status>unmodified</status>
      <modifiedWord/>
      <trackRevisions>false</trackRevisions>
    </reviewItem>
    <reviewItem>
      <errorID>3bc2fb17-350f-4750-a388-0c33541b0e3c</errorID>
      <errorWord>（</errorWord>
      <group>L1_Format</group>
      <groupName>格式问题</groupName>
      <ability>L2_HalfPunc</ability>
      <abilityName>全半角检查</abilityName>
      <candidateList>
        <item>(</item>
      </candidateList>
      <explain>文本全半角错误。</explain>
      <paraID>20032A39</paraID>
      <start>2</start>
      <end>3</end>
      <status>unmodified</status>
      <modifiedWord/>
      <trackRevisions>false</trackRevisions>
    </reviewItem>
    <reviewItem>
      <errorID>29a697ee-4c37-4830-8c4e-8671415218a6</errorID>
      <errorWord>）</errorWord>
      <group>L1_Format</group>
      <groupName>格式问题</groupName>
      <ability>L2_HalfPunc</ability>
      <abilityName>全半角检查</abilityName>
      <candidateList>
        <item>)</item>
      </candidateList>
      <explain>文本全半角错误。</explain>
      <paraID>20032A39</paraID>
      <start>4</start>
      <end>5</end>
      <status>unmodified</status>
      <modifiedWord/>
      <trackRevisions>false</trackRevisions>
    </reviewItem>
    <reviewItem>
      <errorID>76487b42-f79c-4cce-8613-1101e80e1450</errorID>
      <errorWord>（</errorWord>
      <group>L1_Format</group>
      <groupName>格式问题</groupName>
      <ability>L2_HalfPunc</ability>
      <abilityName>全半角检查</abilityName>
      <candidateList>
        <item>(</item>
      </candidateList>
      <explain>文本全半角错误。</explain>
      <paraID>282E7CD6</paraID>
      <start>2</start>
      <end>3</end>
      <status>unmodified</status>
      <modifiedWord/>
      <trackRevisions>false</trackRevisions>
    </reviewItem>
    <reviewItem>
      <errorID>cba50419-1ab0-4e8a-9462-99cc655b1e5d</errorID>
      <errorWord>）</errorWord>
      <group>L1_Format</group>
      <groupName>格式问题</groupName>
      <ability>L2_HalfPunc</ability>
      <abilityName>全半角检查</abilityName>
      <candidateList>
        <item>)</item>
      </candidateList>
      <explain>文本全半角错误。</explain>
      <paraID>282E7CD6</paraID>
      <start>4</start>
      <end>5</end>
      <status>unmodified</status>
      <modifiedWord/>
      <trackRevisions>false</trackRevisions>
    </reviewItem>
    <reviewItem>
      <errorID>9c1f8fa4-b196-48c9-b2bc-4e9c6e83df04</errorID>
      <errorWord>(</errorWord>
      <group>L1_Format</group>
      <groupName>格式问题</groupName>
      <ability>L2_HalfPunc</ability>
      <abilityName>全半角检查</abilityName>
      <candidateList>
        <item>（</item>
      </candidateList>
      <explain>文本全半角错误。</explain>
      <paraID>2E9DBAF6</paraID>
      <start>23</start>
      <end>24</end>
      <status>unmodified</status>
      <modifiedWord/>
      <trackRevisions>false</trackRevisions>
    </reviewItem>
    <reviewItem>
      <errorID>6a2d17bc-66d1-4d48-b15b-01a9e2710da0</errorID>
      <errorWord>)</errorWord>
      <group>L1_Format</group>
      <groupName>格式问题</groupName>
      <ability>L2_HalfPunc</ability>
      <abilityName>全半角检查</abilityName>
      <candidateList>
        <item>）</item>
      </candidateList>
      <explain>文本全半角错误。</explain>
      <paraID>2E9DBAF6</paraID>
      <start>36</start>
      <end>37</end>
      <status>unmodified</status>
      <modifiedWord/>
      <trackRevisions>false</trackRevisions>
    </reviewItem>
    <reviewItem>
      <errorID>32faab03-84df-4984-802c-b90ccd15da7a</errorID>
      <errorWord>(</errorWord>
      <group>L1_Format</group>
      <groupName>格式问题</groupName>
      <ability>L2_HalfPunc</ability>
      <abilityName>全半角检查</abilityName>
      <candidateList>
        <item>（</item>
      </candidateList>
      <explain>文本全半角错误。</explain>
      <paraID>2E9DBAF6</paraID>
      <start>47</start>
      <end>48</end>
      <status>unmodified</status>
      <modifiedWord/>
      <trackRevisions>false</trackRevisions>
    </reviewItem>
    <reviewItem>
      <errorID>bf51b883-2af1-465b-85a2-e3f59bb7bb8d</errorID>
      <errorWord>)</errorWord>
      <group>L1_Format</group>
      <groupName>格式问题</groupName>
      <ability>L2_HalfPunc</ability>
      <abilityName>全半角检查</abilityName>
      <candidateList>
        <item>）</item>
      </candidateList>
      <explain>文本全半角错误。</explain>
      <paraID>2E9DBAF6</paraID>
      <start>56</start>
      <end>57</end>
      <status>unmodified</status>
      <modifiedWord/>
      <trackRevisions>false</trackRevisions>
    </reviewItem>
    <reviewItem>
      <errorID>17b54298-9556-4b09-abd4-c83bc52eacc1</errorID>
      <errorWord>(</errorWord>
      <group>L1_Format</group>
      <groupName>格式问题</groupName>
      <ability>L2_HalfPunc</ability>
      <abilityName>全半角检查</abilityName>
      <candidateList>
        <item>（</item>
      </candidateList>
      <explain>文本全半角错误。</explain>
      <paraID>2E9DBAF6</paraID>
      <start>125</start>
      <end>126</end>
      <status>unmodified</status>
      <modifiedWord/>
      <trackRevisions>false</trackRevisions>
    </reviewItem>
    <reviewItem>
      <errorID>2c7e3835-1984-406f-ba0d-f5abca7c3e36</errorID>
      <errorWord>)</errorWord>
      <group>L1_Format</group>
      <groupName>格式问题</groupName>
      <ability>L2_HalfPunc</ability>
      <abilityName>全半角检查</abilityName>
      <candidateList>
        <item>）</item>
      </candidateList>
      <explain>文本全半角错误。</explain>
      <paraID>2E9DBAF6</paraID>
      <start>138</start>
      <end>139</end>
      <status>unmodified</status>
      <modifiedWord/>
      <trackRevisions>false</trackRevisions>
    </reviewItem>
    <reviewItem>
      <errorID>16b2bd31-8708-45f3-916b-f3ad65072c9f</errorID>
      <errorWord>海拔高度</errorWord>
      <group>L1_Word</group>
      <groupName>字词问题</groupName>
      <ability>L2_Typo</ability>
      <abilityName>字词错误</abilityName>
      <candidateList>
        <item>海拔</item>
      </candidateList>
      <explain>〈名〉从平均海平面起算的高度。</explain>
      <paraID> E67E3CB</paraID>
      <start>5</start>
      <end>9</end>
      <status>unmodified</status>
      <modifiedWord/>
      <trackRevisions>false</trackRevisions>
    </reviewItem>
    <reviewItem>
      <errorID>6992a8e4-b325-4d32-b8f6-788dd2fe1aba</errorID>
      <errorWord>海拔高度</errorWord>
      <group>L1_Word</group>
      <groupName>字词问题</groupName>
      <ability>L2_Typo</ability>
      <abilityName>字词错误</abilityName>
      <candidateList>
        <item>海拔</item>
      </candidateList>
      <explain>〈名〉从平均海平面起算的高度。</explain>
      <paraID>1A58BC82</paraID>
      <start>2</start>
      <end>6</end>
      <status>unmodified</status>
      <modifiedWord/>
      <trackRevisions>false</trackRevisions>
    </reviewItem>
    <reviewItem>
      <errorID>a8f6b0ed-ae8e-4fd9-8af1-12a7622be748</errorID>
      <errorWord>(</errorWord>
      <group>L1_Format</group>
      <groupName>格式问题</groupName>
      <ability>L2_HalfPunc</ability>
      <abilityName>全半角检查</abilityName>
      <candidateList>
        <item>（</item>
      </candidateList>
      <explain>文本全半角错误。</explain>
      <paraID>7BBA2C7C</paraID>
      <start>19</start>
      <end>20</end>
      <status>unmodified</status>
      <modifiedWord/>
      <trackRevisions>false</trackRevisions>
    </reviewItem>
    <reviewItem>
      <errorID>6a7968bc-a870-4caa-9296-b077981e0dc5</errorID>
      <errorWord>)</errorWord>
      <group>L1_Format</group>
      <groupName>格式问题</groupName>
      <ability>L2_HalfPunc</ability>
      <abilityName>全半角检查</abilityName>
      <candidateList>
        <item>）</item>
      </candidateList>
      <explain>文本全半角错误。</explain>
      <paraID>7BBA2C7C</paraID>
      <start>30</start>
      <end>31</end>
      <status>unmodified</status>
      <modifiedWord/>
      <trackRevisions>false</trackRevisions>
    </reviewItem>
    <reviewItem>
      <errorID>4dd2c65d-bfe6-4ddd-bd54-41ad473b82ac</errorID>
      <errorWord>)</errorWord>
      <group>L1_Format</group>
      <groupName>格式问题</groupName>
      <ability>L2_HalfPunc</ability>
      <abilityName>全半角检查</abilityName>
      <candidateList>
        <item>）</item>
      </candidateList>
      <explain>文本全半角错误。</explain>
      <paraID>32E029C3</paraID>
      <start>168</start>
      <end>169</end>
      <status>unmodified</status>
      <modifiedWord/>
      <trackRevisions>false</trackRevisions>
    </reviewItem>
    <reviewItem>
      <errorID>79fd14b1-1d5f-4d05-af29-436b6938c157</errorID>
      <errorWord>（</errorWord>
      <group>L1_Punc</group>
      <groupName>标点问题</groupName>
      <ability>L2_Punc</ability>
      <abilityName>标点符号检查</abilityName>
      <candidateList/>
      <explain>同一形式括号套用。</explain>
      <paraID>32E029C3</paraID>
      <start>176</start>
      <end>177</end>
      <status>unmodified</status>
      <modifiedWord/>
      <trackRevisions>false</trackRevisions>
    </reviewItem>
    <reviewItem>
      <errorID>5bf0775d-28b5-4bc7-9797-8bfc4e5a7f18</errorID>
      <errorWord>）</errorWord>
      <group>L1_Punc</group>
      <groupName>标点问题</groupName>
      <ability>L2_Punc</ability>
      <abilityName>标点符号检查</abilityName>
      <candidateList/>
      <explain>同一形式括号套用。</explain>
      <paraID>32E029C3</paraID>
      <start>178</start>
      <end>179</end>
      <status>unmodified</status>
      <modifiedWord/>
      <trackRevisions>false</trackRevisions>
    </reviewItem>
    <reviewItem>
      <errorID>8bcfbf42-7a12-4dcd-99e4-10975b623063</errorID>
      <errorWord>-</errorWord>
      <group>L1_Format</group>
      <groupName>格式问题</groupName>
      <ability>L2_HalfPunc</ability>
      <abilityName>全半角检查</abilityName>
      <candidateList>
        <item>－</item>
      </candidateList>
      <explain>文本全半角错误。</explain>
      <paraID>30F4067D</paraID>
      <start>13</start>
      <end>14</end>
      <status>unmodified</status>
      <modifiedWord/>
      <trackRevisions>false</trackRevisions>
    </reviewItem>
    <reviewItem>
      <errorID>f5d89c93-0f61-4556-bc2a-bd813baa23c5</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681AFCE3</paraID>
      <start>70</start>
      <end>75</end>
      <status>unmodified</status>
      <modifiedWord/>
      <trackRevisions>false</trackRevisions>
    </reviewItem>
    <reviewItem>
      <errorID>e7e5a7bd-8ae2-49ce-9353-885a3ce1d3b2</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63353DED</paraID>
      <start>88</start>
      <end>91</end>
      <status>unmodified</status>
      <modifiedWord/>
      <trackRevisions>false</trackRevisions>
    </reviewItem>
    <reviewItem>
      <errorID>a7e4d1ab-16d8-43e0-aad1-2d99df428529</errorID>
      <errorWord>(</errorWord>
      <group>L1_Format</group>
      <groupName>格式问题</groupName>
      <ability>L2_HalfPunc</ability>
      <abilityName>全半角检查</abilityName>
      <candidateList>
        <item>（</item>
      </candidateList>
      <explain>文本全半角错误。</explain>
      <paraID>252F4B3B</paraID>
      <start>48</start>
      <end>49</end>
      <status>unmodified</status>
      <modifiedWord/>
      <trackRevisions>false</trackRevisions>
    </reviewItem>
    <reviewItem>
      <errorID>b620d2b5-f573-4907-b79e-b206e8f22111</errorID>
      <errorWord>)</errorWord>
      <group>L1_Format</group>
      <groupName>格式问题</groupName>
      <ability>L2_HalfPunc</ability>
      <abilityName>全半角检查</abilityName>
      <candidateList>
        <item>）</item>
      </candidateList>
      <explain>文本全半角错误。</explain>
      <paraID>252F4B3B</paraID>
      <start>95</start>
      <end>96</end>
      <status>unmodified</status>
      <modifiedWord/>
      <trackRevisions>false</trackRevisions>
    </reviewItem>
    <reviewItem>
      <errorID>d1dbebc8-6843-4208-a630-d93b935b66f6</errorID>
      <errorWord>-</errorWord>
      <group>L1_Format</group>
      <groupName>格式问题</groupName>
      <ability>L2_HalfPunc</ability>
      <abilityName>全半角检查</abilityName>
      <candidateList>
        <item>－</item>
      </candidateList>
      <explain>文本全半角错误。</explain>
      <paraID>4097CC59</paraID>
      <start>2</start>
      <end>3</end>
      <status>unmodified</status>
      <modifiedWord/>
      <trackRevisions>false</trackRevisions>
    </reviewItem>
    <reviewItem>
      <errorID>974faeef-e2f3-4d5a-9053-42d0a3a74765</errorID>
      <errorWord>-</errorWord>
      <group>L1_Format</group>
      <groupName>格式问题</groupName>
      <ability>L2_HalfPunc</ability>
      <abilityName>全半角检查</abilityName>
      <candidateList>
        <item>－</item>
      </candidateList>
      <explain>文本全半角错误。</explain>
      <paraID>404F174F</paraID>
      <start>27</start>
      <end>28</end>
      <status>unmodified</status>
      <modifiedWord/>
      <trackRevisions>false</trackRevisions>
    </reviewItem>
    <reviewItem>
      <errorID>5a07eace-e064-49b0-8f1c-32273cc69404</errorID>
      <errorWord>（</errorWord>
      <group>L1_Format</group>
      <groupName>格式问题</groupName>
      <ability>L2_HalfPunc</ability>
      <abilityName>全半角检查</abilityName>
      <candidateList>
        <item>(</item>
      </candidateList>
      <explain>文本全半角错误。</explain>
      <paraID>6B655748</paraID>
      <start>0</start>
      <end>1</end>
      <status>unmodified</status>
      <modifiedWord/>
      <trackRevisions>false</trackRevisions>
    </reviewItem>
    <reviewItem>
      <errorID>998daa6b-9be7-4bc4-8591-50ace2542395</errorID>
      <errorWord>）</errorWord>
      <group>L1_Format</group>
      <groupName>格式问题</groupName>
      <ability>L2_HalfPunc</ability>
      <abilityName>全半角检查</abilityName>
      <candidateList>
        <item>)</item>
      </candidateList>
      <explain>文本全半角错误。</explain>
      <paraID>6B655748</paraID>
      <start>2</start>
      <end>3</end>
      <status>unmodified</status>
      <modifiedWord/>
      <trackRevisions>false</trackRevisions>
    </reviewItem>
    <reviewItem>
      <errorID>77bae529-6fc4-4d24-936a-764015b1951f</errorID>
      <errorWord>为</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77978D2E</paraID>
      <start>6</start>
      <end>7</end>
      <status>unmodified</status>
      <modifiedWord/>
      <trackRevisions>false</trackRevisions>
    </reviewItem>
    <reviewItem>
      <errorID>45dc0b47-6523-4e65-ba72-2ef97b8cbd0e</errorID>
      <errorWord>-</errorWord>
      <group>L1_Format</group>
      <groupName>格式问题</groupName>
      <ability>L2_HalfPunc</ability>
      <abilityName>全半角检查</abilityName>
      <candidateList>
        <item>－</item>
      </candidateList>
      <explain>文本全半角错误。</explain>
      <paraID>346CBA7F</paraID>
      <start>13</start>
      <end>14</end>
      <status>unmodified</status>
      <modifiedWord/>
      <trackRevisions>false</trackRevisions>
    </reviewItem>
    <reviewItem>
      <errorID>f62f6c18-e7a5-4f34-9232-0e28595de3db</errorID>
      <errorWord>-</errorWord>
      <group>L1_Format</group>
      <groupName>格式问题</groupName>
      <ability>L2_HalfPunc</ability>
      <abilityName>全半角检查</abilityName>
      <candidateList>
        <item>－</item>
      </candidateList>
      <explain>文本全半角错误。</explain>
      <paraID>41CD6EE5</paraID>
      <start>13</start>
      <end>14</end>
      <status>unmodified</status>
      <modifiedWord/>
      <trackRevisions>false</trackRevisions>
    </reviewItem>
    <reviewItem>
      <errorID>ae745a15-b2c4-413c-a51d-74c698c028bb</errorID>
      <errorWord>-</errorWord>
      <group>L1_Format</group>
      <groupName>格式问题</groupName>
      <ability>L2_HalfPunc</ability>
      <abilityName>全半角检查</abilityName>
      <candidateList>
        <item>－</item>
      </candidateList>
      <explain>文本全半角错误。</explain>
      <paraID>53E6407D</paraID>
      <start>13</start>
      <end>14</end>
      <status>unmodified</status>
      <modifiedWord/>
      <trackRevisions>false</trackRevisions>
    </reviewItem>
    <reviewItem>
      <errorID>ab21a8e7-69ac-44ba-8662-69f4d7f1a586</errorID>
      <errorWord>-</errorWord>
      <group>L1_Format</group>
      <groupName>格式问题</groupName>
      <ability>L2_HalfPunc</ability>
      <abilityName>全半角检查</abilityName>
      <candidateList>
        <item>－</item>
      </candidateList>
      <explain>文本全半角错误。</explain>
      <paraID>262F46C0</paraID>
      <start>182</start>
      <end>183</end>
      <status>unmodified</status>
      <modifiedWord/>
      <trackRevisions>false</trackRevisions>
    </reviewItem>
    <reviewItem>
      <errorID>f64313fb-eeda-4155-bc7f-7f572f0f4ea3</errorID>
      <errorWord>(</errorWord>
      <group>L1_Format</group>
      <groupName>格式问题</groupName>
      <ability>L2_HalfPunc</ability>
      <abilityName>全半角检查</abilityName>
      <candidateList>
        <item>（</item>
      </candidateList>
      <explain>文本全半角错误。</explain>
      <paraID>262F46C0</paraID>
      <start>188</start>
      <end>189</end>
      <status>unmodified</status>
      <modifiedWord/>
      <trackRevisions>false</trackRevisions>
    </reviewItem>
    <reviewItem>
      <errorID>96a572a1-900d-4ad1-b238-b4edb49c036d</errorID>
      <errorWord>)</errorWord>
      <group>L1_Format</group>
      <groupName>格式问题</groupName>
      <ability>L2_HalfPunc</ability>
      <abilityName>全半角检查</abilityName>
      <candidateList>
        <item>）</item>
      </candidateList>
      <explain>文本全半角错误。</explain>
      <paraID>262F46C0</paraID>
      <start>198</start>
      <end>199</end>
      <status>unmodified</status>
      <modifiedWord/>
      <trackRevisions>false</trackRevisions>
    </reviewItem>
    <reviewItem>
      <errorID>185053aa-9d3c-483b-a91c-f0af92ed97fa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51E1F326</paraID>
      <start>0</start>
      <end>2</end>
      <status>unmodified</status>
      <modifiedWord/>
      <trackRevisions>false</trackRevisions>
    </reviewItem>
    <reviewItem>
      <errorID>d42575ca-402b-4260-9fa8-cbaf5d541f8c</errorID>
      <errorWord>(</errorWord>
      <group>L1_Format</group>
      <groupName>格式问题</groupName>
      <ability>L2_HalfPunc</ability>
      <abilityName>全半角检查</abilityName>
      <candidateList>
        <item>（</item>
      </candidateList>
      <explain>文本全半角错误。</explain>
      <paraID> D8FF772</paraID>
      <start>117</start>
      <end>118</end>
      <status>unmodified</status>
      <modifiedWord/>
      <trackRevisions>false</trackRevisions>
    </reviewItem>
    <reviewItem>
      <errorID>3d13af81-cc0d-4126-b42f-de766eac43d1</errorID>
      <errorWord>)</errorWord>
      <group>L1_Format</group>
      <groupName>格式问题</groupName>
      <ability>L2_HalfPunc</ability>
      <abilityName>全半角检查</abilityName>
      <candidateList>
        <item>）</item>
      </candidateList>
      <explain>文本全半角错误。</explain>
      <paraID> D8FF772</paraID>
      <start>130</start>
      <end>131</end>
      <status>unmodified</status>
      <modifiedWord/>
      <trackRevisions>false</trackRevisions>
    </reviewItem>
    <reviewItem>
      <errorID>9eef2097-ca64-4bc8-bb8a-d74b716c8fc8</errorID>
      <errorWord>，</errorWord>
      <group>L1_Word</group>
      <groupName>字词问题</groupName>
      <ability>L2_Typo</ability>
      <abilityName>字词错误</abilityName>
      <candidateList>
        <item>，以</item>
      </candidateList>
      <explain/>
      <paraID>3AD84928</paraID>
      <start>8</start>
      <end>9</end>
      <status>unmodified</status>
      <modifiedWord/>
      <trackRevisions>false</trackRevisions>
    </reviewItem>
    <reviewItem>
      <errorID>05f25803-a580-4b3a-bd6e-bb1e525813f7</errorID>
      <errorWord>(</errorWord>
      <group>L1_Format</group>
      <groupName>格式问题</groupName>
      <ability>L2_HalfPunc</ability>
      <abilityName>全半角检查</abilityName>
      <candidateList>
        <item>（</item>
      </candidateList>
      <explain>文本全半角错误。</explain>
      <paraID>5FD89CBE</paraID>
      <start>18</start>
      <end>19</end>
      <status>unmodified</status>
      <modifiedWord/>
      <trackRevisions>false</trackRevisions>
    </reviewItem>
    <reviewItem>
      <errorID>a9dba9d5-967d-4fa2-8d78-efeb1737981a</errorID>
      <errorWord>)</errorWord>
      <group>L1_Format</group>
      <groupName>格式问题</groupName>
      <ability>L2_HalfPunc</ability>
      <abilityName>全半角检查</abilityName>
      <candidateList>
        <item>）</item>
      </candidateList>
      <explain>文本全半角错误。</explain>
      <paraID>5FD89CBE</paraID>
      <start>29</start>
      <end>30</end>
      <status>unmodified</status>
      <modifiedWord/>
      <trackRevisions>false</trackRevisions>
    </reviewItem>
    <reviewItem>
      <errorID>586822fe-e243-489e-97a1-8a01c38e6c9d</errorID>
      <errorWord>(</errorWord>
      <group>L1_Format</group>
      <groupName>格式问题</groupName>
      <ability>L2_HalfPunc</ability>
      <abilityName>全半角检查</abilityName>
      <candidateList>
        <item>（</item>
      </candidateList>
      <explain>文本全半角错误。</explain>
      <paraID>60560936</paraID>
      <start>18</start>
      <end>19</end>
      <status>unmodified</status>
      <modifiedWord/>
      <trackRevisions>false</trackRevisions>
    </reviewItem>
    <reviewItem>
      <errorID>08963c8d-b838-4a4f-866b-f4ec56916085</errorID>
      <errorWord>)</errorWord>
      <group>L1_Format</group>
      <groupName>格式问题</groupName>
      <ability>L2_HalfPunc</ability>
      <abilityName>全半角检查</abilityName>
      <candidateList>
        <item>）</item>
      </candidateList>
      <explain>文本全半角错误。</explain>
      <paraID>60560936</paraID>
      <start>29</start>
      <end>30</end>
      <status>unmodified</status>
      <modifiedWord/>
      <trackRevisions>false</trackRevisions>
    </reviewItem>
    <reviewItem>
      <errorID>62b36c2e-825b-4ab4-ab31-63f322134ee3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31D628A6</paraID>
      <start>117</start>
      <end>118</end>
      <status>unmodified</status>
      <modifiedWord/>
      <trackRevisions>false</trackRevisions>
    </reviewItem>
    <reviewItem>
      <errorID>b4af9cd5-31b6-437f-b7e8-6ec92e58b5d1</errorID>
      <errorWord>)</errorWord>
      <group>L1_Format</group>
      <groupName>格式问题</groupName>
      <ability>L2_HalfPunc</ability>
      <abilityName>全半角检查</abilityName>
      <candidateList>
        <item>）</item>
      </candidateList>
      <explain>文本全半角错误。</explain>
      <paraID>488DBE14</paraID>
      <start>11</start>
      <end>12</end>
      <status>unmodified</status>
      <modifiedWord/>
      <trackRevisions>false</trackRevisions>
    </reviewItem>
    <reviewItem>
      <errorID>f609e0f7-f61e-453a-a9b4-5cf27248b960</errorID>
      <errorWord>(</errorWord>
      <group>L1_Format</group>
      <groupName>格式问题</groupName>
      <ability>L2_HalfPunc</ability>
      <abilityName>全半角检查</abilityName>
      <candidateList>
        <item>（</item>
      </candidateList>
      <explain>文本全半角错误。</explain>
      <paraID>4D4EB3B8</paraID>
      <start>5</start>
      <end>6</end>
      <status>unmodified</status>
      <modifiedWord/>
      <trackRevisions>false</trackRevisions>
    </reviewItem>
    <reviewItem>
      <errorID>849bdb7b-72c2-40b0-961a-c4573e6065f6</errorID>
      <errorWord>)</errorWord>
      <group>L1_Format</group>
      <groupName>格式问题</groupName>
      <ability>L2_HalfPunc</ability>
      <abilityName>全半角检查</abilityName>
      <candidateList>
        <item>）</item>
      </candidateList>
      <explain>文本全半角错误。</explain>
      <paraID>4D4EB3B8</paraID>
      <start>12</start>
      <end>13</end>
      <status>unmodified</status>
      <modifiedWord/>
      <trackRevisions>false</trackRevisions>
    </reviewItem>
    <reviewItem>
      <errorID>869e1919-4e2a-426f-8e2a-7a90d381f7fd</errorID>
      <errorWord>)</errorWord>
      <group>L1_Format</group>
      <groupName>格式问题</groupName>
      <ability>L2_HalfPunc</ability>
      <abilityName>全半角检查</abilityName>
      <candidateList>
        <item>）</item>
      </candidateList>
      <explain>文本全半角错误。</explain>
      <paraID>3E13E2D6</paraID>
      <start>11</start>
      <end>12</end>
      <status>unmodified</status>
      <modifiedWord/>
      <trackRevisions>false</trackRevisions>
    </reviewItem>
    <reviewItem>
      <errorID>ddbfb7ec-5b96-4833-a807-e2ca877bf37a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603D1A00</paraID>
      <start>0</start>
      <end>2</end>
      <status>unmodified</status>
      <modifiedWord/>
      <trackRevisions>false</trackRevisions>
    </reviewItem>
    <reviewItem>
      <errorID>4fdfd8ad-7d98-4120-8fc7-7de6b55c0254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32678232</paraID>
      <start>0</start>
      <end>2</end>
      <status>unmodified</status>
      <modifiedWord/>
      <trackRevisions>false</trackRevisions>
    </reviewItem>
    <reviewItem>
      <errorID>94e8c1d1-ca06-4d38-b5b6-5a64000ccbe1</errorID>
      <errorWord>程</errorWord>
      <group>L1_Word</group>
      <groupName>字词问题</groupName>
      <ability>L2_Typo</ability>
      <abilityName>字词错误</abilityName>
      <candidateList>
        <item>程中</item>
      </candidateList>
      <explain/>
      <paraID>3D385F49</paraID>
      <start>171</start>
      <end>172</end>
      <status>unmodified</status>
      <modifiedWord/>
      <trackRevisions>false</trackRevisions>
    </reviewItem>
    <reviewItem>
      <errorID>c3f73bfa-4660-40a6-bca4-2d8d2898a254</errorID>
      <errorWord>程</errorWord>
      <group>L1_Word</group>
      <groupName>字词问题</groupName>
      <ability>L2_Typo</ability>
      <abilityName>字词错误</abilityName>
      <candidateList>
        <item>程中</item>
      </candidateList>
      <explain/>
      <paraID>3D385F49</paraID>
      <start>224</start>
      <end>225</end>
      <status>unmodified</status>
      <modifiedWord/>
      <trackRevisions>false</trackRevisions>
    </reviewItem>
    <reviewItem>
      <errorID>dc3960dc-9e10-4153-8c22-f9a6d60a3d63</errorID>
      <errorWord>~</errorWord>
      <group>L1_Format</group>
      <groupName>格式问题</groupName>
      <ability>L2_HalfPunc</ability>
      <abilityName>全半角检查</abilityName>
      <candidateList>
        <item>～</item>
      </candidateList>
      <explain>文本全半角错误。</explain>
      <paraID>11A9022C</paraID>
      <start>44</start>
      <end>45</end>
      <status>unmodified</status>
      <modifiedWord/>
      <trackRevisions>false</trackRevisions>
    </reviewItem>
    <reviewItem>
      <errorID>3041b4d5-6844-4ded-a376-0a418b755d85</errorID>
      <errorWord>~</errorWord>
      <group>L1_Format</group>
      <groupName>格式问题</groupName>
      <ability>L2_HalfPunc</ability>
      <abilityName>全半角检查</abilityName>
      <candidateList>
        <item>～</item>
      </candidateList>
      <explain>文本全半角错误。</explain>
      <paraID>11A9022C</paraID>
      <start>78</start>
      <end>79</end>
      <status>unmodified</status>
      <modifiedWord/>
      <trackRevisions>false</trackRevisions>
    </reviewItem>
    <reviewItem>
      <errorID>6c16edb5-f5e1-4a05-97c3-91acfe77095e</errorID>
      <errorWord>度</errorWord>
      <group>L1_Word</group>
      <groupName>字词问题</groupName>
      <ability>L2_Typo</ability>
      <abilityName>字词错误</abilityName>
      <candidateList>
        <item>度在</item>
      </candidateList>
      <explain/>
      <paraID>11A9022C</paraID>
      <start>217</start>
      <end>219</end>
      <status>modified</status>
      <modifiedWord>度在</modifiedWord>
      <trackRevisions>false</trackRevisions>
    </reviewItem>
    <reviewItem>
      <errorID>defb3991-c983-478b-a6a1-14e996b12019</errorID>
      <errorWord>~</errorWord>
      <group>L1_Format</group>
      <groupName>格式问题</groupName>
      <ability>L2_HalfPunc</ability>
      <abilityName>全半角检查</abilityName>
      <candidateList>
        <item>～</item>
      </candidateList>
      <explain>文本全半角错误。</explain>
      <paraID>11A9022C</paraID>
      <start>260</start>
      <end>261</end>
      <status>unmodified</status>
      <modifiedWord/>
      <trackRevisions>false</trackRevisions>
    </reviewItem>
    <reviewItem>
      <errorID>beb45d45-4299-480e-b655-bb710f210b73</errorID>
      <errorWord>~</errorWord>
      <group>L1_Format</group>
      <groupName>格式问题</groupName>
      <ability>L2_HalfPunc</ability>
      <abilityName>全半角检查</abilityName>
      <candidateList>
        <item>～</item>
      </candidateList>
      <explain>文本全半角错误。</explain>
      <paraID>44C3D548</paraID>
      <start>46</start>
      <end>47</end>
      <status>unmodified</status>
      <modifiedWord/>
      <trackRevisions>false</trackRevisions>
    </reviewItem>
    <reviewItem>
      <errorID>953d33d5-fb87-4653-b210-97f7941f00d3</errorID>
      <errorWord>~</errorWord>
      <group>L1_Format</group>
      <groupName>格式问题</groupName>
      <ability>L2_HalfPunc</ability>
      <abilityName>全半角检查</abilityName>
      <candidateList>
        <item>～</item>
      </candidateList>
      <explain>文本全半角错误。</explain>
      <paraID>44C3D548</paraID>
      <start>81</start>
      <end>82</end>
      <status>unmodified</status>
      <modifiedWord/>
      <trackRevisions>false</trackRevisions>
    </reviewItem>
    <reviewItem>
      <errorID>aef004b6-7aa3-4ccd-9ab4-c8356d35f923</errorID>
      <errorWord>~</errorWord>
      <group>L1_Format</group>
      <groupName>格式问题</groupName>
      <ability>L2_HalfPunc</ability>
      <abilityName>全半角检查</abilityName>
      <candidateList>
        <item>～</item>
      </candidateList>
      <explain>文本全半角错误。</explain>
      <paraID>44C3D548</paraID>
      <start>129</start>
      <end>130</end>
      <status>unmodified</status>
      <modifiedWord/>
      <trackRevisions>false</trackRevisions>
    </reviewItem>
    <reviewItem>
      <errorID>e11ad5ec-5b74-4970-9845-3a828db63b69</errorID>
      <errorWord>~</errorWord>
      <group>L1_Format</group>
      <groupName>格式问题</groupName>
      <ability>L2_HalfPunc</ability>
      <abilityName>全半角检查</abilityName>
      <candidateList>
        <item>～</item>
      </candidateList>
      <explain>文本全半角错误。</explain>
      <paraID>44C3D548</paraID>
      <start>164</start>
      <end>165</end>
      <status>unmodified</status>
      <modifiedWord/>
      <trackRevisions>false</trackRevisions>
    </reviewItem>
    <reviewItem>
      <errorID>81fc021f-7ce8-47f3-b816-e221d3db7de1</errorID>
      <errorWord>~</errorWord>
      <group>L1_Format</group>
      <groupName>格式问题</groupName>
      <ability>L2_HalfPunc</ability>
      <abilityName>全半角检查</abilityName>
      <candidateList>
        <item>～</item>
      </candidateList>
      <explain>文本全半角错误。</explain>
      <paraID>44C3D548</paraID>
      <start>212</start>
      <end>213</end>
      <status>unmodified</status>
      <modifiedWord/>
      <trackRevisions>false</trackRevisions>
    </reviewItem>
    <reviewItem>
      <errorID>2ab7df6b-c861-4870-b806-37f825deaaf7</errorID>
      <errorWord>~</errorWord>
      <group>L1_Format</group>
      <groupName>格式问题</groupName>
      <ability>L2_HalfPunc</ability>
      <abilityName>全半角检查</abilityName>
      <candidateList>
        <item>～</item>
      </candidateList>
      <explain>文本全半角错误。</explain>
      <paraID>44C3D548</paraID>
      <start>247</start>
      <end>248</end>
      <status>unmodified</status>
      <modifiedWord/>
      <trackRevisions>false</trackRevisions>
    </reviewItem>
    <reviewItem>
      <errorID>c4351b70-540d-45b3-98c1-c5b9b26197d3</errorID>
      <errorWord>)</errorWord>
      <group>L1_Format</group>
      <groupName>格式问题</groupName>
      <ability>L2_HalfPunc</ability>
      <abilityName>全半角检查</abilityName>
      <candidateList>
        <item>）</item>
      </candidateList>
      <explain>文本全半角错误。</explain>
      <paraID>68685A43</paraID>
      <start>28</start>
      <end>29</end>
      <status>unmodified</status>
      <modifiedWord/>
      <trackRevisions>false</trackRevisions>
    </reviewItem>
    <reviewItem>
      <errorID>d5bede7b-e092-4cfb-a720-abcb310801fd</errorID>
      <errorWord>)</errorWord>
      <group>L1_Format</group>
      <groupName>格式问题</groupName>
      <ability>L2_HalfPunc</ability>
      <abilityName>全半角检查</abilityName>
      <candidateList>
        <item>）</item>
      </candidateList>
      <explain>文本全半角错误。</explain>
      <paraID>68685A43</paraID>
      <start>50</start>
      <end>51</end>
      <status>unmodified</status>
      <modifiedWord/>
      <trackRevisions>false</trackRevisions>
    </reviewItem>
    <reviewItem>
      <errorID>07d4f101-48d3-4f7c-9abc-3e59af9be4f4</errorID>
      <errorWord>(</errorWord>
      <group>L1_Format</group>
      <groupName>格式问题</groupName>
      <ability>L2_HalfPunc</ability>
      <abilityName>全半角检查</abilityName>
      <candidateList>
        <item>（</item>
      </candidateList>
      <explain>文本全半角错误。</explain>
      <paraID>68685A43</paraID>
      <start>73</start>
      <end>74</end>
      <status>unmodified</status>
      <modifiedWord/>
      <trackRevisions>false</trackRevisions>
    </reviewItem>
    <reviewItem>
      <errorID>0e0b5d7c-85cc-4dd3-9c04-f4246c3a5948</errorID>
      <errorWord>)</errorWord>
      <group>L1_Format</group>
      <groupName>格式问题</groupName>
      <ability>L2_HalfPunc</ability>
      <abilityName>全半角检查</abilityName>
      <candidateList>
        <item>）</item>
      </candidateList>
      <explain>文本全半角错误。</explain>
      <paraID>68685A43</paraID>
      <start>86</start>
      <end>87</end>
      <status>unmodified</status>
      <modifiedWord/>
      <trackRevisions>false</trackRevisions>
    </reviewItem>
    <reviewItem>
      <errorID>8b3a7c86-2aa2-43ca-ab8a-8110b62ad467</errorID>
      <errorWord>(</errorWord>
      <group>L1_Format</group>
      <groupName>格式问题</groupName>
      <ability>L2_HalfPunc</ability>
      <abilityName>全半角检查</abilityName>
      <candidateList>
        <item>（</item>
      </candidateList>
      <explain>文本全半角错误。</explain>
      <paraID>538DC704</paraID>
      <start>34</start>
      <end>35</end>
      <status>unmodified</status>
      <modifiedWord/>
      <trackRevisions>false</trackRevisions>
    </reviewItem>
    <reviewItem>
      <errorID>eb3c433a-3675-41ce-94e0-05ca88a0cc63</errorID>
      <errorWord>)</errorWord>
      <group>L1_Format</group>
      <groupName>格式问题</groupName>
      <ability>L2_HalfPunc</ability>
      <abilityName>全半角检查</abilityName>
      <candidateList>
        <item>）</item>
      </candidateList>
      <explain>文本全半角错误。</explain>
      <paraID>538DC704</paraID>
      <start>47</start>
      <end>48</end>
      <status>unmodified</status>
      <modifiedWord/>
      <trackRevisions>false</trackRevisions>
    </reviewItem>
    <reviewItem>
      <errorID>42ca741e-2911-4177-aacc-601a5d3f25e1</errorID>
      <errorWord>71.7%-76.7%</errorWord>
      <group>L1_Knowledge</group>
      <groupName>知识性问题</groupName>
      <ability>L2_Knowledge</ability>
      <abilityName>其他知识</abilityName>
      <candidateList>
        <item>71.7%—76.7%</item>
      </candidateList>
      <explain>1. “71.7%-76.7%”中的单位“%”仅出现在后一个数字上，容易引起歧义；根据《现代汉语标点符号数字用法规范手册》，数字表示范围两边需要使用统一的格式。2. 根据标点国标 4.13 中的规则，数字、时间或地域连接符应使用（视觉上更长的）“—”或“～”。</explain>
      <paraID>538DC704</paraID>
      <start>193</start>
      <end>204</end>
      <status>unmodified</status>
      <modifiedWord/>
      <trackRevisions>false</trackRevisions>
    </reviewItem>
    <reviewItem>
      <errorID>19d098cd-12d2-4749-a6ef-de4f9415ecdb</errorID>
      <errorWord>生产线生产线</errorWord>
      <group>L1_Word</group>
      <groupName>字词问题</groupName>
      <ability>L2_Typo</ability>
      <abilityName>字词错误</abilityName>
      <candidateList>
        <item>生产线</item>
      </candidateList>
      <explain/>
      <paraID>74F7354D</paraID>
      <start>57</start>
      <end>60</end>
      <status>modified</status>
      <modifiedWord>生产线</modifiedWord>
      <trackRevisions>false</trackRevisions>
    </reviewItem>
    <reviewItem>
      <errorID>3ff97124-b622-4dd8-b2ed-98cd54eb794e</errorID>
      <errorWord>（</errorWord>
      <group>L1_Punc</group>
      <groupName>标点问题</groupName>
      <ability>L2_Punc</ability>
      <abilityName>标点符号检查</abilityName>
      <candidateList/>
      <explain>同一形式括号套用。</explain>
      <paraID>74F7354D</paraID>
      <start>138</start>
      <end>139</end>
      <status>unmodified</status>
      <modifiedWord/>
      <trackRevisions>false</trackRevisions>
    </reviewItem>
    <reviewItem>
      <errorID>c24ffcf1-f55d-4294-8920-36b4fb05bcf1</errorID>
      <errorWord>）</errorWord>
      <group>L1_Punc</group>
      <groupName>标点问题</groupName>
      <ability>L2_Punc</ability>
      <abilityName>标点符号检查</abilityName>
      <candidateList/>
      <explain>同一形式括号套用。</explain>
      <paraID>74F7354D</paraID>
      <start>146</start>
      <end>147</end>
      <status>unmodified</status>
      <modifiedWord/>
      <trackRevisions>false</trackRevisions>
    </reviewItem>
    <reviewItem>
      <errorID>e2315851-5e2a-46ec-a7cd-bb227f976a10</errorID>
      <errorWord>激光刻划</errorWord>
      <group>L1_Knowledge</group>
      <groupName>知识性问题</groupName>
      <ability>L2_Term</ability>
      <abilityName>专业术语</abilityName>
      <candidateList>
        <item>激光刻蚀</item>
      </candidateList>
      <explain/>
      <paraID>160A9036</paraID>
      <start>34</start>
      <end>38</end>
      <status>unmodified</status>
      <modifiedWord/>
      <trackRevisions>false</trackRevisions>
    </reviewItem>
    <reviewItem>
      <errorID>51ccc8c5-7a4b-4ed4-8aa3-1edc4235151f</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69C47672</paraID>
      <start>82</start>
      <end>86</end>
      <status>unmodified</status>
      <modifiedWord/>
      <trackRevisions>false</trackRevisions>
    </reviewItem>
    <reviewItem>
      <errorID>a2258b26-e042-4428-a7d5-25f064bcc9e9</errorID>
      <errorWord>;</errorWord>
      <group>L1_Format</group>
      <groupName>格式问题</groupName>
      <ability>L2_HalfPunc</ability>
      <abilityName>全半角检查</abilityName>
      <candidateList>
        <item>；</item>
      </candidateList>
      <explain>文本全半角错误。</explain>
      <paraID>69C47672</paraID>
      <start>104</start>
      <end>105</end>
      <status>unmodified</status>
      <modifiedWord/>
      <trackRevisions>false</trackRevisions>
    </reviewItem>
    <reviewItem>
      <errorID>fe9fef25-8831-4dd3-836b-98326205f51d</errorID>
      <errorWord>;</errorWord>
      <group>L1_Format</group>
      <groupName>格式问题</groupName>
      <ability>L2_HalfPunc</ability>
      <abilityName>全半角检查</abilityName>
      <candidateList>
        <item>；</item>
      </candidateList>
      <explain>文本全半角错误。</explain>
      <paraID>69C47672</paraID>
      <start>161</start>
      <end>162</end>
      <status>unmodified</status>
      <modifiedWord/>
      <trackRevisions>false</trackRevisions>
    </reviewItem>
    <reviewItem>
      <errorID>3ac28665-a43c-47d0-a04b-925c88e7cf43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136A518C</paraID>
      <start>179</start>
      <end>180</end>
      <status>unmodified</status>
      <modifiedWord/>
      <trackRevisions>false</trackRevisions>
    </reviewItem>
    <reviewItem>
      <errorID>1392912a-2942-45c0-93b2-a88dbd28d430</errorID>
      <errorWord>，定</errorWord>
      <group>L1_Word</group>
      <groupName>字词问题</groupName>
      <ability>L2_Typo</ability>
      <abilityName>字词错误</abilityName>
      <candidateList>
        <item>，</item>
      </candidateList>
      <explain/>
      <paraID>6EC82398</paraID>
      <start>146</start>
      <end>148</end>
      <status>unmodified</status>
      <modifiedWord/>
      <trackRevisions>false</trackRevisions>
    </reviewItem>
    <reviewItem>
      <errorID>d0dcc39c-b9a4-42e9-966e-f2d9a91e07c6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796255C7</paraID>
      <start>117</start>
      <end>118</end>
      <status>unmodified</status>
      <modifiedWord/>
      <trackRevisions>false</trackRevisions>
    </reviewItem>
    <reviewItem>
      <errorID>95362674-3b4d-484b-bcf6-bb3359d5f8a3</errorID>
      <errorWord>已经</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796255C7</paraID>
      <start>227</start>
      <end>228</end>
      <status>modified</status>
      <modifiedWord>已</modifiedWord>
      <trackRevisions>false</trackRevisions>
    </reviewItem>
    <reviewItem>
      <errorID>efd5fc30-00df-464b-8792-85561ce543b5</errorID>
      <errorWord>见</errorWord>
      <group>L1_Word</group>
      <groupName>字词问题</groupName>
      <ability>L2_Typo</ability>
      <abilityName>字词错误</abilityName>
      <candidateList>
        <item>见下</item>
      </candidateList>
      <explain/>
      <paraID>795F4176</paraID>
      <start>43</start>
      <end>44</end>
      <status>unmodified</status>
      <modifiedWord/>
      <trackRevisions>false</trackRevisions>
    </reviewItem>
    <reviewItem>
      <errorID>5c1d49f8-4557-4392-a920-47c1f9b4995c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29A3F90F</paraID>
      <start>0</start>
      <end>2</end>
      <status>unmodified</status>
      <modifiedWord/>
      <trackRevisions>false</trackRevisions>
    </reviewItem>
    <reviewItem>
      <errorID>4be0d760-00cb-4a2e-9552-10debd4d2577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44E4A1EA</paraID>
      <start>0</start>
      <end>2</end>
      <status>unmodified</status>
      <modifiedWord/>
      <trackRevisions>false</trackRevisions>
    </reviewItem>
    <reviewItem>
      <errorID>c79213e2-6d83-431e-ae58-3d95cc7dd742</errorID>
      <errorWord>：</errorWord>
      <group>L1_Format</group>
      <groupName>格式问题</groupName>
      <ability>L2_HalfPunc</ability>
      <abilityName>全半角检查</abilityName>
      <candidateList>
        <item>:</item>
      </candidateList>
      <explain>文本全半角错误。</explain>
      <paraID>412C3BD7</paraID>
      <start>2</start>
      <end>3</end>
      <status>unmodified</status>
      <modifiedWord/>
      <trackRevisions>false</trackRevisions>
    </reviewItem>
    <reviewItem>
      <errorID>dc923260-1f63-4734-a969-19f3af23a724</errorID>
      <errorWord>：</errorWord>
      <group>L1_Format</group>
      <groupName>格式问题</groupName>
      <ability>L2_HalfPunc</ability>
      <abilityName>全半角检查</abilityName>
      <candidateList>
        <item>:</item>
      </candidateList>
      <explain>文本全半角错误。</explain>
      <paraID>2C57649F</paraID>
      <start>2</start>
      <end>3</end>
      <status>unmodified</status>
      <modifiedWord/>
      <trackRevisions>false</trackRevisions>
    </reviewItem>
    <reviewItem>
      <errorID>f75d3571-3dee-4b8f-858e-8ab2c1585ddb</errorID>
      <errorWord>：</errorWord>
      <group>L1_Format</group>
      <groupName>格式问题</groupName>
      <ability>L2_HalfPunc</ability>
      <abilityName>全半角检查</abilityName>
      <candidateList>
        <item>:</item>
      </candidateList>
      <explain>文本全半角错误。</explain>
      <paraID>253DC9D4</paraID>
      <start>2</start>
      <end>3</end>
      <status>unmodified</status>
      <modifiedWord/>
      <trackRevisions>false</trackRevisions>
    </reviewItem>
    <reviewItem>
      <errorID>c3fa9617-dc76-45f9-8bce-0b576e6398c3</errorID>
      <errorWord>：</errorWord>
      <group>L1_Format</group>
      <groupName>格式问题</groupName>
      <ability>L2_HalfPunc</ability>
      <abilityName>全半角检查</abilityName>
      <candidateList>
        <item>:</item>
      </candidateList>
      <explain>文本全半角错误。</explain>
      <paraID>4CAC2336</paraID>
      <start>2</start>
      <end>3</end>
      <status>unmodified</status>
      <modifiedWord/>
      <trackRevisions>false</trackRevisions>
    </reviewItem>
    <reviewItem>
      <errorID>db327038-1d4a-4c22-b07f-ad88ee9747cf</errorID>
      <errorWord>五水</errorWord>
      <group>L1_Word</group>
      <groupName>字词问题</groupName>
      <ability>L2_Typo</ability>
      <abilityName>字词错误</abilityName>
      <candidateList>
        <item>无水</item>
      </candidateList>
      <explain/>
      <paraID>614C41E7</paraID>
      <start>0</start>
      <end>2</end>
      <status>unmodified</status>
      <modifiedWord/>
      <trackRevisions>false</trackRevisions>
    </reviewItem>
    <reviewItem>
      <errorID>b09b355b-1b60-4582-9392-be99b216e30c</errorID>
      <errorWord>：</errorWord>
      <group>L1_Format</group>
      <groupName>格式问题</groupName>
      <ability>L2_HalfPunc</ability>
      <abilityName>全半角检查</abilityName>
      <candidateList>
        <item>:</item>
      </candidateList>
      <explain>文本全半角错误。</explain>
      <paraID>616B896E</paraID>
      <start>2</start>
      <end>3</end>
      <status>unmodified</status>
      <modifiedWord/>
      <trackRevisions>false</trackRevisions>
    </reviewItem>
    <reviewItem>
      <errorID>15845048-45aa-4006-a41c-0ac0a0b37f6d</errorID>
      <errorWord>&gt;</errorWord>
      <group>L1_Punc</group>
      <groupName>标点问题</groupName>
      <ability>L2_Punc</ability>
      <abilityName>标点符号检查</abilityName>
      <candidateList/>
      <explain/>
      <paraID>1F8A1F45</paraID>
      <start>0</start>
      <end>1</end>
      <status>unmodified</status>
      <modifiedWord/>
      <trackRevisions>false</trackRevisions>
    </reviewItem>
    <reviewItem>
      <errorID>9b36d392-b891-42a6-86a9-57388c3a0937</errorID>
      <errorWord>&gt;</errorWord>
      <group>L1_Punc</group>
      <groupName>标点问题</groupName>
      <ability>L2_Punc</ability>
      <abilityName>标点符号检查</abilityName>
      <candidateList/>
      <explain/>
      <paraID>5B93DF81</paraID>
      <start>0</start>
      <end>1</end>
      <status>unmodified</status>
      <modifiedWord/>
      <trackRevisions>false</trackRevisions>
    </reviewItem>
    <reviewItem>
      <errorID>ca7c3348-9a98-49f8-a0ff-a31dc8bc9a31</errorID>
      <errorWord>&gt;</errorWord>
      <group>L1_Punc</group>
      <groupName>标点问题</groupName>
      <ability>L2_Punc</ability>
      <abilityName>标点符号检查</abilityName>
      <candidateList/>
      <explain/>
      <paraID> 7E7FB00</paraID>
      <start>0</start>
      <end>1</end>
      <status>unmodified</status>
      <modifiedWord/>
      <trackRevisions>false</trackRevisions>
    </reviewItem>
    <reviewItem>
      <errorID>7889dbed-44c4-4057-82dd-cf8145d5e830</errorID>
      <errorWord>1-3%</errorWord>
      <group>L1_Knowledge</group>
      <groupName>知识性问题</groupName>
      <ability>L2_Knowledge</ability>
      <abilityName>其他知识</abilityName>
      <candidateList>
        <item>1%—3%</item>
      </candidateList>
      <explain>1. “1-3%”中的单位“%”仅出现在后一个数字上，容易引起歧义；根据《现代汉语标点符号数字用法规范手册》，数字表示范围两边需要使用统一的格式。2. 根据标点国标 4.13 中的规则，数字、时间或地域连接符应使用（视觉上更长的）“—”或“～”。</explain>
      <paraID>2C0F14E9</paraID>
      <start>0</start>
      <end>4</end>
      <status>unmodified</status>
      <modifiedWord/>
      <trackRevisions>false</trackRevisions>
    </reviewItem>
    <reviewItem>
      <errorID>5d7b8272-e240-4b1c-938f-42e6e301f69b</errorID>
      <errorWord>（</errorWord>
      <group>L1_Format</group>
      <groupName>格式问题</groupName>
      <ability>L2_HalfPunc</ability>
      <abilityName>全半角检查</abilityName>
      <candidateList>
        <item>(</item>
      </candidateList>
      <explain>文本全半角错误。</explain>
      <paraID>473F63B7</paraID>
      <start>4</start>
      <end>5</end>
      <status>unmodified</status>
      <modifiedWord/>
      <trackRevisions>false</trackRevisions>
    </reviewItem>
    <reviewItem>
      <errorID>2e26462b-5b9f-40a5-957d-72ff3db41a30</errorID>
      <errorWord>）</errorWord>
      <group>L1_Format</group>
      <groupName>格式问题</groupName>
      <ability>L2_HalfPunc</ability>
      <abilityName>全半角检查</abilityName>
      <candidateList>
        <item>)</item>
      </candidateList>
      <explain>文本全半角错误。</explain>
      <paraID>473F63B7</paraID>
      <start>8</start>
      <end>9</end>
      <status>unmodified</status>
      <modifiedWord/>
      <trackRevisions>false</trackRevisions>
    </reviewItem>
    <reviewItem>
      <errorID>b2153124-7d56-42ac-8335-9d3e8a38916c</errorID>
      <errorWord>&gt;</errorWord>
      <group>L1_Punc</group>
      <groupName>标点问题</groupName>
      <ability>L2_Punc</ability>
      <abilityName>标点符号检查</abilityName>
      <candidateList/>
      <explain/>
      <paraID>65898D6A</paraID>
      <start>0</start>
      <end>1</end>
      <status>unmodified</status>
      <modifiedWord/>
      <trackRevisions>false</trackRevisions>
    </reviewItem>
    <reviewItem>
      <errorID>f3d24b68-6051-4c56-80a1-d14a38c00758</errorID>
      <errorWord>II</errorWord>
      <group>L1_Knowledge</group>
      <groupName>知识性问题</groupName>
      <ability>L2_Knowledge</ability>
      <abilityName>其他知识</abilityName>
      <candidateList>
        <item>Ⅱ</item>
      </candidateList>
      <explain/>
      <paraID>47F836FC</paraID>
      <start>29</start>
      <end>31</end>
      <status>unmodified</status>
      <modifiedWord/>
      <trackRevisions>false</trackRevisions>
    </reviewItem>
    <reviewItem>
      <errorID>44c046fc-5a9e-41b8-8cea-c71a88c5395b</errorID>
      <errorWord>IV</errorWord>
      <group>L1_Knowledge</group>
      <groupName>知识性问题</groupName>
      <ability>L2_Knowledge</ability>
      <abilityName>其他知识</abilityName>
      <candidateList>
        <item>Ⅳ</item>
      </candidateList>
      <explain/>
      <paraID>47F836FC</paraID>
      <start>32</start>
      <end>34</end>
      <status>unmodified</status>
      <modifiedWord/>
      <trackRevisions>false</trackRevisions>
    </reviewItem>
    <reviewItem>
      <errorID>69c01318-e632-431d-87c0-a57919d0481a</errorID>
      <errorWord>,</errorWord>
      <group>L1_Format</group>
      <groupName>格式问题</groupName>
      <ability>L2_HalfPunc</ability>
      <abilityName>全半角检查</abilityName>
      <candidateList>
        <item>，</item>
      </candidateList>
      <explain>文本全半角错误。</explain>
      <paraID>47F836FC</paraID>
      <start>110</start>
      <end>111</end>
      <status>unmodified</status>
      <modifiedWord/>
      <trackRevisions>false</trackRevisions>
    </reviewItem>
    <reviewItem>
      <errorID>8be63c96-9371-4708-81bf-365f096d764b</errorID>
      <errorWord>)</errorWord>
      <group>L1_Format</group>
      <groupName>格式问题</groupName>
      <ability>L2_HalfPunc</ability>
      <abilityName>全半角检查</abilityName>
      <candidateList>
        <item>）</item>
      </candidateList>
      <explain>文本全半角错误。</explain>
      <paraID>47F836FC</paraID>
      <start>162</start>
      <end>163</end>
      <status>unmodified</status>
      <modifiedWord/>
      <trackRevisions>false</trackRevisions>
    </reviewItem>
    <reviewItem>
      <errorID>29ac77ee-08a7-4f53-bb85-2f26cbe97efd</errorID>
      <errorWord>,</errorWord>
      <group>L1_Format</group>
      <groupName>格式问题</groupName>
      <ability>L2_HalfPunc</ability>
      <abilityName>全半角检查</abilityName>
      <candidateList>
        <item>，</item>
      </candidateList>
      <explain>文本全半角错误。</explain>
      <paraID>4CCF577E</paraID>
      <start>39</start>
      <end>40</end>
      <status>unmodified</status>
      <modifiedWord/>
      <trackRevisions>false</trackRevisions>
    </reviewItem>
    <reviewItem>
      <errorID>ec5ac17c-0ec2-4db3-bef0-d34d7720e736</errorID>
      <errorWord>,</errorWord>
      <group>L1_Format</group>
      <groupName>格式问题</groupName>
      <ability>L2_HalfPunc</ability>
      <abilityName>全半角检查</abilityName>
      <candidateList>
        <item>，</item>
      </candidateList>
      <explain>文本全半角错误。</explain>
      <paraID>4CCF577E</paraID>
      <start>47</start>
      <end>48</end>
      <status>unmodified</status>
      <modifiedWord/>
      <trackRevisions>false</trackRevisions>
    </reviewItem>
    <reviewItem>
      <errorID>898d2b96-9710-4c27-bf23-b73fbd36e05b</errorID>
      <errorWord>)</errorWord>
      <group>L1_Format</group>
      <groupName>格式问题</groupName>
      <ability>L2_HalfPunc</ability>
      <abilityName>全半角检查</abilityName>
      <candidateList>
        <item>）</item>
      </candidateList>
      <explain>文本全半角错误。</explain>
      <paraID>794A6A1A</paraID>
      <start>45</start>
      <end>46</end>
      <status>unmodified</status>
      <modifiedWord/>
      <trackRevisions>false</trackRevisions>
    </reviewItem>
    <reviewItem>
      <errorID>b46d20fd-e662-4db5-9386-28af465505a5</errorID>
      <errorWord>粘稠</errorWord>
      <group>L1_Word</group>
      <groupName>字词问题</groupName>
      <ability>L2_Typo</ability>
      <abilityName>字词错误</abilityName>
      <candidateList>
        <item>黏稠</item>
      </candidateList>
      <explain>存在发音相同字词的误用。</explain>
      <paraID>794A6A1A</paraID>
      <start>57</start>
      <end>59</end>
      <status>unmodified</status>
      <modifiedWord/>
      <trackRevisions>false</trackRevisions>
    </reviewItem>
    <reviewItem>
      <errorID>88f4ccc9-b22d-4165-b78d-c536568760d1</errorID>
      <errorWord>~</errorWord>
      <group>L1_Format</group>
      <groupName>格式问题</groupName>
      <ability>L2_HalfPunc</ability>
      <abilityName>全半角检查</abilityName>
      <candidateList>
        <item>～</item>
      </candidateList>
      <explain>文本全半角错误。</explain>
      <paraID>28A78A0C</paraID>
      <start>54</start>
      <end>55</end>
      <status>unmodified</status>
      <modifiedWord/>
      <trackRevisions>false</trackRevisions>
    </reviewItem>
    <reviewItem>
      <errorID>d66d99ca-275d-441b-b354-7167bc537968</errorID>
      <errorWord>(</errorWord>
      <group>L1_Format</group>
      <groupName>格式问题</groupName>
      <ability>L2_HalfPunc</ability>
      <abilityName>全半角检查</abilityName>
      <candidateList>
        <item>（</item>
      </candidateList>
      <explain>文本全半角错误。</explain>
      <paraID>28A78A0C</paraID>
      <start>211</start>
      <end>212</end>
      <status>unmodified</status>
      <modifiedWord/>
      <trackRevisions>false</trackRevisions>
    </reviewItem>
    <reviewItem>
      <errorID>b00d2305-f45d-4d0b-9cf8-09b2c1b303d7</errorID>
      <errorWord>)</errorWord>
      <group>L1_Format</group>
      <groupName>格式问题</groupName>
      <ability>L2_HalfPunc</ability>
      <abilityName>全半角检查</abilityName>
      <candidateList>
        <item>）</item>
      </candidateList>
      <explain>文本全半角错误。</explain>
      <paraID>28A78A0C</paraID>
      <start>233</start>
      <end>234</end>
      <status>unmodified</status>
      <modifiedWord/>
      <trackRevisions>false</trackRevisions>
    </reviewItem>
    <reviewItem>
      <errorID>932fbc0e-33e5-4169-912b-01cc944fef08</errorID>
      <errorWord>(</errorWord>
      <group>L1_Format</group>
      <groupName>格式问题</groupName>
      <ability>L2_HalfPunc</ability>
      <abilityName>全半角检查</abilityName>
      <candidateList>
        <item>（</item>
      </candidateList>
      <explain>文本全半角错误。</explain>
      <paraID>491F851F</paraID>
      <start>44</start>
      <end>45</end>
      <status>unmodified</status>
      <modifiedWord/>
      <trackRevisions>false</trackRevisions>
    </reviewItem>
    <reviewItem>
      <errorID>fc18c62d-2035-4dff-b139-84f69a4f75d2</errorID>
      <errorWord>)</errorWord>
      <group>L1_Format</group>
      <groupName>格式问题</groupName>
      <ability>L2_HalfPunc</ability>
      <abilityName>全半角检查</abilityName>
      <candidateList>
        <item>）</item>
      </candidateList>
      <explain>文本全半角错误。</explain>
      <paraID>491F851F</paraID>
      <start>51</start>
      <end>52</end>
      <status>unmodified</status>
      <modifiedWord/>
      <trackRevisions>false</trackRevisions>
    </reviewItem>
    <reviewItem>
      <errorID>5f6502b0-0397-43fb-8165-97f09f2453e1</errorID>
      <errorWord>另有</errorWord>
      <group>L1_Word</group>
      <groupName>字词问题</groupName>
      <ability>L2_Typo</ability>
      <abilityName>字词错误</abilityName>
      <candidateList>
        <item>具有</item>
      </candidateList>
      <explain>〈动〉有（多用于抽象事物）：～信心｜～伟大的意义。</explain>
      <paraID>491F851F</paraID>
      <start>60</start>
      <end>62</end>
      <status>modified</status>
      <modifiedWord>具有</modifiedWord>
      <trackRevisions>false</trackRevisions>
    </reviewItem>
    <reviewItem>
      <errorID>6c118c6b-4a8e-4e29-8d54-557ea17ad8f6</errorID>
      <errorWord>品</errorWord>
      <group>L1_Word</group>
      <groupName>字词问题</groupName>
      <ability>L2_Typo</ability>
      <abilityName>字词错误</abilityName>
      <candidateList>
        <item>晶</item>
      </candidateList>
      <explain/>
      <paraID>491F851F</paraID>
      <start>83</start>
      <end>84</end>
      <status>modified</status>
      <modifiedWord>晶</modifiedWord>
      <trackRevisions>false</trackRevisions>
    </reviewItem>
    <reviewItem>
      <errorID>5035b9c0-a12a-4a1a-98d7-5ceee1c8f47d</errorID>
      <errorWord>)</errorWord>
      <group>L1_Format</group>
      <groupName>格式问题</groupName>
      <ability>L2_HalfPunc</ability>
      <abilityName>全半角检查</abilityName>
      <candidateList>
        <item>）</item>
      </candidateList>
      <explain>文本全半角错误。</explain>
      <paraID>6B3D1A98</paraID>
      <start>160</start>
      <end>161</end>
      <status>modified</status>
      <modifiedWord>）</modifiedWord>
      <trackRevisions>false</trackRevisions>
    </reviewItem>
    <reviewItem>
      <errorID>7fd73a0b-5d5f-4d7b-bbc6-5890a88fd7ec</errorID>
      <errorWord>,</errorWord>
      <group>L1_Format</group>
      <groupName>格式问题</groupName>
      <ability>L2_HalfPunc</ability>
      <abilityName>全半角检查</abilityName>
      <candidateList>
        <item>，</item>
      </candidateList>
      <explain>文本全半角错误。</explain>
      <paraID>3B8BFAF9</paraID>
      <start>91</start>
      <end>92</end>
      <status>modified</status>
      <modifiedWord>，</modifiedWord>
      <trackRevisions>false</trackRevisions>
    </reviewItem>
    <reviewItem>
      <errorID>3e614e30-8439-43cb-9bc3-f89e8dc015fc</errorID>
      <errorWord>,</errorWord>
      <group>L1_Format</group>
      <groupName>格式问题</groupName>
      <ability>L2_HalfPunc</ability>
      <abilityName>全半角检查</abilityName>
      <candidateList>
        <item>，</item>
      </candidateList>
      <explain>文本全半角错误。</explain>
      <paraID>3B8BFAF9</paraID>
      <start>100</start>
      <end>101</end>
      <status>modified</status>
      <modifiedWord>，</modifiedWord>
      <trackRevisions>false</trackRevisions>
    </reviewItem>
    <reviewItem>
      <errorID>3227a0fc-697e-43b7-bdc5-fa7fea915392</errorID>
      <errorWord>:</errorWord>
      <group>L1_Format</group>
      <groupName>格式问题</groupName>
      <ability>L2_HalfPunc</ability>
      <abilityName>全半角检查</abilityName>
      <candidateList>
        <item>：</item>
      </candidateList>
      <explain>文本全半角错误。</explain>
      <paraID>5EB3F547</paraID>
      <start>2</start>
      <end>3</end>
      <status>modified</status>
      <modifiedWord>：</modifiedWord>
      <trackRevisions>false</trackRevisions>
    </reviewItem>
    <reviewItem>
      <errorID>4670475a-d4c7-4053-a80d-1a5419cf5d10</errorID>
      <errorWord>80-85%</errorWord>
      <group>L1_Knowledge</group>
      <groupName>知识性问题</groupName>
      <ability>L2_Knowledge</ability>
      <abilityName>其他知识</abilityName>
      <candidateList>
        <item>80%—85%</item>
      </candidateList>
      <explain>1. “80-85%”中的单位“%”仅出现在后一个数字上，容易引起歧义；根据《现代汉语标点符号数字用法规范手册》，数字表示范围两边需要使用统一的格式。2. 根据标点国标 4.13 中的规则，数字、时间或地域连接符应使用（视觉上更长的）“—”或“～”。</explain>
      <paraID> 6BA4301</paraID>
      <start>7</start>
      <end>13</end>
      <status>unmodified</status>
      <modifiedWord/>
      <trackRevisions>false</trackRevisions>
    </reviewItem>
    <reviewItem>
      <errorID>92a154b5-1a22-42b2-ade5-78e68eb78527</errorID>
      <errorWord>1-3%</errorWord>
      <group>L1_Knowledge</group>
      <groupName>知识性问题</groupName>
      <ability>L2_Knowledge</ability>
      <abilityName>其他知识</abilityName>
      <candidateList>
        <item>1%—3%</item>
      </candidateList>
      <explain>1. “1-3%”中的单位“%”仅出现在后一个数字上，容易引起歧义；根据《现代汉语标点符号数字用法规范手册》，数字表示范围两边需要使用统一的格式。2. 根据标点国标 4.13 中的规则，数字、时间或地域连接符应使用（视觉上更长的）“—”或“～”。</explain>
      <paraID> 6BA4301</paraID>
      <start>49</start>
      <end>53</end>
      <status>unmodified</status>
      <modifiedWord/>
      <trackRevisions>false</trackRevisions>
    </reviewItem>
    <reviewItem>
      <errorID>4442d227-e1f5-488e-91d9-3667bfde5707</errorID>
      <errorWord>刻划</errorWord>
      <group>L1_Word</group>
      <groupName>字词问题</groupName>
      <ability>L2_Variant</ability>
      <abilityName>异形词</abilityName>
      <candidateList>
        <item>刻画</item>
      </candidateList>
      <explain>词汇[刻划]的规范词形写作[刻画]。</explain>
      <paraID>6E7527F0</paraID>
      <start>0</start>
      <end>2</end>
      <status>unmodified</status>
      <modifiedWord/>
      <trackRevisions>false</trackRevisions>
    </reviewItem>
    <reviewItem>
      <errorID>2dd1407e-c70e-47a7-8ebd-4ef7cec591ad</errorID>
      <errorWord>刻划</errorWord>
      <group>L1_Word</group>
      <groupName>字词问题</groupName>
      <ability>L2_Variant</ability>
      <abilityName>异形词</abilityName>
      <candidateList>
        <item>刻画</item>
      </candidateList>
      <explain>词汇[刻划]的规范词形写作[刻画]。</explain>
      <paraID>7F089861</paraID>
      <start>2</start>
      <end>4</end>
      <status>unmodified</status>
      <modifiedWord/>
      <trackRevisions>false</trackRevisions>
    </reviewItem>
    <reviewItem>
      <errorID>f5ecff44-925f-4ef7-ba1a-dcdad563af70</errorID>
      <errorWord>刻划</errorWord>
      <group>L1_Word</group>
      <groupName>字词问题</groupName>
      <ability>L2_Variant</ability>
      <abilityName>异形词</abilityName>
      <candidateList>
        <item>刻画</item>
      </candidateList>
      <explain>词汇[刻划]的规范词形写作[刻画]。</explain>
      <paraID>138E0A0A</paraID>
      <start>0</start>
      <end>2</end>
      <status>unmodified</status>
      <modifiedWord/>
      <trackRevisions>false</trackRevisions>
    </reviewItem>
    <reviewItem>
      <errorID>82fd6153-66f6-4ca3-b7eb-ed58f2b0eb9b</errorID>
      <errorWord>刻划</errorWord>
      <group>L1_Word</group>
      <groupName>字词问题</groupName>
      <ability>L2_Variant</ability>
      <abilityName>异形词</abilityName>
      <candidateList>
        <item>刻画</item>
      </candidateList>
      <explain>词汇[刻划]的规范词形写作[刻画]。</explain>
      <paraID>40219DAB</paraID>
      <start>0</start>
      <end>2</end>
      <status>unmodified</status>
      <modifiedWord/>
      <trackRevisions>false</trackRevisions>
    </reviewItem>
    <reviewItem>
      <errorID>c23d287c-a73f-4d57-a15f-190cb0575f21</errorID>
      <errorWord>刻划</errorWord>
      <group>L1_Word</group>
      <groupName>字词问题</groupName>
      <ability>L2_Variant</ability>
      <abilityName>异形词</abilityName>
      <candidateList>
        <item>刻画</item>
      </candidateList>
      <explain>词汇[刻划]的规范词形写作[刻画]。</explain>
      <paraID> 6E41372</paraID>
      <start>0</start>
      <end>2</end>
      <status>unmodified</status>
      <modifiedWord/>
      <trackRevisions>false</trackRevisions>
    </reviewItem>
    <reviewItem>
      <errorID>a20a87f8-334d-4f67-89b6-d44846edf9e2</errorID>
      <errorWord>刻划</errorWord>
      <group>L1_Word</group>
      <groupName>字词问题</groupName>
      <ability>L2_Variant</ability>
      <abilityName>异形词</abilityName>
      <candidateList>
        <item>刻画</item>
      </candidateList>
      <explain>词汇[刻划]的规范词形写作[刻画]。</explain>
      <paraID>5674734B</paraID>
      <start>0</start>
      <end>2</end>
      <status>unmodified</status>
      <modifiedWord/>
      <trackRevisions>false</trackRevisions>
    </reviewItem>
    <reviewItem>
      <errorID>d05d6c9d-50f8-4f0c-a8ce-86912d3c3d97</errorID>
      <errorWord>刻划</errorWord>
      <group>L1_Word</group>
      <groupName>字词问题</groupName>
      <ability>L2_Variant</ability>
      <abilityName>异形词</abilityName>
      <candidateList>
        <item>刻画</item>
      </candidateList>
      <explain>词汇[刻划]的规范词形写作[刻画]。</explain>
      <paraID>7127F170</paraID>
      <start>0</start>
      <end>2</end>
      <status>unmodified</status>
      <modifiedWord/>
      <trackRevisions>false</trackRevisions>
    </reviewItem>
    <reviewItem>
      <errorID>f68459ab-57e7-4301-825b-4cfe4c778481</errorID>
      <errorWord>刻划</errorWord>
      <group>L1_Word</group>
      <groupName>字词问题</groupName>
      <ability>L2_Variant</ability>
      <abilityName>异形词</abilityName>
      <candidateList>
        <item>刻画</item>
      </candidateList>
      <explain>词汇[刻划]的规范词形写作[刻画]。</explain>
      <paraID>61F437A3</paraID>
      <start>0</start>
      <end>2</end>
      <status>unmodified</status>
      <modifiedWord/>
      <trackRevisions>false</trackRevisions>
    </reviewItem>
    <reviewItem>
      <errorID>468e6e7b-ef1f-4de8-959b-8e7d0598c50e</errorID>
      <errorWord>涉及到</errorWord>
      <group>L1_Grammar</group>
      <groupName>语法问题</groupName>
      <ability>L2_Grammar</ability>
      <abilityName>语法错误</abilityName>
      <candidateList>
        <item>涉及</item>
      </candidateList>
      <explain>〈动〉牵涉到；关联到：案子～好几个人｜这个问题～面很广。</explain>
      <paraID>7813AB70</paraID>
      <start>19</start>
      <end>22</end>
      <status>unmodified</status>
      <modifiedWord/>
      <trackRevisions>false</trackRevisions>
    </reviewItem>
    <reviewItem>
      <errorID>bf8229c6-c605-4bcc-a418-9b10373318bf</errorID>
      <errorWord>一</errorWord>
      <group>L1_Word</group>
      <groupName>字词问题</groupName>
      <ability>L2_Typo</ability>
      <abilityName>字词错误</abilityName>
      <candidateList>
        <item>一道</item>
      </candidateList>
      <explain>（～儿）〈副〉一同；一路❸：～走｜～工作。</explain>
      <paraID>71F38EC3</paraID>
      <start>40</start>
      <end>41</end>
      <status>unmodified</status>
      <modifiedWord/>
      <trackRevisions>false</trackRevisions>
    </reviewItem>
    <reviewItem>
      <errorID>4169148e-30ce-41a2-ba65-8060b3ba52de</errorID>
      <errorWord>用于</errorWord>
      <group>L1_Word</group>
      <groupName>字词问题</groupName>
      <ability>L2_Typo</ability>
      <abilityName>字词错误</abilityName>
      <candidateList>
        <item>用</item>
      </candidateList>
      <explain/>
      <paraID> A99DF8D</paraID>
      <start>206</start>
      <end>207</end>
      <status>modified</status>
      <modifiedWord>用</modifiedWord>
      <trackRevisions>false</trackRevisions>
    </reviewItem>
    <reviewItem>
      <errorID>303f9ef9-bc99-440c-ba56-ec1508c64874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7DBF6128</paraID>
      <start>0</start>
      <end>2</end>
      <status>unmodified</status>
      <modifiedWord/>
      <trackRevisions>false</trackRevisions>
    </reviewItem>
    <reviewItem>
      <errorID>d0f20e40-bc1f-4b48-9605-07135f18af91</errorID>
      <errorWord>一</errorWord>
      <group>L1_Word</group>
      <groupName>字词问题</groupName>
      <ability>L2_Typo</ability>
      <abilityName>字词错误</abilityName>
      <candidateList>
        <item>一道</item>
      </candidateList>
      <explain>（～儿）〈副〉一同；一路❸：～走｜～工作。</explain>
      <paraID>2EE3B6D9</paraID>
      <start>14</start>
      <end>15</end>
      <status>unmodified</status>
      <modifiedWord/>
      <trackRevisions>false</trackRevisions>
    </reviewItem>
    <reviewItem>
      <errorID>13be498e-15eb-43f1-b350-d7d0e8581cf3</errorID>
      <errorWord>清洗后</errorWord>
      <group>L1_Word</group>
      <groupName>字词问题</groupName>
      <ability>L2_Typo</ability>
      <abilityName>字词错误</abilityName>
      <candidateList>
        <item>清洗</item>
      </candidateList>
      <explain/>
      <paraID>5BACA874</paraID>
      <start>119</start>
      <end>121</end>
      <status>modified</status>
      <modifiedWord>清洗</modifiedWord>
      <trackRevisions>false</trackRevisions>
    </reviewItem>
    <reviewItem>
      <errorID>538e57d2-695e-41ae-9c22-abcf3e9b727a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5DFE8287</paraID>
      <start>0</start>
      <end>2</end>
      <status>unmodified</status>
      <modifiedWord/>
      <trackRevisions>false</trackRevisions>
    </reviewItem>
    <reviewItem>
      <errorID>7109f6bf-b253-4602-bf0e-195f95fb0cc0</errorID>
      <errorWord>来自于</errorWord>
      <group>L1_Grammar</group>
      <groupName>语法问题</groupName>
      <ability>L2_Grammar</ability>
      <abilityName>语法错误</abilityName>
      <candidateList>
        <item>来自</item>
      </candidateList>
      <explain/>
      <paraID>401D4DCE</paraID>
      <start>5</start>
      <end>8</end>
      <status>unmodified</status>
      <modifiedWord/>
      <trackRevisions>false</trackRevisions>
    </reviewItem>
    <reviewItem>
      <errorID>fc652545-93cb-4da0-a1c9-32102c184a63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47CFDF2B</paraID>
      <start>0</start>
      <end>2</end>
      <status>unmodified</status>
      <modifiedWord/>
      <trackRevisions>false</trackRevisions>
    </reviewItem>
    <reviewItem>
      <errorID>78319687-8fd7-4fc0-b2ca-d0542c226a18</errorID>
      <errorWord>：</errorWord>
      <group>L1_Format</group>
      <groupName>格式问题</groupName>
      <ability>L2_HalfPunc</ability>
      <abilityName>全半角检查</abilityName>
      <candidateList>
        <item>:</item>
      </candidateList>
      <explain>文本全半角错误。</explain>
      <paraID>45EF6675</paraID>
      <start>224</start>
      <end>225</end>
      <status>unmodified</status>
      <modifiedWord/>
      <trackRevisions>false</trackRevisions>
    </reviewItem>
    <reviewItem>
      <errorID>a9b6e709-cbcd-4e74-a72e-bd82b481794c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211A7184</paraID>
      <start>0</start>
      <end>2</end>
      <status>unmodified</status>
      <modifiedWord/>
      <trackRevisions>false</trackRevisions>
    </reviewItem>
    <reviewItem>
      <errorID>473b2400-94b3-4bb7-9a73-ef5425501334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44E7D32A</paraID>
      <start>326</start>
      <end>327</end>
      <status>unmodified</status>
      <modifiedWord/>
      <trackRevisions>false</trackRevisions>
    </reviewItem>
    <reviewItem>
      <errorID>26410ab4-bb3e-4992-92b3-3f95da6edad8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7E77886</paraID>
      <start>0</start>
      <end>2</end>
      <status>unmodified</status>
      <modifiedWord/>
      <trackRevisions>false</trackRevisions>
    </reviewItem>
    <reviewItem>
      <errorID>8032d471-d3c7-47b4-928a-d0ffe911b68d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17DB50F1</paraID>
      <start>0</start>
      <end>2</end>
      <status>unmodified</status>
      <modifiedWord/>
      <trackRevisions>false</trackRevisions>
    </reviewItem>
    <reviewItem>
      <errorID>20a5f6b6-2545-42cd-b82c-0b378f70ef7c</errorID>
      <errorWord>；</errorWord>
      <group>L1_Word</group>
      <groupName>字词问题</groupName>
      <ability>L2_Typo</ability>
      <abilityName>字词错误</abilityName>
      <candidateList>
        <item>；在</item>
      </candidateList>
      <explain/>
      <paraID>29C25468</paraID>
      <start>124</start>
      <end>125</end>
      <status>unmodified</status>
      <modifiedWord/>
      <trackRevisions>false</trackRevisions>
    </reviewItem>
    <reviewItem>
      <errorID>31e334b2-961c-4fc0-80d6-e007d2b3bbcb</errorID>
      <errorWord>-</errorWord>
      <group>L1_Format</group>
      <groupName>格式问题</groupName>
      <ability>L2_HalfPunc</ability>
      <abilityName>全半角检查</abilityName>
      <candidateList>
        <item>－</item>
      </candidateList>
      <explain>文本全半角错误。</explain>
      <paraID>13E43AE9</paraID>
      <start>358</start>
      <end>359</end>
      <status>unmodified</status>
      <modifiedWord/>
      <trackRevisions>false</trackRevisions>
    </reviewItem>
    <reviewItem>
      <errorID>a32b0d53-8416-46ae-9591-e378248e2e6d</errorID>
      <errorWord>(</errorWord>
      <group>L1_Format</group>
      <groupName>格式问题</groupName>
      <ability>L2_HalfPunc</ability>
      <abilityName>全半角检查</abilityName>
      <candidateList>
        <item>（</item>
      </candidateList>
      <explain>文本全半角错误。</explain>
      <paraID>13E43AE9</paraID>
      <start>565</start>
      <end>566</end>
      <status>unmodified</status>
      <modifiedWord/>
      <trackRevisions>false</trackRevisions>
    </reviewItem>
    <reviewItem>
      <errorID>6f22cd8d-de7c-4aa0-8a74-2c8223cf06ba</errorID>
      <errorWord>)</errorWord>
      <group>L1_Format</group>
      <groupName>格式问题</groupName>
      <ability>L2_HalfPunc</ability>
      <abilityName>全半角检查</abilityName>
      <candidateList>
        <item>）</item>
      </candidateList>
      <explain>文本全半角错误。</explain>
      <paraID>13E43AE9</paraID>
      <start>570</start>
      <end>571</end>
      <status>unmodified</status>
      <modifiedWord/>
      <trackRevisions>false</trackRevisions>
    </reviewItem>
    <reviewItem>
      <errorID>62ddff4c-2d5c-4466-873c-2c30ced01ddd</errorID>
      <errorWord>(</errorWord>
      <group>L1_Format</group>
      <groupName>格式问题</groupName>
      <ability>L2_HalfPunc</ability>
      <abilityName>全半角检查</abilityName>
      <candidateList>
        <item>（</item>
      </candidateList>
      <explain>文本全半角错误。</explain>
      <paraID>13E43AE9</paraID>
      <start>575</start>
      <end>576</end>
      <status>unmodified</status>
      <modifiedWord/>
      <trackRevisions>false</trackRevisions>
    </reviewItem>
    <reviewItem>
      <errorID>d1706936-12c8-4281-bc3f-51512e7337fe</errorID>
      <errorWord>)</errorWord>
      <group>L1_Format</group>
      <groupName>格式问题</groupName>
      <ability>L2_HalfPunc</ability>
      <abilityName>全半角检查</abilityName>
      <candidateList>
        <item>）</item>
      </candidateList>
      <explain>文本全半角错误。</explain>
      <paraID>13E43AE9</paraID>
      <start>580</start>
      <end>581</end>
      <status>unmodified</status>
      <modifiedWord/>
      <trackRevisions>false</trackRevisions>
    </reviewItem>
    <reviewItem>
      <errorID>7224ea0e-dfe4-411f-bfd4-0af9169a977c</errorID>
      <errorWord>(</errorWord>
      <group>L1_Format</group>
      <groupName>格式问题</groupName>
      <ability>L2_HalfPunc</ability>
      <abilityName>全半角检查</abilityName>
      <candidateList>
        <item>（</item>
      </candidateList>
      <explain>文本全半角错误。</explain>
      <paraID>13E43AE9</paraID>
      <start>588</start>
      <end>589</end>
      <status>unmodified</status>
      <modifiedWord/>
      <trackRevisions>false</trackRevisions>
    </reviewItem>
    <reviewItem>
      <errorID>829836d5-cd92-49f5-8598-3bf66900e600</errorID>
      <errorWord>)</errorWord>
      <group>L1_Format</group>
      <groupName>格式问题</groupName>
      <ability>L2_HalfPunc</ability>
      <abilityName>全半角检查</abilityName>
      <candidateList>
        <item>）</item>
      </candidateList>
      <explain>文本全半角错误。</explain>
      <paraID>13E43AE9</paraID>
      <start>593</start>
      <end>594</end>
      <status>unmodified</status>
      <modifiedWord/>
      <trackRevisions>false</trackRevisions>
    </reviewItem>
    <reviewItem>
      <errorID>9f684f56-ec74-4df3-9cf4-01534c134969</errorID>
      <errorWord>(</errorWord>
      <group>L1_Format</group>
      <groupName>格式问题</groupName>
      <ability>L2_HalfPunc</ability>
      <abilityName>全半角检查</abilityName>
      <candidateList>
        <item>（</item>
      </candidateList>
      <explain>文本全半角错误。</explain>
      <paraID>519E1FB4</paraID>
      <start>10</start>
      <end>11</end>
      <status>unmodified</status>
      <modifiedWord/>
      <trackRevisions>false</trackRevisions>
    </reviewItem>
    <reviewItem>
      <errorID>62849476-591f-4db7-9725-625879cba3a3</errorID>
      <errorWord>)</errorWord>
      <group>L1_Format</group>
      <groupName>格式问题</groupName>
      <ability>L2_HalfPunc</ability>
      <abilityName>全半角检查</abilityName>
      <candidateList>
        <item>）</item>
      </candidateList>
      <explain>文本全半角错误。</explain>
      <paraID>519E1FB4</paraID>
      <start>15</start>
      <end>16</end>
      <status>unmodified</status>
      <modifiedWord/>
      <trackRevisions>false</trackRevisions>
    </reviewItem>
    <reviewItem>
      <errorID>b26d9157-e166-4961-b07a-310cdf65616a</errorID>
      <errorWord>(</errorWord>
      <group>L1_Format</group>
      <groupName>格式问题</groupName>
      <ability>L2_HalfPunc</ability>
      <abilityName>全半角检查</abilityName>
      <candidateList>
        <item>（</item>
      </candidateList>
      <explain>文本全半角错误。</explain>
      <paraID> 3BC2D1B</paraID>
      <start>6</start>
      <end>7</end>
      <status>unmodified</status>
      <modifiedWord/>
      <trackRevisions>false</trackRevisions>
    </reviewItem>
    <reviewItem>
      <errorID>4c875f0c-e91f-486a-8c7a-9a56bb404d25</errorID>
      <errorWord>)</errorWord>
      <group>L1_Format</group>
      <groupName>格式问题</groupName>
      <ability>L2_HalfPunc</ability>
      <abilityName>全半角检查</abilityName>
      <candidateList>
        <item>）</item>
      </candidateList>
      <explain>文本全半角错误。</explain>
      <paraID> 3BC2D1B</paraID>
      <start>11</start>
      <end>12</end>
      <status>unmodified</status>
      <modifiedWord/>
      <trackRevisions>false</trackRevisions>
    </reviewItem>
    <reviewItem>
      <errorID>25677139-6d03-4915-a331-d960449442e5</errorID>
      <errorWord>(</errorWord>
      <group>L1_Format</group>
      <groupName>格式问题</groupName>
      <ability>L2_HalfPunc</ability>
      <abilityName>全半角检查</abilityName>
      <candidateList>
        <item>（</item>
      </candidateList>
      <explain>文本全半角错误。</explain>
      <paraID>259D27B0</paraID>
      <start>6</start>
      <end>7</end>
      <status>unmodified</status>
      <modifiedWord/>
      <trackRevisions>false</trackRevisions>
    </reviewItem>
    <reviewItem>
      <errorID>2bb9d616-91a9-4b68-9e66-1e0d7cdab142</errorID>
      <errorWord>)</errorWord>
      <group>L1_Format</group>
      <groupName>格式问题</groupName>
      <ability>L2_HalfPunc</ability>
      <abilityName>全半角检查</abilityName>
      <candidateList>
        <item>）</item>
      </candidateList>
      <explain>文本全半角错误。</explain>
      <paraID>259D27B0</paraID>
      <start>11</start>
      <end>12</end>
      <status>unmodified</status>
      <modifiedWord/>
      <trackRevisions>false</trackRevisions>
    </reviewItem>
    <reviewItem>
      <errorID>373c13f6-2275-4d22-9e95-1e1657fae87f</errorID>
      <errorWord>所要</errorWord>
      <group>L1_Word</group>
      <groupName>字词问题</groupName>
      <ability>L2_Typo</ability>
      <abilityName>字词错误</abilityName>
      <candidateList>
        <item>所</item>
      </candidateList>
      <explain/>
      <paraID>522D535A</paraID>
      <start>4</start>
      <end>6</end>
      <status>unmodified</status>
      <modifiedWord/>
      <trackRevisions>false</trackRevisions>
    </reviewItem>
    <reviewItem>
      <errorID>787bdb77-fe13-4ed1-bbf6-4ecc702e07da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5520598A</paraID>
      <start>0</start>
      <end>2</end>
      <status>unmodified</status>
      <modifiedWord/>
      <trackRevisions>false</trackRevisions>
    </reviewItem>
    <reviewItem>
      <errorID>2830d009-dae0-4799-b41a-b0fc82df0aec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1B432B33</paraID>
      <start>0</start>
      <end>2</end>
      <status>unmodified</status>
      <modifiedWord/>
      <trackRevisions>false</trackRevisions>
    </reviewItem>
    <reviewItem>
      <errorID>81b34844-a5ce-4707-8343-94fbe8ec45ac</errorID>
      <errorWord>~</errorWord>
      <group>L1_Format</group>
      <groupName>格式问题</groupName>
      <ability>L2_HalfPunc</ability>
      <abilityName>全半角检查</abilityName>
      <candidateList>
        <item>～</item>
      </candidateList>
      <explain>文本全半角错误。</explain>
      <paraID>5BC03C1B</paraID>
      <start>202</start>
      <end>203</end>
      <status>unmodified</status>
      <modifiedWord/>
      <trackRevisions>false</trackRevisions>
    </reviewItem>
    <reviewItem>
      <errorID>a104c8a9-04cf-4236-ab23-28d717ee8373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F1A3F2D</paraID>
      <start>0</start>
      <end>2</end>
      <status>unmodified</status>
      <modifiedWord/>
      <trackRevisions>false</trackRevisions>
    </reviewItem>
    <reviewItem>
      <errorID>847204ef-8b9d-4caa-8c0f-35e82398017d</errorID>
      <errorWord>刻划</errorWord>
      <group>L1_Word</group>
      <groupName>字词问题</groupName>
      <ability>L2_Variant</ability>
      <abilityName>异形词</abilityName>
      <candidateList>
        <item>刻画</item>
      </candidateList>
      <explain>词汇[刻划]的规范词形写作[刻画]。</explain>
      <paraID> F1A3F2D</paraID>
      <start>8</start>
      <end>10</end>
      <status>unmodified</status>
      <modifiedWord/>
      <trackRevisions>false</trackRevisions>
    </reviewItem>
    <reviewItem>
      <errorID>90b33508-3be8-4149-81f6-32bfed6390b7</errorID>
      <errorWord>一</errorWord>
      <group>L1_Word</group>
      <groupName>字词问题</groupName>
      <ability>L2_Typo</ability>
      <abilityName>字词错误</abilityName>
      <candidateList>
        <item>一道</item>
      </candidateList>
      <explain>（～儿）〈副〉一同；一路❸：～走｜～工作。</explain>
      <paraID> E75DD18</paraID>
      <start>32</start>
      <end>33</end>
      <status>unmodified</status>
      <modifiedWord/>
      <trackRevisions>false</trackRevisions>
    </reviewItem>
    <reviewItem>
      <errorID>d7458708-e2e0-49ff-876f-0987e5065e9c</errorID>
      <errorWord>有</errorWord>
      <group>L1_Word</group>
      <groupName>字词问题</groupName>
      <ability>L2_Typo</ability>
      <abilityName>字词错误</abilityName>
      <candidateList>
        <item>由</item>
      </candidateList>
      <explain>存在发音相同字词的误用。</explain>
      <paraID> E75DD18</paraID>
      <start>81</start>
      <end>82</end>
      <status>unmodified</status>
      <modifiedWord/>
      <trackRevisions>false</trackRevisions>
    </reviewItem>
    <reviewItem>
      <errorID>96b6726b-e538-4761-bad1-da7e922ff5fc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69DFC3C6</paraID>
      <start>0</start>
      <end>2</end>
      <status>unmodified</status>
      <modifiedWord/>
      <trackRevisions>false</trackRevisions>
    </reviewItem>
    <reviewItem>
      <errorID>ee5c9e6f-c0f7-41ef-9e11-aa3611a79a56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27D171B1</paraID>
      <start>37</start>
      <end>38</end>
      <status>unmodified</status>
      <modifiedWord/>
      <trackRevisions>false</trackRevisions>
    </reviewItem>
    <reviewItem>
      <errorID>f4f1391b-fd20-4d8c-95b7-5bde877126a7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75B16340</paraID>
      <start>0</start>
      <end>2</end>
      <status>unmodified</status>
      <modifiedWord/>
      <trackRevisions>false</trackRevisions>
    </reviewItem>
    <reviewItem>
      <errorID>37176388-b1c3-4473-ba31-982bafc55d60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1464D9BB</paraID>
      <start>0</start>
      <end>2</end>
      <status>unmodified</status>
      <modifiedWord/>
      <trackRevisions>false</trackRevisions>
    </reviewItem>
    <reviewItem>
      <errorID>19c7eb30-7066-4d35-a64f-54e4f250f731</errorID>
      <errorWord>刻划</errorWord>
      <group>L1_Word</group>
      <groupName>字词问题</groupName>
      <ability>L2_Variant</ability>
      <abilityName>异形词</abilityName>
      <candidateList>
        <item>刻画</item>
      </candidateList>
      <explain>词汇[刻划]的规范词形写作[刻画]。</explain>
      <paraID>1464D9BB</paraID>
      <start>2</start>
      <end>4</end>
      <status>unmodified</status>
      <modifiedWord/>
      <trackRevisions>false</trackRevisions>
    </reviewItem>
    <reviewItem>
      <errorID>d45ee1fe-361a-45eb-ac71-64501c59dd85</errorID>
      <errorWord>(</errorWord>
      <group>L1_Format</group>
      <groupName>格式问题</groupName>
      <ability>L2_HalfPunc</ability>
      <abilityName>全半角检查</abilityName>
      <candidateList>
        <item>（</item>
      </candidateList>
      <explain>文本全半角错误。</explain>
      <paraID>351E983D</paraID>
      <start>40</start>
      <end>41</end>
      <status>unmodified</status>
      <modifiedWord/>
      <trackRevisions>false</trackRevisions>
    </reviewItem>
    <reviewItem>
      <errorID>12c0a1ba-c6fe-4e3c-8500-50ba2b3be454</errorID>
      <errorWord>)</errorWord>
      <group>L1_Format</group>
      <groupName>格式问题</groupName>
      <ability>L2_HalfPunc</ability>
      <abilityName>全半角检查</abilityName>
      <candidateList>
        <item>）</item>
      </candidateList>
      <explain>文本全半角错误。</explain>
      <paraID>351E983D</paraID>
      <start>61</start>
      <end>62</end>
      <status>unmodified</status>
      <modifiedWord/>
      <trackRevisions>false</trackRevisions>
    </reviewItem>
    <reviewItem>
      <errorID>52e32601-be33-4eae-8666-3b6d85f0a164</errorID>
      <errorWord>距离为</errorWord>
      <group>L1_Word</group>
      <groupName>字词问题</groupName>
      <ability>L2_Typo</ability>
      <abilityName>字词错误</abilityName>
      <candidateList>
        <item>距离</item>
      </candidateList>
      <explain>❶〈动〉在空间或时间上相隔：天津～北京约有一百二十公里｜现在～唐代已经有一千多年。❷〈名〉相隔的长度：等～｜拉开一定的～◇他的看法和你有～。</explain>
      <paraID>351E983D</paraID>
      <start>167</start>
      <end>169</end>
      <status>modified</status>
      <modifiedWord>距离</modifiedWord>
      <trackRevisions>false</trackRevisions>
    </reviewItem>
    <reviewItem>
      <errorID>04c5a246-df18-40e8-8d48-bb756c020c4e</errorID>
      <errorWord>紫外光</errorWord>
      <group>L1_Word</group>
      <groupName>字词问题</groupName>
      <ability>L2_Typo</ability>
      <abilityName>字词错误</abilityName>
      <candidateList>
        <item>紫外线</item>
      </candidateList>
      <explain/>
      <paraID> F8778E5</paraID>
      <start>5</start>
      <end>8</end>
      <status>unmodified</status>
      <modifiedWord/>
      <trackRevisions>false</trackRevisions>
    </reviewItem>
    <reviewItem>
      <errorID>0d3fefce-0628-4f1d-8bf7-839a1c96be11</errorID>
      <errorWord>~</errorWord>
      <group>L1_Format</group>
      <groupName>格式问题</groupName>
      <ability>L2_HalfPunc</ability>
      <abilityName>全半角检查</abilityName>
      <candidateList>
        <item>～</item>
      </candidateList>
      <explain>文本全半角错误。</explain>
      <paraID> F8778E5</paraID>
      <start>55</start>
      <end>56</end>
      <status>unmodified</status>
      <modifiedWord/>
      <trackRevisions>false</trackRevisions>
    </reviewItem>
    <reviewItem>
      <errorID>fa23598a-691c-476c-b727-6e9206150c67</errorID>
      <errorWord>(</errorWord>
      <group>L1_Format</group>
      <groupName>格式问题</groupName>
      <ability>L2_HalfPunc</ability>
      <abilityName>全半角检查</abilityName>
      <candidateList>
        <item>（</item>
      </candidateList>
      <explain>文本全半角错误。</explain>
      <paraID>1DE87FBD</paraID>
      <start>49</start>
      <end>50</end>
      <status>unmodified</status>
      <modifiedWord/>
      <trackRevisions>false</trackRevisions>
    </reviewItem>
    <reviewItem>
      <errorID>a9279346-e84c-4207-947f-f3b9e73f4cf6</errorID>
      <errorWord>)</errorWord>
      <group>L1_Format</group>
      <groupName>格式问题</groupName>
      <ability>L2_HalfPunc</ability>
      <abilityName>全半角检查</abilityName>
      <candidateList>
        <item>）</item>
      </candidateList>
      <explain>文本全半角错误。</explain>
      <paraID>1DE87FBD</paraID>
      <start>70</start>
      <end>71</end>
      <status>unmodified</status>
      <modifiedWord/>
      <trackRevisions>false</trackRevisions>
    </reviewItem>
    <reviewItem>
      <errorID>33ab7ca5-c302-433e-b89f-e7b91af843c9</errorID>
      <errorWord>刻划</errorWord>
      <group>L1_Word</group>
      <groupName>字词问题</groupName>
      <ability>L2_Variant</ability>
      <abilityName>异形词</abilityName>
      <candidateList>
        <item>刻画</item>
      </candidateList>
      <explain>词汇[刻划]的规范词形写作[刻画]。</explain>
      <paraID>1DE87FBD</paraID>
      <start>76</start>
      <end>78</end>
      <status>unmodified</status>
      <modifiedWord/>
      <trackRevisions>false</trackRevisions>
    </reviewItem>
    <reviewItem>
      <errorID>4058f286-c8ee-4828-9187-3d75bfb6e79d</errorID>
      <errorWord>刻划成</errorWord>
      <group>L1_Word</group>
      <groupName>字词问题</groupName>
      <ability>L2_Variant</ability>
      <abilityName>异形词</abilityName>
      <candidateList>
        <item>刻画成</item>
      </candidateList>
      <explain>词汇[刻划成]的规范词形写作[刻画成]。</explain>
      <paraID>1DE87FBD</paraID>
      <start>126</start>
      <end>129</end>
      <status>unmodified</status>
      <modifiedWord/>
      <trackRevisions>false</trackRevisions>
    </reviewItem>
    <reviewItem>
      <errorID>60398e52-cb18-46fa-b044-7cc67aeb95c6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10EF669B</paraID>
      <start>0</start>
      <end>2</end>
      <status>unmodified</status>
      <modifiedWord/>
      <trackRevisions>false</trackRevisions>
    </reviewItem>
    <reviewItem>
      <errorID>d37acebb-a824-4f6e-b765-d3b56242ec12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1A6A359C</paraID>
      <start>62</start>
      <end>63</end>
      <status>unmodified</status>
      <modifiedWord/>
      <trackRevisions>false</trackRevisions>
    </reviewItem>
    <reviewItem>
      <errorID>f87d4bfd-e3b0-4f50-84d2-4bf5e1997904</errorID>
      <errorWord>(</errorWord>
      <group>L1_Format</group>
      <groupName>格式问题</groupName>
      <ability>L2_HalfPunc</ability>
      <abilityName>全半角检查</abilityName>
      <candidateList>
        <item>（</item>
      </candidateList>
      <explain>文本全半角错误。</explain>
      <paraID>10428C17</paraID>
      <start>57</start>
      <end>58</end>
      <status>unmodified</status>
      <modifiedWord/>
      <trackRevisions>false</trackRevisions>
    </reviewItem>
    <reviewItem>
      <errorID>aee4a5dc-8970-45a8-ae68-65104302a9f0</errorID>
      <errorWord>)</errorWord>
      <group>L1_Format</group>
      <groupName>格式问题</groupName>
      <ability>L2_HalfPunc</ability>
      <abilityName>全半角检查</abilityName>
      <candidateList>
        <item>）</item>
      </candidateList>
      <explain>文本全半角错误。</explain>
      <paraID>10428C17</paraID>
      <start>77</start>
      <end>78</end>
      <status>unmodified</status>
      <modifiedWord/>
      <trackRevisions>false</trackRevisions>
    </reviewItem>
    <reviewItem>
      <errorID>e8f419c2-e441-4fb9-97c4-4431998dc9b9</errorID>
      <errorWord>刻划</errorWord>
      <group>L1_Word</group>
      <groupName>字词问题</groupName>
      <ability>L2_Variant</ability>
      <abilityName>异形词</abilityName>
      <candidateList>
        <item>刻画</item>
      </candidateList>
      <explain>词汇[刻划]的规范词形写作[刻画]。</explain>
      <paraID>10428C17</paraID>
      <start>83</start>
      <end>85</end>
      <status>unmodified</status>
      <modifiedWord/>
      <trackRevisions>false</trackRevisions>
    </reviewItem>
    <reviewItem>
      <errorID>a95a5cff-ae0f-44b6-a844-65519512a7e8</errorID>
      <errorWord>刻划成</errorWord>
      <group>L1_Word</group>
      <groupName>字词问题</groupName>
      <ability>L2_Variant</ability>
      <abilityName>异形词</abilityName>
      <candidateList>
        <item>刻画成</item>
      </candidateList>
      <explain>词汇[刻划成]的规范词形写作[刻画成]。</explain>
      <paraID>10428C17</paraID>
      <start>111</start>
      <end>114</end>
      <status>unmodified</status>
      <modifiedWord/>
      <trackRevisions>false</trackRevisions>
    </reviewItem>
    <reviewItem>
      <errorID>616e84c3-0784-4a66-8ae1-3bdc49311f0c</errorID>
      <errorWord>去边</errorWord>
      <group>L1_Word</group>
      <groupName>字词问题</groupName>
      <ability>L2_Typo</ability>
      <abilityName>字词错误</abilityName>
      <candidateList>
        <item>周边</item>
      </candidateList>
      <explain/>
      <paraID>6DA4D117</paraID>
      <start>4</start>
      <end>6</end>
      <status>unmodified</status>
      <modifiedWord/>
      <trackRevisions>false</trackRevisions>
    </reviewItem>
    <reviewItem>
      <errorID>7f6bc322-52e4-4631-be54-d3f0eb59afcb</errorID>
      <errorWord>行</errorWord>
      <group>L1_Word</group>
      <groupName>字词问题</groupName>
      <ability>L2_Typo</ability>
      <abilityName>字词错误</abilityName>
      <candidateList>
        <item>行衔</item>
      </candidateList>
      <explain/>
      <paraID>4212ABBB</paraID>
      <start>3</start>
      <end>4</end>
      <status>unmodified</status>
      <modifiedWord/>
      <trackRevisions>false</trackRevisions>
    </reviewItem>
    <reviewItem>
      <errorID>c37bcdc9-92d6-41a3-891b-083ea96a078b</errorID>
      <errorWord>有</errorWord>
      <group>L1_Word</group>
      <groupName>字词问题</groupName>
      <ability>L2_Typo</ability>
      <abilityName>字词错误</abilityName>
      <candidateList>
        <item>由</item>
      </candidateList>
      <explain>存在发音相同字词的误用。</explain>
      <paraID>1BCAD20E</paraID>
      <start>3</start>
      <end>4</end>
      <status>unmodified</status>
      <modifiedWord/>
      <trackRevisions>false</trackRevisions>
    </reviewItem>
    <reviewItem>
      <errorID>94b21e9c-8f74-4f98-b156-3c6a82776190</errorID>
      <errorWord>有</errorWord>
      <group>L1_Word</group>
      <groupName>字词问题</groupName>
      <ability>L2_Typo</ability>
      <abilityName>字词错误</abilityName>
      <candidateList>
        <item>由</item>
      </candidateList>
      <explain>存在发音相同字词的误用。</explain>
      <paraID>22351946</paraID>
      <start>3</start>
      <end>4</end>
      <status>unmodified</status>
      <modifiedWord/>
      <trackRevisions>false</trackRevisions>
    </reviewItem>
    <reviewItem>
      <errorID>aa98ec9e-a9a2-434a-92fd-a88211502b19</errorID>
      <errorWord>进入到</errorWord>
      <group>L1_Word</group>
      <groupName>字词问题</groupName>
      <ability>L2_Typo</ability>
      <abilityName>字词错误</abilityName>
      <candidateList>
        <item>进入</item>
      </candidateList>
      <explain>〈动〉支进到某个范围或某个时期里：～学校｜～新阶段◇～角色。</explain>
      <paraID>5120303A</paraID>
      <start>5</start>
      <end>8</end>
      <status>unmodified</status>
      <modifiedWord/>
      <trackRevisions>false</trackRevisions>
    </reviewItem>
    <reviewItem>
      <errorID>0e83218e-864e-45dd-998a-f83312fda653</errorID>
      <errorWord>进入到</errorWord>
      <group>L1_Word</group>
      <groupName>字词问题</groupName>
      <ability>L2_Typo</ability>
      <abilityName>字词错误</abilityName>
      <candidateList>
        <item>进入</item>
      </candidateList>
      <explain>〈动〉支进到某个范围或某个时期里：～学校｜～新阶段◇～角色。</explain>
      <paraID>366BBADD</paraID>
      <start>81</start>
      <end>84</end>
      <status>unmodified</status>
      <modifiedWord/>
      <trackRevisions>false</trackRevisions>
    </reviewItem>
    <reviewItem>
      <errorID>88bdd9c3-40ad-4c6d-ae25-8f91c59584aa</errorID>
      <errorWord>(</errorWord>
      <group>L1_Format</group>
      <groupName>格式问题</groupName>
      <ability>L2_HalfPunc</ability>
      <abilityName>全半角检查</abilityName>
      <candidateList>
        <item>（</item>
      </candidateList>
      <explain>文本全半角错误。</explain>
      <paraID>366BBADD</paraID>
      <start>134</start>
      <end>135</end>
      <status>unmodified</status>
      <modifiedWord/>
      <trackRevisions>false</trackRevisions>
    </reviewItem>
    <reviewItem>
      <errorID>4a8cb105-9ccf-47fb-ae6b-bff7e084b996</errorID>
      <errorWord>)</errorWord>
      <group>L1_Format</group>
      <groupName>格式问题</groupName>
      <ability>L2_HalfPunc</ability>
      <abilityName>全半角检查</abilityName>
      <candidateList>
        <item>）</item>
      </candidateList>
      <explain>文本全半角错误。</explain>
      <paraID>366BBADD</paraID>
      <start>140</start>
      <end>141</end>
      <status>unmodified</status>
      <modifiedWord/>
      <trackRevisions>false</trackRevisions>
    </reviewItem>
    <reviewItem>
      <errorID>c0bf7759-4c20-4f93-9ec4-add5ab0c39cc</errorID>
      <errorWord>刻划</errorWord>
      <group>L1_Word</group>
      <groupName>字词问题</groupName>
      <ability>L2_Variant</ability>
      <abilityName>异形词</abilityName>
      <candidateList>
        <item>刻画</item>
      </candidateList>
      <explain>词汇[刻划]的规范词形写作[刻画]。</explain>
      <paraID> 8C1C924</paraID>
      <start>35</start>
      <end>37</end>
      <status>unmodified</status>
      <modifiedWord/>
      <trackRevisions>false</trackRevisions>
    </reviewItem>
    <reviewItem>
      <errorID>c9a830bf-6ec2-4d55-ad8a-453ce4a84e6c</errorID>
      <errorWord>刻划</errorWord>
      <group>L1_Word</group>
      <groupName>字词问题</groupName>
      <ability>L2_Variant</ability>
      <abilityName>异形词</abilityName>
      <candidateList>
        <item>刻画</item>
      </candidateList>
      <explain>词汇[刻划]的规范词形写作[刻画]。</explain>
      <paraID>766565C7</paraID>
      <start>35</start>
      <end>37</end>
      <status>unmodified</status>
      <modifiedWord/>
      <trackRevisions>false</trackRevisions>
    </reviewItem>
    <reviewItem>
      <errorID>ddc2a73c-5b2e-4627-b0e5-213744ac36a3</errorID>
      <errorWord>刻划</errorWord>
      <group>L1_Word</group>
      <groupName>字词问题</groupName>
      <ability>L2_Variant</ability>
      <abilityName>异形词</abilityName>
      <candidateList>
        <item>刻画</item>
      </candidateList>
      <explain>词汇[刻划]的规范词形写作[刻画]。</explain>
      <paraID>50D99252</paraID>
      <start>35</start>
      <end>37</end>
      <status>unmodified</status>
      <modifiedWord/>
      <trackRevisions>false</trackRevisions>
    </reviewItem>
    <reviewItem>
      <errorID>d28ed71f-3c06-4436-926e-7222b264a8f3</errorID>
      <errorWord>)</errorWord>
      <group>L1_Format</group>
      <groupName>格式问题</groupName>
      <ability>L2_HalfPunc</ability>
      <abilityName>全半角检查</abilityName>
      <candidateList>
        <item>）</item>
      </candidateList>
      <explain>文本全半角错误。</explain>
      <paraID>380FF084</paraID>
      <start>65</start>
      <end>66</end>
      <status>unmodified</status>
      <modifiedWord/>
      <trackRevisions>false</trackRevisions>
    </reviewItem>
    <reviewItem>
      <errorID>42597853-e8ee-4cff-8d7c-7d505ed5d767</errorID>
      <errorWord>刻划</errorWord>
      <group>L1_Word</group>
      <groupName>字词问题</groupName>
      <ability>L2_Variant</ability>
      <abilityName>异形词</abilityName>
      <candidateList>
        <item>刻画</item>
      </candidateList>
      <explain>词汇[刻划]的规范词形写作[刻画]。</explain>
      <paraID>54F29307</paraID>
      <start>36</start>
      <end>38</end>
      <status>unmodified</status>
      <modifiedWord/>
      <trackRevisions>false</trackRevisions>
    </reviewItem>
    <reviewItem>
      <errorID>e789d0a3-de58-4e76-b77e-e506c333187f</errorID>
      <errorWord>刻划</errorWord>
      <group>L1_Word</group>
      <groupName>字词问题</groupName>
      <ability>L2_Variant</ability>
      <abilityName>异形词</abilityName>
      <candidateList>
        <item>刻画</item>
      </candidateList>
      <explain>词汇[刻划]的规范词形写作[刻画]。</explain>
      <paraID>1B7EA8BB</paraID>
      <start>36</start>
      <end>38</end>
      <status>unmodified</status>
      <modifiedWord/>
      <trackRevisions>false</trackRevisions>
    </reviewItem>
    <reviewItem>
      <errorID>68cb288a-2de5-44cc-8947-4404d8e7d08a</errorID>
      <errorWord>刻划</errorWord>
      <group>L1_Word</group>
      <groupName>字词问题</groupName>
      <ability>L2_Variant</ability>
      <abilityName>异形词</abilityName>
      <candidateList>
        <item>刻画</item>
      </candidateList>
      <explain>词汇[刻划]的规范词形写作[刻画]。</explain>
      <paraID>6C530066</paraID>
      <start>36</start>
      <end>38</end>
      <status>unmodified</status>
      <modifiedWord/>
      <trackRevisions>false</trackRevisions>
    </reviewItem>
    <reviewItem>
      <errorID>0c68dc40-b697-4e9d-9189-f4ba3c0930b4</errorID>
      <errorWord>刻划</errorWord>
      <group>L1_Word</group>
      <groupName>字词问题</groupName>
      <ability>L2_Variant</ability>
      <abilityName>异形词</abilityName>
      <candidateList>
        <item>刻画</item>
      </candidateList>
      <explain>词汇[刻划]的规范词形写作[刻画]。</explain>
      <paraID>5D586B3C</paraID>
      <start>36</start>
      <end>38</end>
      <status>unmodified</status>
      <modifiedWord/>
      <trackRevisions>false</trackRevisions>
    </reviewItem>
    <reviewItem>
      <errorID>b3a5a851-2913-4dcd-8162-45578ba04899</errorID>
      <errorWord>刻划</errorWord>
      <group>L1_Word</group>
      <groupName>字词问题</groupName>
      <ability>L2_Variant</ability>
      <abilityName>异形词</abilityName>
      <candidateList>
        <item>刻画</item>
      </candidateList>
      <explain>词汇[刻划]的规范词形写作[刻画]。</explain>
      <paraID>5BE43EA8</paraID>
      <start>37</start>
      <end>39</end>
      <status>unmodified</status>
      <modifiedWord/>
      <trackRevisions>false</trackRevisions>
    </reviewItem>
    <reviewItem>
      <errorID>2cbb2fa0-6a6f-4ef3-b1c8-9c76c9938c45</errorID>
      <errorWord>刻划</errorWord>
      <group>L1_Word</group>
      <groupName>字词问题</groupName>
      <ability>L2_Variant</ability>
      <abilityName>异形词</abilityName>
      <candidateList>
        <item>刻画</item>
      </candidateList>
      <explain>词汇[刻划]的规范词形写作[刻画]。</explain>
      <paraID> 7863070</paraID>
      <start>37</start>
      <end>39</end>
      <status>unmodified</status>
      <modifiedWord/>
      <trackRevisions>false</trackRevisions>
    </reviewItem>
    <reviewItem>
      <errorID>e815b860-0632-49a2-aff6-68d1437fe477</errorID>
      <errorWord>刻划</errorWord>
      <group>L1_Word</group>
      <groupName>字词问题</groupName>
      <ability>L2_Variant</ability>
      <abilityName>异形词</abilityName>
      <candidateList>
        <item>刻画</item>
      </candidateList>
      <explain>词汇[刻划]的规范词形写作[刻画]。</explain>
      <paraID>7FB890B0</paraID>
      <start>37</start>
      <end>39</end>
      <status>unmodified</status>
      <modifiedWord/>
      <trackRevisions>false</trackRevisions>
    </reviewItem>
    <reviewItem>
      <errorID>fcd4f745-fec4-4b34-bcc7-0fff7caba822</errorID>
      <errorWord>激光刻划</errorWord>
      <group>L1_Knowledge</group>
      <groupName>知识性问题</groupName>
      <ability>L2_Term</ability>
      <abilityName>专业术语</abilityName>
      <candidateList>
        <item>激光刻蚀</item>
      </candidateList>
      <explain/>
      <paraID>21600E50</paraID>
      <start>0</start>
      <end>4</end>
      <status>unmodified</status>
      <modifiedWord/>
      <trackRevisions>false</trackRevisions>
    </reviewItem>
    <reviewItem>
      <errorID>f0df7ec7-1456-4a1a-9f5e-182408a83133</errorID>
      <errorWord>激光刻划</errorWord>
      <group>L1_Knowledge</group>
      <groupName>知识性问题</groupName>
      <ability>L2_Term</ability>
      <abilityName>专业术语</abilityName>
      <candidateList>
        <item>激光刻蚀</item>
      </candidateList>
      <explain/>
      <paraID>779AAE83</paraID>
      <start>0</start>
      <end>4</end>
      <status>unmodified</status>
      <modifiedWord/>
      <trackRevisions>false</trackRevisions>
    </reviewItem>
    <reviewItem>
      <errorID>91fa23e9-b3eb-49e9-8cdf-1d87a4604ddd</errorID>
      <errorWord>激光刻划</errorWord>
      <group>L1_Knowledge</group>
      <groupName>知识性问题</groupName>
      <ability>L2_Term</ability>
      <abilityName>专业术语</abilityName>
      <candidateList>
        <item>激光刻蚀</item>
      </candidateList>
      <explain/>
      <paraID>1F4B1E0F</paraID>
      <start>0</start>
      <end>4</end>
      <status>unmodified</status>
      <modifiedWord/>
      <trackRevisions>false</trackRevisions>
    </reviewItem>
    <reviewItem>
      <errorID>2e4965b2-d960-4333-b024-d56f596db8fd</errorID>
      <errorWord>于</errorWord>
      <group>L1_Word</group>
      <groupName>字词问题</groupName>
      <ability>L2_Typo</ability>
      <abilityName>字词错误</abilityName>
      <candidateList>
        <item>于高</item>
      </candidateList>
      <explain/>
      <paraID>473D5A68</paraID>
      <start>67</start>
      <end>68</end>
      <status>unmodified</status>
      <modifiedWord/>
      <trackRevisions>false</trackRevisions>
    </reviewItem>
    <reviewItem>
      <errorID>e85dc854-d389-4a9a-9570-72a5b0d968f9</errorID>
      <errorWord>与及</errorWord>
      <group>L1_Word</group>
      <groupName>字词问题</groupName>
      <ability>L2_Typo</ability>
      <abilityName>字词错误</abilityName>
      <candidateList>
        <item>以及</item>
      </candidateList>
      <explain>存在发音相近字词的误用。</explain>
      <paraID>51A76C73</paraID>
      <start>27</start>
      <end>29</end>
      <status>unmodified</status>
      <modifiedWord/>
      <trackRevisions>false</trackRevisions>
    </reviewItem>
    <reviewItem>
      <errorID>daeaf81c-b2f7-4ca3-9a4f-db5f897c3533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673C3FF9</paraID>
      <start>116</start>
      <end>117</end>
      <status>unmodified</status>
      <modifiedWord/>
      <trackRevisions>false</trackRevisions>
    </reviewItem>
    <reviewItem>
      <errorID>14cd1115-835d-4f58-8c9f-3f3de6fdd637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673C3FF9</paraID>
      <start>134</start>
      <end>135</end>
      <status>unmodified</status>
      <modifiedWord/>
      <trackRevisions>false</trackRevisions>
    </reviewItem>
    <reviewItem>
      <errorID>c8b3cad2-6819-4fef-941c-2572f01ed20b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673C3FF9</paraID>
      <start>150</start>
      <end>151</end>
      <status>unmodified</status>
      <modifiedWord/>
      <trackRevisions>false</trackRevisions>
    </reviewItem>
    <reviewItem>
      <errorID>37d506b7-2291-48bd-a0fa-ad7300073556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673C3FF9</paraID>
      <start>164</start>
      <end>165</end>
      <status>unmodified</status>
      <modifiedWord/>
      <trackRevisions>false</trackRevisions>
    </reviewItem>
    <reviewItem>
      <errorID>b5f031a8-98c6-417a-9e72-a0faa61d9a2b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673C3FF9</paraID>
      <start>187</start>
      <end>188</end>
      <status>unmodified</status>
      <modifiedWord/>
      <trackRevisions>false</trackRevisions>
    </reviewItem>
    <reviewItem>
      <errorID>a1aea68c-1598-4f01-99ec-79ca9d31a432</errorID>
      <errorWord>水污染排放</errorWord>
      <group>L1_Word</group>
      <groupName>字词问题</groupName>
      <ability>L2_Typo</ability>
      <abilityName>字词错误</abilityName>
      <candidateList>
        <item>水污染物排放</item>
      </candidateList>
      <explain/>
      <paraID>7AD8B6DC</paraID>
      <start>80</start>
      <end>86</end>
      <status>modified</status>
      <modifiedWord>水污染物排放</modifiedWord>
      <trackRevisions>false</trackRevisions>
    </reviewItem>
    <reviewItem>
      <errorID>c27664c7-6da0-4759-9db0-615316cfbfe5</errorID>
      <errorWord>：</errorWord>
      <group>L1_Format</group>
      <groupName>格式问题</groupName>
      <ability>L2_HalfPunc</ability>
      <abilityName>全半角检查</abilityName>
      <candidateList>
        <item>:</item>
      </candidateList>
      <explain>文本全半角错误。</explain>
      <paraID>2023BA7C</paraID>
      <start>146</start>
      <end>147</end>
      <status>unmodified</status>
      <modifiedWord/>
      <trackRevisions>false</trackRevisions>
    </reviewItem>
    <reviewItem>
      <errorID>b0cc08b8-482f-46c4-b269-8b5c5c2f2d48</errorID>
      <errorWord>程</errorWord>
      <group>L1_Word</group>
      <groupName>字词问题</groupName>
      <ability>L2_Typo</ability>
      <abilityName>字词错误</abilityName>
      <candidateList>
        <item>程对</item>
      </candidateList>
      <explain/>
      <paraID>7E0BD82A</paraID>
      <start>2</start>
      <end>3</end>
      <status>unmodified</status>
      <modifiedWord/>
      <trackRevisions>false</trackRevisions>
    </reviewItem>
    <reviewItem>
      <errorID>6d4c5ce8-2ce0-4c95-b081-d530447721bf</errorID>
      <errorWord>激光刻划</errorWord>
      <group>L1_Knowledge</group>
      <groupName>知识性问题</groupName>
      <ability>L2_Term</ability>
      <abilityName>专业术语</abilityName>
      <candidateList>
        <item>激光刻蚀</item>
      </candidateList>
      <explain/>
      <paraID>7E0BD82A</paraID>
      <start>113</start>
      <end>117</end>
      <status>ignored</status>
      <modifiedWord/>
      <trackRevisions>false</trackRevisions>
    </reviewItem>
    <reviewItem>
      <errorID>5b83094b-2b3c-4308-a14d-ae6c3f12c1ad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2BF1C4F2</paraID>
      <start>33</start>
      <end>35</end>
      <status>unmodified</status>
      <modifiedWord/>
      <trackRevisions>false</trackRevisions>
    </reviewItem>
    <reviewItem>
      <errorID>9437495f-ef23-449a-a3fd-869ca6907b73</errorID>
      <errorWord>(</errorWord>
      <group>L1_Format</group>
      <groupName>格式问题</groupName>
      <ability>L2_HalfPunc</ability>
      <abilityName>全半角检查</abilityName>
      <candidateList>
        <item>（</item>
      </candidateList>
      <explain>文本全半角错误。</explain>
      <paraID>3644DE6B</paraID>
      <start>59</start>
      <end>60</end>
      <status>unmodified</status>
      <modifiedWord/>
      <trackRevisions>false</trackRevisions>
    </reviewItem>
    <reviewItem>
      <errorID>d96f454c-06d6-486c-83da-7a0c6ef5b3c7</errorID>
      <errorWord>)</errorWord>
      <group>L1_Format</group>
      <groupName>格式问题</groupName>
      <ability>L2_HalfPunc</ability>
      <abilityName>全半角检查</abilityName>
      <candidateList>
        <item>）</item>
      </candidateList>
      <explain>文本全半角错误。</explain>
      <paraID>3644DE6B</paraID>
      <start>65</start>
      <end>66</end>
      <status>unmodified</status>
      <modifiedWord/>
      <trackRevisions>false</trackRevisions>
    </reviewItem>
    <reviewItem>
      <errorID>935a12cc-db7d-4dee-84c8-323056c52046</errorID>
      <errorWord>程</errorWord>
      <group>L1_Word</group>
      <groupName>字词问题</groupName>
      <ability>L2_Typo</ability>
      <abilityName>字词错误</abilityName>
      <candidateList>
        <item>程中</item>
      </candidateList>
      <explain/>
      <paraID>3E38B977</paraID>
      <start>34</start>
      <end>35</end>
      <status>unmodified</status>
      <modifiedWord/>
      <trackRevisions>false</trackRevisions>
    </reviewItem>
    <reviewItem>
      <errorID>714df153-db2b-431e-bd76-f6733ee5f70e</errorID>
      <errorWord>刻划</errorWord>
      <group>L1_Word</group>
      <groupName>字词问题</groupName>
      <ability>L2_Variant</ability>
      <abilityName>异形词</abilityName>
      <candidateList>
        <item>刻画</item>
      </candidateList>
      <explain>词汇[刻划]的规范词形写作[刻画]。</explain>
      <paraID>25803ADD</paraID>
      <start>5</start>
      <end>7</end>
      <status>unmodified</status>
      <modifiedWord/>
      <trackRevisions>false</trackRevisions>
    </reviewItem>
    <reviewItem>
      <errorID>72e09e2f-a6a6-41e6-8671-c42c8880aab8</errorID>
      <errorWord>(</errorWord>
      <group>L1_Format</group>
      <groupName>格式问题</groupName>
      <ability>L2_HalfPunc</ability>
      <abilityName>全半角检查</abilityName>
      <candidateList>
        <item>（</item>
      </candidateList>
      <explain>文本全半角错误。</explain>
      <paraID> F9C69E8</paraID>
      <start>21</start>
      <end>22</end>
      <status>unmodified</status>
      <modifiedWord/>
      <trackRevisions>false</trackRevisions>
    </reviewItem>
    <reviewItem>
      <errorID>8852a635-a6c2-4f75-a6b2-8976cea7385f</errorID>
      <errorWord>)</errorWord>
      <group>L1_Format</group>
      <groupName>格式问题</groupName>
      <ability>L2_HalfPunc</ability>
      <abilityName>全半角检查</abilityName>
      <candidateList>
        <item>）</item>
      </candidateList>
      <explain>文本全半角错误。</explain>
      <paraID> F9C69E8</paraID>
      <start>26</start>
      <end>27</end>
      <status>unmodified</status>
      <modifiedWord/>
      <trackRevisions>false</trackRevisions>
    </reviewItem>
    <reviewItem>
      <errorID>b7a49e85-f009-4fbe-9db5-a6c0bdfb921e</errorID>
      <errorWord>在</errorWord>
      <group>L1_Word</group>
      <groupName>字词问题</groupName>
      <ability>L2_Typo</ability>
      <abilityName>字词错误</abilityName>
      <candidateList>
        <item>再</item>
      </candidateList>
      <explain>❶〈副〉a）表示又一次（有时专指第二次）：～版｜～接～厉｜一而～，～而三｜学习，学习，～学习。注意表示已经重复的动作用“又”，表示将要重复的动作用“再”，如：这部书前几天我又读了一遍，以后有时间我还要～读一遍。b）表示更加：高点儿，～高点儿｜～多一点儿就好了。c）表示如果继续下去就会怎样：学习～不努力，就得留级了｜离开车只剩半个钟头了，～不走可赶不上了。</explain>
      <paraID>79630DDA</paraID>
      <start>59</start>
      <end>60</end>
      <status>unmodified</status>
      <modifiedWord/>
      <trackRevisions>false</trackRevisions>
    </reviewItem>
    <reviewItem>
      <errorID>7cb9c9fd-097f-4c44-94be-697a0b007623</errorID>
      <errorWord>胶粘剂</errorWord>
      <group>L1_Word</group>
      <groupName>字词问题</groupName>
      <ability>L2_Typo</ability>
      <abilityName>字词错误</abilityName>
      <candidateList>
        <item>胶黏剂</item>
      </candidateList>
      <explain/>
      <paraID>6F9A0468</paraID>
      <start>32</start>
      <end>35</end>
      <status>unmodified</status>
      <modifiedWord/>
      <trackRevisions>false</trackRevisions>
    </reviewItem>
    <reviewItem>
      <errorID>f6f6b177-c63c-4a57-a4a3-0a663b44c8b4</errorID>
      <errorWord>胶粘</errorWord>
      <group>L1_Word</group>
      <groupName>字词问题</groupName>
      <ability>L2_Typo</ability>
      <abilityName>字词错误</abilityName>
      <candidateList>
        <item>胶黏</item>
      </candidateList>
      <explain/>
      <paraID>6F9A0468</paraID>
      <start>43</start>
      <end>45</end>
      <status>unmodified</status>
      <modifiedWord/>
      <trackRevisions>false</trackRevisions>
    </reviewItem>
    <reviewItem>
      <errorID>781d2c6f-765c-48ba-86e5-73cd9fc334bf</errorID>
      <errorWord>(</errorWord>
      <group>L1_Format</group>
      <groupName>格式问题</groupName>
      <ability>L2_HalfPunc</ability>
      <abilityName>全半角检查</abilityName>
      <candidateList>
        <item>（</item>
      </candidateList>
      <explain>文本全半角错误。</explain>
      <paraID>6F9A0468</paraID>
      <start>58</start>
      <end>59</end>
      <status>unmodified</status>
      <modifiedWord/>
      <trackRevisions>false</trackRevisions>
    </reviewItem>
    <reviewItem>
      <errorID>28b9ca64-c511-44d0-a888-b56f6741bfd2</errorID>
      <errorWord>)</errorWord>
      <group>L1_Format</group>
      <groupName>格式问题</groupName>
      <ability>L2_HalfPunc</ability>
      <abilityName>全半角检查</abilityName>
      <candidateList>
        <item>）</item>
      </candidateList>
      <explain>文本全半角错误。</explain>
      <paraID>6F9A0468</paraID>
      <start>71</start>
      <end>72</end>
      <status>unmodified</status>
      <modifiedWord/>
      <trackRevisions>false</trackRevisions>
    </reviewItem>
    <reviewItem>
      <errorID>b31d177e-5451-447d-b373-c54f75d59a81</errorID>
      <errorWord>胶粘剂</errorWord>
      <group>L1_Word</group>
      <groupName>字词问题</groupName>
      <ability>L2_Typo</ability>
      <abilityName>字词错误</abilityName>
      <candidateList>
        <item>胶黏剂</item>
      </candidateList>
      <explain/>
      <paraID>6F9A0468</paraID>
      <start>77</start>
      <end>80</end>
      <status>unmodified</status>
      <modifiedWord/>
      <trackRevisions>false</trackRevisions>
    </reviewItem>
    <reviewItem>
      <errorID>c6f257a1-a489-4f95-b0cf-4968566f6b47</errorID>
      <errorWord>(</errorWord>
      <group>L1_Format</group>
      <groupName>格式问题</groupName>
      <ability>L2_HalfPunc</ability>
      <abilityName>全半角检查</abilityName>
      <candidateList>
        <item>（</item>
      </candidateList>
      <explain>文本全半角错误。</explain>
      <paraID>6F9A0468</paraID>
      <start>151</start>
      <end>152</end>
      <status>unmodified</status>
      <modifiedWord/>
      <trackRevisions>false</trackRevisions>
    </reviewItem>
    <reviewItem>
      <errorID>9cb7ab91-d4c5-4fdd-84da-716971e1e7f7</errorID>
      <errorWord>)</errorWord>
      <group>L1_Format</group>
      <groupName>格式问题</groupName>
      <ability>L2_HalfPunc</ability>
      <abilityName>全半角检查</abilityName>
      <candidateList>
        <item>）</item>
      </candidateList>
      <explain>文本全半角错误。</explain>
      <paraID>6F9A0468</paraID>
      <start>159</start>
      <end>160</end>
      <status>unmodified</status>
      <modifiedWord/>
      <trackRevisions>false</trackRevisions>
    </reviewItem>
    <reviewItem>
      <errorID>db4988ed-8648-4753-a2dc-cd2101393a98</errorID>
      <errorWord>(</errorWord>
      <group>L1_Format</group>
      <groupName>格式问题</groupName>
      <ability>L2_HalfPunc</ability>
      <abilityName>全半角检查</abilityName>
      <candidateList>
        <item>（</item>
      </candidateList>
      <explain>文本全半角错误。</explain>
      <paraID>5F787352</paraID>
      <start>136</start>
      <end>137</end>
      <status>unmodified</status>
      <modifiedWord/>
      <trackRevisions>false</trackRevisions>
    </reviewItem>
    <reviewItem>
      <errorID>ff05a3d4-3c91-401d-a070-54fc166dd04d</errorID>
      <errorWord>)</errorWord>
      <group>L1_Format</group>
      <groupName>格式问题</groupName>
      <ability>L2_HalfPunc</ability>
      <abilityName>全半角检查</abilityName>
      <candidateList>
        <item>）</item>
      </candidateList>
      <explain>文本全半角错误。</explain>
      <paraID>5F787352</paraID>
      <start>142</start>
      <end>143</end>
      <status>unmodified</status>
      <modifiedWord/>
      <trackRevisions>false</trackRevisions>
    </reviewItem>
    <reviewItem>
      <errorID>d55b7ecb-e653-4e47-b7e9-1d4e89a25a35</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6C68429C</paraID>
      <start>66</start>
      <end>71</end>
      <status>unmodified</status>
      <modifiedWord/>
      <trackRevisions>false</trackRevisions>
    </reviewItem>
    <reviewItem>
      <errorID>2a21d20e-28ec-4566-96c0-dd153768db64</errorID>
      <errorWord>按照</errorWord>
      <group>L1_Word</group>
      <groupName>字词问题</groupName>
      <ability>L2_Typo</ability>
      <abilityName>字词错误</abilityName>
      <candidateList>
        <item>按</item>
      </candidateList>
      <explain>（案）àn❶〈书〉考查；核对：有原文可～。❷（编者、作者等）加按语：编者～。</explain>
      <paraID>289CE5F8</paraID>
      <start>125</start>
      <end>127</end>
      <status>unmodified</status>
      <modifiedWord/>
      <trackRevisions>false</trackRevisions>
    </reviewItem>
    <reviewItem>
      <errorID>6c5b23b9-7cd9-4e6b-b3da-b1c0dba8e9fe</errorID>
      <errorWord>（</errorWord>
      <group>L1_Format</group>
      <groupName>格式问题</groupName>
      <ability>L2_HalfPunc</ability>
      <abilityName>全半角检查</abilityName>
      <candidateList>
        <item>(</item>
      </candidateList>
      <explain>文本全半角错误。</explain>
      <paraID>632AFEE1</paraID>
      <start>0</start>
      <end>1</end>
      <status>unmodified</status>
      <modifiedWord/>
      <trackRevisions>false</trackRevisions>
    </reviewItem>
    <reviewItem>
      <errorID>6e0e572e-06d2-4d3e-9c36-be789ad93fb5</errorID>
      <errorWord>）</errorWord>
      <group>L1_Format</group>
      <groupName>格式问题</groupName>
      <ability>L2_HalfPunc</ability>
      <abilityName>全半角检查</abilityName>
      <candidateList>
        <item>)</item>
      </candidateList>
      <explain>文本全半角错误。</explain>
      <paraID>632AFEE1</paraID>
      <start>5</start>
      <end>6</end>
      <status>unmodified</status>
      <modifiedWord/>
      <trackRevisions>false</trackRevisions>
    </reviewItem>
    <reviewItem>
      <errorID>6f302b1d-7a6a-4124-b150-87b7c6467452</errorID>
      <errorWord>（</errorWord>
      <group>L1_Format</group>
      <groupName>格式问题</groupName>
      <ability>L2_HalfPunc</ability>
      <abilityName>全半角检查</abilityName>
      <candidateList>
        <item>(</item>
      </candidateList>
      <explain>文本全半角错误。</explain>
      <paraID>4712EF1B</paraID>
      <start>0</start>
      <end>1</end>
      <status>unmodified</status>
      <modifiedWord/>
      <trackRevisions>false</trackRevisions>
    </reviewItem>
    <reviewItem>
      <errorID>24889bff-ca04-4c17-a383-c48950d89226</errorID>
      <errorWord>）</errorWord>
      <group>L1_Format</group>
      <groupName>格式问题</groupName>
      <ability>L2_HalfPunc</ability>
      <abilityName>全半角检查</abilityName>
      <candidateList>
        <item>)</item>
      </candidateList>
      <explain>文本全半角错误。</explain>
      <paraID>4712EF1B</paraID>
      <start>5</start>
      <end>6</end>
      <status>unmodified</status>
      <modifiedWord/>
      <trackRevisions>false</trackRevisions>
    </reviewItem>
    <reviewItem>
      <errorID>a65ac25b-59e7-42f4-9955-b9daeccbd44e</errorID>
      <errorWord>（</errorWord>
      <group>L1_Format</group>
      <groupName>格式问题</groupName>
      <ability>L2_HalfPunc</ability>
      <abilityName>全半角检查</abilityName>
      <candidateList>
        <item>(</item>
      </candidateList>
      <explain>文本全半角错误。</explain>
      <paraID>29407B1A</paraID>
      <start>0</start>
      <end>1</end>
      <status>unmodified</status>
      <modifiedWord/>
      <trackRevisions>false</trackRevisions>
    </reviewItem>
    <reviewItem>
      <errorID>fd169021-987e-417e-a644-b2528d8dda33</errorID>
      <errorWord>）</errorWord>
      <group>L1_Format</group>
      <groupName>格式问题</groupName>
      <ability>L2_HalfPunc</ability>
      <abilityName>全半角检查</abilityName>
      <candidateList>
        <item>)</item>
      </candidateList>
      <explain>文本全半角错误。</explain>
      <paraID>29407B1A</paraID>
      <start>5</start>
      <end>6</end>
      <status>unmodified</status>
      <modifiedWord/>
      <trackRevisions>false</trackRevisions>
    </reviewItem>
    <reviewItem>
      <errorID>07d7f3eb-8086-4f25-8cb8-af8f9add3709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5E10029B</paraID>
      <start>305</start>
      <end>306</end>
      <status>unmodified</status>
      <modifiedWord/>
      <trackRevisions>false</trackRevisions>
    </reviewItem>
    <reviewItem>
      <errorID>dd150df8-10fe-4231-95d8-9e42e0a82f17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5E10029B</paraID>
      <start>321</start>
      <end>322</end>
      <status>unmodified</status>
      <modifiedWord/>
      <trackRevisions>false</trackRevisions>
    </reviewItem>
    <reviewItem>
      <errorID>d626a80d-2bf8-4d15-95bf-07ea6e9bf521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8F25B27</paraID>
      <start>24</start>
      <end>25</end>
      <status>unmodified</status>
      <modifiedWord/>
      <trackRevisions>false</trackRevisions>
    </reviewItem>
    <reviewItem>
      <errorID>ad942c24-7ee7-40d8-9009-8c962b7c7ec4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8F25B27</paraID>
      <start>45</start>
      <end>46</end>
      <status>unmodified</status>
      <modifiedWord/>
      <trackRevisions>false</trackRevisions>
    </reviewItem>
    <reviewItem>
      <errorID>08c85737-7933-4d16-80cc-93eb48b459b4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8F25B27</paraID>
      <start>155</start>
      <end>156</end>
      <status>unmodified</status>
      <modifiedWord/>
      <trackRevisions>false</trackRevisions>
    </reviewItem>
    <reviewItem>
      <errorID>eda0d957-5acf-4485-a038-9920c99e31d0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8F25B27</paraID>
      <start>173</start>
      <end>174</end>
      <status>unmodified</status>
      <modifiedWord/>
      <trackRevisions>false</trackRevisions>
    </reviewItem>
    <reviewItem>
      <errorID>d4084253-0487-4977-8ddd-8797cf52a7e4</errorID>
      <errorWord>(</errorWord>
      <group>L1_Format</group>
      <groupName>格式问题</groupName>
      <ability>L2_HalfPunc</ability>
      <abilityName>全半角检查</abilityName>
      <candidateList>
        <item>（</item>
      </candidateList>
      <explain>文本全半角错误。</explain>
      <paraID>28E09435</paraID>
      <start>4</start>
      <end>5</end>
      <status>unmodified</status>
      <modifiedWord/>
      <trackRevisions>false</trackRevisions>
    </reviewItem>
    <reviewItem>
      <errorID>965f7c53-6ef6-4160-9048-d7e0b5a75c74</errorID>
      <errorWord>)</errorWord>
      <group>L1_Format</group>
      <groupName>格式问题</groupName>
      <ability>L2_HalfPunc</ability>
      <abilityName>全半角检查</abilityName>
      <candidateList>
        <item>）</item>
      </candidateList>
      <explain>文本全半角错误。</explain>
      <paraID>28E09435</paraID>
      <start>8</start>
      <end>9</end>
      <status>unmodified</status>
      <modifiedWord/>
      <trackRevisions>false</trackRevisions>
    </reviewItem>
    <reviewItem>
      <errorID>948ef9bd-d543-4e39-9ef8-db40f47e4409</errorID>
      <errorWord>(</errorWord>
      <group>L1_Format</group>
      <groupName>格式问题</groupName>
      <ability>L2_HalfPunc</ability>
      <abilityName>全半角检查</abilityName>
      <candidateList>
        <item>（</item>
      </candidateList>
      <explain>文本全半角错误。</explain>
      <paraID>3B7794EE</paraID>
      <start>3</start>
      <end>4</end>
      <status>unmodified</status>
      <modifiedWord/>
      <trackRevisions>false</trackRevisions>
    </reviewItem>
    <reviewItem>
      <errorID>4b490e52-7137-45d7-923a-853d29c8253a</errorID>
      <errorWord>)</errorWord>
      <group>L1_Format</group>
      <groupName>格式问题</groupName>
      <ability>L2_HalfPunc</ability>
      <abilityName>全半角检查</abilityName>
      <candidateList>
        <item>）</item>
      </candidateList>
      <explain>文本全半角错误。</explain>
      <paraID>3B7794EE</paraID>
      <start>8</start>
      <end>9</end>
      <status>unmodified</status>
      <modifiedWord/>
      <trackRevisions>false</trackRevisions>
    </reviewItem>
    <reviewItem>
      <errorID>30c6cf02-561d-4565-9a2e-c2c803cd0601</errorID>
      <errorWord>(</errorWord>
      <group>L1_Format</group>
      <groupName>格式问题</groupName>
      <ability>L2_HalfPunc</ability>
      <abilityName>全半角检查</abilityName>
      <candidateList>
        <item>（</item>
      </candidateList>
      <explain>文本全半角错误。</explain>
      <paraID>6E488A9C</paraID>
      <start>4</start>
      <end>5</end>
      <status>unmodified</status>
      <modifiedWord/>
      <trackRevisions>false</trackRevisions>
    </reviewItem>
    <reviewItem>
      <errorID>b42b3eae-dd7c-4c2d-b522-105812ff46fb</errorID>
      <errorWord>)</errorWord>
      <group>L1_Format</group>
      <groupName>格式问题</groupName>
      <ability>L2_HalfPunc</ability>
      <abilityName>全半角检查</abilityName>
      <candidateList>
        <item>）</item>
      </candidateList>
      <explain>文本全半角错误。</explain>
      <paraID>6E488A9C</paraID>
      <start>9</start>
      <end>10</end>
      <status>unmodified</status>
      <modifiedWord/>
      <trackRevisions>false</trackRevisions>
    </reviewItem>
    <reviewItem>
      <errorID>5d1fb132-413a-45f7-88be-263ffc00b57d</errorID>
      <errorWord>(</errorWord>
      <group>L1_Format</group>
      <groupName>格式问题</groupName>
      <ability>L2_HalfPunc</ability>
      <abilityName>全半角检查</abilityName>
      <candidateList>
        <item>（</item>
      </candidateList>
      <explain>文本全半角错误。</explain>
      <paraID> FEB03BC</paraID>
      <start>2</start>
      <end>3</end>
      <status>unmodified</status>
      <modifiedWord/>
      <trackRevisions>false</trackRevisions>
    </reviewItem>
    <reviewItem>
      <errorID>80b73f5d-b65a-45ae-aca7-c81d36b016d1</errorID>
      <errorWord>(</errorWord>
      <group>L1_Format</group>
      <groupName>格式问题</groupName>
      <ability>L2_HalfPunc</ability>
      <abilityName>全半角检查</abilityName>
      <candidateList>
        <item>（</item>
      </candidateList>
      <explain>文本全半角错误。</explain>
      <paraID>5FDFAA22</paraID>
      <start>4</start>
      <end>5</end>
      <status>unmodified</status>
      <modifiedWord/>
      <trackRevisions>false</trackRevisions>
    </reviewItem>
    <reviewItem>
      <errorID>929a9de9-29e3-4136-90d8-e788c25c1fdf</errorID>
      <errorWord>)</errorWord>
      <group>L1_Format</group>
      <groupName>格式问题</groupName>
      <ability>L2_HalfPunc</ability>
      <abilityName>全半角检查</abilityName>
      <candidateList>
        <item>）</item>
      </candidateList>
      <explain>文本全半角错误。</explain>
      <paraID>5FDFAA22</paraID>
      <start>6</start>
      <end>7</end>
      <status>unmodified</status>
      <modifiedWord/>
      <trackRevisions>false</trackRevisions>
    </reviewItem>
    <reviewItem>
      <errorID>82cf1133-6170-44f6-ba86-433fd9b148aa</errorID>
      <errorWord>(</errorWord>
      <group>L1_Format</group>
      <groupName>格式问题</groupName>
      <ability>L2_HalfPunc</ability>
      <abilityName>全半角检查</abilityName>
      <candidateList>
        <item>（</item>
      </candidateList>
      <explain>文本全半角错误。</explain>
      <paraID>35FAA1CA</paraID>
      <start>3</start>
      <end>4</end>
      <status>unmodified</status>
      <modifiedWord/>
      <trackRevisions>false</trackRevisions>
    </reviewItem>
    <reviewItem>
      <errorID>bd01a1c6-77d6-4662-84dd-c9cdb01aa3f4</errorID>
      <errorWord>)</errorWord>
      <group>L1_Format</group>
      <groupName>格式问题</groupName>
      <ability>L2_HalfPunc</ability>
      <abilityName>全半角检查</abilityName>
      <candidateList>
        <item>）</item>
      </candidateList>
      <explain>文本全半角错误。</explain>
      <paraID>35FAA1CA</paraID>
      <start>8</start>
      <end>9</end>
      <status>unmodified</status>
      <modifiedWord/>
      <trackRevisions>false</trackRevisions>
    </reviewItem>
    <reviewItem>
      <errorID>46a710fd-d0fe-4c68-8246-573e9a5595cf</errorID>
      <errorWord>(</errorWord>
      <group>L1_Format</group>
      <groupName>格式问题</groupName>
      <ability>L2_HalfPunc</ability>
      <abilityName>全半角检查</abilityName>
      <candidateList>
        <item>（</item>
      </candidateList>
      <explain>文本全半角错误。</explain>
      <paraID> 6472AAC</paraID>
      <start>4</start>
      <end>5</end>
      <status>unmodified</status>
      <modifiedWord/>
      <trackRevisions>false</trackRevisions>
    </reviewItem>
    <reviewItem>
      <errorID>a3718476-8716-4f39-aaa2-92c9c7ce4b29</errorID>
      <errorWord>)</errorWord>
      <group>L1_Format</group>
      <groupName>格式问题</groupName>
      <ability>L2_HalfPunc</ability>
      <abilityName>全半角检查</abilityName>
      <candidateList>
        <item>）</item>
      </candidateList>
      <explain>文本全半角错误。</explain>
      <paraID> 6472AAC</paraID>
      <start>9</start>
      <end>10</end>
      <status>unmodified</status>
      <modifiedWord/>
      <trackRevisions>false</trackRevisions>
    </reviewItem>
    <reviewItem>
      <errorID>ec0912bb-324e-4ec9-9396-d69ad61f936d</errorID>
      <errorWord>(</errorWord>
      <group>L1_Format</group>
      <groupName>格式问题</groupName>
      <ability>L2_HalfPunc</ability>
      <abilityName>全半角检查</abilityName>
      <candidateList>
        <item>（</item>
      </candidateList>
      <explain>文本全半角错误。</explain>
      <paraID> 5707881</paraID>
      <start>2</start>
      <end>3</end>
      <status>unmodified</status>
      <modifiedWord/>
      <trackRevisions>false</trackRevisions>
    </reviewItem>
    <reviewItem>
      <errorID>cee9b5b8-3908-4f02-9817-07505988f280</errorID>
      <errorWord>)</errorWord>
      <group>L1_Format</group>
      <groupName>格式问题</groupName>
      <ability>L2_HalfPunc</ability>
      <abilityName>全半角检查</abilityName>
      <candidateList>
        <item>）</item>
      </candidateList>
      <explain>文本全半角错误。</explain>
      <paraID> 5707881</paraID>
      <start>8</start>
      <end>9</end>
      <status>unmodified</status>
      <modifiedWord/>
      <trackRevisions>false</trackRevisions>
    </reviewItem>
    <reviewItem>
      <errorID>24c33788-a9a7-4cdf-a554-3a646bdff885</errorID>
      <errorWord>，定</errorWord>
      <group>L1_Word</group>
      <groupName>字词问题</groupName>
      <ability>L2_Typo</ability>
      <abilityName>字词错误</abilityName>
      <candidateList>
        <item>，</item>
      </candidateList>
      <explain/>
      <paraID>1D107CDF</paraID>
      <start>146</start>
      <end>148</end>
      <status>unmodified</status>
      <modifiedWord/>
      <trackRevisions>false</trackRevisions>
    </reviewItem>
    <reviewItem>
      <errorID>dc02d877-e5b4-4b50-bcf7-924eeaf7d1dc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4EF36108</paraID>
      <start>0</start>
      <end>2</end>
      <status>unmodified</status>
      <modifiedWord/>
      <trackRevisions>false</trackRevisions>
    </reviewItem>
    <reviewItem>
      <errorID>a575ed70-6752-4d8e-a514-b93587568336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40FB9668</paraID>
      <start>0</start>
      <end>2</end>
      <status>unmodified</status>
      <modifiedWord/>
      <trackRevisions>false</trackRevisions>
    </reviewItem>
    <reviewItem>
      <errorID>efb46b8e-7e2e-4fc5-8e66-47521e66214a</errorID>
      <errorWord>(</errorWord>
      <group>L1_Format</group>
      <groupName>格式问题</groupName>
      <ability>L2_HalfPunc</ability>
      <abilityName>全半角检查</abilityName>
      <candidateList>
        <item>（</item>
      </candidateList>
      <explain>文本全半角错误。</explain>
      <paraID>51C93D5D</paraID>
      <start>3</start>
      <end>4</end>
      <status>unmodified</status>
      <modifiedWord/>
      <trackRevisions>false</trackRevisions>
    </reviewItem>
    <reviewItem>
      <errorID>e25038b7-1bd2-4cd0-9ebb-3442471d1678</errorID>
      <errorWord>)</errorWord>
      <group>L1_Format</group>
      <groupName>格式问题</groupName>
      <ability>L2_HalfPunc</ability>
      <abilityName>全半角检查</abilityName>
      <candidateList>
        <item>）</item>
      </candidateList>
      <explain>文本全半角错误。</explain>
      <paraID>51C93D5D</paraID>
      <start>7</start>
      <end>8</end>
      <status>unmodified</status>
      <modifiedWord/>
      <trackRevisions>false</trackRevisions>
    </reviewItem>
    <reviewItem>
      <errorID>8068aa59-161f-4d12-9a51-ee12bca06fa8</errorID>
      <errorWord>（</errorWord>
      <group>L1_Format</group>
      <groupName>格式问题</groupName>
      <ability>L2_HalfPunc</ability>
      <abilityName>全半角检查</abilityName>
      <candidateList>
        <item>(</item>
      </candidateList>
      <explain>文本全半角错误。</explain>
      <paraID>18813374</paraID>
      <start>4</start>
      <end>5</end>
      <status>unmodified</status>
      <modifiedWord/>
      <trackRevisions>false</trackRevisions>
    </reviewItem>
    <reviewItem>
      <errorID>5c57ffb4-4fce-4dfb-acc2-03656385c217</errorID>
      <errorWord>）</errorWord>
      <group>L1_Format</group>
      <groupName>格式问题</groupName>
      <ability>L2_HalfPunc</ability>
      <abilityName>全半角检查</abilityName>
      <candidateList>
        <item>)</item>
      </candidateList>
      <explain>文本全半角错误。</explain>
      <paraID>18813374</paraID>
      <start>7</start>
      <end>8</end>
      <status>unmodified</status>
      <modifiedWord/>
      <trackRevisions>false</trackRevisions>
    </reviewItem>
    <reviewItem>
      <errorID>9bb305e7-0206-487a-af84-50acb200c28a</errorID>
      <errorWord>（</errorWord>
      <group>L1_Format</group>
      <groupName>格式问题</groupName>
      <ability>L2_HalfPunc</ability>
      <abilityName>全半角检查</abilityName>
      <candidateList>
        <item>(</item>
      </candidateList>
      <explain>文本全半角错误。</explain>
      <paraID>7CFC66A7</paraID>
      <start>3</start>
      <end>4</end>
      <status>unmodified</status>
      <modifiedWord/>
      <trackRevisions>false</trackRevisions>
    </reviewItem>
    <reviewItem>
      <errorID>cf54f967-b3e1-4d6e-8bde-b69958ae60b2</errorID>
      <errorWord>）</errorWord>
      <group>L1_Format</group>
      <groupName>格式问题</groupName>
      <ability>L2_HalfPunc</ability>
      <abilityName>全半角检查</abilityName>
      <candidateList>
        <item>)</item>
      </candidateList>
      <explain>文本全半角错误。</explain>
      <paraID>7CFC66A7</paraID>
      <start>6</start>
      <end>7</end>
      <status>unmodified</status>
      <modifiedWord/>
      <trackRevisions>false</trackRevisions>
    </reviewItem>
    <reviewItem>
      <errorID>2d7f8d17-d1c8-4f1d-a21b-00457a081367</errorID>
      <errorWord>（</errorWord>
      <group>L1_Format</group>
      <groupName>格式问题</groupName>
      <ability>L2_HalfPunc</ability>
      <abilityName>全半角检查</abilityName>
      <candidateList>
        <item>(</item>
      </candidateList>
      <explain>文本全半角错误。</explain>
      <paraID>626D183E</paraID>
      <start>3</start>
      <end>4</end>
      <status>unmodified</status>
      <modifiedWord/>
      <trackRevisions>false</trackRevisions>
    </reviewItem>
    <reviewItem>
      <errorID>c3d2f00d-dcda-4549-80bf-cd95936a75dd</errorID>
      <errorWord>）</errorWord>
      <group>L1_Format</group>
      <groupName>格式问题</groupName>
      <ability>L2_HalfPunc</ability>
      <abilityName>全半角检查</abilityName>
      <candidateList>
        <item>)</item>
      </candidateList>
      <explain>文本全半角错误。</explain>
      <paraID>626D183E</paraID>
      <start>6</start>
      <end>7</end>
      <status>unmodified</status>
      <modifiedWord/>
      <trackRevisions>false</trackRevisions>
    </reviewItem>
    <reviewItem>
      <errorID>b9927350-e947-4728-87d3-311c2163f1fe</errorID>
      <errorWord>、</errorWord>
      <group>L1_Punc</group>
      <groupName>标点问题</groupName>
      <ability>L2_Punc</ability>
      <abilityName>标点符号检查</abilityName>
      <candidateList>
        <item>.</item>
      </candidateList>
      <explain/>
      <paraID>2F4C11AE</paraID>
      <start>1</start>
      <end>2</end>
      <status>unmodified</status>
      <modifiedWord/>
      <trackRevisions>false</trackRevisions>
    </reviewItem>
    <reviewItem>
      <errorID>8a30e462-a242-4bfb-9159-9574e445b6c3</errorID>
      <errorWord>（</errorWord>
      <group>L1_Format</group>
      <groupName>格式问题</groupName>
      <ability>L2_HalfPunc</ability>
      <abilityName>全半角检查</abilityName>
      <candidateList>
        <item>(</item>
      </candidateList>
      <explain>文本全半角错误。</explain>
      <paraID>2610284A</paraID>
      <start>3</start>
      <end>4</end>
      <status>unmodified</status>
      <modifiedWord/>
      <trackRevisions>false</trackRevisions>
    </reviewItem>
    <reviewItem>
      <errorID>25752968-ebe2-491c-a48d-3d838e8c52d9</errorID>
      <errorWord>）</errorWord>
      <group>L1_Format</group>
      <groupName>格式问题</groupName>
      <ability>L2_HalfPunc</ability>
      <abilityName>全半角检查</abilityName>
      <candidateList>
        <item>)</item>
      </candidateList>
      <explain>文本全半角错误。</explain>
      <paraID>2610284A</paraID>
      <start>6</start>
      <end>7</end>
      <status>unmodified</status>
      <modifiedWord/>
      <trackRevisions>false</trackRevisions>
    </reviewItem>
    <reviewItem>
      <errorID>aa6fa665-6752-4b73-94bf-807eea6ed009</errorID>
      <errorWord>、</errorWord>
      <group>L1_Punc</group>
      <groupName>标点问题</groupName>
      <ability>L2_Punc</ability>
      <abilityName>标点符号检查</abilityName>
      <candidateList>
        <item>.</item>
      </candidateList>
      <explain/>
      <paraID>1266E70C</paraID>
      <start>1</start>
      <end>2</end>
      <status>unmodified</status>
      <modifiedWord/>
      <trackRevisions>false</trackRevisions>
    </reviewItem>
    <reviewItem>
      <errorID>19011834-ae7e-4320-b886-8e9b1c9daa17</errorID>
      <errorWord>、</errorWord>
      <group>L1_Punc</group>
      <groupName>标点问题</groupName>
      <ability>L2_Punc</ability>
      <abilityName>标点符号检查</abilityName>
      <candidateList>
        <item>.</item>
      </candidateList>
      <explain/>
      <paraID>1506EB5C</paraID>
      <start>1</start>
      <end>2</end>
      <status>unmodified</status>
      <modifiedWord/>
      <trackRevisions>false</trackRevisions>
    </reviewItem>
    <reviewItem>
      <errorID>092f7381-1e34-47d1-8c9a-919617fa4029</errorID>
      <errorWord>（</errorWord>
      <group>L1_Format</group>
      <groupName>格式问题</groupName>
      <ability>L2_HalfPunc</ability>
      <abilityName>全半角检查</abilityName>
      <candidateList>
        <item>(</item>
      </candidateList>
      <explain>文本全半角错误。</explain>
      <paraID>46CFF9FE</paraID>
      <start>3</start>
      <end>4</end>
      <status>unmodified</status>
      <modifiedWord/>
      <trackRevisions>false</trackRevisions>
    </reviewItem>
    <reviewItem>
      <errorID>8cb5ee12-e28f-4f4f-ac49-d5ddd8225b52</errorID>
      <errorWord>）</errorWord>
      <group>L1_Format</group>
      <groupName>格式问题</groupName>
      <ability>L2_HalfPunc</ability>
      <abilityName>全半角检查</abilityName>
      <candidateList>
        <item>)</item>
      </candidateList>
      <explain>文本全半角错误。</explain>
      <paraID>46CFF9FE</paraID>
      <start>6</start>
      <end>7</end>
      <status>unmodified</status>
      <modifiedWord/>
      <trackRevisions>false</trackRevisions>
    </reviewItem>
    <reviewItem>
      <errorID>6f276a9a-a29a-48f8-89de-2469398e0edf</errorID>
      <errorWord>且</errorWord>
      <group>L1_Word</group>
      <groupName>字词问题</groupName>
      <ability>L2_Typo</ability>
      <abilityName>字词错误</abilityName>
      <candidateList>
        <item>且对</item>
      </candidateList>
      <explain/>
      <paraID>33200B0A</paraID>
      <start>110</start>
      <end>111</end>
      <status>unmodified</status>
      <modifiedWord/>
      <trackRevisions>false</trackRevisions>
    </reviewItem>
    <reviewItem>
      <errorID>bdb10ca4-29e0-498c-acda-32287962051f</errorID>
      <errorWord>II</errorWord>
      <group>L1_Knowledge</group>
      <groupName>知识性问题</groupName>
      <ability>L2_Knowledge</ability>
      <abilityName>其他知识</abilityName>
      <candidateList>
        <item>Ⅱ</item>
      </candidateList>
      <explain/>
      <paraID>291078B2</paraID>
      <start>29</start>
      <end>31</end>
      <status>unmodified</status>
      <modifiedWord/>
      <trackRevisions>false</trackRevisions>
    </reviewItem>
    <reviewItem>
      <errorID>dd6ca985-d1e2-4d58-8a7c-fbd4b437958e</errorID>
      <errorWord>IV</errorWord>
      <group>L1_Knowledge</group>
      <groupName>知识性问题</groupName>
      <ability>L2_Knowledge</ability>
      <abilityName>其他知识</abilityName>
      <candidateList>
        <item>Ⅳ</item>
      </candidateList>
      <explain/>
      <paraID>291078B2</paraID>
      <start>32</start>
      <end>34</end>
      <status>unmodified</status>
      <modifiedWord/>
      <trackRevisions>false</trackRevisions>
    </reviewItem>
    <reviewItem>
      <errorID>72a6c9c4-07f0-4f2e-96a7-2250bd9a2331</errorID>
      <errorWord>)</errorWord>
      <group>L1_Format</group>
      <groupName>格式问题</groupName>
      <ability>L2_HalfPunc</ability>
      <abilityName>全半角检查</abilityName>
      <candidateList>
        <item>）</item>
      </candidateList>
      <explain>文本全半角错误。</explain>
      <paraID>291078B2</paraID>
      <start>162</start>
      <end>163</end>
      <status>unmodified</status>
      <modifiedWord/>
      <trackRevisions>false</trackRevisions>
    </reviewItem>
    <reviewItem>
      <errorID>3e1d1c0b-0f30-4026-9bbf-817a59dac603</errorID>
      <errorWord>,</errorWord>
      <group>L1_Format</group>
      <groupName>格式问题</groupName>
      <ability>L2_HalfPunc</ability>
      <abilityName>全半角检查</abilityName>
      <candidateList>
        <item>，</item>
      </candidateList>
      <explain>文本全半角错误。</explain>
      <paraID>25D27954</paraID>
      <start>39</start>
      <end>40</end>
      <status>unmodified</status>
      <modifiedWord/>
      <trackRevisions>false</trackRevisions>
    </reviewItem>
    <reviewItem>
      <errorID>7faddb70-577d-49cd-ba26-fd2540765997</errorID>
      <errorWord>,</errorWord>
      <group>L1_Format</group>
      <groupName>格式问题</groupName>
      <ability>L2_HalfPunc</ability>
      <abilityName>全半角检查</abilityName>
      <candidateList>
        <item>，</item>
      </candidateList>
      <explain>文本全半角错误。</explain>
      <paraID>25D27954</paraID>
      <start>47</start>
      <end>48</end>
      <status>unmodified</status>
      <modifiedWord/>
      <trackRevisions>false</trackRevisions>
    </reviewItem>
    <reviewItem>
      <errorID>bbdb51be-fa51-4d40-9fa9-f08084d0cd5c</errorID>
      <errorWord>(</errorWord>
      <group>L1_Format</group>
      <groupName>格式问题</groupName>
      <ability>L2_HalfPunc</ability>
      <abilityName>全半角检查</abilityName>
      <candidateList>
        <item>（</item>
      </candidateList>
      <explain>文本全半角错误。</explain>
      <paraID>1DEEAEC6</paraID>
      <start>33</start>
      <end>34</end>
      <status>unmodified</status>
      <modifiedWord/>
      <trackRevisions>false</trackRevisions>
    </reviewItem>
    <reviewItem>
      <errorID>090e61ab-7c78-40dd-9c28-1c47d0f8bc5b</errorID>
      <errorWord>)</errorWord>
      <group>L1_Format</group>
      <groupName>格式问题</groupName>
      <ability>L2_HalfPunc</ability>
      <abilityName>全半角检查</abilityName>
      <candidateList>
        <item>）</item>
      </candidateList>
      <explain>文本全半角错误。</explain>
      <paraID>1DEEAEC6</paraID>
      <start>37</start>
      <end>38</end>
      <status>unmodified</status>
      <modifiedWord/>
      <trackRevisions>false</trackRevisions>
    </reviewItem>
    <reviewItem>
      <errorID>fa099518-5805-46ff-8ff6-4afe9352578e</errorID>
      <errorWord>,</errorWord>
      <group>L1_Format</group>
      <groupName>格式问题</groupName>
      <ability>L2_HalfPunc</ability>
      <abilityName>全半角检查</abilityName>
      <candidateList>
        <item>，</item>
      </candidateList>
      <explain>文本全半角错误。</explain>
      <paraID>550DF22C</paraID>
      <start>29</start>
      <end>30</end>
      <status>unmodified</status>
      <modifiedWord/>
      <trackRevisions>false</trackRevisions>
    </reviewItem>
    <reviewItem>
      <errorID>b1acee3d-447d-45e3-ad51-c68f5caaef3a</errorID>
      <errorWord>:</errorWord>
      <group>L1_Format</group>
      <groupName>格式问题</groupName>
      <ability>L2_HalfPunc</ability>
      <abilityName>全半角检查</abilityName>
      <candidateList>
        <item>：</item>
      </candidateList>
      <explain>文本全半角错误。</explain>
      <paraID>3B203266</paraID>
      <start>2</start>
      <end>3</end>
      <status>unmodified</status>
      <modifiedWord/>
      <trackRevisions>false</trackRevisions>
    </reviewItem>
    <reviewItem>
      <errorID>679b89b7-ad77-45f4-85bb-f80d4c506736</errorID>
      <errorWord>,</errorWord>
      <group>L1_Format</group>
      <groupName>格式问题</groupName>
      <ability>L2_HalfPunc</ability>
      <abilityName>全半角检查</abilityName>
      <candidateList>
        <item>，</item>
      </candidateList>
      <explain>文本全半角错误。</explain>
      <paraID>6E4B0CD1</paraID>
      <start>383</start>
      <end>384</end>
      <status>unmodified</status>
      <modifiedWord/>
      <trackRevisions>false</trackRevisions>
    </reviewItem>
    <reviewItem>
      <errorID>b0dd4ae6-70b9-4379-8a78-598eff13c783</errorID>
      <errorWord>见</errorWord>
      <group>L1_Word</group>
      <groupName>字词问题</groupName>
      <ability>L2_Typo</ability>
      <abilityName>字词错误</abilityName>
      <candidateList>
        <item>见下</item>
      </candidateList>
      <explain/>
      <paraID> A66D77A</paraID>
      <start>123</start>
      <end>124</end>
      <status>unmodified</status>
      <modifiedWord/>
      <trackRevisions>false</trackRevisions>
    </reviewItem>
    <reviewItem>
      <errorID>632abd70-53fd-4925-9bac-104fbbd5bcd4</errorID>
      <errorWord>于</errorWord>
      <group>L1_Word</group>
      <groupName>字词问题</groupName>
      <ability>L2_Typo</ability>
      <abilityName>字词错误</abilityName>
      <candidateList>
        <item>与</item>
      </candidateList>
      <explain>存在发音相同字词的误用。</explain>
      <paraID>59263373</paraID>
      <start>175</start>
      <end>176</end>
      <status>unmodified</status>
      <modifiedWord/>
      <trackRevisions>false</trackRevisions>
    </reviewItem>
    <reviewItem>
      <errorID>f39174c5-9014-4dd9-a4fe-663b7f140090</errorID>
      <errorWord>要原辅</errorWord>
      <group>L1_Word</group>
      <groupName>字词问题</groupName>
      <ability>L2_Typo</ability>
      <abilityName>字词错误</abilityName>
      <candidateList>
        <item>要原因</item>
      </candidateList>
      <explain/>
      <paraID>7E079C33</paraID>
      <start>1</start>
      <end>4</end>
      <status>unmodified</status>
      <modifiedWord/>
      <trackRevisions>false</trackRevisions>
    </reviewItem>
    <reviewItem>
      <errorID>46ace31a-4be3-4808-bbe5-4d6747612e0a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4EB85EA</paraID>
      <start>89</start>
      <end>90</end>
      <status>unmodified</status>
      <modifiedWord/>
      <trackRevisions>false</trackRevisions>
    </reviewItem>
    <reviewItem>
      <errorID>2c8728a1-5b83-4ead-877f-8487d4b34394</errorID>
      <errorWord>75.6%~97.5%</errorWord>
      <group>L1_Knowledge</group>
      <groupName>知识性问题</groupName>
      <ability>L2_Knowledge</ability>
      <abilityName>其他知识</abilityName>
      <candidateList>
        <item>75.6%～97.5%</item>
      </candidateList>
      <explain>1. “75.6%~97.5%”中的单位“%”仅出现在后一个数字上，容易引起歧义；根据《现代汉语标点符号数字用法规范手册》，数字表示范围两边需要使用统一的格式。2. 根据标点国标 4.13 中的规则，数字、时间或地域连接符应使用（视觉上更长的）“—”或“～”。</explain>
      <paraID> 4EB85EA</paraID>
      <start>110</start>
      <end>121</end>
      <status>unmodified</status>
      <modifiedWord/>
      <trackRevisions>false</trackRevisions>
    </reviewItem>
    <reviewItem>
      <errorID>075579d9-5b1e-43ad-bc14-16a14591aa97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4EB85EA</paraID>
      <start>147</start>
      <end>148</end>
      <status>unmodified</status>
      <modifiedWord/>
      <trackRevisions>false</trackRevisions>
    </reviewItem>
    <reviewItem>
      <errorID>57c1fb82-4dd7-4563-bbdd-6b759bce5598</errorID>
      <errorWord>92.4%~96.8%</errorWord>
      <group>L1_Knowledge</group>
      <groupName>知识性问题</groupName>
      <ability>L2_Knowledge</ability>
      <abilityName>其他知识</abilityName>
      <candidateList>
        <item>92.4%～96.8%</item>
      </candidateList>
      <explain>1. “92.4%~96.8%”中的单位“%”仅出现在后一个数字上，容易引起歧义；根据《现代汉语标点符号数字用法规范手册》，数字表示范围两边需要使用统一的格式。2. 根据标点国标 4.13 中的规则，数字、时间或地域连接符应使用（视觉上更长的）“—”或“～”。</explain>
      <paraID> 4EB85EA</paraID>
      <start>167</start>
      <end>178</end>
      <status>unmodified</status>
      <modifiedWord/>
      <trackRevisions>false</trackRevisions>
    </reviewItem>
    <reviewItem>
      <errorID>1e8f3caa-b0a3-4614-9a30-c86f26a54758</errorID>
      <errorWord>~</errorWord>
      <group>L1_Format</group>
      <groupName>格式问题</groupName>
      <ability>L2_HalfPunc</ability>
      <abilityName>全半角检查</abilityName>
      <candidateList>
        <item>～</item>
      </candidateList>
      <explain>文本全半角错误。</explain>
      <paraID>2504FBE8</paraID>
      <start>3</start>
      <end>4</end>
      <status>unmodified</status>
      <modifiedWord/>
      <trackRevisions>false</trackRevisions>
    </reviewItem>
    <reviewItem>
      <errorID>6c5ae32b-89c6-46e9-a09f-475ab2cd744a</errorID>
      <errorWord>~</errorWord>
      <group>L1_Format</group>
      <groupName>格式问题</groupName>
      <ability>L2_HalfPunc</ability>
      <abilityName>全半角检查</abilityName>
      <candidateList>
        <item>～</item>
      </candidateList>
      <explain>文本全半角错误。</explain>
      <paraID>5C3D9023</paraID>
      <start>3</start>
      <end>4</end>
      <status>unmodified</status>
      <modifiedWord/>
      <trackRevisions>false</trackRevisions>
    </reviewItem>
    <reviewItem>
      <errorID>bf616cde-d72a-4856-b28c-84c8424d8cbc</errorID>
      <errorWord>~</errorWord>
      <group>L1_Format</group>
      <groupName>格式问题</groupName>
      <ability>L2_HalfPunc</ability>
      <abilityName>全半角检查</abilityName>
      <candidateList>
        <item>～</item>
      </candidateList>
      <explain>文本全半角错误。</explain>
      <paraID>38970B9F</paraID>
      <start>3</start>
      <end>4</end>
      <status>unmodified</status>
      <modifiedWord/>
      <trackRevisions>false</trackRevisions>
    </reviewItem>
    <reviewItem>
      <errorID>bcb6d27c-d1af-4350-b0db-a80f0a58e744</errorID>
      <errorWord>~</errorWord>
      <group>L1_Format</group>
      <groupName>格式问题</groupName>
      <ability>L2_HalfPunc</ability>
      <abilityName>全半角检查</abilityName>
      <candidateList>
        <item>～</item>
      </candidateList>
      <explain>文本全半角错误。</explain>
      <paraID>3C86E655</paraID>
      <start>3</start>
      <end>4</end>
      <status>unmodified</status>
      <modifiedWord/>
      <trackRevisions>false</trackRevisions>
    </reviewItem>
    <reviewItem>
      <errorID>59815454-d60b-49ea-a1d2-f809e92001c0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744D9435</paraID>
      <start>247</start>
      <end>248</end>
      <status>unmodified</status>
      <modifiedWord/>
      <trackRevisions>false</trackRevisions>
    </reviewItem>
    <reviewItem>
      <errorID>26620836-7b5d-4088-98a1-7d19f8b4f022</errorID>
      <errorWord>，</errorWord>
      <group>L1_Word</group>
      <groupName>字词问题</groupName>
      <ability>L2_Typo</ability>
      <abilityName>字词错误</abilityName>
      <candidateList>
        <item>，在</item>
      </candidateList>
      <explain/>
      <paraID>468E5634</paraID>
      <start>29</start>
      <end>30</end>
      <status>unmodified</status>
      <modifiedWord/>
      <trackRevisions>false</trackRevisions>
    </reviewItem>
    <reviewItem>
      <errorID>98403010-7fc7-4177-ab95-154e343039f2</errorID>
      <errorWord>连锁</errorWord>
      <group>L1_Word</group>
      <groupName>字词问题</groupName>
      <ability>L2_Typo</ability>
      <abilityName>字词错误</abilityName>
      <candidateList>
        <item>联锁</item>
      </candidateList>
      <explain>存在发音相同字词的误用。</explain>
      <paraID>1C82F4DA</paraID>
      <start>158</start>
      <end>160</end>
      <status>unmodified</status>
      <modifiedWord/>
      <trackRevisions>false</trackRevisions>
    </reviewItem>
    <reviewItem>
      <errorID>6505e133-8e53-42d6-b261-4a766ef5595d</errorID>
      <errorWord>电器设备</errorWord>
      <group>L1_Word</group>
      <groupName>字词问题</groupName>
      <ability>L2_Typo</ability>
      <abilityName>字词错误</abilityName>
      <candidateList>
        <item>电气设备</item>
      </candidateList>
      <explain/>
      <paraID>1C82F4DA</paraID>
      <start>170</start>
      <end>174</end>
      <status>ignored</status>
      <modifiedWord/>
      <trackRevisions>false</trackRevisions>
    </reviewItem>
    <reviewItem>
      <errorID>a5fd6bfb-5ef1-4891-b615-1754a5eaced2</errorID>
      <errorWord>临</errorWord>
      <group>L1_Word</group>
      <groupName>字词问题</groupName>
      <ability>L2_Typo</ability>
      <abilityName>字词错误</abilityName>
      <candidateList>
        <item>邻</item>
      </candidateList>
      <explain>存在发音相同字词的误用。</explain>
      <paraID>7E60CDFB</paraID>
      <start>47</start>
      <end>48</end>
      <status>modified</status>
      <modifiedWord>邻</modifiedWord>
      <trackRevisions>false</trackRevisions>
    </reviewItem>
    <reviewItem>
      <errorID>557cf138-1ae0-473a-a060-670b01f85380</errorID>
      <errorWord>临</errorWord>
      <group>L1_Word</group>
      <groupName>字词问题</groupName>
      <ability>L2_Typo</ability>
      <abilityName>字词错误</abilityName>
      <candidateList>
        <item>邻</item>
      </candidateList>
      <explain>存在发音相同字词的误用。</explain>
      <paraID>7E60CDFB</paraID>
      <start>60</start>
      <end>61</end>
      <status>modified</status>
      <modifiedWord>邻</modifiedWord>
      <trackRevisions>false</trackRevisions>
    </reviewItem>
    <reviewItem>
      <errorID>f0f57c5a-058f-42b6-be56-0288c92b1679</errorID>
      <errorWord>"</errorWord>
      <group>L1_Format</group>
      <groupName>格式问题</groupName>
      <ability>L2_HalfPunc</ability>
      <abilityName>全半角检查</abilityName>
      <candidateList/>
      <explain>文本全半角错误。</explain>
      <paraID>58E9C182</paraID>
      <start>65</start>
      <end>66</end>
      <status>unmodified</status>
      <modifiedWord/>
      <trackRevisions>false</trackRevisions>
    </reviewItem>
    <reviewItem>
      <errorID>356cc494-e606-4cd4-9f72-433d57cc5979</errorID>
      <errorWord>"</errorWord>
      <group>L1_Format</group>
      <groupName>格式问题</groupName>
      <ability>L2_HalfPunc</ability>
      <abilityName>全半角检查</abilityName>
      <candidateList>
        <item>”</item>
      </candidateList>
      <explain>文本全半角错误。</explain>
      <paraID>58E9C182</paraID>
      <start>77</start>
      <end>78</end>
      <status>unmodified</status>
      <modifiedWord/>
      <trackRevisions>false</trackRevisions>
    </reviewItem>
    <reviewItem>
      <errorID>0df6808e-7eb2-4ac3-a285-09133ee8a529</errorID>
      <errorWord>海拔高度</errorWord>
      <group>L1_Word</group>
      <groupName>字词问题</groupName>
      <ability>L2_Typo</ability>
      <abilityName>字词错误</abilityName>
      <candidateList>
        <item>海拔</item>
      </candidateList>
      <explain>〈名〉从平均海平面起算的高度。</explain>
      <paraID>13A9E1BD</paraID>
      <start>257</start>
      <end>261</end>
      <status>unmodified</status>
      <modifiedWord/>
      <trackRevisions>false</trackRevisions>
    </reviewItem>
    <reviewItem>
      <errorID>ea2a23f8-b2ba-4821-8ad0-a0609d887a08</errorID>
      <errorWord>“V”型</errorWord>
      <group>L1_Word</group>
      <groupName>字词问题</groupName>
      <ability>L2_Typo</ability>
      <abilityName>字词错误</abilityName>
      <candidateList>
        <item>“V”形</item>
      </candidateList>
      <explain/>
      <paraID>13A9E1BD</paraID>
      <start>308</start>
      <end>312</end>
      <status>unmodified</status>
      <modifiedWord/>
      <trackRevisions>false</trackRevisions>
    </reviewItem>
    <reviewItem>
      <errorID>6186d512-771b-4084-b966-a45bd0914d93</errorID>
      <errorWord>海拔高度</errorWord>
      <group>L1_Word</group>
      <groupName>字词问题</groupName>
      <ability>L2_Typo</ability>
      <abilityName>字词错误</abilityName>
      <candidateList>
        <item>海拔</item>
      </candidateList>
      <explain>〈名〉从平均海平面起算的高度。</explain>
      <paraID>500CC279</paraID>
      <start>98</start>
      <end>102</end>
      <status>unmodified</status>
      <modifiedWord/>
      <trackRevisions>false</trackRevisions>
    </reviewItem>
    <reviewItem>
      <errorID>fbbc987f-9d26-401f-8ede-312e6891fa6c</errorID>
      <errorWord>海拔高度</errorWord>
      <group>L1_Word</group>
      <groupName>字词问题</groupName>
      <ability>L2_Typo</ability>
      <abilityName>字词错误</abilityName>
      <candidateList>
        <item>海拔</item>
      </candidateList>
      <explain>〈名〉从平均海平面起算的高度。</explain>
      <paraID>5AF6334E</paraID>
      <start>270</start>
      <end>274</end>
      <status>unmodified</status>
      <modifiedWord/>
      <trackRevisions>false</trackRevisions>
    </reviewItem>
    <reviewItem>
      <errorID>b39bcd23-18d0-4db2-9639-1fa72d17c6df</errorID>
      <errorWord>~</errorWord>
      <group>L1_Format</group>
      <groupName>格式问题</groupName>
      <ability>L2_HalfPunc</ability>
      <abilityName>全半角检查</abilityName>
      <candidateList>
        <item>～</item>
      </candidateList>
      <explain>文本全半角错误。</explain>
      <paraID>24DA4315</paraID>
      <start>24</start>
      <end>25</end>
      <status>unmodified</status>
      <modifiedWord/>
      <trackRevisions>false</trackRevisions>
    </reviewItem>
    <reviewItem>
      <errorID>1f7e782e-3716-4b9b-89fe-5e832052fe34</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3898C3D5</paraID>
      <start>119</start>
      <end>125</end>
      <status>unmodified</status>
      <modifiedWord/>
      <trackRevisions>false</trackRevisions>
    </reviewItem>
    <reviewItem>
      <errorID>bdb5ef70-09f6-4780-8e3b-f55ace3834f1</errorID>
      <errorWord>年日照时长</errorWord>
      <group>L1_Knowledge</group>
      <groupName>知识性问题</groupName>
      <ability>L2_Term</ability>
      <abilityName>专业术语</abilityName>
      <candidateList>
        <item>年日照时数</item>
      </candidateList>
      <explain/>
      <paraID>3898C3D5</paraID>
      <start>163</start>
      <end>168</end>
      <status>unmodified</status>
      <modifiedWord/>
      <trackRevisions>false</trackRevisions>
    </reviewItem>
    <reviewItem>
      <errorID>32331ae9-f009-48bb-8c57-20ec7da5f648</errorID>
      <errorWord>(</errorWord>
      <group>L1_Format</group>
      <groupName>格式问题</groupName>
      <ability>L2_HalfPunc</ability>
      <abilityName>全半角检查</abilityName>
      <candidateList>
        <item>（</item>
      </candidateList>
      <explain>文本全半角错误。</explain>
      <paraID>19030FBF</paraID>
      <start>20</start>
      <end>21</end>
      <status>unmodified</status>
      <modifiedWord/>
      <trackRevisions>false</trackRevisions>
    </reviewItem>
    <reviewItem>
      <errorID>42f02523-e45c-47d0-992a-fa3da27db0dd</errorID>
      <errorWord>)</errorWord>
      <group>L1_Format</group>
      <groupName>格式问题</groupName>
      <ability>L2_HalfPunc</ability>
      <abilityName>全半角检查</abilityName>
      <candidateList>
        <item>）</item>
      </candidateList>
      <explain>文本全半角错误。</explain>
      <paraID>19030FBF</paraID>
      <start>22</start>
      <end>23</end>
      <status>unmodified</status>
      <modifiedWord/>
      <trackRevisions>false</trackRevisions>
    </reviewItem>
    <reviewItem>
      <errorID>8d558898-f4dd-40d6-8735-13d16647a2b9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6F59D69F</paraID>
      <start>0</start>
      <end>2</end>
      <status>unmodified</status>
      <modifiedWord/>
      <trackRevisions>false</trackRevisions>
    </reviewItem>
    <reviewItem>
      <errorID>0baa4936-9e04-4b22-a300-df763070cf0a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727B7B0F</paraID>
      <start>80</start>
      <end>81</end>
      <status>unmodified</status>
      <modifiedWord/>
      <trackRevisions>false</trackRevisions>
    </reviewItem>
    <reviewItem>
      <errorID>e6d9f6b3-e31b-4fca-99e0-c84452dbcd2a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727B7B0F</paraID>
      <start>95</start>
      <end>96</end>
      <status>unmodified</status>
      <modifiedWord/>
      <trackRevisions>false</trackRevisions>
    </reviewItem>
    <reviewItem>
      <errorID>1487b198-ed02-4f11-96b5-3b4bb71944fb</errorID>
      <errorWord>~</errorWord>
      <group>L1_Format</group>
      <groupName>格式问题</groupName>
      <ability>L2_HalfPunc</ability>
      <abilityName>全半角检查</abilityName>
      <candidateList>
        <item>～</item>
      </candidateList>
      <explain>文本全半角错误。</explain>
      <paraID>727B7B0F</paraID>
      <start>236</start>
      <end>237</end>
      <status>unmodified</status>
      <modifiedWord/>
      <trackRevisions>false</trackRevisions>
    </reviewItem>
    <reviewItem>
      <errorID>30ec1546-bd06-4749-9d74-e89c254df362</errorID>
      <errorWord>~</errorWord>
      <group>L1_Format</group>
      <groupName>格式问题</groupName>
      <ability>L2_HalfPunc</ability>
      <abilityName>全半角检查</abilityName>
      <candidateList>
        <item>～</item>
      </candidateList>
      <explain>文本全半角错误。</explain>
      <paraID>727B7B0F</paraID>
      <start>261</start>
      <end>262</end>
      <status>unmodified</status>
      <modifiedWord/>
      <trackRevisions>false</trackRevisions>
    </reviewItem>
    <reviewItem>
      <errorID>c72b04ea-ec4c-452f-80d5-c8cb01229915</errorID>
      <errorWord>~</errorWord>
      <group>L1_Format</group>
      <groupName>格式问题</groupName>
      <ability>L2_HalfPunc</ability>
      <abilityName>全半角检查</abilityName>
      <candidateList>
        <item>～</item>
      </candidateList>
      <explain>文本全半角错误。</explain>
      <paraID>55301D75</paraID>
      <start>74</start>
      <end>75</end>
      <status>unmodified</status>
      <modifiedWord/>
      <trackRevisions>false</trackRevisions>
    </reviewItem>
    <reviewItem>
      <errorID>33c933a9-535d-47ac-9dcc-84577e88a5fb</errorID>
      <errorWord>~</errorWord>
      <group>L1_Format</group>
      <groupName>格式问题</groupName>
      <ability>L2_HalfPunc</ability>
      <abilityName>全半角检查</abilityName>
      <candidateList>
        <item>～</item>
      </candidateList>
      <explain>文本全半角错误。</explain>
      <paraID>55301D75</paraID>
      <start>84</start>
      <end>85</end>
      <status>unmodified</status>
      <modifiedWord/>
      <trackRevisions>false</trackRevisions>
    </reviewItem>
    <reviewItem>
      <errorID>83417ab9-af40-491f-a395-7dd17eced864</errorID>
      <errorWord>~</errorWord>
      <group>L1_Format</group>
      <groupName>格式问题</groupName>
      <ability>L2_HalfPunc</ability>
      <abilityName>全半角检查</abilityName>
      <candidateList>
        <item>～</item>
      </candidateList>
      <explain>文本全半角错误。</explain>
      <paraID>55301D75</paraID>
      <start>97</start>
      <end>98</end>
      <status>unmodified</status>
      <modifiedWord/>
      <trackRevisions>false</trackRevisions>
    </reviewItem>
    <reviewItem>
      <errorID>e6b7ee6d-6b8e-43b5-907a-2b4fedd1f329</errorID>
      <errorWord>~</errorWord>
      <group>L1_Format</group>
      <groupName>格式问题</groupName>
      <ability>L2_HalfPunc</ability>
      <abilityName>全半角检查</abilityName>
      <candidateList>
        <item>～</item>
      </candidateList>
      <explain>文本全半角错误。</explain>
      <paraID>55301D75</paraID>
      <start>126</start>
      <end>127</end>
      <status>unmodified</status>
      <modifiedWord/>
      <trackRevisions>false</trackRevisions>
    </reviewItem>
    <reviewItem>
      <errorID>8bc8cf4d-0ee5-4665-b424-69c0e8737d67</errorID>
      <errorWord>~</errorWord>
      <group>L1_Format</group>
      <groupName>格式问题</groupName>
      <ability>L2_HalfPunc</ability>
      <abilityName>全半角检查</abilityName>
      <candidateList>
        <item>～</item>
      </candidateList>
      <explain>文本全半角错误。</explain>
      <paraID>55301D75</paraID>
      <start>194</start>
      <end>195</end>
      <status>unmodified</status>
      <modifiedWord/>
      <trackRevisions>false</trackRevisions>
    </reviewItem>
    <reviewItem>
      <errorID>63f7abcc-2a47-43cb-bff0-203abdc0ddff</errorID>
      <errorWord>~</errorWord>
      <group>L1_Format</group>
      <groupName>格式问题</groupName>
      <ability>L2_HalfPunc</ability>
      <abilityName>全半角检查</abilityName>
      <candidateList>
        <item>～</item>
      </candidateList>
      <explain>文本全半角错误。</explain>
      <paraID>55301D75</paraID>
      <start>216</start>
      <end>217</end>
      <status>unmodified</status>
      <modifiedWord/>
      <trackRevisions>false</trackRevisions>
    </reviewItem>
    <reviewItem>
      <errorID>e73337ed-370c-4b89-8ddf-2aa67661f844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740060BD</paraID>
      <start>0</start>
      <end>2</end>
      <status>unmodified</status>
      <modifiedWord/>
      <trackRevisions>false</trackRevisions>
    </reviewItem>
    <reviewItem>
      <errorID>09195325-b621-43e8-b0d7-e8c39f211058</errorID>
      <errorWord>~</errorWord>
      <group>L1_Format</group>
      <groupName>格式问题</groupName>
      <ability>L2_HalfPunc</ability>
      <abilityName>全半角检查</abilityName>
      <candidateList>
        <item>～</item>
      </candidateList>
      <explain>文本全半角错误。</explain>
      <paraID>3061C04E</paraID>
      <start>164</start>
      <end>165</end>
      <status>unmodified</status>
      <modifiedWord/>
      <trackRevisions>false</trackRevisions>
    </reviewItem>
    <reviewItem>
      <errorID>6b4bf5be-9803-4989-98f0-6dfb634d622e</errorID>
      <errorWord>~</errorWord>
      <group>L1_Format</group>
      <groupName>格式问题</groupName>
      <ability>L2_HalfPunc</ability>
      <abilityName>全半角检查</abilityName>
      <candidateList>
        <item>～</item>
      </candidateList>
      <explain>文本全半角错误。</explain>
      <paraID>3061C04E</paraID>
      <start>198</start>
      <end>199</end>
      <status>unmodified</status>
      <modifiedWord/>
      <trackRevisions>false</trackRevisions>
    </reviewItem>
    <reviewItem>
      <errorID>1c8674f7-77f4-4a18-acc8-e95f5640f81c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4FADF57A</paraID>
      <start>0</start>
      <end>2</end>
      <status>unmodified</status>
      <modifiedWord/>
      <trackRevisions>false</trackRevisions>
    </reviewItem>
    <reviewItem>
      <errorID>7b84a70c-5338-48dc-bdc1-683f0afaa669</errorID>
      <errorWord>~</errorWord>
      <group>L1_Format</group>
      <groupName>格式问题</groupName>
      <ability>L2_HalfPunc</ability>
      <abilityName>全半角检查</abilityName>
      <candidateList>
        <item>～</item>
      </candidateList>
      <explain>文本全半角错误。</explain>
      <paraID> 333D755</paraID>
      <start>177</start>
      <end>178</end>
      <status>unmodified</status>
      <modifiedWord/>
      <trackRevisions>false</trackRevisions>
    </reviewItem>
    <reviewItem>
      <errorID>dee9ef16-136b-488e-8549-cf8459f49541</errorID>
      <errorWord>~</errorWord>
      <group>L1_Format</group>
      <groupName>格式问题</groupName>
      <ability>L2_HalfPunc</ability>
      <abilityName>全半角检查</abilityName>
      <candidateList>
        <item>～</item>
      </candidateList>
      <explain>文本全半角错误。</explain>
      <paraID> 333D755</paraID>
      <start>192</start>
      <end>193</end>
      <status>unmodified</status>
      <modifiedWord/>
      <trackRevisions>false</trackRevisions>
    </reviewItem>
    <reviewItem>
      <errorID>de6017a2-d4f9-44b4-859c-3bc02b51707d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77E03ACE</paraID>
      <start>0</start>
      <end>2</end>
      <status>unmodified</status>
      <modifiedWord/>
      <trackRevisions>false</trackRevisions>
    </reviewItem>
    <reviewItem>
      <errorID>cc46e6d8-b4cd-4ddd-bbad-a66fb2082b5e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3FC8D021</paraID>
      <start>0</start>
      <end>2</end>
      <status>unmodified</status>
      <modifiedWord/>
      <trackRevisions>false</trackRevisions>
    </reviewItem>
    <reviewItem>
      <errorID>2cc01624-35e6-408e-a49e-b23861674eb9</errorID>
      <errorWord>排泄的</errorWord>
      <group>L1_Word</group>
      <groupName>字词问题</groupName>
      <ability>L2_Typo</ability>
      <abilityName>字词错误</abilityName>
      <candidateList>
        <item>排泄</item>
      </candidateList>
      <explain/>
      <paraID>53DA0BC6</paraID>
      <start>138</start>
      <end>141</end>
      <status>unmodified</status>
      <modifiedWord/>
      <trackRevisions>false</trackRevisions>
    </reviewItem>
    <reviewItem>
      <errorID>3018f06a-10d1-4efa-9167-a91f86094de1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684D358D</paraID>
      <start>0</start>
      <end>2</end>
      <status>unmodified</status>
      <modifiedWord/>
      <trackRevisions>false</trackRevisions>
    </reviewItem>
    <reviewItem>
      <errorID>1d529f7f-cda1-4ea7-bb4a-07475b700eca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4242E291</paraID>
      <start>0</start>
      <end>2</end>
      <status>unmodified</status>
      <modifiedWord/>
      <trackRevisions>false</trackRevisions>
    </reviewItem>
    <reviewItem>
      <errorID>80e1a5dd-05ef-4a35-94c2-97f9c24333c9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3A7B267F</paraID>
      <start>85</start>
      <end>86</end>
      <status>unmodified</status>
      <modifiedWord/>
      <trackRevisions>false</trackRevisions>
    </reviewItem>
    <reviewItem>
      <errorID>50af62f5-b8ba-46cd-a395-41106a6c798c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870AE9D</paraID>
      <start>0</start>
      <end>2</end>
      <status>unmodified</status>
      <modifiedWord/>
      <trackRevisions>false</trackRevisions>
    </reviewItem>
    <reviewItem>
      <errorID>b4e2ed6e-2373-4056-ae8f-365df1dd4760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22D6006C</paraID>
      <start>0</start>
      <end>2</end>
      <status>unmodified</status>
      <modifiedWord/>
      <trackRevisions>false</trackRevisions>
    </reviewItem>
    <reviewItem>
      <errorID>0449b1db-2565-4fd8-9bb2-747652bd038e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2082A77F</paraID>
      <start>0</start>
      <end>2</end>
      <status>unmodified</status>
      <modifiedWord/>
      <trackRevisions>false</trackRevisions>
    </reviewItem>
    <reviewItem>
      <errorID>bfb89d65-7a71-42c1-a48e-3d7381a1b9ef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222355CF</paraID>
      <start>0</start>
      <end>2</end>
      <status>unmodified</status>
      <modifiedWord/>
      <trackRevisions>false</trackRevisions>
    </reviewItem>
    <reviewItem>
      <errorID>9a78ef3f-27ea-4fac-a263-5f6fb281e289</errorID>
      <errorWord>战略新兴产业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词汇“战略性新兴产业”在特定场景下为固定表述形式，请确认此处的“战略新兴产业”是否存在不当。</explain>
      <paraID>2460455D</paraID>
      <start>88</start>
      <end>94</end>
      <status>unmodified</status>
      <modifiedWord/>
      <trackRevisions>false</trackRevisions>
    </reviewItem>
    <reviewItem>
      <errorID>bda04065-56c9-42ec-bb96-0e4ff61f31fe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4FD76A15</paraID>
      <start>0</start>
      <end>4</end>
      <status>unmodified</status>
      <modifiedWord/>
      <trackRevisions>false</trackRevisions>
    </reviewItem>
    <reviewItem>
      <errorID>6e1ff12e-907e-4285-8054-89cd605e42b2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63ADABE9</paraID>
      <start>0</start>
      <end>2</end>
      <status>unmodified</status>
      <modifiedWord/>
      <trackRevisions>false</trackRevisions>
    </reviewItem>
    <reviewItem>
      <errorID>2373c4dc-aaae-4b5a-b421-c29985b46146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194DEDA5</paraID>
      <start>0</start>
      <end>2</end>
      <status>unmodified</status>
      <modifiedWord/>
      <trackRevisions>false</trackRevisions>
    </reviewItem>
    <reviewItem>
      <errorID>4b392aa3-6cb4-4d55-b25d-d3a021f2416f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4A96A277</paraID>
      <start>0</start>
      <end>2</end>
      <status>unmodified</status>
      <modifiedWord/>
      <trackRevisions>false</trackRevisions>
    </reviewItem>
    <reviewItem>
      <errorID>52359ba2-06c9-47c5-b216-99d8ad811a6e</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4A96A277</paraID>
      <start>106</start>
      <end>108</end>
      <status>unmodified</status>
      <modifiedWord/>
      <trackRevisions>false</trackRevisions>
    </reviewItem>
    <reviewItem>
      <errorID>a9870ca4-0556-40c9-a464-e2f3c046da0c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2B45D034</paraID>
      <start>0</start>
      <end>2</end>
      <status>unmodified</status>
      <modifiedWord/>
      <trackRevisions>false</trackRevisions>
    </reviewItem>
    <reviewItem>
      <errorID>727949de-f0d0-41e7-a7f9-1f6db3bf5f7d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1ADC4307</paraID>
      <start>0</start>
      <end>2</end>
      <status>unmodified</status>
      <modifiedWord/>
      <trackRevisions>false</trackRevisions>
    </reviewItem>
    <reviewItem>
      <errorID>a0997888-12df-41a8-85e3-0fae7083adc7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60E805F6</paraID>
      <start>0</start>
      <end>2</end>
      <status>unmodified</status>
      <modifiedWord/>
      <trackRevisions>false</trackRevisions>
    </reviewItem>
    <reviewItem>
      <errorID>181ac134-8ac1-4208-9bc9-9078473f482e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35A20F9D</paraID>
      <start>0</start>
      <end>4</end>
      <status>unmodified</status>
      <modifiedWord/>
      <trackRevisions>false</trackRevisions>
    </reviewItem>
    <reviewItem>
      <errorID>bbbebc46-0818-449d-b665-44e3af688f0a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33D4EEA0</paraID>
      <start>0</start>
      <end>2</end>
      <status>unmodified</status>
      <modifiedWord/>
      <trackRevisions>false</trackRevisions>
    </reviewItem>
    <reviewItem>
      <errorID>bd75a6e7-1fd2-41b1-80f9-3d1322e39b16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72C63433</paraID>
      <start>0</start>
      <end>2</end>
      <status>unmodified</status>
      <modifiedWord/>
      <trackRevisions>false</trackRevisions>
    </reviewItem>
    <reviewItem>
      <errorID>a0debdcf-d1e5-42fb-9cf7-3b62230d2a82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11F2752E</paraID>
      <start>0</start>
      <end>2</end>
      <status>unmodified</status>
      <modifiedWord/>
      <trackRevisions>false</trackRevisions>
    </reviewItem>
    <reviewItem>
      <errorID>6f8c8126-acee-498a-aabb-e082977c2fd4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42B94633</paraID>
      <start>0</start>
      <end>2</end>
      <status>unmodified</status>
      <modifiedWord/>
      <trackRevisions>false</trackRevisions>
    </reviewItem>
    <reviewItem>
      <errorID>093c69d0-b966-4508-ad5d-c307371b503c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2A75FD3F</paraID>
      <start>0</start>
      <end>2</end>
      <status>unmodified</status>
      <modifiedWord/>
      <trackRevisions>false</trackRevisions>
    </reviewItem>
    <reviewItem>
      <errorID>c58712b0-c390-4a2e-b4e6-49c18ec52cc5</errorID>
      <errorWord>污水厂</errorWord>
      <group>L1_Word</group>
      <groupName>字词问题</groupName>
      <ability>L2_Typo</ability>
      <abilityName>字词错误</abilityName>
      <candidateList>
        <item>污水处理厂</item>
      </candidateList>
      <explain/>
      <paraID>39C8AF0A</paraID>
      <start>118</start>
      <end>123</end>
      <status>modified</status>
      <modifiedWord>污水处理厂</modifiedWord>
      <trackRevisions>false</trackRevisions>
    </reviewItem>
    <reviewItem>
      <errorID>825e7afe-b7c5-479f-b8f4-e43d6d7f97bc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5705F632</paraID>
      <start>0</start>
      <end>2</end>
      <status>unmodified</status>
      <modifiedWord/>
      <trackRevisions>false</trackRevisions>
    </reviewItem>
    <reviewItem>
      <errorID>e05a3ed8-4d23-4824-82e4-3b6589ec5cb4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711F31B8</paraID>
      <start>0</start>
      <end>2</end>
      <status>unmodified</status>
      <modifiedWord/>
      <trackRevisions>false</trackRevisions>
    </reviewItem>
    <reviewItem>
      <errorID>18a8754b-a772-4006-be3a-d5e2dcf52f4d</errorID>
      <errorWord>III类</errorWord>
      <group>L1_Knowledge</group>
      <groupName>知识性问题</groupName>
      <ability>L2_Knowledge</ability>
      <abilityName>其他知识</abilityName>
      <candidateList>
        <item>Ⅲ类</item>
      </candidateList>
      <explain/>
      <paraID>599B3175</paraID>
      <start>163</start>
      <end>167</end>
      <status>unmodified</status>
      <modifiedWord/>
      <trackRevisions>false</trackRevisions>
    </reviewItem>
    <reviewItem>
      <errorID>2dc692d8-1357-429a-91f3-c459966355ef</errorID>
      <errorWord>见</errorWord>
      <group>L1_Word</group>
      <groupName>字词问题</groupName>
      <ability>L2_Typo</ability>
      <abilityName>字词错误</abilityName>
      <candidateList>
        <item>见下</item>
      </candidateList>
      <explain/>
      <paraID>599B3175</paraID>
      <start>237</start>
      <end>238</end>
      <status>unmodified</status>
      <modifiedWord/>
      <trackRevisions>false</trackRevisions>
    </reviewItem>
    <reviewItem>
      <errorID>eaad0c69-f912-4cd9-aaa3-77154c00e17a</errorID>
      <errorWord>III类</errorWord>
      <group>L1_Knowledge</group>
      <groupName>知识性问题</groupName>
      <ability>L2_Knowledge</ability>
      <abilityName>其他知识</abilityName>
      <candidateList>
        <item>Ⅲ类</item>
      </candidateList>
      <explain/>
      <paraID>1BCDDE2E</paraID>
      <start>24</start>
      <end>28</end>
      <status>unmodified</status>
      <modifiedWord/>
      <trackRevisions>false</trackRevisions>
    </reviewItem>
    <reviewItem>
      <errorID>63e0e05e-be7f-471b-af2c-82a92304ce30</errorID>
      <errorWord>III类</errorWord>
      <group>L1_Knowledge</group>
      <groupName>知识性问题</groupName>
      <ability>L2_Knowledge</ability>
      <abilityName>其他知识</abilityName>
      <candidateList>
        <item>Ⅲ类</item>
      </candidateList>
      <explain/>
      <paraID>691475B5</paraID>
      <start>50</start>
      <end>54</end>
      <status>unmodified</status>
      <modifiedWord/>
      <trackRevisions>false</trackRevisions>
    </reviewItem>
    <reviewItem>
      <errorID>5d38b711-1d45-4a7a-8885-ea660df99bf4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1BC3BB79</paraID>
      <start>0</start>
      <end>2</end>
      <status>unmodified</status>
      <modifiedWord/>
      <trackRevisions>false</trackRevisions>
    </reviewItem>
    <reviewItem>
      <errorID>45496e3a-e061-46b5-87a1-4c1c391e77c7</errorID>
      <errorWord>南</errorWord>
      <group>L1_Word</group>
      <groupName>字词问题</groupName>
      <ability>L2_Typo</ability>
      <abilityName>字词错误</abilityName>
      <candidateList>
        <item>南部</item>
      </candidateList>
      <explain/>
      <paraID>6A10C64B</paraID>
      <start>57</start>
      <end>58</end>
      <status>unmodified</status>
      <modifiedWord/>
      <trackRevisions>false</trackRevisions>
    </reviewItem>
    <reviewItem>
      <errorID>2fb8c417-656c-4873-99b4-ecd79888f9f5</errorID>
      <errorWord>其它</errorWord>
      <group>L1_Word</group>
      <groupName>字词问题</groupName>
      <ability>L2_Alias</ability>
      <abilityName>也作/曾用词</abilityName>
      <candidateList>
        <item>其他</item>
      </candidateList>
      <explain>词汇[其它]为不规范表述或旧称，其规范书面表述为[其他]。</explain>
      <paraID>3421BA83</paraID>
      <start>196</start>
      <end>198</end>
      <status>unmodified</status>
      <modifiedWord/>
      <trackRevisions>false</trackRevisions>
    </reviewItem>
    <reviewItem>
      <errorID>eaa38238-7023-465f-bd26-2d4a1f2d7186</errorID>
      <errorWord>)</errorWord>
      <group>L1_Format</group>
      <groupName>格式问题</groupName>
      <ability>L2_HalfPunc</ability>
      <abilityName>全半角检查</abilityName>
      <candidateList>
        <item>）</item>
      </candidateList>
      <explain>文本全半角错误。</explain>
      <paraID>3421BA83</paraID>
      <start>285</start>
      <end>286</end>
      <status>unmodified</status>
      <modifiedWord/>
      <trackRevisions>false</trackRevisions>
    </reviewItem>
    <reviewItem>
      <errorID>8856769c-9cdf-4c62-99d3-eb3ff1b5a62f</errorID>
      <errorWord>三个</errorWord>
      <group>L1_Word</group>
      <groupName>字词问题</groupName>
      <ability>L2_Typo</ability>
      <abilityName>字词错误</abilityName>
      <candidateList>
        <item>三种</item>
      </candidateList>
      <explain/>
      <paraID> 9A37E25</paraID>
      <start>77</start>
      <end>79</end>
      <status>modified</status>
      <modifiedWord>三种</modifiedWord>
      <trackRevisions>false</trackRevisions>
    </reviewItem>
    <reviewItem>
      <errorID>05798196-d6eb-431d-b964-ef9d5f5110be</errorID>
      <errorWord>(</errorWord>
      <group>L1_Format</group>
      <groupName>格式问题</groupName>
      <ability>L2_HalfPunc</ability>
      <abilityName>全半角检查</abilityName>
      <candidateList>
        <item>（</item>
      </candidateList>
      <explain>文本全半角错误。</explain>
      <paraID> 9A37E25</paraID>
      <start>97</start>
      <end>98</end>
      <status>unmodified</status>
      <modifiedWord/>
      <trackRevisions>false</trackRevisions>
    </reviewItem>
    <reviewItem>
      <errorID>a75a7ab2-dfc6-449d-9365-dfb46b812b5c</errorID>
      <errorWord>)</errorWord>
      <group>L1_Format</group>
      <groupName>格式问题</groupName>
      <ability>L2_HalfPunc</ability>
      <abilityName>全半角检查</abilityName>
      <candidateList>
        <item>）</item>
      </candidateList>
      <explain>文本全半角错误。</explain>
      <paraID> 9A37E25</paraID>
      <start>101</start>
      <end>102</end>
      <status>unmodified</status>
      <modifiedWord/>
      <trackRevisions>false</trackRevisions>
    </reviewItem>
    <reviewItem>
      <errorID>789c94f7-5699-4a9b-bae2-aa19381382cd</errorID>
      <errorWord>(</errorWord>
      <group>L1_Format</group>
      <groupName>格式问题</groupName>
      <ability>L2_HalfPunc</ability>
      <abilityName>全半角检查</abilityName>
      <candidateList>
        <item>（</item>
      </candidateList>
      <explain>文本全半角错误。</explain>
      <paraID> 9A37E25</paraID>
      <start>103</start>
      <end>104</end>
      <status>unmodified</status>
      <modifiedWord/>
      <trackRevisions>false</trackRevisions>
    </reviewItem>
    <reviewItem>
      <errorID>b8bf563c-74a0-4206-ba5b-75128e67a72f</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 9A37E25</paraID>
      <start>104</start>
      <end>109</end>
      <status>unmodified</status>
      <modifiedWord/>
      <trackRevisions>false</trackRevisions>
    </reviewItem>
    <reviewItem>
      <errorID>7ccee1ba-bdea-430e-8e05-ca227fcded48</errorID>
      <errorWord>农业部</errorWord>
      <group>L1_Knowledge</group>
      <groupName>知识性问题</groupName>
      <ability>L2_Knowledge</ability>
      <abilityName>其他知识</abilityName>
      <candidateList>
        <item>农业农村部</item>
      </candidateList>
      <explain/>
      <paraID> 9A37E25</paraID>
      <start>110</start>
      <end>113</end>
      <status>unmodified</status>
      <modifiedWord/>
      <trackRevisions>false</trackRevisions>
    </reviewItem>
    <reviewItem>
      <errorID>e6b9b580-9ce1-4aa8-a45c-04b2205343fe</errorID>
      <errorWord>)</errorWord>
      <group>L1_Format</group>
      <groupName>格式问题</groupName>
      <ability>L2_HalfPunc</ability>
      <abilityName>全半角检查</abilityName>
      <candidateList>
        <item>）</item>
      </candidateList>
      <explain>文本全半角错误。</explain>
      <paraID> 9A37E25</paraID>
      <start>118</start>
      <end>119</end>
      <status>unmodified</status>
      <modifiedWord/>
      <trackRevisions>false</trackRevisions>
    </reviewItem>
    <reviewItem>
      <errorID>9badc13f-aa74-494c-8309-999c47e2924d</errorID>
      <errorWord>(</errorWord>
      <group>L1_Format</group>
      <groupName>格式问题</groupName>
      <ability>L2_HalfPunc</ability>
      <abilityName>全半角检查</abilityName>
      <candidateList>
        <item>（</item>
      </candidateList>
      <explain>文本全半角错误。</explain>
      <paraID> 9A37E25</paraID>
      <start>535</start>
      <end>536</end>
      <status>unmodified</status>
      <modifiedWord/>
      <trackRevisions>false</trackRevisions>
    </reviewItem>
    <reviewItem>
      <errorID>d4cb7fa7-8014-46aa-9062-72d0b862ba8f</errorID>
      <errorWord>)</errorWord>
      <group>L1_Format</group>
      <groupName>格式问题</groupName>
      <ability>L2_HalfPunc</ability>
      <abilityName>全半角检查</abilityName>
      <candidateList>
        <item>）</item>
      </candidateList>
      <explain>文本全半角错误。</explain>
      <paraID> 9A37E25</paraID>
      <start>541</start>
      <end>542</end>
      <status>unmodified</status>
      <modifiedWord/>
      <trackRevisions>false</trackRevisions>
    </reviewItem>
    <reviewItem>
      <errorID>0b0dff99-6b5d-4ade-96e8-58a4e3812eb4</errorID>
      <errorWord>~</errorWord>
      <group>L1_Format</group>
      <groupName>格式问题</groupName>
      <ability>L2_HalfPunc</ability>
      <abilityName>全半角检查</abilityName>
      <candidateList>
        <item>～</item>
      </candidateList>
      <explain>文本全半角错误。</explain>
      <paraID> 98B32F2</paraID>
      <start>92</start>
      <end>93</end>
      <status>unmodified</status>
      <modifiedWord/>
      <trackRevisions>false</trackRevisions>
    </reviewItem>
    <reviewItem>
      <errorID>950ec3c9-fd86-4fb4-85da-509a3c0e00a4</errorID>
      <errorWord>六个</errorWord>
      <group>L1_Word</group>
      <groupName>字词问题</groupName>
      <ability>L2_Typo</ability>
      <abilityName>字词错误</abilityName>
      <candidateList>
        <item>六种</item>
      </candidateList>
      <explain/>
      <paraID> 4AADC05</paraID>
      <start>52</start>
      <end>54</end>
      <status>unmodified</status>
      <modifiedWord/>
      <trackRevisions>false</trackRevisions>
    </reviewItem>
    <reviewItem>
      <errorID>e4ad8b81-8b90-4155-9708-47505122054f</errorID>
      <errorWord>，</errorWord>
      <group>L1_Word</group>
      <groupName>字词问题</groupName>
      <ability>L2_Typo</ability>
      <abilityName>字词错误</abilityName>
      <candidateList>
        <item>，以</item>
      </candidateList>
      <explain/>
      <paraID>63B40B97</paraID>
      <start>29</start>
      <end>30</end>
      <status>unmodified</status>
      <modifiedWord/>
      <trackRevisions>false</trackRevisions>
    </reviewItem>
    <reviewItem>
      <errorID>f06216e6-a314-483a-9b34-3ccffee67391</errorID>
      <errorWord>此类群</errorWord>
      <group>L1_Word</group>
      <groupName>字词问题</groupName>
      <ability>L2_Typo</ability>
      <abilityName>字词错误</abilityName>
      <candidateList>
        <item>此类</item>
      </candidateList>
      <explain/>
      <paraID>63B40B97</paraID>
      <start>59</start>
      <end>62</end>
      <status>unmodified</status>
      <modifiedWord/>
      <trackRevisions>false</trackRevisions>
    </reviewItem>
    <reviewItem>
      <errorID>8dd281f0-fa96-4e4e-a017-d369a236c7cf</errorID>
      <errorWord>章</errorWord>
      <group>L1_Word</group>
      <groupName>字词问题</groupName>
      <ability>L2_Typo</ability>
      <abilityName>字词错误</abilityName>
      <candidateList>
        <item>状</item>
      </candidateList>
      <explain/>
      <paraID>6AE2D8F0</paraID>
      <start>17</start>
      <end>18</end>
      <status>unmodified</status>
      <modifiedWord/>
      <trackRevisions>false</trackRevisions>
    </reviewItem>
    <reviewItem>
      <errorID>5937fc40-ac66-41a7-919e-e140f10d0029</errorID>
      <errorWord>类型</errorWord>
      <group>L1_Word</group>
      <groupName>字词问题</groupName>
      <ability>L2_Typo</ability>
      <abilityName>字词错误</abilityName>
      <candidateList>
        <item>类</item>
      </candidateList>
      <explain/>
      <paraID>76AE4C07</paraID>
      <start>9</start>
      <end>11</end>
      <status>unmodified</status>
      <modifiedWord/>
      <trackRevisions>false</trackRevisions>
    </reviewItem>
    <reviewItem>
      <errorID>9322449d-addf-4d5f-9f3f-a667a89373bb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231492C7</paraID>
      <start>0</start>
      <end>2</end>
      <status>unmodified</status>
      <modifiedWord/>
      <trackRevisions>false</trackRevisions>
    </reviewItem>
    <reviewItem>
      <errorID>53e95d0c-688d-4b36-840f-592b96a62a81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73D41CED</paraID>
      <start>0</start>
      <end>2</end>
      <status>unmodified</status>
      <modifiedWord/>
      <trackRevisions>false</trackRevisions>
    </reviewItem>
    <reviewItem>
      <errorID>8f836ce7-ada9-432a-a2f8-5a6dcf6b703f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5ECB7AB3</paraID>
      <start>40</start>
      <end>41</end>
      <status>unmodified</status>
      <modifiedWord/>
      <trackRevisions>false</trackRevisions>
    </reviewItem>
    <reviewItem>
      <errorID>cd39b87a-fe28-402a-853d-c856db75d4bc</errorID>
      <errorWord>(</errorWord>
      <group>L1_Format</group>
      <groupName>格式问题</groupName>
      <ability>L2_HalfPunc</ability>
      <abilityName>全半角检查</abilityName>
      <candidateList>
        <item>（</item>
      </candidateList>
      <explain>文本全半角错误。</explain>
      <paraID>7A29EB04</paraID>
      <start>52</start>
      <end>53</end>
      <status>unmodified</status>
      <modifiedWord/>
      <trackRevisions>false</trackRevisions>
    </reviewItem>
    <reviewItem>
      <errorID>19bf237c-c72b-426d-9ed0-66dc2e45757e</errorID>
      <errorWord>)</errorWord>
      <group>L1_Format</group>
      <groupName>格式问题</groupName>
      <ability>L2_HalfPunc</ability>
      <abilityName>全半角检查</abilityName>
      <candidateList>
        <item>）</item>
      </candidateList>
      <explain>文本全半角错误。</explain>
      <paraID>7A29EB04</paraID>
      <start>58</start>
      <end>59</end>
      <status>unmodified</status>
      <modifiedWord/>
      <trackRevisions>false</trackRevisions>
    </reviewItem>
    <reviewItem>
      <errorID>bd018efc-1497-43eb-8342-afe2c4168915</errorID>
      <errorWord>（</errorWord>
      <group>L1_Format</group>
      <groupName>格式问题</groupName>
      <ability>L2_HalfPunc</ability>
      <abilityName>全半角检查</abilityName>
      <candidateList>
        <item>(</item>
      </candidateList>
      <explain>文本全半角错误。</explain>
      <paraID>5C5A691E</paraID>
      <start>0</start>
      <end>1</end>
      <status>unmodified</status>
      <modifiedWord/>
      <trackRevisions>false</trackRevisions>
    </reviewItem>
    <reviewItem>
      <errorID>630a570a-3f75-47fa-b827-6cb38a587e0a</errorID>
      <errorWord>）</errorWord>
      <group>L1_Format</group>
      <groupName>格式问题</groupName>
      <ability>L2_HalfPunc</ability>
      <abilityName>全半角检查</abilityName>
      <candidateList>
        <item>)</item>
      </candidateList>
      <explain>文本全半角错误。</explain>
      <paraID>5C5A691E</paraID>
      <start>6</start>
      <end>7</end>
      <status>unmodified</status>
      <modifiedWord/>
      <trackRevisions>false</trackRevisions>
    </reviewItem>
    <reviewItem>
      <errorID>f98b0b0b-9945-427d-bd84-9606aed530c9</errorID>
      <errorWord>（</errorWord>
      <group>L1_Format</group>
      <groupName>格式问题</groupName>
      <ability>L2_HalfPunc</ability>
      <abilityName>全半角检查</abilityName>
      <candidateList>
        <item>(</item>
      </candidateList>
      <explain>文本全半角错误。</explain>
      <paraID>6FBC3E0B</paraID>
      <start>0</start>
      <end>1</end>
      <status>unmodified</status>
      <modifiedWord/>
      <trackRevisions>false</trackRevisions>
    </reviewItem>
    <reviewItem>
      <errorID>45fa71cf-a047-4d5e-937b-bbb3cf8e3d87</errorID>
      <errorWord>）</errorWord>
      <group>L1_Format</group>
      <groupName>格式问题</groupName>
      <ability>L2_HalfPunc</ability>
      <abilityName>全半角检查</abilityName>
      <candidateList>
        <item>)</item>
      </candidateList>
      <explain>文本全半角错误。</explain>
      <paraID>6FBC3E0B</paraID>
      <start>6</start>
      <end>7</end>
      <status>unmodified</status>
      <modifiedWord/>
      <trackRevisions>false</trackRevisions>
    </reviewItem>
    <reviewItem>
      <errorID>e337c9a0-89ca-4fde-b102-f5fc1a509a1f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40BA4F7B</paraID>
      <start>10</start>
      <end>11</end>
      <status>unmodified</status>
      <modifiedWord/>
      <trackRevisions>false</trackRevisions>
    </reviewItem>
    <reviewItem>
      <errorID>777c6852-3a59-4e45-a381-5cab01cdef9e</errorID>
      <errorWord>，</errorWord>
      <group>L1_Format</group>
      <groupName>格式问题</groupName>
      <ability>L2_HalfPunc</ability>
      <abilityName>全半角检查</abilityName>
      <candidateList>
        <item>,</item>
      </candidateList>
      <explain>文本全半角错误。</explain>
      <paraID>225467A6</paraID>
      <start>12</start>
      <end>13</end>
      <status>unmodified</status>
      <modifiedWord/>
      <trackRevisions>false</trackRevisions>
    </reviewItem>
    <reviewItem>
      <errorID>1b94334f-a785-4904-8dfe-9e829b4c7d13</errorID>
      <errorWord>,</errorWord>
      <group>L1_Format</group>
      <groupName>格式问题</groupName>
      <ability>L2_HalfPunc</ability>
      <abilityName>全半角检查</abilityName>
      <candidateList>
        <item>，</item>
      </candidateList>
      <explain>文本全半角错误。</explain>
      <paraID>5000D10D</paraID>
      <start>40</start>
      <end>41</end>
      <status>unmodified</status>
      <modifiedWord/>
      <trackRevisions>false</trackRevisions>
    </reviewItem>
    <reviewItem>
      <errorID>1299fb8a-6d30-48fe-8905-70b7be81735d</errorID>
      <errorWord>(</errorWord>
      <group>L1_Format</group>
      <groupName>格式问题</groupName>
      <ability>L2_HalfPunc</ability>
      <abilityName>全半角检查</abilityName>
      <candidateList>
        <item>（</item>
      </candidateList>
      <explain>文本全半角错误。</explain>
      <paraID>2272F6B6</paraID>
      <start>24</start>
      <end>25</end>
      <status>unmodified</status>
      <modifiedWord/>
      <trackRevisions>false</trackRevisions>
    </reviewItem>
    <reviewItem>
      <errorID>550d2579-7ef3-462c-bb72-a178415495bd</errorID>
      <errorWord>)</errorWord>
      <group>L1_Format</group>
      <groupName>格式问题</groupName>
      <ability>L2_HalfPunc</ability>
      <abilityName>全半角检查</abilityName>
      <candidateList>
        <item>）</item>
      </candidateList>
      <explain>文本全半角错误。</explain>
      <paraID>2272F6B6</paraID>
      <start>35</start>
      <end>36</end>
      <status>unmodified</status>
      <modifiedWord/>
      <trackRevisions>false</trackRevisions>
    </reviewItem>
    <reviewItem>
      <errorID>20c1eef9-94de-4e2e-a354-83b369eceaa6</errorID>
      <errorWord>,</errorWord>
      <group>L1_Format</group>
      <groupName>格式问题</groupName>
      <ability>L2_HalfPunc</ability>
      <abilityName>全半角检查</abilityName>
      <candidateList>
        <item>，</item>
      </candidateList>
      <explain>文本全半角错误。</explain>
      <paraID>2272F6B6</paraID>
      <start>121</start>
      <end>122</end>
      <status>unmodified</status>
      <modifiedWord/>
      <trackRevisions>false</trackRevisions>
    </reviewItem>
    <reviewItem>
      <errorID>85a873ee-3d27-4a7a-b1fd-b4a24281b71a</errorID>
      <errorWord>（</errorWord>
      <group>L1_Format</group>
      <groupName>格式问题</groupName>
      <ability>L2_HalfPunc</ability>
      <abilityName>全半角检查</abilityName>
      <candidateList>
        <item>(</item>
      </candidateList>
      <explain>文本全半角错误。</explain>
      <paraID>58F13614</paraID>
      <start>1</start>
      <end>2</end>
      <status>unmodified</status>
      <modifiedWord/>
      <trackRevisions>false</trackRevisions>
    </reviewItem>
    <reviewItem>
      <errorID>161b8945-46e5-4333-a449-3369925b21c1</errorID>
      <errorWord>）</errorWord>
      <group>L1_Format</group>
      <groupName>格式问题</groupName>
      <ability>L2_HalfPunc</ability>
      <abilityName>全半角检查</abilityName>
      <candidateList>
        <item>)</item>
      </candidateList>
      <explain>文本全半角错误。</explain>
      <paraID>58F13614</paraID>
      <start>7</start>
      <end>8</end>
      <status>unmodified</status>
      <modifiedWord/>
      <trackRevisions>false</trackRevisions>
    </reviewItem>
    <reviewItem>
      <errorID>8f6759f6-e644-45ad-a343-f22413e1a2b7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48AB1C30</paraID>
      <start>15</start>
      <end>16</end>
      <status>unmodified</status>
      <modifiedWord/>
      <trackRevisions>false</trackRevisions>
    </reviewItem>
    <reviewItem>
      <errorID>69070484-72a7-48dc-b0af-8756c36d9063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313F5E56</paraID>
      <start>0</start>
      <end>2</end>
      <status>unmodified</status>
      <modifiedWord/>
      <trackRevisions>false</trackRevisions>
    </reviewItem>
    <reviewItem>
      <errorID>6bfd7fe9-fd57-47bf-b287-0fdd56899c88</errorID>
      <errorWord>)</errorWord>
      <group>L1_Format</group>
      <groupName>格式问题</groupName>
      <ability>L2_HalfPunc</ability>
      <abilityName>全半角检查</abilityName>
      <candidateList>
        <item>）</item>
      </candidateList>
      <explain>文本全半角错误。</explain>
      <paraID>5D869FDB</paraID>
      <start>33</start>
      <end>34</end>
      <status>unmodified</status>
      <modifiedWord/>
      <trackRevisions>false</trackRevisions>
    </reviewItem>
    <reviewItem>
      <errorID>7a999437-483b-4250-a104-e4b883ecd88d</errorID>
      <errorWord>)</errorWord>
      <group>L1_Format</group>
      <groupName>格式问题</groupName>
      <ability>L2_HalfPunc</ability>
      <abilityName>全半角检查</abilityName>
      <candidateList>
        <item>）</item>
      </candidateList>
      <explain>文本全半角错误。</explain>
      <paraID>5D869FDB</paraID>
      <start>58</start>
      <end>59</end>
      <status>unmodified</status>
      <modifiedWord/>
      <trackRevisions>false</trackRevisions>
    </reviewItem>
    <reviewItem>
      <errorID>1e74e577-831d-4b93-9f89-04588c614db9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1ADEFF5C</paraID>
      <start>177</start>
      <end>178</end>
      <status>unmodified</status>
      <modifiedWord/>
      <trackRevisions>false</trackRevisions>
    </reviewItem>
    <reviewItem>
      <errorID>81aca32b-1162-4d50-9c40-722d9101a6f4</errorID>
      <errorWord>容量法</errorWord>
      <group>L1_Knowledge</group>
      <groupName>知识性问题</groupName>
      <ability>L2_Term</ability>
      <abilityName>专业术语</abilityName>
      <candidateList>
        <item>滴定法</item>
      </candidateList>
      <explain>医学名词[容量法]为不规范表述或旧称，其规范书面表述为[滴定法]。</explain>
      <paraID> 12E83CE</paraID>
      <start>6</start>
      <end>9</end>
      <status>unmodified</status>
      <modifiedWord/>
      <trackRevisions>false</trackRevisions>
    </reviewItem>
    <reviewItem>
      <errorID>7e5dcb71-bc37-4113-bfc6-40b24d84468c</errorID>
      <errorWord>（</errorWord>
      <group>L1_Format</group>
      <groupName>格式问题</groupName>
      <ability>L2_HalfPunc</ability>
      <abilityName>全半角检查</abilityName>
      <candidateList>
        <item>(</item>
      </candidateList>
      <explain>文本全半角错误。</explain>
      <paraID>515BBC09</paraID>
      <start>0</start>
      <end>1</end>
      <status>unmodified</status>
      <modifiedWord/>
      <trackRevisions>false</trackRevisions>
    </reviewItem>
    <reviewItem>
      <errorID>918dfe4c-9d68-4034-93dd-29113c5bee27</errorID>
      <errorWord>）</errorWord>
      <group>L1_Format</group>
      <groupName>格式问题</groupName>
      <ability>L2_HalfPunc</ability>
      <abilityName>全半角检查</abilityName>
      <candidateList>
        <item>)</item>
      </candidateList>
      <explain>文本全半角错误。</explain>
      <paraID>515BBC09</paraID>
      <start>12</start>
      <end>13</end>
      <status>unmodified</status>
      <modifiedWord/>
      <trackRevisions>false</trackRevisions>
    </reviewItem>
    <reviewItem>
      <errorID>dd0d14b8-a6a2-4539-949c-ee853a8fc310</errorID>
      <errorWord>（</errorWord>
      <group>L1_Format</group>
      <groupName>格式问题</groupName>
      <ability>L2_HalfPunc</ability>
      <abilityName>全半角检查</abilityName>
      <candidateList>
        <item>(</item>
      </candidateList>
      <explain>文本全半角错误。</explain>
      <paraID>7C93768C</paraID>
      <start>0</start>
      <end>1</end>
      <status>unmodified</status>
      <modifiedWord/>
      <trackRevisions>false</trackRevisions>
    </reviewItem>
    <reviewItem>
      <errorID>ede05567-9cab-4408-9f92-0ab89691d66d</errorID>
      <errorWord>）</errorWord>
      <group>L1_Format</group>
      <groupName>格式问题</groupName>
      <ability>L2_HalfPunc</ability>
      <abilityName>全半角检查</abilityName>
      <candidateList>
        <item>)</item>
      </candidateList>
      <explain>文本全半角错误。</explain>
      <paraID>7C93768C</paraID>
      <start>11</start>
      <end>12</end>
      <status>unmodified</status>
      <modifiedWord/>
      <trackRevisions>false</trackRevisions>
    </reviewItem>
    <reviewItem>
      <errorID>e5eda545-5cca-489a-be74-009773eadd85</errorID>
      <errorWord>（</errorWord>
      <group>L1_Format</group>
      <groupName>格式问题</groupName>
      <ability>L2_HalfPunc</ability>
      <abilityName>全半角检查</abilityName>
      <candidateList>
        <item>(</item>
      </candidateList>
      <explain>文本全半角错误。</explain>
      <paraID>7E4F4B09</paraID>
      <start>0</start>
      <end>1</end>
      <status>unmodified</status>
      <modifiedWord/>
      <trackRevisions>false</trackRevisions>
    </reviewItem>
    <reviewItem>
      <errorID>64f3f4f2-efc3-4bac-ac73-075b6664dcf6</errorID>
      <errorWord>）</errorWord>
      <group>L1_Format</group>
      <groupName>格式问题</groupName>
      <ability>L2_HalfPunc</ability>
      <abilityName>全半角检查</abilityName>
      <candidateList>
        <item>)</item>
      </candidateList>
      <explain>文本全半角错误。</explain>
      <paraID>7E4F4B09</paraID>
      <start>11</start>
      <end>12</end>
      <status>unmodified</status>
      <modifiedWord/>
      <trackRevisions>false</trackRevisions>
    </reviewItem>
    <reviewItem>
      <errorID>8710eb5f-5ddb-4d4b-b3a7-431dd55db70a</errorID>
      <errorWord>（</errorWord>
      <group>L1_Format</group>
      <groupName>格式问题</groupName>
      <ability>L2_HalfPunc</ability>
      <abilityName>全半角检查</abilityName>
      <candidateList>
        <item>(</item>
      </candidateList>
      <explain>文本全半角错误。</explain>
      <paraID>648BC5C2</paraID>
      <start>0</start>
      <end>1</end>
      <status>unmodified</status>
      <modifiedWord/>
      <trackRevisions>false</trackRevisions>
    </reviewItem>
    <reviewItem>
      <errorID>d9a37186-4ccc-4c93-b012-86bcac0affa4</errorID>
      <errorWord>）</errorWord>
      <group>L1_Format</group>
      <groupName>格式问题</groupName>
      <ability>L2_HalfPunc</ability>
      <abilityName>全半角检查</abilityName>
      <candidateList>
        <item>)</item>
      </candidateList>
      <explain>文本全半角错误。</explain>
      <paraID>648BC5C2</paraID>
      <start>10</start>
      <end>11</end>
      <status>unmodified</status>
      <modifiedWord/>
      <trackRevisions>false</trackRevisions>
    </reviewItem>
    <reviewItem>
      <errorID>0231acc1-3125-4c23-983c-9d4091306fe0</errorID>
      <errorWord>（</errorWord>
      <group>L1_Format</group>
      <groupName>格式问题</groupName>
      <ability>L2_HalfPunc</ability>
      <abilityName>全半角检查</abilityName>
      <candidateList>
        <item>(</item>
      </candidateList>
      <explain>文本全半角错误。</explain>
      <paraID>69CC1B07</paraID>
      <start>0</start>
      <end>1</end>
      <status>unmodified</status>
      <modifiedWord/>
      <trackRevisions>false</trackRevisions>
    </reviewItem>
    <reviewItem>
      <errorID>59f58b60-59ff-49c9-a1f1-b4e8d6b922f8</errorID>
      <errorWord>）</errorWord>
      <group>L1_Format</group>
      <groupName>格式问题</groupName>
      <ability>L2_HalfPunc</ability>
      <abilityName>全半角检查</abilityName>
      <candidateList>
        <item>)</item>
      </candidateList>
      <explain>文本全半角错误。</explain>
      <paraID>69CC1B07</paraID>
      <start>13</start>
      <end>14</end>
      <status>unmodified</status>
      <modifiedWord/>
      <trackRevisions>false</trackRevisions>
    </reviewItem>
    <reviewItem>
      <errorID>fb535f52-5d83-4706-b4e7-0c4c130e4b1d</errorID>
      <errorWord>（</errorWord>
      <group>L1_Format</group>
      <groupName>格式问题</groupName>
      <ability>L2_HalfPunc</ability>
      <abilityName>全半角检查</abilityName>
      <candidateList>
        <item>(</item>
      </candidateList>
      <explain>文本全半角错误。</explain>
      <paraID>6278CE25</paraID>
      <start>0</start>
      <end>1</end>
      <status>unmodified</status>
      <modifiedWord/>
      <trackRevisions>false</trackRevisions>
    </reviewItem>
    <reviewItem>
      <errorID>01356ad7-26ed-469f-85c9-cab3d790c81b</errorID>
      <errorWord>）</errorWord>
      <group>L1_Format</group>
      <groupName>格式问题</groupName>
      <ability>L2_HalfPunc</ability>
      <abilityName>全半角检查</abilityName>
      <candidateList>
        <item>)</item>
      </candidateList>
      <explain>文本全半角错误。</explain>
      <paraID>6278CE25</paraID>
      <start>13</start>
      <end>14</end>
      <status>unmodified</status>
      <modifiedWord/>
      <trackRevisions>false</trackRevisions>
    </reviewItem>
    <reviewItem>
      <errorID>bb1b6509-13a0-487e-9b01-965914b38d1b</errorID>
      <errorWord>(</errorWord>
      <group>L1_Format</group>
      <groupName>格式问题</groupName>
      <ability>L2_HalfPunc</ability>
      <abilityName>全半角检查</abilityName>
      <candidateList>
        <item>（</item>
      </candidateList>
      <explain>文本全半角错误。</explain>
      <paraID> 6E77DF1</paraID>
      <start>21</start>
      <end>22</end>
      <status>unmodified</status>
      <modifiedWord/>
      <trackRevisions>false</trackRevisions>
    </reviewItem>
    <reviewItem>
      <errorID>a37e2863-6316-43a7-b6e8-ad579db8eb9c</errorID>
      <errorWord>)</errorWord>
      <group>L1_Format</group>
      <groupName>格式问题</groupName>
      <ability>L2_HalfPunc</ability>
      <abilityName>全半角检查</abilityName>
      <candidateList>
        <item>）</item>
      </candidateList>
      <explain>文本全半角错误。</explain>
      <paraID> 6E77DF1</paraID>
      <start>37</start>
      <end>38</end>
      <status>unmodified</status>
      <modifiedWord/>
      <trackRevisions>false</trackRevisions>
    </reviewItem>
    <reviewItem>
      <errorID>181b9b83-9929-4504-8acb-56866115099e</errorID>
      <errorWord>容量法</errorWord>
      <group>L1_Knowledge</group>
      <groupName>知识性问题</groupName>
      <ability>L2_Term</ability>
      <abilityName>专业术语</abilityName>
      <candidateList>
        <item>滴定法</item>
      </candidateList>
      <explain>医学名词[容量法]为不规范表述或旧称，其规范书面表述为[滴定法]。</explain>
      <paraID>5906A4FF</paraID>
      <start>29</start>
      <end>32</end>
      <status>unmodified</status>
      <modifiedWord/>
      <trackRevisions>false</trackRevisions>
    </reviewItem>
    <reviewItem>
      <errorID>deef83e5-deef-490a-802a-77d9335806ab</errorID>
      <errorWord>～</errorWord>
      <group>L1_Format</group>
      <groupName>格式问题</groupName>
      <ability>L2_HalfPunc</ability>
      <abilityName>全半角检查</abilityName>
      <candidateList>
        <item>~</item>
      </candidateList>
      <explain>文本全半角错误。</explain>
      <paraID>7D071299</paraID>
      <start>3</start>
      <end>4</end>
      <status>unmodified</status>
      <modifiedWord/>
      <trackRevisions>false</trackRevisions>
    </reviewItem>
    <reviewItem>
      <errorID>85edabbe-af87-4f89-ac09-fe58bc4cdb5a</errorID>
      <errorWord>、</errorWord>
      <group>L1_Punc</group>
      <groupName>标点问题</groupName>
      <ability>L2_Punc</ability>
      <abilityName>标点符号检查</abilityName>
      <candidateList>
        <item>.</item>
      </candidateList>
      <explain/>
      <paraID>7BAD5F6B</paraID>
      <start>1</start>
      <end>2</end>
      <status>unmodified</status>
      <modifiedWord/>
      <trackRevisions>false</trackRevisions>
    </reviewItem>
    <reviewItem>
      <errorID>955a35c5-3a5f-4a49-8866-6a97ec53b4cb</errorID>
      <errorWord>、</errorWord>
      <group>L1_Punc</group>
      <groupName>标点问题</groupName>
      <ability>L2_Punc</ability>
      <abilityName>标点符号检查</abilityName>
      <candidateList>
        <item>.</item>
      </candidateList>
      <explain/>
      <paraID>7FCBBC18</paraID>
      <start>1</start>
      <end>2</end>
      <status>unmodified</status>
      <modifiedWord/>
      <trackRevisions>false</trackRevisions>
    </reviewItem>
    <reviewItem>
      <errorID>c218f18f-95e1-47d5-86e0-86360868b641</errorID>
      <errorWord>-</errorWord>
      <group>L1_Format</group>
      <groupName>格式问题</groupName>
      <ability>L2_HalfPunc</ability>
      <abilityName>全半角检查</abilityName>
      <candidateList>
        <item>－</item>
      </candidateList>
      <explain>文本全半角错误。</explain>
      <paraID>1CDC678A</paraID>
      <start>13</start>
      <end>14</end>
      <status>unmodified</status>
      <modifiedWord/>
      <trackRevisions>false</trackRevisions>
    </reviewItem>
    <reviewItem>
      <errorID>de4bc954-4e63-4e65-a355-495316e409e2</errorID>
      <errorWord>(</errorWord>
      <group>L1_Format</group>
      <groupName>格式问题</groupName>
      <ability>L2_HalfPunc</ability>
      <abilityName>全半角检查</abilityName>
      <candidateList>
        <item>（</item>
      </candidateList>
      <explain>文本全半角错误。</explain>
      <paraID>1CDC678A</paraID>
      <start>107</start>
      <end>108</end>
      <status>unmodified</status>
      <modifiedWord/>
      <trackRevisions>false</trackRevisions>
    </reviewItem>
    <reviewItem>
      <errorID>7bd9c3e2-c79f-442c-b774-726364d10d10</errorID>
      <errorWord>)</errorWord>
      <group>L1_Format</group>
      <groupName>格式问题</groupName>
      <ability>L2_HalfPunc</ability>
      <abilityName>全半角检查</abilityName>
      <candidateList>
        <item>）</item>
      </candidateList>
      <explain>文本全半角错误。</explain>
      <paraID>1CDC678A</paraID>
      <start>114</start>
      <end>115</end>
      <status>unmodified</status>
      <modifiedWord/>
      <trackRevisions>false</trackRevisions>
    </reviewItem>
    <reviewItem>
      <errorID>595b2a1b-682c-4ce5-be37-151c3ec48ec7</errorID>
      <errorWord>(</errorWord>
      <group>L1_Format</group>
      <groupName>格式问题</groupName>
      <ability>L2_HalfPunc</ability>
      <abilityName>全半角检查</abilityName>
      <candidateList>
        <item>（</item>
      </candidateList>
      <explain>文本全半角错误。</explain>
      <paraID>1CDC678A</paraID>
      <start>136</start>
      <end>137</end>
      <status>unmodified</status>
      <modifiedWord/>
      <trackRevisions>false</trackRevisions>
    </reviewItem>
    <reviewItem>
      <errorID>d836beb4-1f32-4893-850a-063f4d266873</errorID>
      <errorWord>)</errorWord>
      <group>L1_Format</group>
      <groupName>格式问题</groupName>
      <ability>L2_HalfPunc</ability>
      <abilityName>全半角检查</abilityName>
      <candidateList>
        <item>）</item>
      </candidateList>
      <explain>文本全半角错误。</explain>
      <paraID>1CDC678A</paraID>
      <start>143</start>
      <end>144</end>
      <status>unmodified</status>
      <modifiedWord/>
      <trackRevisions>false</trackRevisions>
    </reviewItem>
    <reviewItem>
      <errorID>cf397c8a-8b5e-4179-96c3-9a6372ed1199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3391718</paraID>
      <start>0</start>
      <end>2</end>
      <status>unmodified</status>
      <modifiedWord/>
      <trackRevisions>false</trackRevisions>
    </reviewItem>
    <reviewItem>
      <errorID>f5501127-0471-4d82-8d5d-713f3f2ad1cb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1498AA35</paraID>
      <start>0</start>
      <end>2</end>
      <status>unmodified</status>
      <modifiedWord/>
      <trackRevisions>false</trackRevisions>
    </reviewItem>
    <reviewItem>
      <errorID>fcfb30fe-6206-4fe7-bf5d-259ad041793b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768FC099</paraID>
      <start>0</start>
      <end>2</end>
      <status>unmodified</status>
      <modifiedWord/>
      <trackRevisions>false</trackRevisions>
    </reviewItem>
    <reviewItem>
      <errorID>c9185f49-dfef-40f9-80de-af6b6ac9b2e3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75435ED</paraID>
      <start>0</start>
      <end>2</end>
      <status>unmodified</status>
      <modifiedWord/>
      <trackRevisions>false</trackRevisions>
    </reviewItem>
    <reviewItem>
      <errorID>9e474821-f625-4f67-99d7-213eeb7c4add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48709676</paraID>
      <start>0</start>
      <end>2</end>
      <status>unmodified</status>
      <modifiedWord/>
      <trackRevisions>false</trackRevisions>
    </reviewItem>
    <reviewItem>
      <errorID>d6b59843-8ab6-458f-b9cf-7095d18c2781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52E5FC15</paraID>
      <start>0</start>
      <end>2</end>
      <status>unmodified</status>
      <modifiedWord/>
      <trackRevisions>false</trackRevisions>
    </reviewItem>
    <reviewItem>
      <errorID>283ca6df-a31b-4552-81ef-76b577bb2133</errorID>
      <errorWord>（</errorWord>
      <group>L1_Format</group>
      <groupName>格式问题</groupName>
      <ability>L2_HalfPunc</ability>
      <abilityName>全半角检查</abilityName>
      <candidateList>
        <item>(</item>
      </candidateList>
      <explain>文本全半角错误。</explain>
      <paraID>457D3DAF</paraID>
      <start>0</start>
      <end>1</end>
      <status>unmodified</status>
      <modifiedWord/>
      <trackRevisions>false</trackRevisions>
    </reviewItem>
    <reviewItem>
      <errorID>5da05bbc-1f2a-4aeb-b840-a75fb50d41b7</errorID>
      <errorWord>）</errorWord>
      <group>L1_Format</group>
      <groupName>格式问题</groupName>
      <ability>L2_HalfPunc</ability>
      <abilityName>全半角检查</abilityName>
      <candidateList>
        <item>)</item>
      </candidateList>
      <explain>文本全半角错误。</explain>
      <paraID>457D3DAF</paraID>
      <start>11</start>
      <end>12</end>
      <status>unmodified</status>
      <modifiedWord/>
      <trackRevisions>false</trackRevisions>
    </reviewItem>
    <reviewItem>
      <errorID>7bae2089-1fc2-4d4f-82e7-88d3453bd065</errorID>
      <errorWord>（</errorWord>
      <group>L1_Format</group>
      <groupName>格式问题</groupName>
      <ability>L2_HalfPunc</ability>
      <abilityName>全半角检查</abilityName>
      <candidateList>
        <item>(</item>
      </candidateList>
      <explain>文本全半角错误。</explain>
      <paraID> DC1243F</paraID>
      <start>0</start>
      <end>1</end>
      <status>unmodified</status>
      <modifiedWord/>
      <trackRevisions>false</trackRevisions>
    </reviewItem>
    <reviewItem>
      <errorID>79562243-3bcb-4425-9d5f-7e074e190c36</errorID>
      <errorWord>）</errorWord>
      <group>L1_Format</group>
      <groupName>格式问题</groupName>
      <ability>L2_HalfPunc</ability>
      <abilityName>全半角检查</abilityName>
      <candidateList>
        <item>)</item>
      </candidateList>
      <explain>文本全半角错误。</explain>
      <paraID> DC1243F</paraID>
      <start>11</start>
      <end>12</end>
      <status>unmodified</status>
      <modifiedWord/>
      <trackRevisions>false</trackRevisions>
    </reviewItem>
    <reviewItem>
      <errorID>72db7c1e-397a-4d7f-8c34-6e32d77fba29</errorID>
      <errorWord>(</errorWord>
      <group>L1_Format</group>
      <groupName>格式问题</groupName>
      <ability>L2_HalfPunc</ability>
      <abilityName>全半角检查</abilityName>
      <candidateList>
        <item>（</item>
      </candidateList>
      <explain>文本全半角错误。</explain>
      <paraID>4C0A8872</paraID>
      <start>9</start>
      <end>10</end>
      <status>unmodified</status>
      <modifiedWord/>
      <trackRevisions>false</trackRevisions>
    </reviewItem>
    <reviewItem>
      <errorID>1366dbb6-3ab0-48b5-8a9e-6f037ae5ac7e</errorID>
      <errorWord>)</errorWord>
      <group>L1_Format</group>
      <groupName>格式问题</groupName>
      <ability>L2_HalfPunc</ability>
      <abilityName>全半角检查</abilityName>
      <candidateList>
        <item>）</item>
      </candidateList>
      <explain>文本全半角错误。</explain>
      <paraID>4C0A8872</paraID>
      <start>17</start>
      <end>18</end>
      <status>unmodified</status>
      <modifiedWord/>
      <trackRevisions>false</trackRevisions>
    </reviewItem>
    <reviewItem>
      <errorID>b503fd68-f8fa-42da-893d-1fe6767e792f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1DA6A609</paraID>
      <start>0</start>
      <end>2</end>
      <status>unmodified</status>
      <modifiedWord/>
      <trackRevisions>false</trackRevisions>
    </reviewItem>
    <reviewItem>
      <errorID>9adf1a16-03a1-4c13-bd90-71c66b551b40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70B423EA</paraID>
      <start>0</start>
      <end>2</end>
      <status>unmodified</status>
      <modifiedWord/>
      <trackRevisions>false</trackRevisions>
    </reviewItem>
    <reviewItem>
      <errorID>277a434c-9820-4573-85db-eef745e7971f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D76653D</paraID>
      <start>0</start>
      <end>2</end>
      <status>unmodified</status>
      <modifiedWord/>
      <trackRevisions>false</trackRevisions>
    </reviewItem>
    <reviewItem>
      <errorID>b9d01863-3d50-4f7b-9ac6-dea38891d797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173C47D3</paraID>
      <start>0</start>
      <end>2</end>
      <status>unmodified</status>
      <modifiedWord/>
      <trackRevisions>false</trackRevisions>
    </reviewItem>
    <reviewItem>
      <errorID>21d6fc7a-9637-40f0-85c4-415b77fd159a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363647C</paraID>
      <start>0</start>
      <end>2</end>
      <status>unmodified</status>
      <modifiedWord/>
      <trackRevisions>false</trackRevisions>
    </reviewItem>
    <reviewItem>
      <errorID>28b179e1-578d-4d70-8546-2add6b7d871b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2EC28B42</paraID>
      <start>0</start>
      <end>2</end>
      <status>unmodified</status>
      <modifiedWord/>
      <trackRevisions>false</trackRevisions>
    </reviewItem>
    <reviewItem>
      <errorID>f9e77ab3-f74a-4fa9-827d-4d0dc341adc8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3E0F0E25</paraID>
      <start>0</start>
      <end>2</end>
      <status>unmodified</status>
      <modifiedWord/>
      <trackRevisions>false</trackRevisions>
    </reviewItem>
    <reviewItem>
      <errorID>381cce40-2e39-4063-b3c5-55b4449737a0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2E83B6CD</paraID>
      <start>0</start>
      <end>2</end>
      <status>unmodified</status>
      <modifiedWord/>
      <trackRevisions>false</trackRevisions>
    </reviewItem>
    <reviewItem>
      <errorID>4f6b90c4-9dd2-4f37-8c9c-5187993deb40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52E206AF</paraID>
      <start>0</start>
      <end>2</end>
      <status>unmodified</status>
      <modifiedWord/>
      <trackRevisions>false</trackRevisions>
    </reviewItem>
    <reviewItem>
      <errorID>360860a1-2731-47e0-bd6a-2f01c9d28738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3760E9E5</paraID>
      <start>0</start>
      <end>2</end>
      <status>unmodified</status>
      <modifiedWord/>
      <trackRevisions>false</trackRevisions>
    </reviewItem>
    <reviewItem>
      <errorID>d404c40a-0d20-4aac-9280-c24f06fa6556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48C51194</paraID>
      <start>0</start>
      <end>2</end>
      <status>unmodified</status>
      <modifiedWord/>
      <trackRevisions>false</trackRevisions>
    </reviewItem>
    <reviewItem>
      <errorID>9e31c296-3068-46b1-9689-d33ee7ca19cc</errorID>
      <errorWord>限报</errorWord>
      <group>L1_Word</group>
      <groupName>字词问题</groupName>
      <ability>L2_Typo</ability>
      <abilityName>字词错误</abilityName>
      <candidateList>
        <item>限值</item>
      </candidateList>
      <explain/>
      <paraID>3690136C</paraID>
      <start>10</start>
      <end>12</end>
      <status>unmodified</status>
      <modifiedWord/>
      <trackRevisions>false</trackRevisions>
    </reviewItem>
    <reviewItem>
      <errorID>76e0c92a-117c-4020-8e8f-16d49cb11a1e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5DAA3E04</paraID>
      <start>0</start>
      <end>2</end>
      <status>unmodified</status>
      <modifiedWord/>
      <trackRevisions>false</trackRevisions>
    </reviewItem>
    <reviewItem>
      <errorID>7773c0bc-ab7a-42af-88e2-0f4d0e4a14db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105DE1D5</paraID>
      <start>0</start>
      <end>2</end>
      <status>unmodified</status>
      <modifiedWord/>
      <trackRevisions>false</trackRevisions>
    </reviewItem>
    <reviewItem>
      <errorID>78f4972c-8edc-45e1-b7a9-52e5f95af6f5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25523971</paraID>
      <start>0</start>
      <end>2</end>
      <status>unmodified</status>
      <modifiedWord/>
      <trackRevisions>false</trackRevisions>
    </reviewItem>
    <reviewItem>
      <errorID>b2736654-ca63-453c-940b-449f00b81eed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66DD4FF5</paraID>
      <start>0</start>
      <end>2</end>
      <status>unmodified</status>
      <modifiedWord/>
      <trackRevisions>false</trackRevisions>
    </reviewItem>
    <reviewItem>
      <errorID>bdf52ebc-f40a-49bb-9ef3-099952d033de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752828EF</paraID>
      <start>0</start>
      <end>2</end>
      <status>unmodified</status>
      <modifiedWord/>
      <trackRevisions>false</trackRevisions>
    </reviewItem>
    <reviewItem>
      <errorID>9c74d35c-17f9-4168-9146-6dfac204631d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5D51455</paraID>
      <start>0</start>
      <end>2</end>
      <status>unmodified</status>
      <modifiedWord/>
      <trackRevisions>false</trackRevisions>
    </reviewItem>
    <reviewItem>
      <errorID>99d0fb04-e6b4-405c-b437-3a96da5b054c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4A96F16A</paraID>
      <start>0</start>
      <end>2</end>
      <status>unmodified</status>
      <modifiedWord/>
      <trackRevisions>false</trackRevisions>
    </reviewItem>
    <reviewItem>
      <errorID>9a94f46f-78dc-4c8b-b9a5-81e42e011632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1585A9B7</paraID>
      <start>0</start>
      <end>2</end>
      <status>unmodified</status>
      <modifiedWord/>
      <trackRevisions>false</trackRevisions>
    </reviewItem>
    <reviewItem>
      <errorID>a4c66130-dded-41f4-82fb-85771ddf6710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798B7856</paraID>
      <start>0</start>
      <end>2</end>
      <status>unmodified</status>
      <modifiedWord/>
      <trackRevisions>false</trackRevisions>
    </reviewItem>
    <reviewItem>
      <errorID>3b42c168-6850-420a-9b3a-7af50098062c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508F200C</paraID>
      <start>0</start>
      <end>2</end>
      <status>unmodified</status>
      <modifiedWord/>
      <trackRevisions>false</trackRevisions>
    </reviewItem>
    <reviewItem>
      <errorID>704d2e41-6ea3-46eb-9463-500ac45f48f7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37727D9B</paraID>
      <start>0</start>
      <end>2</end>
      <status>unmodified</status>
      <modifiedWord/>
      <trackRevisions>false</trackRevisions>
    </reviewItem>
    <reviewItem>
      <errorID>71248f23-42bc-46f0-9cb6-0fc7a263daff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19ABA8BB</paraID>
      <start>0</start>
      <end>2</end>
      <status>unmodified</status>
      <modifiedWord/>
      <trackRevisions>false</trackRevisions>
    </reviewItem>
    <reviewItem>
      <errorID>05ea7bdb-10f2-4215-9f85-91faf8f46e5c</errorID>
      <errorWord>(</errorWord>
      <group>L1_Format</group>
      <groupName>格式问题</groupName>
      <ability>L2_HalfPunc</ability>
      <abilityName>全半角检查</abilityName>
      <candidateList>
        <item>（</item>
      </candidateList>
      <explain>文本全半角错误。</explain>
      <paraID>4F4431A2</paraID>
      <start>49</start>
      <end>50</end>
      <status>unmodified</status>
      <modifiedWord/>
      <trackRevisions>false</trackRevisions>
    </reviewItem>
    <reviewItem>
      <errorID>1b752ff7-6e59-40c3-acba-ab903aa5a838</errorID>
      <errorWord>)</errorWord>
      <group>L1_Format</group>
      <groupName>格式问题</groupName>
      <ability>L2_HalfPunc</ability>
      <abilityName>全半角检查</abilityName>
      <candidateList>
        <item>）</item>
      </candidateList>
      <explain>文本全半角错误。</explain>
      <paraID>4F4431A2</paraID>
      <start>56</start>
      <end>57</end>
      <status>unmodified</status>
      <modifiedWord/>
      <trackRevisions>false</trackRevisions>
    </reviewItem>
    <reviewItem>
      <errorID>b934dbf3-6d99-40b8-be78-357a4ebb0941</errorID>
      <errorWord>（</errorWord>
      <group>L1_Punc</group>
      <groupName>标点问题</groupName>
      <ability>L2_Punc</ability>
      <abilityName>标点符号检查</abilityName>
      <candidateList>
        <item/>
      </candidateList>
      <explain>同一形式括号套用。</explain>
      <paraID>4F4431A2</paraID>
      <start>185</start>
      <end>186</end>
      <status>unmodified</status>
      <modifiedWord/>
      <trackRevisions>false</trackRevisions>
    </reviewItem>
    <reviewItem>
      <errorID>ef8b53aa-5631-44a6-8df3-27d9a40f5d4c</errorID>
      <errorWord>(</errorWord>
      <group>L1_Punc</group>
      <groupName>标点问题</groupName>
      <ability>L2_Punc</ability>
      <abilityName>标点符号检查</abilityName>
      <candidateList/>
      <explain>同一形式括号套用。</explain>
      <paraID>4F4431A2</paraID>
      <start>208</start>
      <end>209</end>
      <status>unmodified</status>
      <modifiedWord/>
      <trackRevisions>false</trackRevisions>
    </reviewItem>
    <reviewItem>
      <errorID>36430383-0666-48f9-b3b5-48da61ff9257</errorID>
      <errorWord>)</errorWord>
      <group>L1_Punc</group>
      <groupName>标点问题</groupName>
      <ability>L2_Punc</ability>
      <abilityName>标点符号检查</abilityName>
      <candidateList/>
      <explain>同一形式括号套用。</explain>
      <paraID>4F4431A2</paraID>
      <start>213</start>
      <end>214</end>
      <status>unmodified</status>
      <modifiedWord/>
      <trackRevisions>false</trackRevisions>
    </reviewItem>
    <reviewItem>
      <errorID>1608c2ed-22a2-46e7-a3c2-387185f4d21d</errorID>
      <errorWord>）</errorWord>
      <group>L1_Punc</group>
      <groupName>标点问题</groupName>
      <ability>L2_Punc</ability>
      <abilityName>标点符号检查</abilityName>
      <candidateList/>
      <explain>同一形式括号套用。</explain>
      <paraID>4F4431A2</paraID>
      <start>214</start>
      <end>215</end>
      <status>unmodified</status>
      <modifiedWord/>
      <trackRevisions>false</trackRevisions>
    </reviewItem>
    <reviewItem>
      <errorID>3b295d2a-2549-4966-b336-0d8b287d11f1</errorID>
      <errorWord>(</errorWord>
      <group>L1_Format</group>
      <groupName>格式问题</groupName>
      <ability>L2_HalfPunc</ability>
      <abilityName>全半角检查</abilityName>
      <candidateList>
        <item>（</item>
      </candidateList>
      <explain>文本全半角错误。</explain>
      <paraID>4F4431A2</paraID>
      <start>247</start>
      <end>248</end>
      <status>unmodified</status>
      <modifiedWord/>
      <trackRevisions>false</trackRevisions>
    </reviewItem>
    <reviewItem>
      <errorID>de3aa24a-988c-4752-b04b-23406d9deb9a</errorID>
      <errorWord>)</errorWord>
      <group>L1_Format</group>
      <groupName>格式问题</groupName>
      <ability>L2_HalfPunc</ability>
      <abilityName>全半角检查</abilityName>
      <candidateList>
        <item>）</item>
      </candidateList>
      <explain>文本全半角错误。</explain>
      <paraID>4F4431A2</paraID>
      <start>274</start>
      <end>275</end>
      <status>unmodified</status>
      <modifiedWord/>
      <trackRevisions>false</trackRevisions>
    </reviewItem>
    <reviewItem>
      <errorID>c58f22c1-41ae-4da8-af16-81029f368845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4F4431A2</paraID>
      <start>283</start>
      <end>284</end>
      <status>unmodified</status>
      <modifiedWord/>
      <trackRevisions>false</trackRevisions>
    </reviewItem>
    <reviewItem>
      <errorID>2f2bc37e-a78a-47e8-9fed-a57fbc883cd6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2FC1B65</paraID>
      <start>0</start>
      <end>2</end>
      <status>unmodified</status>
      <modifiedWord/>
      <trackRevisions>false</trackRevisions>
    </reviewItem>
    <reviewItem>
      <errorID>8bb754a7-c46e-4cc4-8161-1f013898137d</errorID>
      <errorWord>废气</errorWord>
      <group>L1_Word</group>
      <groupName>字词问题</groupName>
      <ability>L2_Typo</ability>
      <abilityName>字词错误</abilityName>
      <candidateList>
        <item>废弃</item>
      </candidateList>
      <explain/>
      <paraID>43FC6E3B</paraID>
      <start>0</start>
      <end>2</end>
      <status>unmodified</status>
      <modifiedWord/>
      <trackRevisions>false</trackRevisions>
    </reviewItem>
    <reviewItem>
      <errorID>2014b3b6-f205-49b4-bc47-c7daa0f39d97</errorID>
      <errorWord>：</errorWord>
      <group>L1_Format</group>
      <groupName>格式问题</groupName>
      <ability>L2_HalfPunc</ability>
      <abilityName>全半角检查</abilityName>
      <candidateList>
        <item>:</item>
      </candidateList>
      <explain>文本全半角错误。</explain>
      <paraID>58482025</paraID>
      <start>3</start>
      <end>4</end>
      <status>unmodified</status>
      <modifiedWord/>
      <trackRevisions>false</trackRevisions>
    </reviewItem>
    <reviewItem>
      <errorID>4eab3b5b-01c2-4df8-a9b1-6b1331dae5da</errorID>
      <errorWord>：</errorWord>
      <group>L1_Format</group>
      <groupName>格式问题</groupName>
      <ability>L2_HalfPunc</ability>
      <abilityName>全半角检查</abilityName>
      <candidateList>
        <item>:</item>
      </candidateList>
      <explain>文本全半角错误。</explain>
      <paraID>4C0115FD</paraID>
      <start>3</start>
      <end>4</end>
      <status>unmodified</status>
      <modifiedWord/>
      <trackRevisions>false</trackRevisions>
    </reviewItem>
    <reviewItem>
      <errorID>6b7bf4b6-aa38-4935-b0ef-b73197a13042</errorID>
      <errorWord>其它</errorWord>
      <group>L1_Word</group>
      <groupName>字词问题</groupName>
      <ability>L2_Alias</ability>
      <abilityName>也作/曾用词</abilityName>
      <candidateList>
        <item>其他</item>
      </candidateList>
      <explain>词汇[其它]为不规范表述或旧称，其规范书面表述为[其他]。</explain>
      <paraID>2D306757</paraID>
      <start>45</start>
      <end>47</end>
      <status>unmodified</status>
      <modifiedWord/>
      <trackRevisions>false</trackRevisions>
    </reviewItem>
    <reviewItem>
      <errorID>ff19de81-70c3-48a8-b16a-750b4c71e59f</errorID>
      <errorWord>：</errorWord>
      <group>L1_Format</group>
      <groupName>格式问题</groupName>
      <ability>L2_HalfPunc</ability>
      <abilityName>全半角检查</abilityName>
      <candidateList>
        <item>:</item>
      </candidateList>
      <explain>文本全半角错误。</explain>
      <paraID>306D7FBE</paraID>
      <start>3</start>
      <end>4</end>
      <status>unmodified</status>
      <modifiedWord/>
      <trackRevisions>false</trackRevisions>
    </reviewItem>
    <reviewItem>
      <errorID>49922e94-bec3-4985-b16e-21ae6ee8bc9f</errorID>
      <errorWord>：</errorWord>
      <group>L1_Format</group>
      <groupName>格式问题</groupName>
      <ability>L2_HalfPunc</ability>
      <abilityName>全半角检查</abilityName>
      <candidateList>
        <item>:</item>
      </candidateList>
      <explain>文本全半角错误。</explain>
      <paraID>34230468</paraID>
      <start>3</start>
      <end>4</end>
      <status>unmodified</status>
      <modifiedWord/>
      <trackRevisions>false</trackRevisions>
    </reviewItem>
    <reviewItem>
      <errorID>40ae6357-27b4-4a82-b118-fd69705091b6</errorID>
      <errorWord>：</errorWord>
      <group>L1_Format</group>
      <groupName>格式问题</groupName>
      <ability>L2_HalfPunc</ability>
      <abilityName>全半角检查</abilityName>
      <candidateList>
        <item>:</item>
      </candidateList>
      <explain>文本全半角错误。</explain>
      <paraID>79639297</paraID>
      <start>3</start>
      <end>4</end>
      <status>unmodified</status>
      <modifiedWord/>
      <trackRevisions>false</trackRevisions>
    </reviewItem>
    <reviewItem>
      <errorID>c7abf62b-ea58-4962-9e60-7923cf06b860</errorID>
      <errorWord>：</errorWord>
      <group>L1_Format</group>
      <groupName>格式问题</groupName>
      <ability>L2_HalfPunc</ability>
      <abilityName>全半角检查</abilityName>
      <candidateList>
        <item>:</item>
      </candidateList>
      <explain>文本全半角错误。</explain>
      <paraID>3D485EDB</paraID>
      <start>3</start>
      <end>4</end>
      <status>unmodified</status>
      <modifiedWord/>
      <trackRevisions>false</trackRevisions>
    </reviewItem>
    <reviewItem>
      <errorID>bdea371b-37d6-4a99-ae75-9c9ee2718ae0</errorID>
      <errorWord>：</errorWord>
      <group>L1_Format</group>
      <groupName>格式问题</groupName>
      <ability>L2_HalfPunc</ability>
      <abilityName>全半角检查</abilityName>
      <candidateList>
        <item>:</item>
      </candidateList>
      <explain>文本全半角错误。</explain>
      <paraID>3F873C58</paraID>
      <start>3</start>
      <end>4</end>
      <status>unmodified</status>
      <modifiedWord/>
      <trackRevisions>false</trackRevisions>
    </reviewItem>
    <reviewItem>
      <errorID>d9d0b40f-1207-4800-b7d8-1daffb6322ff</errorID>
      <errorWord>：</errorWord>
      <group>L1_Format</group>
      <groupName>格式问题</groupName>
      <ability>L2_HalfPunc</ability>
      <abilityName>全半角检查</abilityName>
      <candidateList>
        <item>:</item>
      </candidateList>
      <explain>文本全半角错误。</explain>
      <paraID> 949E8CD</paraID>
      <start>3</start>
      <end>4</end>
      <status>unmodified</status>
      <modifiedWord/>
      <trackRevisions>false</trackRevisions>
    </reviewItem>
    <reviewItem>
      <errorID>d3a1a0a7-cb24-49d4-87fb-275e81ef190b</errorID>
      <errorWord>：</errorWord>
      <group>L1_Format</group>
      <groupName>格式问题</groupName>
      <ability>L2_HalfPunc</ability>
      <abilityName>全半角检查</abilityName>
      <candidateList>
        <item>:</item>
      </candidateList>
      <explain>文本全半角错误。</explain>
      <paraID>  F4FD90</paraID>
      <start>3</start>
      <end>4</end>
      <status>unmodified</status>
      <modifiedWord/>
      <trackRevisions>false</trackRevisions>
    </reviewItem>
    <reviewItem>
      <errorID>a523ca0f-e411-47ba-b248-2cd77e0355a8</errorID>
      <errorWord>：</errorWord>
      <group>L1_Format</group>
      <groupName>格式问题</groupName>
      <ability>L2_HalfPunc</ability>
      <abilityName>全半角检查</abilityName>
      <candidateList>
        <item>:</item>
      </candidateList>
      <explain>文本全半角错误。</explain>
      <paraID>217A5F36</paraID>
      <start>3</start>
      <end>4</end>
      <status>unmodified</status>
      <modifiedWord/>
      <trackRevisions>false</trackRevisions>
    </reviewItem>
    <reviewItem>
      <errorID>08d46ef1-c97e-4dcf-b7de-cf87ad78e74e</errorID>
      <errorWord>：</errorWord>
      <group>L1_Format</group>
      <groupName>格式问题</groupName>
      <ability>L2_HalfPunc</ability>
      <abilityName>全半角检查</abilityName>
      <candidateList>
        <item>:</item>
      </candidateList>
      <explain>文本全半角错误。</explain>
      <paraID> D942A8F</paraID>
      <start>3</start>
      <end>4</end>
      <status>unmodified</status>
      <modifiedWord/>
      <trackRevisions>false</trackRevisions>
    </reviewItem>
    <reviewItem>
      <errorID>2188b5c3-a31e-41c7-8aeb-b2e01d347fef</errorID>
      <errorWord>：</errorWord>
      <group>L1_Format</group>
      <groupName>格式问题</groupName>
      <ability>L2_HalfPunc</ability>
      <abilityName>全半角检查</abilityName>
      <candidateList>
        <item>:</item>
      </candidateList>
      <explain>文本全半角错误。</explain>
      <paraID>70301CFB</paraID>
      <start>3</start>
      <end>4</end>
      <status>unmodified</status>
      <modifiedWord/>
      <trackRevisions>false</trackRevisions>
    </reviewItem>
    <reviewItem>
      <errorID>b798c6d1-9b77-434d-96f6-4522fed60e50</errorID>
      <errorWord>：</errorWord>
      <group>L1_Format</group>
      <groupName>格式问题</groupName>
      <ability>L2_HalfPunc</ability>
      <abilityName>全半角检查</abilityName>
      <candidateList>
        <item>:</item>
      </candidateList>
      <explain>文本全半角错误。</explain>
      <paraID>66AE0A23</paraID>
      <start>3</start>
      <end>4</end>
      <status>unmodified</status>
      <modifiedWord/>
      <trackRevisions>false</trackRevisions>
    </reviewItem>
    <reviewItem>
      <errorID>e51d013c-d869-4b53-bf35-26bf97cfbef3</errorID>
      <errorWord>：</errorWord>
      <group>L1_Format</group>
      <groupName>格式问题</groupName>
      <ability>L2_HalfPunc</ability>
      <abilityName>全半角检查</abilityName>
      <candidateList>
        <item>:</item>
      </candidateList>
      <explain>文本全半角错误。</explain>
      <paraID>4C5A6E71</paraID>
      <start>3</start>
      <end>4</end>
      <status>unmodified</status>
      <modifiedWord/>
      <trackRevisions>false</trackRevisions>
    </reviewItem>
    <reviewItem>
      <errorID>730853a2-beeb-46df-b34b-b73410b97017</errorID>
      <errorWord>：</errorWord>
      <group>L1_Format</group>
      <groupName>格式问题</groupName>
      <ability>L2_HalfPunc</ability>
      <abilityName>全半角检查</abilityName>
      <candidateList>
        <item>:</item>
      </candidateList>
      <explain>文本全半角错误。</explain>
      <paraID>367298D3</paraID>
      <start>3</start>
      <end>4</end>
      <status>unmodified</status>
      <modifiedWord/>
      <trackRevisions>false</trackRevisions>
    </reviewItem>
    <reviewItem>
      <errorID>a5c758b0-2715-4365-bfa9-24c8f08f204d</errorID>
      <errorWord>：</errorWord>
      <group>L1_Format</group>
      <groupName>格式问题</groupName>
      <ability>L2_HalfPunc</ability>
      <abilityName>全半角检查</abilityName>
      <candidateList>
        <item>:</item>
      </candidateList>
      <explain>文本全半角错误。</explain>
      <paraID>7E743BB5</paraID>
      <start>3</start>
      <end>4</end>
      <status>unmodified</status>
      <modifiedWord/>
      <trackRevisions>false</trackRevisions>
    </reviewItem>
    <reviewItem>
      <errorID>4e572417-39bf-4385-9de0-c8a925301f33</errorID>
      <errorWord>：</errorWord>
      <group>L1_Format</group>
      <groupName>格式问题</groupName>
      <ability>L2_HalfPunc</ability>
      <abilityName>全半角检查</abilityName>
      <candidateList>
        <item>:</item>
      </candidateList>
      <explain>文本全半角错误。</explain>
      <paraID>3955CE31</paraID>
      <start>3</start>
      <end>4</end>
      <status>unmodified</status>
      <modifiedWord/>
      <trackRevisions>false</trackRevisions>
    </reviewItem>
    <reviewItem>
      <errorID>e394e6ac-36fe-40ef-b098-534ab0b43a35</errorID>
      <errorWord>：</errorWord>
      <group>L1_Format</group>
      <groupName>格式问题</groupName>
      <ability>L2_HalfPunc</ability>
      <abilityName>全半角检查</abilityName>
      <candidateList>
        <item>:</item>
      </candidateList>
      <explain>文本全半角错误。</explain>
      <paraID>7CB8CF4B</paraID>
      <start>3</start>
      <end>4</end>
      <status>unmodified</status>
      <modifiedWord/>
      <trackRevisions>false</trackRevisions>
    </reviewItem>
    <reviewItem>
      <errorID>f958cb9d-d788-4545-99cf-7ab7ad6a3e9b</errorID>
      <errorWord>：</errorWord>
      <group>L1_Format</group>
      <groupName>格式问题</groupName>
      <ability>L2_HalfPunc</ability>
      <abilityName>全半角检查</abilityName>
      <candidateList>
        <item>:</item>
      </candidateList>
      <explain>文本全半角错误。</explain>
      <paraID>314156B7</paraID>
      <start>3</start>
      <end>4</end>
      <status>unmodified</status>
      <modifiedWord/>
      <trackRevisions>false</trackRevisions>
    </reviewItem>
    <reviewItem>
      <errorID>699dc073-af40-441e-91d0-ec65772422c4</errorID>
      <errorWord>程</errorWord>
      <group>L1_Word</group>
      <groupName>字词问题</groupName>
      <ability>L2_Typo</ability>
      <abilityName>字词错误</abilityName>
      <candidateList>
        <item>程中</item>
      </candidateList>
      <explain/>
      <paraID>1FB88527</paraID>
      <start>24</start>
      <end>25</end>
      <status>unmodified</status>
      <modifiedWord/>
      <trackRevisions>false</trackRevisions>
    </reviewItem>
    <reviewItem>
      <errorID>f82c9de3-bd13-4540-9c35-dbe4cec2458c</errorID>
      <errorWord>：</errorWord>
      <group>L1_Format</group>
      <groupName>格式问题</groupName>
      <ability>L2_HalfPunc</ability>
      <abilityName>全半角检查</abilityName>
      <candidateList>
        <item>:</item>
      </candidateList>
      <explain>文本全半角错误。</explain>
      <paraID>121E3C88</paraID>
      <start>3</start>
      <end>4</end>
      <status>unmodified</status>
      <modifiedWord/>
      <trackRevisions>false</trackRevisions>
    </reviewItem>
    <reviewItem>
      <errorID>8b83342e-4829-4e75-863f-51cd25f1f7f6</errorID>
      <errorWord>：</errorWord>
      <group>L1_Format</group>
      <groupName>格式问题</groupName>
      <ability>L2_HalfPunc</ability>
      <abilityName>全半角检查</abilityName>
      <candidateList>
        <item>:</item>
      </candidateList>
      <explain>文本全半角错误。</explain>
      <paraID>2FE83110</paraID>
      <start>3</start>
      <end>4</end>
      <status>unmodified</status>
      <modifiedWord/>
      <trackRevisions>false</trackRevisions>
    </reviewItem>
    <reviewItem>
      <errorID>95eedd74-5294-45cd-a5a4-82c00f462d63</errorID>
      <errorWord>：</errorWord>
      <group>L1_Format</group>
      <groupName>格式问题</groupName>
      <ability>L2_HalfPunc</ability>
      <abilityName>全半角检查</abilityName>
      <candidateList>
        <item>:</item>
      </candidateList>
      <explain>文本全半角错误。</explain>
      <paraID>240E9EBD</paraID>
      <start>3</start>
      <end>4</end>
      <status>unmodified</status>
      <modifiedWord/>
      <trackRevisions>false</trackRevisions>
    </reviewItem>
    <reviewItem>
      <errorID>b18c7f1d-fe1f-45e0-bd75-0cca2a6222fb</errorID>
      <errorWord>其它</errorWord>
      <group>L1_Word</group>
      <groupName>字词问题</groupName>
      <ability>L2_Alias</ability>
      <abilityName>也作/曾用词</abilityName>
      <candidateList>
        <item>其他</item>
      </candidateList>
      <explain>词汇[其它]为不规范表述或旧称，其规范书面表述为[其他]。</explain>
      <paraID>7049179F</paraID>
      <start>20</start>
      <end>22</end>
      <status>unmodified</status>
      <modifiedWord/>
      <trackRevisions>false</trackRevisions>
    </reviewItem>
    <reviewItem>
      <errorID>29bb7689-4422-4539-95d9-7d7ccfd37a6d</errorID>
      <errorWord>程</errorWord>
      <group>L1_Word</group>
      <groupName>字词问题</groupName>
      <ability>L2_Typo</ability>
      <abilityName>字词错误</abilityName>
      <candidateList>
        <item>程中</item>
      </candidateList>
      <explain/>
      <paraID>730EDF92</paraID>
      <start>24</start>
      <end>25</end>
      <status>unmodified</status>
      <modifiedWord/>
      <trackRevisions>false</trackRevisions>
    </reviewItem>
    <reviewItem>
      <errorID>b60d614e-578f-45aa-aa34-29d613bad884</errorID>
      <errorWord>：</errorWord>
      <group>L1_Format</group>
      <groupName>格式问题</groupName>
      <ability>L2_HalfPunc</ability>
      <abilityName>全半角检查</abilityName>
      <candidateList>
        <item>:</item>
      </candidateList>
      <explain>文本全半角错误。</explain>
      <paraID>62B6B770</paraID>
      <start>3</start>
      <end>4</end>
      <status>unmodified</status>
      <modifiedWord/>
      <trackRevisions>false</trackRevisions>
    </reviewItem>
    <reviewItem>
      <errorID>c9ccb286-e29a-4377-b784-95f171018de7</errorID>
      <errorWord>：</errorWord>
      <group>L1_Format</group>
      <groupName>格式问题</groupName>
      <ability>L2_HalfPunc</ability>
      <abilityName>全半角检查</abilityName>
      <candidateList>
        <item>:</item>
      </candidateList>
      <explain>文本全半角错误。</explain>
      <paraID>3A14235E</paraID>
      <start>3</start>
      <end>4</end>
      <status>unmodified</status>
      <modifiedWord/>
      <trackRevisions>false</trackRevisions>
    </reviewItem>
    <reviewItem>
      <errorID>e2ce1905-04f1-41a4-bcc8-f19a516114aa</errorID>
      <errorWord>：</errorWord>
      <group>L1_Format</group>
      <groupName>格式问题</groupName>
      <ability>L2_HalfPunc</ability>
      <abilityName>全半角检查</abilityName>
      <candidateList>
        <item>:</item>
      </candidateList>
      <explain>文本全半角错误。</explain>
      <paraID>11D26D65</paraID>
      <start>3</start>
      <end>4</end>
      <status>unmodified</status>
      <modifiedWord/>
      <trackRevisions>false</trackRevisions>
    </reviewItem>
    <reviewItem>
      <errorID>68b124c9-6fe3-4d48-928d-0a5b449b1f32</errorID>
      <errorWord>：</errorWord>
      <group>L1_Format</group>
      <groupName>格式问题</groupName>
      <ability>L2_HalfPunc</ability>
      <abilityName>全半角检查</abilityName>
      <candidateList>
        <item>:</item>
      </candidateList>
      <explain>文本全半角错误。</explain>
      <paraID>1AE04A37</paraID>
      <start>3</start>
      <end>4</end>
      <status>unmodified</status>
      <modifiedWord/>
      <trackRevisions>false</trackRevisions>
    </reviewItem>
    <reviewItem>
      <errorID>71737fb1-fc14-418c-b43c-7a5766d61943</errorID>
      <errorWord>：</errorWord>
      <group>L1_Format</group>
      <groupName>格式问题</groupName>
      <ability>L2_HalfPunc</ability>
      <abilityName>全半角检查</abilityName>
      <candidateList>
        <item>:</item>
      </candidateList>
      <explain>文本全半角错误。</explain>
      <paraID>42FF5785</paraID>
      <start>3</start>
      <end>4</end>
      <status>unmodified</status>
      <modifiedWord/>
      <trackRevisions>false</trackRevisions>
    </reviewItem>
    <reviewItem>
      <errorID>b05b516d-d16c-4548-870f-560b55f6bd32</errorID>
      <errorWord>：</errorWord>
      <group>L1_Format</group>
      <groupName>格式问题</groupName>
      <ability>L2_HalfPunc</ability>
      <abilityName>全半角检查</abilityName>
      <candidateList>
        <item>:</item>
      </candidateList>
      <explain>文本全半角错误。</explain>
      <paraID> 106D9AE</paraID>
      <start>3</start>
      <end>4</end>
      <status>unmodified</status>
      <modifiedWord/>
      <trackRevisions>false</trackRevisions>
    </reviewItem>
    <reviewItem>
      <errorID>4e8d7d55-02af-4356-9af3-d614296f3d12</errorID>
      <errorWord>：</errorWord>
      <group>L1_Format</group>
      <groupName>格式问题</groupName>
      <ability>L2_HalfPunc</ability>
      <abilityName>全半角检查</abilityName>
      <candidateList>
        <item>:</item>
      </candidateList>
      <explain>文本全半角错误。</explain>
      <paraID>3D61D93E</paraID>
      <start>3</start>
      <end>4</end>
      <status>unmodified</status>
      <modifiedWord/>
      <trackRevisions>false</trackRevisions>
    </reviewItem>
    <reviewItem>
      <errorID>b4709abd-7543-44ef-be46-f213c2c30e7b</errorID>
      <errorWord>：</errorWord>
      <group>L1_Format</group>
      <groupName>格式问题</groupName>
      <ability>L2_HalfPunc</ability>
      <abilityName>全半角检查</abilityName>
      <candidateList>
        <item>:</item>
      </candidateList>
      <explain>文本全半角错误。</explain>
      <paraID>1BCC2C6E</paraID>
      <start>3</start>
      <end>4</end>
      <status>unmodified</status>
      <modifiedWord/>
      <trackRevisions>false</trackRevisions>
    </reviewItem>
    <reviewItem>
      <errorID>3a8c5786-ad3b-47eb-b79f-ea108235a606</errorID>
      <errorWord>：</errorWord>
      <group>L1_Format</group>
      <groupName>格式问题</groupName>
      <ability>L2_HalfPunc</ability>
      <abilityName>全半角检查</abilityName>
      <candidateList>
        <item>:</item>
      </candidateList>
      <explain>文本全半角错误。</explain>
      <paraID> 6807623</paraID>
      <start>3</start>
      <end>4</end>
      <status>unmodified</status>
      <modifiedWord/>
      <trackRevisions>false</trackRevisions>
    </reviewItem>
    <reviewItem>
      <errorID>4b09588d-b704-43b8-92d2-ccd1d86caf59</errorID>
      <errorWord>：</errorWord>
      <group>L1_Format</group>
      <groupName>格式问题</groupName>
      <ability>L2_HalfPunc</ability>
      <abilityName>全半角检查</abilityName>
      <candidateList>
        <item>:</item>
      </candidateList>
      <explain>文本全半角错误。</explain>
      <paraID> F5E60ED</paraID>
      <start>3</start>
      <end>4</end>
      <status>unmodified</status>
      <modifiedWord/>
      <trackRevisions>false</trackRevisions>
    </reviewItem>
    <reviewItem>
      <errorID>e62df004-200a-469c-b524-dbd19b23a1c9</errorID>
      <errorWord>：</errorWord>
      <group>L1_Format</group>
      <groupName>格式问题</groupName>
      <ability>L2_HalfPunc</ability>
      <abilityName>全半角检查</abilityName>
      <candidateList>
        <item>:</item>
      </candidateList>
      <explain>文本全半角错误。</explain>
      <paraID> DB006AF</paraID>
      <start>3</start>
      <end>4</end>
      <status>unmodified</status>
      <modifiedWord/>
      <trackRevisions>false</trackRevisions>
    </reviewItem>
    <reviewItem>
      <errorID>5d43f633-ffbe-4e5f-8e87-cce874c0bda4</errorID>
      <errorWord>：</errorWord>
      <group>L1_Format</group>
      <groupName>格式问题</groupName>
      <ability>L2_HalfPunc</ability>
      <abilityName>全半角检查</abilityName>
      <candidateList>
        <item>:</item>
      </candidateList>
      <explain>文本全半角错误。</explain>
      <paraID>28FB6B26</paraID>
      <start>3</start>
      <end>4</end>
      <status>unmodified</status>
      <modifiedWord/>
      <trackRevisions>false</trackRevisions>
    </reviewItem>
    <reviewItem>
      <errorID>b53d5f55-10fb-492f-97f9-3680eb26d5d6</errorID>
      <errorWord>：</errorWord>
      <group>L1_Format</group>
      <groupName>格式问题</groupName>
      <ability>L2_HalfPunc</ability>
      <abilityName>全半角检查</abilityName>
      <candidateList>
        <item>:</item>
      </candidateList>
      <explain>文本全半角错误。</explain>
      <paraID> EB982C4</paraID>
      <start>3</start>
      <end>4</end>
      <status>unmodified</status>
      <modifiedWord/>
      <trackRevisions>false</trackRevisions>
    </reviewItem>
    <reviewItem>
      <errorID>20c3dfce-550d-40b9-8772-bdba3c030ab8</errorID>
      <errorWord>：</errorWord>
      <group>L1_Format</group>
      <groupName>格式问题</groupName>
      <ability>L2_HalfPunc</ability>
      <abilityName>全半角检查</abilityName>
      <candidateList>
        <item>:</item>
      </candidateList>
      <explain>文本全半角错误。</explain>
      <paraID> C750B43</paraID>
      <start>3</start>
      <end>4</end>
      <status>unmodified</status>
      <modifiedWord/>
      <trackRevisions>false</trackRevisions>
    </reviewItem>
    <reviewItem>
      <errorID>f68af68b-7cc3-4c30-a9dc-7bdc387555d9</errorID>
      <errorWord>：</errorWord>
      <group>L1_Format</group>
      <groupName>格式问题</groupName>
      <ability>L2_HalfPunc</ability>
      <abilityName>全半角检查</abilityName>
      <candidateList>
        <item>:</item>
      </candidateList>
      <explain>文本全半角错误。</explain>
      <paraID>6671E871</paraID>
      <start>3</start>
      <end>4</end>
      <status>unmodified</status>
      <modifiedWord/>
      <trackRevisions>false</trackRevisions>
    </reviewItem>
    <reviewItem>
      <errorID>e95cb6b0-d569-4f0e-a3d0-36a74060814a</errorID>
      <errorWord>：</errorWord>
      <group>L1_Format</group>
      <groupName>格式问题</groupName>
      <ability>L2_HalfPunc</ability>
      <abilityName>全半角检查</abilityName>
      <candidateList>
        <item>:</item>
      </candidateList>
      <explain>文本全半角错误。</explain>
      <paraID>21DCE932</paraID>
      <start>3</start>
      <end>4</end>
      <status>unmodified</status>
      <modifiedWord/>
      <trackRevisions>false</trackRevisions>
    </reviewItem>
    <reviewItem>
      <errorID>04bc0136-387f-406b-b1f2-246e5a46a1e5</errorID>
      <errorWord>废</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1027EBEE</paraID>
      <start>22</start>
      <end>23</end>
      <status>unmodified</status>
      <modifiedWord/>
      <trackRevisions>false</trackRevisions>
    </reviewItem>
    <reviewItem>
      <errorID>70436a1e-d094-4450-aa2c-576d9ac8e581</errorID>
      <errorWord>：</errorWord>
      <group>L1_Format</group>
      <groupName>格式问题</groupName>
      <ability>L2_HalfPunc</ability>
      <abilityName>全半角检查</abilityName>
      <candidateList>
        <item>:</item>
      </candidateList>
      <explain>文本全半角错误。</explain>
      <paraID>15A96F06</paraID>
      <start>3</start>
      <end>4</end>
      <status>unmodified</status>
      <modifiedWord/>
      <trackRevisions>false</trackRevisions>
    </reviewItem>
    <reviewItem>
      <errorID>afdb659e-f3f3-4cb9-83a7-40f8ae37e37f</errorID>
      <errorWord>：</errorWord>
      <group>L1_Format</group>
      <groupName>格式问题</groupName>
      <ability>L2_HalfPunc</ability>
      <abilityName>全半角检查</abilityName>
      <candidateList>
        <item>:</item>
      </candidateList>
      <explain>文本全半角错误。</explain>
      <paraID> BE9AA20</paraID>
      <start>3</start>
      <end>4</end>
      <status>unmodified</status>
      <modifiedWord/>
      <trackRevisions>false</trackRevisions>
    </reviewItem>
    <reviewItem>
      <errorID>f2278f5a-9784-4c26-9d58-e34c9dcc7d40</errorID>
      <errorWord>：</errorWord>
      <group>L1_Format</group>
      <groupName>格式问题</groupName>
      <ability>L2_HalfPunc</ability>
      <abilityName>全半角检查</abilityName>
      <candidateList>
        <item>:</item>
      </candidateList>
      <explain>文本全半角错误。</explain>
      <paraID>4205DB35</paraID>
      <start>3</start>
      <end>4</end>
      <status>unmodified</status>
      <modifiedWord/>
      <trackRevisions>false</trackRevisions>
    </reviewItem>
    <reviewItem>
      <errorID>e183a63e-6dac-4d74-867b-f0a7bf462275</errorID>
      <errorWord>：</errorWord>
      <group>L1_Format</group>
      <groupName>格式问题</groupName>
      <ability>L2_HalfPunc</ability>
      <abilityName>全半角检查</abilityName>
      <candidateList>
        <item>:</item>
      </candidateList>
      <explain>文本全半角错误。</explain>
      <paraID> D5DCE6C</paraID>
      <start>3</start>
      <end>4</end>
      <status>unmodified</status>
      <modifiedWord/>
      <trackRevisions>false</trackRevisions>
    </reviewItem>
    <reviewItem>
      <errorID>0a8a6108-f5a1-4f45-a9d0-4fbec78e16f8</errorID>
      <errorWord>：</errorWord>
      <group>L1_Format</group>
      <groupName>格式问题</groupName>
      <ability>L2_HalfPunc</ability>
      <abilityName>全半角检查</abilityName>
      <candidateList>
        <item>:</item>
      </candidateList>
      <explain>文本全半角错误。</explain>
      <paraID>4442EDF1</paraID>
      <start>3</start>
      <end>4</end>
      <status>unmodified</status>
      <modifiedWord/>
      <trackRevisions>false</trackRevisions>
    </reviewItem>
    <reviewItem>
      <errorID>d400bab9-1be0-4207-8fd4-f6ba575a4b2a</errorID>
      <errorWord>：</errorWord>
      <group>L1_Format</group>
      <groupName>格式问题</groupName>
      <ability>L2_HalfPunc</ability>
      <abilityName>全半角检查</abilityName>
      <candidateList>
        <item>:</item>
      </candidateList>
      <explain>文本全半角错误。</explain>
      <paraID>545CEFF6</paraID>
      <start>3</start>
      <end>4</end>
      <status>unmodified</status>
      <modifiedWord/>
      <trackRevisions>false</trackRevisions>
    </reviewItem>
    <reviewItem>
      <errorID>9ed2f3cf-75df-4fb4-b67d-5318daa0312d</errorID>
      <errorWord>：</errorWord>
      <group>L1_Format</group>
      <groupName>格式问题</groupName>
      <ability>L2_HalfPunc</ability>
      <abilityName>全半角检查</abilityName>
      <candidateList>
        <item>:</item>
      </candidateList>
      <explain>文本全半角错误。</explain>
      <paraID>6004D4D1</paraID>
      <start>3</start>
      <end>4</end>
      <status>unmodified</status>
      <modifiedWord/>
      <trackRevisions>false</trackRevisions>
    </reviewItem>
    <reviewItem>
      <errorID>f5460fe5-fee0-46c3-ac3f-7a9a36430a9e</errorID>
      <errorWord>：</errorWord>
      <group>L1_Format</group>
      <groupName>格式问题</groupName>
      <ability>L2_HalfPunc</ability>
      <abilityName>全半角检查</abilityName>
      <candidateList>
        <item>:</item>
      </candidateList>
      <explain>文本全半角错误。</explain>
      <paraID> BBAB913</paraID>
      <start>3</start>
      <end>4</end>
      <status>unmodified</status>
      <modifiedWord/>
      <trackRevisions>false</trackRevisions>
    </reviewItem>
    <reviewItem>
      <errorID>49a32830-b5bb-42d8-a6ab-3995fe9a96e4</errorID>
      <errorWord>：</errorWord>
      <group>L1_Format</group>
      <groupName>格式问题</groupName>
      <ability>L2_HalfPunc</ability>
      <abilityName>全半角检查</abilityName>
      <candidateList>
        <item>:</item>
      </candidateList>
      <explain>文本全半角错误。</explain>
      <paraID>6309F71B</paraID>
      <start>3</start>
      <end>4</end>
      <status>unmodified</status>
      <modifiedWord/>
      <trackRevisions>false</trackRevisions>
    </reviewItem>
    <reviewItem>
      <errorID>2b631b7b-94b1-4744-94da-9049b2e72282</errorID>
      <errorWord>程</errorWord>
      <group>L1_Word</group>
      <groupName>字词问题</groupName>
      <ability>L2_Typo</ability>
      <abilityName>字词错误</abilityName>
      <candidateList>
        <item>程中</item>
      </candidateList>
      <explain/>
      <paraID> 536CBA3</paraID>
      <start>35</start>
      <end>36</end>
      <status>unmodified</status>
      <modifiedWord/>
      <trackRevisions>false</trackRevisions>
    </reviewItem>
    <reviewItem>
      <errorID>210f3375-bcb1-4bf8-bcbf-61ae809b4584</errorID>
      <errorWord>(</errorWord>
      <group>L1_Format</group>
      <groupName>格式问题</groupName>
      <ability>L2_HalfPunc</ability>
      <abilityName>全半角检查</abilityName>
      <candidateList>
        <item>（</item>
      </candidateList>
      <explain>文本全半角错误。</explain>
      <paraID> 207491C</paraID>
      <start>2</start>
      <end>3</end>
      <status>unmodified</status>
      <modifiedWord/>
      <trackRevisions>false</trackRevisions>
    </reviewItem>
    <reviewItem>
      <errorID>12514443-8b54-4592-941a-774d3381c430</errorID>
      <errorWord>)</errorWord>
      <group>L1_Format</group>
      <groupName>格式问题</groupName>
      <ability>L2_HalfPunc</ability>
      <abilityName>全半角检查</abilityName>
      <candidateList>
        <item>）</item>
      </candidateList>
      <explain>文本全半角错误。</explain>
      <paraID> 207491C</paraID>
      <start>6</start>
      <end>7</end>
      <status>unmodified</status>
      <modifiedWord/>
      <trackRevisions>false</trackRevisions>
    </reviewItem>
    <reviewItem>
      <errorID>915a287d-d829-4468-a472-cd0e4b27f061</errorID>
      <errorWord>：</errorWord>
      <group>L1_Format</group>
      <groupName>格式问题</groupName>
      <ability>L2_HalfPunc</ability>
      <abilityName>全半角检查</abilityName>
      <candidateList>
        <item>:</item>
      </candidateList>
      <explain>文本全半角错误。</explain>
      <paraID>624B6879</paraID>
      <start>3</start>
      <end>4</end>
      <status>unmodified</status>
      <modifiedWord/>
      <trackRevisions>false</trackRevisions>
    </reviewItem>
    <reviewItem>
      <errorID>b14d2f15-2cc7-44a1-85ec-45b1d6c95d4c</errorID>
      <errorWord>：</errorWord>
      <group>L1_Format</group>
      <groupName>格式问题</groupName>
      <ability>L2_HalfPunc</ability>
      <abilityName>全半角检查</abilityName>
      <candidateList>
        <item>:</item>
      </candidateList>
      <explain>文本全半角错误。</explain>
      <paraID>2B1C6CCC</paraID>
      <start>3</start>
      <end>4</end>
      <status>unmodified</status>
      <modifiedWord/>
      <trackRevisions>false</trackRevisions>
    </reviewItem>
    <reviewItem>
      <errorID>f26aef9d-3cb1-46a8-b791-1be13f641188</errorID>
      <errorWord>：</errorWord>
      <group>L1_Format</group>
      <groupName>格式问题</groupName>
      <ability>L2_HalfPunc</ability>
      <abilityName>全半角检查</abilityName>
      <candidateList>
        <item>:</item>
      </candidateList>
      <explain>文本全半角错误。</explain>
      <paraID>1C6D509B</paraID>
      <start>3</start>
      <end>4</end>
      <status>unmodified</status>
      <modifiedWord/>
      <trackRevisions>false</trackRevisions>
    </reviewItem>
    <reviewItem>
      <errorID>dd0a2a8c-b305-453a-b877-9738beb66857</errorID>
      <errorWord>：</errorWord>
      <group>L1_Format</group>
      <groupName>格式问题</groupName>
      <ability>L2_HalfPunc</ability>
      <abilityName>全半角检查</abilityName>
      <candidateList>
        <item>:</item>
      </candidateList>
      <explain>文本全半角错误。</explain>
      <paraID> 278C332</paraID>
      <start>3</start>
      <end>4</end>
      <status>unmodified</status>
      <modifiedWord/>
      <trackRevisions>false</trackRevisions>
    </reviewItem>
    <reviewItem>
      <errorID>a43ed364-6a99-4eb8-9cfb-fd6c50f088f5</errorID>
      <errorWord>敖膜</errorWord>
      <group>L1_Word</group>
      <groupName>字词问题</groupName>
      <ability>L2_Typo</ability>
      <abilityName>字词错误</abilityName>
      <candidateList>
        <item>薄膜</item>
      </candidateList>
      <explain/>
      <paraID>7D941B4E</paraID>
      <start>55</start>
      <end>57</end>
      <status>modified</status>
      <modifiedWord>薄膜</modifiedWord>
      <trackRevisions>false</trackRevisions>
    </reviewItem>
    <reviewItem>
      <errorID>0093f6f7-075e-4bdd-bb1b-0c5c81351c54</errorID>
      <errorWord>(</errorWord>
      <group>L1_Format</group>
      <groupName>格式问题</groupName>
      <ability>L2_HalfPunc</ability>
      <abilityName>全半角检查</abilityName>
      <candidateList>
        <item>（</item>
      </candidateList>
      <explain>文本全半角错误。</explain>
      <paraID>3069F95B</paraID>
      <start>2</start>
      <end>3</end>
      <status>unmodified</status>
      <modifiedWord/>
      <trackRevisions>false</trackRevisions>
    </reviewItem>
    <reviewItem>
      <errorID>0a3894e6-bb58-400d-90f0-83cfd6db5398</errorID>
      <errorWord>)</errorWord>
      <group>L1_Format</group>
      <groupName>格式问题</groupName>
      <ability>L2_HalfPunc</ability>
      <abilityName>全半角检查</abilityName>
      <candidateList>
        <item>）</item>
      </candidateList>
      <explain>文本全半角错误。</explain>
      <paraID>3069F95B</paraID>
      <start>6</start>
      <end>7</end>
      <status>unmodified</status>
      <modifiedWord/>
      <trackRevisions>false</trackRevisions>
    </reviewItem>
    <reviewItem>
      <errorID>141f0c10-17fb-431d-8582-df09bfa785fa</errorID>
      <errorWord>：</errorWord>
      <group>L1_Format</group>
      <groupName>格式问题</groupName>
      <ability>L2_HalfPunc</ability>
      <abilityName>全半角检查</abilityName>
      <candidateList>
        <item>:</item>
      </candidateList>
      <explain>文本全半角错误。</explain>
      <paraID>3CE6B507</paraID>
      <start>3</start>
      <end>4</end>
      <status>unmodified</status>
      <modifiedWord/>
      <trackRevisions>false</trackRevisions>
    </reviewItem>
    <reviewItem>
      <errorID>1567a098-9083-4475-be06-2df216a6cd80</errorID>
      <errorWord>：</errorWord>
      <group>L1_Format</group>
      <groupName>格式问题</groupName>
      <ability>L2_HalfPunc</ability>
      <abilityName>全半角检查</abilityName>
      <candidateList>
        <item>:</item>
      </candidateList>
      <explain>文本全半角错误。</explain>
      <paraID>615150B4</paraID>
      <start>3</start>
      <end>4</end>
      <status>unmodified</status>
      <modifiedWord/>
      <trackRevisions>false</trackRevisions>
    </reviewItem>
    <reviewItem>
      <errorID>25be8bda-eee7-4a0d-8f3b-ab8a198f940d</errorID>
      <errorWord>：</errorWord>
      <group>L1_Format</group>
      <groupName>格式问题</groupName>
      <ability>L2_HalfPunc</ability>
      <abilityName>全半角检查</abilityName>
      <candidateList>
        <item>:</item>
      </candidateList>
      <explain>文本全半角错误。</explain>
      <paraID>2A287EF3</paraID>
      <start>3</start>
      <end>4</end>
      <status>unmodified</status>
      <modifiedWord/>
      <trackRevisions>false</trackRevisions>
    </reviewItem>
    <reviewItem>
      <errorID>413340dc-c7eb-4b8d-a650-fc21cf448f30</errorID>
      <errorWord>：</errorWord>
      <group>L1_Format</group>
      <groupName>格式问题</groupName>
      <ability>L2_HalfPunc</ability>
      <abilityName>全半角检查</abilityName>
      <candidateList>
        <item>:</item>
      </candidateList>
      <explain>文本全半角错误。</explain>
      <paraID>54C953BC</paraID>
      <start>3</start>
      <end>4</end>
      <status>unmodified</status>
      <modifiedWord/>
      <trackRevisions>false</trackRevisions>
    </reviewItem>
    <reviewItem>
      <errorID>f10705de-1c98-437c-a3ea-4eaa0424f2ca</errorID>
      <errorWord>：</errorWord>
      <group>L1_Format</group>
      <groupName>格式问题</groupName>
      <ability>L2_HalfPunc</ability>
      <abilityName>全半角检查</abilityName>
      <candidateList>
        <item>:</item>
      </candidateList>
      <explain>文本全半角错误。</explain>
      <paraID>56BA9B94</paraID>
      <start>3</start>
      <end>4</end>
      <status>unmodified</status>
      <modifiedWord/>
      <trackRevisions>false</trackRevisions>
    </reviewItem>
    <reviewItem>
      <errorID>662da3d8-0f64-4467-ae46-fe2137a7c421</errorID>
      <errorWord>：</errorWord>
      <group>L1_Format</group>
      <groupName>格式问题</groupName>
      <ability>L2_HalfPunc</ability>
      <abilityName>全半角检查</abilityName>
      <candidateList>
        <item>:</item>
      </candidateList>
      <explain>文本全半角错误。</explain>
      <paraID>44B76B1A</paraID>
      <start>3</start>
      <end>4</end>
      <status>unmodified</status>
      <modifiedWord/>
      <trackRevisions>false</trackRevisions>
    </reviewItem>
    <reviewItem>
      <errorID>1294c5ad-f10f-4ae3-a733-01e6986002a5</errorID>
      <errorWord>急</errorWord>
      <group>L1_Word</group>
      <groupName>字词问题</groupName>
      <ability>L2_Typo</ability>
      <abilityName>字词错误</abilityName>
      <candidateList>
        <item>集</item>
      </candidateList>
      <explain/>
      <paraID>1EDF94DE</paraID>
      <start>5</start>
      <end>6</end>
      <status>modified</status>
      <modifiedWord>集</modifiedWord>
      <trackRevisions>false</trackRevisions>
    </reviewItem>
    <reviewItem>
      <errorID>7ccdc011-5a69-4d39-a9ac-5c9ec39cffbb</errorID>
      <errorWord>：</errorWord>
      <group>L1_Format</group>
      <groupName>格式问题</groupName>
      <ability>L2_HalfPunc</ability>
      <abilityName>全半角检查</abilityName>
      <candidateList>
        <item>:</item>
      </candidateList>
      <explain>文本全半角错误。</explain>
      <paraID>2DD6CE2B</paraID>
      <start>3</start>
      <end>4</end>
      <status>unmodified</status>
      <modifiedWord/>
      <trackRevisions>false</trackRevisions>
    </reviewItem>
    <reviewItem>
      <errorID>de895d8f-c578-4676-b71c-64234bd21514</errorID>
      <errorWord>：</errorWord>
      <group>L1_Format</group>
      <groupName>格式问题</groupName>
      <ability>L2_HalfPunc</ability>
      <abilityName>全半角检查</abilityName>
      <candidateList>
        <item>:</item>
      </candidateList>
      <explain>文本全半角错误。</explain>
      <paraID>12324784</paraID>
      <start>3</start>
      <end>4</end>
      <status>unmodified</status>
      <modifiedWord/>
      <trackRevisions>false</trackRevisions>
    </reviewItem>
    <reviewItem>
      <errorID>0bc85d00-d4cb-41eb-8bac-56190e91c48f</errorID>
      <errorWord>：</errorWord>
      <group>L1_Format</group>
      <groupName>格式问题</groupName>
      <ability>L2_HalfPunc</ability>
      <abilityName>全半角检查</abilityName>
      <candidateList>
        <item>:</item>
      </candidateList>
      <explain>文本全半角错误。</explain>
      <paraID>3B5A86BA</paraID>
      <start>3</start>
      <end>4</end>
      <status>unmodified</status>
      <modifiedWord/>
      <trackRevisions>false</trackRevisions>
    </reviewItem>
    <reviewItem>
      <errorID>9f492318-95fa-4027-917c-aa603962389a</errorID>
      <errorWord>：</errorWord>
      <group>L1_Format</group>
      <groupName>格式问题</groupName>
      <ability>L2_HalfPunc</ability>
      <abilityName>全半角检查</abilityName>
      <candidateList>
        <item>:</item>
      </candidateList>
      <explain>文本全半角错误。</explain>
      <paraID>67961D6C</paraID>
      <start>3</start>
      <end>4</end>
      <status>unmodified</status>
      <modifiedWord/>
      <trackRevisions>false</trackRevisions>
    </reviewItem>
    <reviewItem>
      <errorID>55db4155-9ee1-42e6-bc3f-85dd9aa4b344</errorID>
      <errorWord>：</errorWord>
      <group>L1_Format</group>
      <groupName>格式问题</groupName>
      <ability>L2_HalfPunc</ability>
      <abilityName>全半角检查</abilityName>
      <candidateList>
        <item>:</item>
      </candidateList>
      <explain>文本全半角错误。</explain>
      <paraID>7C729B85</paraID>
      <start>3</start>
      <end>4</end>
      <status>unmodified</status>
      <modifiedWord/>
      <trackRevisions>false</trackRevisions>
    </reviewItem>
    <reviewItem>
      <errorID>d11195e8-5703-4553-b0c5-75bd6cd8b2e1</errorID>
      <errorWord>做为</errorWord>
      <group>L1_Word</group>
      <groupName>字词问题</groupName>
      <ability>L2_Typo</ability>
      <abilityName>字词错误</abilityName>
      <candidateList>
        <item>作为</item>
      </candidateList>
      <explain>存在发音相同字词的误用。</explain>
      <paraID>1EB67043</paraID>
      <start>9</start>
      <end>11</end>
      <status>modified</status>
      <modifiedWord>作为</modifiedWord>
      <trackRevisions>false</trackRevisions>
    </reviewItem>
    <reviewItem>
      <errorID>1fb26938-cdc2-4431-97d5-8cc18873f439</errorID>
      <errorWord>程</errorWord>
      <group>L1_Word</group>
      <groupName>字词问题</groupName>
      <ability>L2_Typo</ability>
      <abilityName>字词错误</abilityName>
      <candidateList>
        <item>程中</item>
      </candidateList>
      <explain/>
      <paraID>1EB67043</paraID>
      <start>55</start>
      <end>56</end>
      <status>unmodified</status>
      <modifiedWord/>
      <trackRevisions>false</trackRevisions>
    </reviewItem>
    <reviewItem>
      <errorID>5317806f-deba-469b-8a8e-2deb3fc60674</errorID>
      <errorWord>：</errorWord>
      <group>L1_Format</group>
      <groupName>格式问题</groupName>
      <ability>L2_HalfPunc</ability>
      <abilityName>全半角检查</abilityName>
      <candidateList>
        <item>:</item>
      </candidateList>
      <explain>文本全半角错误。</explain>
      <paraID>5198E253</paraID>
      <start>3</start>
      <end>4</end>
      <status>unmodified</status>
      <modifiedWord/>
      <trackRevisions>false</trackRevisions>
    </reviewItem>
    <reviewItem>
      <errorID>534c5e74-2a15-460b-a5c8-5d3f1c6d441c</errorID>
      <errorWord>：</errorWord>
      <group>L1_Format</group>
      <groupName>格式问题</groupName>
      <ability>L2_HalfPunc</ability>
      <abilityName>全半角检查</abilityName>
      <candidateList>
        <item>:</item>
      </candidateList>
      <explain>文本全半角错误。</explain>
      <paraID>4C8689D0</paraID>
      <start>3</start>
      <end>4</end>
      <status>unmodified</status>
      <modifiedWord/>
      <trackRevisions>false</trackRevisions>
    </reviewItem>
    <reviewItem>
      <errorID>b02eb648-4f47-4653-a3f5-0a186d693d80</errorID>
      <errorWord>：</errorWord>
      <group>L1_Format</group>
      <groupName>格式问题</groupName>
      <ability>L2_HalfPunc</ability>
      <abilityName>全半角检查</abilityName>
      <candidateList>
        <item>:</item>
      </candidateList>
      <explain>文本全半角错误。</explain>
      <paraID>226A7E61</paraID>
      <start>3</start>
      <end>4</end>
      <status>unmodified</status>
      <modifiedWord/>
      <trackRevisions>false</trackRevisions>
    </reviewItem>
    <reviewItem>
      <errorID>dad7c3f0-b07b-4af4-8b11-c5c7dd945b8e</errorID>
      <errorWord>：</errorWord>
      <group>L1_Format</group>
      <groupName>格式问题</groupName>
      <ability>L2_HalfPunc</ability>
      <abilityName>全半角检查</abilityName>
      <candidateList>
        <item>:</item>
      </candidateList>
      <explain>文本全半角错误。</explain>
      <paraID> F43676C</paraID>
      <start>3</start>
      <end>4</end>
      <status>unmodified</status>
      <modifiedWord/>
      <trackRevisions>false</trackRevisions>
    </reviewItem>
    <reviewItem>
      <errorID>5c1c37e3-0172-40f8-a545-24374925cb47</errorID>
      <errorWord>：</errorWord>
      <group>L1_Format</group>
      <groupName>格式问题</groupName>
      <ability>L2_HalfPunc</ability>
      <abilityName>全半角检查</abilityName>
      <candidateList>
        <item>:</item>
      </candidateList>
      <explain>文本全半角错误。</explain>
      <paraID>7908C194</paraID>
      <start>3</start>
      <end>4</end>
      <status>unmodified</status>
      <modifiedWord/>
      <trackRevisions>false</trackRevisions>
    </reviewItem>
    <reviewItem>
      <errorID>08bf8d16-11eb-4b93-8cb6-aab2878bd755</errorID>
      <errorWord>：</errorWord>
      <group>L1_Format</group>
      <groupName>格式问题</groupName>
      <ability>L2_HalfPunc</ability>
      <abilityName>全半角检查</abilityName>
      <candidateList>
        <item>:</item>
      </candidateList>
      <explain>文本全半角错误。</explain>
      <paraID> 8917F2D</paraID>
      <start>3</start>
      <end>4</end>
      <status>unmodified</status>
      <modifiedWord/>
      <trackRevisions>false</trackRevisions>
    </reviewItem>
    <reviewItem>
      <errorID>639835b8-7d8b-4e80-8925-0af9fb26747e</errorID>
      <errorWord>：</errorWord>
      <group>L1_Format</group>
      <groupName>格式问题</groupName>
      <ability>L2_HalfPunc</ability>
      <abilityName>全半角检查</abilityName>
      <candidateList>
        <item>:</item>
      </candidateList>
      <explain>文本全半角错误。</explain>
      <paraID>219569D6</paraID>
      <start>3</start>
      <end>4</end>
      <status>unmodified</status>
      <modifiedWord/>
      <trackRevisions>false</trackRevisions>
    </reviewItem>
    <reviewItem>
      <errorID>a6d0a6b5-ac2e-4fd7-a247-40ef2d7cb7c2</errorID>
      <errorWord>：</errorWord>
      <group>L1_Format</group>
      <groupName>格式问题</groupName>
      <ability>L2_HalfPunc</ability>
      <abilityName>全半角检查</abilityName>
      <candidateList>
        <item>:</item>
      </candidateList>
      <explain>文本全半角错误。</explain>
      <paraID>1F92C708</paraID>
      <start>3</start>
      <end>4</end>
      <status>unmodified</status>
      <modifiedWord/>
      <trackRevisions>false</trackRevisions>
    </reviewItem>
    <reviewItem>
      <errorID>da692c75-b54b-4648-bd7f-1414d6630ec6</errorID>
      <errorWord>：</errorWord>
      <group>L1_Format</group>
      <groupName>格式问题</groupName>
      <ability>L2_HalfPunc</ability>
      <abilityName>全半角检查</abilityName>
      <candidateList>
        <item>:</item>
      </candidateList>
      <explain>文本全半角错误。</explain>
      <paraID> EE047C4</paraID>
      <start>3</start>
      <end>4</end>
      <status>unmodified</status>
      <modifiedWord/>
      <trackRevisions>false</trackRevisions>
    </reviewItem>
    <reviewItem>
      <errorID>37bf5e54-1d29-44aa-8314-873872feb67a</errorID>
      <errorWord>：</errorWord>
      <group>L1_Format</group>
      <groupName>格式问题</groupName>
      <ability>L2_HalfPunc</ability>
      <abilityName>全半角检查</abilityName>
      <candidateList>
        <item>:</item>
      </candidateList>
      <explain>文本全半角错误。</explain>
      <paraID>6D57DA9B</paraID>
      <start>3</start>
      <end>4</end>
      <status>unmodified</status>
      <modifiedWord/>
      <trackRevisions>false</trackRevisions>
    </reviewItem>
    <reviewItem>
      <errorID>6939d0fe-870e-4557-8c52-b7e004321514</errorID>
      <errorWord>：</errorWord>
      <group>L1_Format</group>
      <groupName>格式问题</groupName>
      <ability>L2_HalfPunc</ability>
      <abilityName>全半角检查</abilityName>
      <candidateList>
        <item>:</item>
      </candidateList>
      <explain>文本全半角错误。</explain>
      <paraID> B4D7074</paraID>
      <start>3</start>
      <end>4</end>
      <status>unmodified</status>
      <modifiedWord/>
      <trackRevisions>false</trackRevisions>
    </reviewItem>
    <reviewItem>
      <errorID>a288aac3-58c2-4e16-a615-fb83139d45f8</errorID>
      <errorWord>：</errorWord>
      <group>L1_Format</group>
      <groupName>格式问题</groupName>
      <ability>L2_HalfPunc</ability>
      <abilityName>全半角检查</abilityName>
      <candidateList>
        <item>:</item>
      </candidateList>
      <explain>文本全半角错误。</explain>
      <paraID>6AFB0444</paraID>
      <start>3</start>
      <end>4</end>
      <status>unmodified</status>
      <modifiedWord/>
      <trackRevisions>false</trackRevisions>
    </reviewItem>
    <reviewItem>
      <errorID>a0c171f4-f13e-413a-b516-5deff28d8c26</errorID>
      <errorWord>：</errorWord>
      <group>L1_Format</group>
      <groupName>格式问题</groupName>
      <ability>L2_HalfPunc</ability>
      <abilityName>全半角检查</abilityName>
      <candidateList>
        <item>:</item>
      </candidateList>
      <explain>文本全半角错误。</explain>
      <paraID>51927670</paraID>
      <start>3</start>
      <end>4</end>
      <status>unmodified</status>
      <modifiedWord/>
      <trackRevisions>false</trackRevisions>
    </reviewItem>
    <reviewItem>
      <errorID>656a9ecc-6db5-4927-a206-8fddd70e130f</errorID>
      <errorWord>：</errorWord>
      <group>L1_Format</group>
      <groupName>格式问题</groupName>
      <ability>L2_HalfPunc</ability>
      <abilityName>全半角检查</abilityName>
      <candidateList>
        <item>:</item>
      </candidateList>
      <explain>文本全半角错误。</explain>
      <paraID>31260AC3</paraID>
      <start>3</start>
      <end>4</end>
      <status>unmodified</status>
      <modifiedWord/>
      <trackRevisions>false</trackRevisions>
    </reviewItem>
    <reviewItem>
      <errorID>76156013-8f91-4b31-b5a5-b57d1549fc96</errorID>
      <errorWord>：</errorWord>
      <group>L1_Format</group>
      <groupName>格式问题</groupName>
      <ability>L2_HalfPunc</ability>
      <abilityName>全半角检查</abilityName>
      <candidateList>
        <item>:</item>
      </candidateList>
      <explain>文本全半角错误。</explain>
      <paraID>137491E6</paraID>
      <start>3</start>
      <end>4</end>
      <status>unmodified</status>
      <modifiedWord/>
      <trackRevisions>false</trackRevisions>
    </reviewItem>
    <reviewItem>
      <errorID>cb204899-3acb-4d1d-903e-f462d957aec2</errorID>
      <errorWord>：</errorWord>
      <group>L1_Format</group>
      <groupName>格式问题</groupName>
      <ability>L2_HalfPunc</ability>
      <abilityName>全半角检查</abilityName>
      <candidateList>
        <item>:</item>
      </candidateList>
      <explain>文本全半角错误。</explain>
      <paraID>552B3E2F</paraID>
      <start>3</start>
      <end>4</end>
      <status>unmodified</status>
      <modifiedWord/>
      <trackRevisions>false</trackRevisions>
    </reviewItem>
    <reviewItem>
      <errorID>c1ded2e1-ce70-48b5-b08a-99d35ee47169</errorID>
      <errorWord>：</errorWord>
      <group>L1_Format</group>
      <groupName>格式问题</groupName>
      <ability>L2_HalfPunc</ability>
      <abilityName>全半角检查</abilityName>
      <candidateList>
        <item>:</item>
      </candidateList>
      <explain>文本全半角错误。</explain>
      <paraID>572CEB65</paraID>
      <start>3</start>
      <end>4</end>
      <status>unmodified</status>
      <modifiedWord/>
      <trackRevisions>false</trackRevisions>
    </reviewItem>
    <reviewItem>
      <errorID>c2e52426-9a19-4eab-88ea-d364d64c32b8</errorID>
      <errorWord>：</errorWord>
      <group>L1_Format</group>
      <groupName>格式问题</groupName>
      <ability>L2_HalfPunc</ability>
      <abilityName>全半角检查</abilityName>
      <candidateList>
        <item>:</item>
      </candidateList>
      <explain>文本全半角错误。</explain>
      <paraID>11947207</paraID>
      <start>3</start>
      <end>4</end>
      <status>unmodified</status>
      <modifiedWord/>
      <trackRevisions>false</trackRevisions>
    </reviewItem>
    <reviewItem>
      <errorID>b76f1142-3bd5-407a-b450-865cc1df53f0</errorID>
      <errorWord>程</errorWord>
      <group>L1_Word</group>
      <groupName>字词问题</groupName>
      <ability>L2_Typo</ability>
      <abilityName>字词错误</abilityName>
      <candidateList>
        <item>程中</item>
      </candidateList>
      <explain/>
      <paraID>33ED5A15</paraID>
      <start>5</start>
      <end>6</end>
      <status>unmodified</status>
      <modifiedWord/>
      <trackRevisions>false</trackRevisions>
    </reviewItem>
    <reviewItem>
      <errorID>dc0b6baa-12c1-4510-bc1b-c7177f6dc659</errorID>
      <errorWord>：</errorWord>
      <group>L1_Format</group>
      <groupName>格式问题</groupName>
      <ability>L2_HalfPunc</ability>
      <abilityName>全半角检查</abilityName>
      <candidateList>
        <item>:</item>
      </candidateList>
      <explain>文本全半角错误。</explain>
      <paraID>1283C217</paraID>
      <start>3</start>
      <end>4</end>
      <status>unmodified</status>
      <modifiedWord/>
      <trackRevisions>false</trackRevisions>
    </reviewItem>
    <reviewItem>
      <errorID>6c7065e0-45cc-47a3-831f-39dd81d6f86d</errorID>
      <errorWord>：</errorWord>
      <group>L1_Format</group>
      <groupName>格式问题</groupName>
      <ability>L2_HalfPunc</ability>
      <abilityName>全半角检查</abilityName>
      <candidateList>
        <item>:</item>
      </candidateList>
      <explain>文本全半角错误。</explain>
      <paraID>13088079</paraID>
      <start>3</start>
      <end>4</end>
      <status>unmodified</status>
      <modifiedWord/>
      <trackRevisions>false</trackRevisions>
    </reviewItem>
    <reviewItem>
      <errorID>084d7ad2-82ca-413b-a45d-70de7806a1ec</errorID>
      <errorWord>：</errorWord>
      <group>L1_Format</group>
      <groupName>格式问题</groupName>
      <ability>L2_HalfPunc</ability>
      <abilityName>全半角检查</abilityName>
      <candidateList>
        <item>:</item>
      </candidateList>
      <explain>文本全半角错误。</explain>
      <paraID>49D1FAC1</paraID>
      <start>3</start>
      <end>4</end>
      <status>unmodified</status>
      <modifiedWord/>
      <trackRevisions>false</trackRevisions>
    </reviewItem>
    <reviewItem>
      <errorID>e4600747-4c65-4123-81fe-982cbca25991</errorID>
      <errorWord>（</errorWord>
      <group>L1_Format</group>
      <groupName>格式问题</groupName>
      <ability>L2_HalfPunc</ability>
      <abilityName>全半角检查</abilityName>
      <candidateList>
        <item>(</item>
      </candidateList>
      <explain>文本全半角错误。</explain>
      <paraID>76AB6F63</paraID>
      <start>0</start>
      <end>1</end>
      <status>unmodified</status>
      <modifiedWord/>
      <trackRevisions>false</trackRevisions>
    </reviewItem>
    <reviewItem>
      <errorID>46da78e1-e043-464b-8077-53e7658c95d8</errorID>
      <errorWord>）</errorWord>
      <group>L1_Format</group>
      <groupName>格式问题</groupName>
      <ability>L2_HalfPunc</ability>
      <abilityName>全半角检查</abilityName>
      <candidateList>
        <item>)</item>
      </candidateList>
      <explain>文本全半角错误。</explain>
      <paraID>76AB6F63</paraID>
      <start>4</start>
      <end>5</end>
      <status>unmodified</status>
      <modifiedWord/>
      <trackRevisions>false</trackRevisions>
    </reviewItem>
    <reviewItem>
      <errorID>43264b4e-6b4d-4869-a7d2-e7d3e90ecbe9</errorID>
      <errorWord>铃铛</errorWord>
      <group>L1_Word</group>
      <groupName>字词问题</groupName>
      <ability>L2_Typo</ability>
      <abilityName>字词错误</abilityName>
      <candidateList>
        <item>铃</item>
      </candidateList>
      <explain/>
      <paraID>30FCE3DC</paraID>
      <start>90</start>
      <end>92</end>
      <status>unmodified</status>
      <modifiedWord/>
      <trackRevisions>false</trackRevisions>
    </reviewItem>
    <reviewItem>
      <errorID>06e5e165-6c35-4925-baff-1af8462100fc</errorID>
      <errorWord>：</errorWord>
      <group>L1_Format</group>
      <groupName>格式问题</groupName>
      <ability>L2_HalfPunc</ability>
      <abilityName>全半角检查</abilityName>
      <candidateList>
        <item>:</item>
      </candidateList>
      <explain>文本全半角错误。</explain>
      <paraID>30FCE3DC</paraID>
      <start>262</start>
      <end>263</end>
      <status>unmodified</status>
      <modifiedWord/>
      <trackRevisions>false</trackRevisions>
    </reviewItem>
    <reviewItem>
      <errorID>bb72213f-a9b6-4386-96ed-032dd4be90ae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773D6F77</paraID>
      <start>200</start>
      <end>201</end>
      <status>unmodified</status>
      <modifiedWord/>
      <trackRevisions>false</trackRevisions>
    </reviewItem>
    <reviewItem>
      <errorID>5b162743-b5d4-483c-97f0-ef9c6e511b08</errorID>
      <errorWord>海拔高度</errorWord>
      <group>L1_Word</group>
      <groupName>字词问题</groupName>
      <ability>L2_Typo</ability>
      <abilityName>字词错误</abilityName>
      <candidateList>
        <item>海拔</item>
      </candidateList>
      <explain>〈名〉从平均海平面起算的高度。</explain>
      <paraID>34AE3FEB</paraID>
      <start>5</start>
      <end>9</end>
      <status>unmodified</status>
      <modifiedWord/>
      <trackRevisions>false</trackRevisions>
    </reviewItem>
    <reviewItem>
      <errorID>e0f6df81-f132-4ed2-9efb-e09f49c5e78b</errorID>
      <errorWord>海拔高度</errorWord>
      <group>L1_Word</group>
      <groupName>字词问题</groupName>
      <ability>L2_Typo</ability>
      <abilityName>字词错误</abilityName>
      <candidateList>
        <item>海拔</item>
      </candidateList>
      <explain>〈名〉从平均海平面起算的高度。</explain>
      <paraID>314C10F4</paraID>
      <start>2</start>
      <end>6</end>
      <status>unmodified</status>
      <modifiedWord/>
      <trackRevisions>false</trackRevisions>
    </reviewItem>
    <reviewItem>
      <errorID>190f59ba-daa4-46f6-948a-2f2bcf050a68</errorID>
      <errorWord>(</errorWord>
      <group>L1_Format</group>
      <groupName>格式问题</groupName>
      <ability>L2_HalfPunc</ability>
      <abilityName>全半角检查</abilityName>
      <candidateList>
        <item>（</item>
      </candidateList>
      <explain>文本全半角错误。</explain>
      <paraID>70523CDA</paraID>
      <start>22</start>
      <end>23</end>
      <status>unmodified</status>
      <modifiedWord/>
      <trackRevisions>false</trackRevisions>
    </reviewItem>
    <reviewItem>
      <errorID>88fd621f-5844-4a94-995d-b967810c2909</errorID>
      <errorWord>)</errorWord>
      <group>L1_Format</group>
      <groupName>格式问题</groupName>
      <ability>L2_HalfPunc</ability>
      <abilityName>全半角检查</abilityName>
      <candidateList>
        <item>）</item>
      </candidateList>
      <explain>文本全半角错误。</explain>
      <paraID>70523CDA</paraID>
      <start>33</start>
      <end>34</end>
      <status>unmodified</status>
      <modifiedWord/>
      <trackRevisions>false</trackRevisions>
    </reviewItem>
    <reviewItem>
      <errorID>f2f305e9-7ee3-492c-804e-4621716b28c8</errorID>
      <errorWord>)</errorWord>
      <group>L1_Format</group>
      <groupName>格式问题</groupName>
      <ability>L2_HalfPunc</ability>
      <abilityName>全半角检查</abilityName>
      <candidateList>
        <item>）</item>
      </candidateList>
      <explain>文本全半角错误。</explain>
      <paraID> 4EBAC86</paraID>
      <start>66</start>
      <end>67</end>
      <status>unmodified</status>
      <modifiedWord/>
      <trackRevisions>false</trackRevisions>
    </reviewItem>
    <reviewItem>
      <errorID>94ee330c-16a3-49eb-9bff-59ac8e02a657</errorID>
      <errorWord>(</errorWord>
      <group>L1_Format</group>
      <groupName>格式问题</groupName>
      <ability>L2_HalfPunc</ability>
      <abilityName>全半角检查</abilityName>
      <candidateList>
        <item>（</item>
      </candidateList>
      <explain>文本全半角错误。</explain>
      <paraID>2FF45D4E</paraID>
      <start>3</start>
      <end>4</end>
      <status>unmodified</status>
      <modifiedWord/>
      <trackRevisions>false</trackRevisions>
    </reviewItem>
    <reviewItem>
      <errorID>0353ec85-7ad0-4a24-b86b-affe312fd226</errorID>
      <errorWord>)</errorWord>
      <group>L1_Format</group>
      <groupName>格式问题</groupName>
      <ability>L2_HalfPunc</ability>
      <abilityName>全半角检查</abilityName>
      <candidateList>
        <item>）</item>
      </candidateList>
      <explain>文本全半角错误。</explain>
      <paraID>2FF45D4E</paraID>
      <start>7</start>
      <end>8</end>
      <status>unmodified</status>
      <modifiedWord/>
      <trackRevisions>false</trackRevisions>
    </reviewItem>
    <reviewItem>
      <errorID>061ac5cf-01dc-4944-bce9-57ee510aee27</errorID>
      <errorWord>（</errorWord>
      <group>L1_Format</group>
      <groupName>格式问题</groupName>
      <ability>L2_HalfPunc</ability>
      <abilityName>全半角检查</abilityName>
      <candidateList>
        <item>(</item>
      </candidateList>
      <explain>文本全半角错误。</explain>
      <paraID>44768F0E</paraID>
      <start>4</start>
      <end>5</end>
      <status>unmodified</status>
      <modifiedWord/>
      <trackRevisions>false</trackRevisions>
    </reviewItem>
    <reviewItem>
      <errorID>4efefe60-aeb3-4e5b-b9b4-6d45fd87dcf3</errorID>
      <errorWord>）</errorWord>
      <group>L1_Format</group>
      <groupName>格式问题</groupName>
      <ability>L2_HalfPunc</ability>
      <abilityName>全半角检查</abilityName>
      <candidateList>
        <item>)</item>
      </candidateList>
      <explain>文本全半角错误。</explain>
      <paraID>44768F0E</paraID>
      <start>7</start>
      <end>8</end>
      <status>unmodified</status>
      <modifiedWord/>
      <trackRevisions>false</trackRevisions>
    </reviewItem>
    <reviewItem>
      <errorID>379e41d3-39b4-4fbe-a20d-1acfc1954686</errorID>
      <errorWord>（</errorWord>
      <group>L1_Format</group>
      <groupName>格式问题</groupName>
      <ability>L2_HalfPunc</ability>
      <abilityName>全半角检查</abilityName>
      <candidateList>
        <item>(</item>
      </candidateList>
      <explain>文本全半角错误。</explain>
      <paraID>619219E3</paraID>
      <start>3</start>
      <end>4</end>
      <status>unmodified</status>
      <modifiedWord/>
      <trackRevisions>false</trackRevisions>
    </reviewItem>
    <reviewItem>
      <errorID>4fbb05e5-1834-4945-8d33-1400f407fa4f</errorID>
      <errorWord>）</errorWord>
      <group>L1_Format</group>
      <groupName>格式问题</groupName>
      <ability>L2_HalfPunc</ability>
      <abilityName>全半角检查</abilityName>
      <candidateList>
        <item>)</item>
      </candidateList>
      <explain>文本全半角错误。</explain>
      <paraID>619219E3</paraID>
      <start>6</start>
      <end>7</end>
      <status>unmodified</status>
      <modifiedWord/>
      <trackRevisions>false</trackRevisions>
    </reviewItem>
    <reviewItem>
      <errorID>03ba1893-dc75-4555-8216-9f002da7fd29</errorID>
      <errorWord>（</errorWord>
      <group>L1_Format</group>
      <groupName>格式问题</groupName>
      <ability>L2_HalfPunc</ability>
      <abilityName>全半角检查</abilityName>
      <candidateList>
        <item>(</item>
      </candidateList>
      <explain>文本全半角错误。</explain>
      <paraID>38F821BD</paraID>
      <start>3</start>
      <end>4</end>
      <status>unmodified</status>
      <modifiedWord/>
      <trackRevisions>false</trackRevisions>
    </reviewItem>
    <reviewItem>
      <errorID>877a9f44-bc2e-499f-b089-cf840de23fa8</errorID>
      <errorWord>）</errorWord>
      <group>L1_Format</group>
      <groupName>格式问题</groupName>
      <ability>L2_HalfPunc</ability>
      <abilityName>全半角检查</abilityName>
      <candidateList>
        <item>)</item>
      </candidateList>
      <explain>文本全半角错误。</explain>
      <paraID>38F821BD</paraID>
      <start>6</start>
      <end>7</end>
      <status>unmodified</status>
      <modifiedWord/>
      <trackRevisions>false</trackRevisions>
    </reviewItem>
    <reviewItem>
      <errorID>bd092f21-1685-4827-a31f-4ae954b1d438</errorID>
      <errorWord>、</errorWord>
      <group>L1_Punc</group>
      <groupName>标点问题</groupName>
      <ability>L2_Punc</ability>
      <abilityName>标点符号检查</abilityName>
      <candidateList>
        <item>.</item>
      </candidateList>
      <explain/>
      <paraID> E7D93F3</paraID>
      <start>1</start>
      <end>2</end>
      <status>unmodified</status>
      <modifiedWord/>
      <trackRevisions>false</trackRevisions>
    </reviewItem>
    <reviewItem>
      <errorID>980aca77-07f0-4cea-a040-440534679f90</errorID>
      <errorWord>（</errorWord>
      <group>L1_Format</group>
      <groupName>格式问题</groupName>
      <ability>L2_HalfPunc</ability>
      <abilityName>全半角检查</abilityName>
      <candidateList>
        <item>(</item>
      </candidateList>
      <explain>文本全半角错误。</explain>
      <paraID>3F5FD0C0</paraID>
      <start>3</start>
      <end>4</end>
      <status>unmodified</status>
      <modifiedWord/>
      <trackRevisions>false</trackRevisions>
    </reviewItem>
    <reviewItem>
      <errorID>57f2d0c7-e8af-441f-90f1-6f583ab9509e</errorID>
      <errorWord>）</errorWord>
      <group>L1_Format</group>
      <groupName>格式问题</groupName>
      <ability>L2_HalfPunc</ability>
      <abilityName>全半角检查</abilityName>
      <candidateList>
        <item>)</item>
      </candidateList>
      <explain>文本全半角错误。</explain>
      <paraID>3F5FD0C0</paraID>
      <start>6</start>
      <end>7</end>
      <status>unmodified</status>
      <modifiedWord/>
      <trackRevisions>false</trackRevisions>
    </reviewItem>
    <reviewItem>
      <errorID>e4d204c9-7ee6-45d9-81a7-fb272e3ad640</errorID>
      <errorWord>、</errorWord>
      <group>L1_Punc</group>
      <groupName>标点问题</groupName>
      <ability>L2_Punc</ability>
      <abilityName>标点符号检查</abilityName>
      <candidateList>
        <item>.</item>
      </candidateList>
      <explain/>
      <paraID>3F25BB02</paraID>
      <start>1</start>
      <end>2</end>
      <status>unmodified</status>
      <modifiedWord/>
      <trackRevisions>false</trackRevisions>
    </reviewItem>
    <reviewItem>
      <errorID>55272464-ad2f-4f73-817b-cd80f343c26c</errorID>
      <errorWord>、</errorWord>
      <group>L1_Punc</group>
      <groupName>标点问题</groupName>
      <ability>L2_Punc</ability>
      <abilityName>标点符号检查</abilityName>
      <candidateList>
        <item>.</item>
      </candidateList>
      <explain/>
      <paraID>7F5EC5AD</paraID>
      <start>1</start>
      <end>2</end>
      <status>unmodified</status>
      <modifiedWord/>
      <trackRevisions>false</trackRevisions>
    </reviewItem>
    <reviewItem>
      <errorID>3bba7a5f-3737-42f8-8eb8-15668ac5a198</errorID>
      <errorWord>（</errorWord>
      <group>L1_Format</group>
      <groupName>格式问题</groupName>
      <ability>L2_HalfPunc</ability>
      <abilityName>全半角检查</abilityName>
      <candidateList>
        <item>(</item>
      </candidateList>
      <explain>文本全半角错误。</explain>
      <paraID>16FC92A3</paraID>
      <start>3</start>
      <end>4</end>
      <status>unmodified</status>
      <modifiedWord/>
      <trackRevisions>false</trackRevisions>
    </reviewItem>
    <reviewItem>
      <errorID>31d7a5f2-40e8-4c89-9f34-bb07a96f8983</errorID>
      <errorWord>）</errorWord>
      <group>L1_Format</group>
      <groupName>格式问题</groupName>
      <ability>L2_HalfPunc</ability>
      <abilityName>全半角检查</abilityName>
      <candidateList>
        <item>)</item>
      </candidateList>
      <explain>文本全半角错误。</explain>
      <paraID>16FC92A3</paraID>
      <start>6</start>
      <end>7</end>
      <status>unmodified</status>
      <modifiedWord/>
      <trackRevisions>false</trackRevisions>
    </reviewItem>
    <reviewItem>
      <errorID>069f55ce-7e75-4fb4-a0e5-c1c918766de7</errorID>
      <errorWord>(</errorWord>
      <group>L1_Format</group>
      <groupName>格式问题</groupName>
      <ability>L2_HalfPunc</ability>
      <abilityName>全半角检查</abilityName>
      <candidateList>
        <item>（</item>
      </candidateList>
      <explain>文本全半角错误。</explain>
      <paraID>76FF73C0</paraID>
      <start>55</start>
      <end>56</end>
      <status>unmodified</status>
      <modifiedWord/>
      <trackRevisions>false</trackRevisions>
    </reviewItem>
    <reviewItem>
      <errorID>fc098bdc-93ce-4484-93e2-e19e8eb04155</errorID>
      <errorWord>)</errorWord>
      <group>L1_Format</group>
      <groupName>格式问题</groupName>
      <ability>L2_HalfPunc</ability>
      <abilityName>全半角检查</abilityName>
      <candidateList>
        <item>）</item>
      </candidateList>
      <explain>文本全半角错误。</explain>
      <paraID>76FF73C0</paraID>
      <start>68</start>
      <end>69</end>
      <status>unmodified</status>
      <modifiedWord/>
      <trackRevisions>false</trackRevisions>
    </reviewItem>
    <reviewItem>
      <errorID>5905f13e-b895-4616-a302-58c5e5aefa29</errorID>
      <errorWord>(</errorWord>
      <group>L1_Format</group>
      <groupName>格式问题</groupName>
      <ability>L2_HalfPunc</ability>
      <abilityName>全半角检查</abilityName>
      <candidateList>
        <item>（</item>
      </candidateList>
      <explain>文本全半角错误。</explain>
      <paraID>76FF73C0</paraID>
      <start>84</start>
      <end>85</end>
      <status>unmodified</status>
      <modifiedWord/>
      <trackRevisions>false</trackRevisions>
    </reviewItem>
    <reviewItem>
      <errorID>cd029580-cefd-4c6e-855c-a7f14ed6060c</errorID>
      <errorWord>)</errorWord>
      <group>L1_Format</group>
      <groupName>格式问题</groupName>
      <ability>L2_HalfPunc</ability>
      <abilityName>全半角检查</abilityName>
      <candidateList>
        <item>）</item>
      </candidateList>
      <explain>文本全半角错误。</explain>
      <paraID>76FF73C0</paraID>
      <start>97</start>
      <end>98</end>
      <status>unmodified</status>
      <modifiedWord/>
      <trackRevisions>false</trackRevisions>
    </reviewItem>
    <reviewItem>
      <errorID>3f13ba2b-c2bd-4e89-9477-d6efd35a4be2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7F06AB8A</paraID>
      <start>0</start>
      <end>2</end>
      <status>unmodified</status>
      <modifiedWord/>
      <trackRevisions>false</trackRevisions>
    </reviewItem>
    <reviewItem>
      <errorID>8fe49995-759c-4c1f-9aa9-d4e409396d5f</errorID>
      <errorWord>(</errorWord>
      <group>L1_Format</group>
      <groupName>格式问题</groupName>
      <ability>L2_HalfPunc</ability>
      <abilityName>全半角检查</abilityName>
      <candidateList>
        <item>（</item>
      </candidateList>
      <explain>文本全半角错误。</explain>
      <paraID>7C609174</paraID>
      <start>34</start>
      <end>35</end>
      <status>unmodified</status>
      <modifiedWord/>
      <trackRevisions>false</trackRevisions>
    </reviewItem>
    <reviewItem>
      <errorID>244b9856-0129-4f9f-a71b-77f38ec13360</errorID>
      <errorWord>)</errorWord>
      <group>L1_Format</group>
      <groupName>格式问题</groupName>
      <ability>L2_HalfPunc</ability>
      <abilityName>全半角检查</abilityName>
      <candidateList>
        <item>）</item>
      </candidateList>
      <explain>文本全半角错误。</explain>
      <paraID>7C609174</paraID>
      <start>47</start>
      <end>48</end>
      <status>unmodified</status>
      <modifiedWord/>
      <trackRevisions>false</trackRevisions>
    </reviewItem>
    <reviewItem>
      <errorID>ebd85b27-e1e8-4501-a613-c16cd2a04aec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143923BA</paraID>
      <start>0</start>
      <end>2</end>
      <status>unmodified</status>
      <modifiedWord/>
      <trackRevisions>false</trackRevisions>
    </reviewItem>
    <reviewItem>
      <errorID>451dfb26-2c61-4d9f-a60e-8f1e1f578f9f</errorID>
      <errorWord>（</errorWord>
      <group>L1_Format</group>
      <groupName>格式问题</groupName>
      <ability>L2_HalfPunc</ability>
      <abilityName>全半角检查</abilityName>
      <candidateList>
        <item>(</item>
      </candidateList>
      <explain>文本全半角错误。</explain>
      <paraID>121EBE30</paraID>
      <start>15</start>
      <end>16</end>
      <status>unmodified</status>
      <modifiedWord/>
      <trackRevisions>false</trackRevisions>
    </reviewItem>
    <reviewItem>
      <errorID>ff983c67-a3c4-4691-a5ff-88109aacdb13</errorID>
      <errorWord>）</errorWord>
      <group>L1_Format</group>
      <groupName>格式问题</groupName>
      <ability>L2_HalfPunc</ability>
      <abilityName>全半角检查</abilityName>
      <candidateList>
        <item>)</item>
      </candidateList>
      <explain>文本全半角错误。</explain>
      <paraID>121EBE30</paraID>
      <start>22</start>
      <end>23</end>
      <status>unmodified</status>
      <modifiedWord/>
      <trackRevisions>false</trackRevisions>
    </reviewItem>
    <reviewItem>
      <errorID>140d1dc3-1f7a-4608-bc0e-6f69f045a3a5</errorID>
      <errorWord>,</errorWord>
      <group>L1_Format</group>
      <groupName>格式问题</groupName>
      <ability>L2_HalfPunc</ability>
      <abilityName>全半角检查</abilityName>
      <candidateList>
        <item>，</item>
      </candidateList>
      <explain>文本全半角错误。</explain>
      <paraID>310F080C</paraID>
      <start>29</start>
      <end>30</end>
      <status>unmodified</status>
      <modifiedWord/>
      <trackRevisions>false</trackRevisions>
    </reviewItem>
    <reviewItem>
      <errorID>5d6bfb45-f267-4af1-84b9-197a989ed9e2</errorID>
      <errorWord>＋</errorWord>
      <group>L1_Format</group>
      <groupName>格式问题</groupName>
      <ability>L2_HalfPunc</ability>
      <abilityName>全半角检查</abilityName>
      <candidateList>
        <item>+</item>
      </candidateList>
      <explain>文本全半角错误。</explain>
      <paraID> 5FBD462</paraID>
      <start>4</start>
      <end>5</end>
      <status>unmodified</status>
      <modifiedWord/>
      <trackRevisions>false</trackRevisions>
    </reviewItem>
    <reviewItem>
      <errorID>925e4e7b-eac1-42ee-8218-134cb5cc1f2f</errorID>
      <errorWord>)</errorWord>
      <group>L1_Format</group>
      <groupName>格式问题</groupName>
      <ability>L2_HalfPunc</ability>
      <abilityName>全半角检查</abilityName>
      <candidateList>
        <item>）</item>
      </candidateList>
      <explain>文本全半角错误。</explain>
      <paraID>5D777484</paraID>
      <start>33</start>
      <end>34</end>
      <status>unmodified</status>
      <modifiedWord/>
      <trackRevisions>false</trackRevisions>
    </reviewItem>
    <reviewItem>
      <errorID>2fb6ea7d-7acb-4041-9b54-c51687366a40</errorID>
      <errorWord>16一年</errorWord>
      <group>L1_Knowledge</group>
      <groupName>知识性问题</groupName>
      <ability>L2_Time</ability>
      <abilityName>日期时间</abilityName>
      <candidateList/>
      <explain>数字形式不统一。</explain>
      <paraID>53E5BA52</paraID>
      <start>5</start>
      <end>9</end>
      <status>unmodified</status>
      <modifiedWord/>
      <trackRevisions>false</trackRevisions>
    </reviewItem>
    <reviewItem>
      <errorID>3307a050-08f3-46d6-8b88-b0ecf25cd90f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38867AC7</paraID>
      <start>7</start>
      <end>8</end>
      <status>unmodified</status>
      <modifiedWord/>
      <trackRevisions>false</trackRevisions>
    </reviewItem>
    <reviewItem>
      <errorID>b24da05a-84e3-45aa-9fba-cfcc7085a8c0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6F8BEDC2</paraID>
      <start>7</start>
      <end>8</end>
      <status>unmodified</status>
      <modifiedWord/>
      <trackRevisions>false</trackRevisions>
    </reviewItem>
    <reviewItem>
      <errorID>b98a6ffd-d1a6-4c13-a59b-d6eab8e1a93c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1A9812F3</paraID>
      <start>0</start>
      <end>2</end>
      <status>unmodified</status>
      <modifiedWord/>
      <trackRevisions>false</trackRevisions>
    </reviewItem>
    <reviewItem>
      <errorID>c2886e28-ab19-4895-9442-4203528ac847</errorID>
      <errorWord>-</errorWord>
      <group>L1_Format</group>
      <groupName>格式问题</groupName>
      <ability>L2_HalfPunc</ability>
      <abilityName>全半角检查</abilityName>
      <candidateList>
        <item>－</item>
      </candidateList>
      <explain>文本全半角错误。</explain>
      <paraID>1BA8F203</paraID>
      <start>3</start>
      <end>4</end>
      <status>unmodified</status>
      <modifiedWord/>
      <trackRevisions>false</trackRevisions>
    </reviewItem>
    <reviewItem>
      <errorID>cf496a25-c3cf-4ed7-8ca6-b318ce72fb45</errorID>
      <errorWord>-</errorWord>
      <group>L1_Format</group>
      <groupName>格式问题</groupName>
      <ability>L2_HalfPunc</ability>
      <abilityName>全半角检查</abilityName>
      <candidateList>
        <item>－</item>
      </candidateList>
      <explain>文本全半角错误。</explain>
      <paraID>451712E1</paraID>
      <start>1</start>
      <end>2</end>
      <status>unmodified</status>
      <modifiedWord/>
      <trackRevisions>false</trackRevisions>
    </reviewItem>
    <reviewItem>
      <errorID>53fad4bd-47ac-43c8-9b8f-79ede6baf3fe</errorID>
      <errorWord>-</errorWord>
      <group>L1_Format</group>
      <groupName>格式问题</groupName>
      <ability>L2_HalfPunc</ability>
      <abilityName>全半角检查</abilityName>
      <candidateList>
        <item>－</item>
      </candidateList>
      <explain>文本全半角错误。</explain>
      <paraID> 362C60D</paraID>
      <start>1</start>
      <end>2</end>
      <status>unmodified</status>
      <modifiedWord/>
      <trackRevisions>false</trackRevisions>
    </reviewItem>
    <reviewItem>
      <errorID>62d7dad1-7cb7-48de-aeb6-800c75ffd089</errorID>
      <errorWord>~</errorWord>
      <group>L1_Format</group>
      <groupName>格式问题</groupName>
      <ability>L2_HalfPunc</ability>
      <abilityName>全半角检查</abilityName>
      <candidateList>
        <item>～</item>
      </candidateList>
      <explain>文本全半角错误。</explain>
      <paraID> 362C60D</paraID>
      <start>17</start>
      <end>18</end>
      <status>unmodified</status>
      <modifiedWord/>
      <trackRevisions>false</trackRevisions>
    </reviewItem>
    <reviewItem>
      <errorID>0f0700e0-82d2-4c8d-a7f4-97be3534b7a0</errorID>
      <errorWord>~</errorWord>
      <group>L1_Format</group>
      <groupName>格式问题</groupName>
      <ability>L2_HalfPunc</ability>
      <abilityName>全半角检查</abilityName>
      <candidateList>
        <item>～</item>
      </candidateList>
      <explain>文本全半角错误。</explain>
      <paraID> 362C60D</paraID>
      <start>29</start>
      <end>30</end>
      <status>unmodified</status>
      <modifiedWord/>
      <trackRevisions>false</trackRevisions>
    </reviewItem>
    <reviewItem>
      <errorID>4dcc0259-7d76-47ca-b76e-e07da3a24d27</errorID>
      <errorWord>~</errorWord>
      <group>L1_Format</group>
      <groupName>格式问题</groupName>
      <ability>L2_HalfPunc</ability>
      <abilityName>全半角检查</abilityName>
      <candidateList>
        <item>～</item>
      </candidateList>
      <explain>文本全半角错误。</explain>
      <paraID> 362C60D</paraID>
      <start>41</start>
      <end>42</end>
      <status>unmodified</status>
      <modifiedWord/>
      <trackRevisions>false</trackRevisions>
    </reviewItem>
    <reviewItem>
      <errorID>29d001fa-6d15-4297-ad0f-e8dd8663c780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2DB51771</paraID>
      <start>22</start>
      <end>23</end>
      <status>unmodified</status>
      <modifiedWord/>
      <trackRevisions>false</trackRevisions>
    </reviewItem>
    <reviewItem>
      <errorID>6922bd15-932c-479f-951e-122ffd7b75af</errorID>
      <errorWord>-</errorWord>
      <group>L1_Format</group>
      <groupName>格式问题</groupName>
      <ability>L2_HalfPunc</ability>
      <abilityName>全半角检查</abilityName>
      <candidateList>
        <item>－</item>
      </candidateList>
      <explain>文本全半角错误。</explain>
      <paraID>1051D825</paraID>
      <start>50</start>
      <end>51</end>
      <status>unmodified</status>
      <modifiedWord/>
      <trackRevisions>false</trackRevisions>
    </reviewItem>
    <reviewItem>
      <errorID>143a853b-f274-43ab-adc3-12b56553db5c</errorID>
      <errorWord>:</errorWord>
      <group>L1_Format</group>
      <groupName>格式问题</groupName>
      <ability>L2_HalfPunc</ability>
      <abilityName>全半角检查</abilityName>
      <candidateList>
        <item>：</item>
      </candidateList>
      <explain>文本全半角错误。</explain>
      <paraID>565786B3</paraID>
      <start>33</start>
      <end>34</end>
      <status>unmodified</status>
      <modifiedWord/>
      <trackRevisions>false</trackRevisions>
    </reviewItem>
    <reviewItem>
      <errorID>bda06a55-6f42-4946-93e3-ea0d84d5f5f8</errorID>
      <errorWord>(</errorWord>
      <group>L1_Format</group>
      <groupName>格式问题</groupName>
      <ability>L2_HalfPunc</ability>
      <abilityName>全半角检查</abilityName>
      <candidateList>
        <item>（</item>
      </candidateList>
      <explain>文本全半角错误。</explain>
      <paraID>4161EFC2</paraID>
      <start>9</start>
      <end>10</end>
      <status>unmodified</status>
      <modifiedWord/>
      <trackRevisions>false</trackRevisions>
    </reviewItem>
    <reviewItem>
      <errorID>d2f3e175-9394-457e-8d15-4da3bb1dee80</errorID>
      <errorWord>)</errorWord>
      <group>L1_Format</group>
      <groupName>格式问题</groupName>
      <ability>L2_HalfPunc</ability>
      <abilityName>全半角检查</abilityName>
      <candidateList>
        <item>）</item>
      </candidateList>
      <explain>文本全半角错误。</explain>
      <paraID>4161EFC2</paraID>
      <start>28</start>
      <end>29</end>
      <status>unmodified</status>
      <modifiedWord/>
      <trackRevisions>false</trackRevisions>
    </reviewItem>
    <reviewItem>
      <errorID>73f3a413-cffa-4138-9a3c-57b95a5bfcd5</errorID>
      <errorWord>(</errorWord>
      <group>L1_Format</group>
      <groupName>格式问题</groupName>
      <ability>L2_HalfPunc</ability>
      <abilityName>全半角检查</abilityName>
      <candidateList>
        <item>（</item>
      </candidateList>
      <explain>文本全半角错误。</explain>
      <paraID>2F3425CA</paraID>
      <start>11</start>
      <end>12</end>
      <status>unmodified</status>
      <modifiedWord/>
      <trackRevisions>false</trackRevisions>
    </reviewItem>
    <reviewItem>
      <errorID>b9e9ffc4-bea2-492c-b253-8a5f43a4a21a</errorID>
      <errorWord>)</errorWord>
      <group>L1_Format</group>
      <groupName>格式问题</groupName>
      <ability>L2_HalfPunc</ability>
      <abilityName>全半角检查</abilityName>
      <candidateList>
        <item>）</item>
      </candidateList>
      <explain>文本全半角错误。</explain>
      <paraID>2F3425CA</paraID>
      <start>31</start>
      <end>32</end>
      <status>unmodified</status>
      <modifiedWord/>
      <trackRevisions>false</trackRevisions>
    </reviewItem>
    <reviewItem>
      <errorID>00a94e56-1d7f-4b24-9b46-757bda87639f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7898B1DA</paraID>
      <start>59</start>
      <end>60</end>
      <status>unmodified</status>
      <modifiedWord/>
      <trackRevisions>false</trackRevisions>
    </reviewItem>
    <reviewItem>
      <errorID>de246d69-bc76-47ed-99fe-a4ac32773e2b</errorID>
      <errorWord>涉及到</errorWord>
      <group>L1_Grammar</group>
      <groupName>语法问题</groupName>
      <ability>L2_Grammar</ability>
      <abilityName>语法错误</abilityName>
      <candidateList>
        <item>涉及</item>
      </candidateList>
      <explain>〈动〉牵涉到；关联到：案子～好几个人｜这个问题～面很广。</explain>
      <paraID>12A6E5AA</paraID>
      <start>107</start>
      <end>110</end>
      <status>unmodified</status>
      <modifiedWord/>
      <trackRevisions>false</trackRevisions>
    </reviewItem>
    <reviewItem>
      <errorID>50eaefb3-bc57-4b8a-879f-38ac733b5a7e</errorID>
      <errorWord>见</errorWord>
      <group>L1_Word</group>
      <groupName>字词问题</groupName>
      <ability>L2_Typo</ability>
      <abilityName>字词错误</abilityName>
      <candidateList>
        <item>见下</item>
      </candidateList>
      <explain/>
      <paraID>5D9666C1</paraID>
      <start>131</start>
      <end>132</end>
      <status>unmodified</status>
      <modifiedWord/>
      <trackRevisions>false</trackRevisions>
    </reviewItem>
    <reviewItem>
      <errorID>202356f6-cb9f-4dfd-b7f8-6b2ed6edb8a0</errorID>
      <errorWord>雨水中</errorWord>
      <group>L1_Word</group>
      <groupName>字词问题</groupName>
      <ability>L2_Typo</ability>
      <abilityName>字词错误</abilityName>
      <candidateList>
        <item>雨水</item>
      </candidateList>
      <explain/>
      <paraID>64FB0C5E</paraID>
      <start>33</start>
      <end>35</end>
      <status>modified</status>
      <modifiedWord>雨水</modifiedWord>
      <trackRevisions>false</trackRevisions>
    </reviewItem>
    <reviewItem>
      <errorID>31595ae8-a730-494b-a888-5c02b2254ec6</errorID>
      <errorWord>,</errorWord>
      <group>L1_Format</group>
      <groupName>格式问题</groupName>
      <ability>L2_HalfPunc</ability>
      <abilityName>全半角检查</abilityName>
      <candidateList>
        <item>，</item>
      </candidateList>
      <explain>文本全半角错误。</explain>
      <paraID>5E3F2CBB</paraID>
      <start>12</start>
      <end>13</end>
      <status>unmodified</status>
      <modifiedWord/>
      <trackRevisions>false</trackRevisions>
    </reviewItem>
    <reviewItem>
      <errorID>94ab23eb-97e3-45dc-9141-8dfce4cb1acd</errorID>
      <errorWord>雨水中</errorWord>
      <group>L1_Word</group>
      <groupName>字词问题</groupName>
      <ability>L2_Typo</ability>
      <abilityName>字词错误</abilityName>
      <candidateList>
        <item>雨水</item>
      </candidateList>
      <explain/>
      <paraID>536E6615</paraID>
      <start>33</start>
      <end>35</end>
      <status>modified</status>
      <modifiedWord>雨水</modifiedWord>
      <trackRevisions>false</trackRevisions>
    </reviewItem>
    <reviewItem>
      <errorID>65934b3f-8787-4e88-957b-03b0d14d95df</errorID>
      <errorWord>,</errorWord>
      <group>L1_Format</group>
      <groupName>格式问题</groupName>
      <ability>L2_HalfPunc</ability>
      <abilityName>全半角检查</abilityName>
      <candidateList>
        <item>，</item>
      </candidateList>
      <explain>文本全半角错误。</explain>
      <paraID>62A68379</paraID>
      <start>12</start>
      <end>13</end>
      <status>unmodified</status>
      <modifiedWord/>
      <trackRevisions>false</trackRevisions>
    </reviewItem>
    <reviewItem>
      <errorID>c0f6c0f4-b8b3-487d-b4b7-0eb9bfef8607</errorID>
      <errorWord>其它</errorWord>
      <group>L1_Word</group>
      <groupName>字词问题</groupName>
      <ability>L2_Alias</ability>
      <abilityName>也作/曾用词</abilityName>
      <candidateList>
        <item>其他</item>
      </candidateList>
      <explain>词汇[其它]为不规范表述或旧称，其规范书面表述为[其他]。</explain>
      <paraID>641ACD02</paraID>
      <start>164</start>
      <end>166</end>
      <status>unmodified</status>
      <modifiedWord/>
      <trackRevisions>false</trackRevisions>
    </reviewItem>
    <reviewItem>
      <errorID>3bd1db8b-135a-4499-8933-f56c216983c6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743E2A1B</paraID>
      <start>0</start>
      <end>2</end>
      <status>unmodified</status>
      <modifiedWord/>
      <trackRevisions>false</trackRevisions>
    </reviewItem>
    <reviewItem>
      <errorID>2cf33224-9544-45e9-8e9b-d18ece5588ce</errorID>
      <errorWord>器</errorWord>
      <group>L1_Word</group>
      <groupName>字词问题</groupName>
      <ability>L2_Typo</ability>
      <abilityName>字词错误</abilityName>
      <candidateList>
        <item>器完</item>
      </candidateList>
      <explain/>
      <paraID>743E2A1B</paraID>
      <start>12</start>
      <end>14</end>
      <status>modified</status>
      <modifiedWord>器完</modifiedWord>
      <trackRevisions>false</trackRevisions>
    </reviewItem>
    <reviewItem>
      <errorID>c1653795-f925-4157-ad06-992653e2cf87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6DE19F5</paraID>
      <start>0</start>
      <end>2</end>
      <status>unmodified</status>
      <modifiedWord/>
      <trackRevisions>false</trackRevisions>
    </reviewItem>
    <reviewItem>
      <errorID>e89c7c3f-ae0c-4e48-8a45-53f2fb6a48c5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6B307E23</paraID>
      <start>0</start>
      <end>2</end>
      <status>unmodified</status>
      <modifiedWord/>
      <trackRevisions>false</trackRevisions>
    </reviewItem>
    <reviewItem>
      <errorID>67e8b3dd-9888-4453-9a24-a4f61dcc38e9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FA5B5D8</paraID>
      <start>0</start>
      <end>2</end>
      <status>unmodified</status>
      <modifiedWord/>
      <trackRevisions>false</trackRevisions>
    </reviewItem>
    <reviewItem>
      <errorID>9deab41a-53f1-471a-a997-f78de3cf395c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539C69B9</paraID>
      <start>0</start>
      <end>3</end>
      <status>unmodified</status>
      <modifiedWord/>
      <trackRevisions>false</trackRevisions>
    </reviewItem>
    <reviewItem>
      <errorID>0558f146-db66-49ea-a907-3ba7f090d4f6</errorID>
      <errorWord>(</errorWord>
      <group>L1_Format</group>
      <groupName>格式问题</groupName>
      <ability>L2_HalfPunc</ability>
      <abilityName>全半角检查</abilityName>
      <candidateList>
        <item>（</item>
      </candidateList>
      <explain>文本全半角错误。</explain>
      <paraID>452348BB</paraID>
      <start>18</start>
      <end>19</end>
      <status>unmodified</status>
      <modifiedWord/>
      <trackRevisions>false</trackRevisions>
    </reviewItem>
    <reviewItem>
      <errorID>a50c6cc8-e7bc-4033-a39f-27126617cae9</errorID>
      <errorWord>)</errorWord>
      <group>L1_Format</group>
      <groupName>格式问题</groupName>
      <ability>L2_HalfPunc</ability>
      <abilityName>全半角检查</abilityName>
      <candidateList>
        <item>）</item>
      </candidateList>
      <explain>文本全半角错误。</explain>
      <paraID>452348BB</paraID>
      <start>29</start>
      <end>30</end>
      <status>unmodified</status>
      <modifiedWord/>
      <trackRevisions>false</trackRevisions>
    </reviewItem>
    <reviewItem>
      <errorID>9ee3745b-acd1-4cdb-81bb-76c30402b4c6</errorID>
      <errorWord>程</errorWord>
      <group>L1_Word</group>
      <groupName>字词问题</groupName>
      <ability>L2_Typo</ability>
      <abilityName>字词错误</abilityName>
      <candidateList>
        <item>程中</item>
      </candidateList>
      <explain/>
      <paraID>4205B895</paraID>
      <start>14</start>
      <end>15</end>
      <status>unmodified</status>
      <modifiedWord/>
      <trackRevisions>false</trackRevisions>
    </reviewItem>
    <reviewItem>
      <errorID>986b8a02-12ec-460d-a373-1b7739d1888c</errorID>
      <errorWord>雨水中</errorWord>
      <group>L1_Word</group>
      <groupName>字词问题</groupName>
      <ability>L2_Typo</ability>
      <abilityName>字词错误</abilityName>
      <candidateList>
        <item>雨水</item>
      </candidateList>
      <explain/>
      <paraID>494FFF81</paraID>
      <start>83</start>
      <end>85</end>
      <status>modified</status>
      <modifiedWord>雨水</modifiedWord>
      <trackRevisions>false</trackRevisions>
    </reviewItem>
    <reviewItem>
      <errorID>16458306-810d-4b5b-ad74-e67e0146053d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59D6578D</paraID>
      <start>0</start>
      <end>2</end>
      <status>unmodified</status>
      <modifiedWord/>
      <trackRevisions>false</trackRevisions>
    </reviewItem>
    <reviewItem>
      <errorID>7c27d736-dce6-4744-a16e-7260e4965f04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22005E6E</paraID>
      <start>0</start>
      <end>2</end>
      <status>unmodified</status>
      <modifiedWord/>
      <trackRevisions>false</trackRevisions>
    </reviewItem>
    <reviewItem>
      <errorID>713fa30c-9fd3-42a5-b099-8e74390a89e1</errorID>
      <errorWord>(</errorWord>
      <group>L1_Format</group>
      <groupName>格式问题</groupName>
      <ability>L2_HalfPunc</ability>
      <abilityName>全半角检查</abilityName>
      <candidateList>
        <item>（</item>
      </candidateList>
      <explain>文本全半角错误。</explain>
      <paraID> 63373FC</paraID>
      <start>35</start>
      <end>36</end>
      <status>unmodified</status>
      <modifiedWord/>
      <trackRevisions>false</trackRevisions>
    </reviewItem>
    <reviewItem>
      <errorID>6560923e-8208-4e70-a172-04cde656b0c3</errorID>
      <errorWord>)</errorWord>
      <group>L1_Format</group>
      <groupName>格式问题</groupName>
      <ability>L2_HalfPunc</ability>
      <abilityName>全半角检查</abilityName>
      <candidateList>
        <item>）</item>
      </candidateList>
      <explain>文本全半角错误。</explain>
      <paraID> 63373FC</paraID>
      <start>48</start>
      <end>49</end>
      <status>unmodified</status>
      <modifiedWord/>
      <trackRevisions>false</trackRevisions>
    </reviewItem>
    <reviewItem>
      <errorID>ed191d64-af78-4e0c-88b5-9d87512113a2</errorID>
      <errorWord>(</errorWord>
      <group>L1_Format</group>
      <groupName>格式问题</groupName>
      <ability>L2_HalfPunc</ability>
      <abilityName>全半角检查</abilityName>
      <candidateList>
        <item>（</item>
      </candidateList>
      <explain>文本全半角错误。</explain>
      <paraID> 8F384F6</paraID>
      <start>2</start>
      <end>3</end>
      <status>unmodified</status>
      <modifiedWord/>
      <trackRevisions>false</trackRevisions>
    </reviewItem>
    <reviewItem>
      <errorID>ce9e5ef9-9562-49de-9835-bafe6d325af0</errorID>
      <errorWord>)</errorWord>
      <group>L1_Format</group>
      <groupName>格式问题</groupName>
      <ability>L2_HalfPunc</ability>
      <abilityName>全半角检查</abilityName>
      <candidateList>
        <item>）</item>
      </candidateList>
      <explain>文本全半角错误。</explain>
      <paraID> 8F384F6</paraID>
      <start>11</start>
      <end>12</end>
      <status>unmodified</status>
      <modifiedWord/>
      <trackRevisions>false</trackRevisions>
    </reviewItem>
    <reviewItem>
      <errorID>b0d15353-80e9-4116-9a74-925d8487039c</errorID>
      <errorWord>,</errorWord>
      <group>L1_Format</group>
      <groupName>格式问题</groupName>
      <ability>L2_HalfPunc</ability>
      <abilityName>全半角检查</abilityName>
      <candidateList>
        <item>，</item>
      </candidateList>
      <explain>文本全半角错误。</explain>
      <paraID> 8F384F6</paraID>
      <start>44</start>
      <end>45</end>
      <status>unmodified</status>
      <modifiedWord/>
      <trackRevisions>false</trackRevisions>
    </reviewItem>
    <reviewItem>
      <errorID>3589931f-8d11-45ee-9536-f183daf08335</errorID>
      <errorWord>-</errorWord>
      <group>L1_Format</group>
      <groupName>格式问题</groupName>
      <ability>L2_HalfPunc</ability>
      <abilityName>全半角检查</abilityName>
      <candidateList>
        <item>－</item>
      </candidateList>
      <explain>文本全半角错误。</explain>
      <paraID> 4E0997E</paraID>
      <start>2</start>
      <end>3</end>
      <status>unmodified</status>
      <modifiedWord/>
      <trackRevisions>false</trackRevisions>
    </reviewItem>
    <reviewItem>
      <errorID>516b9d2e-8330-47f1-a54b-8dc785431329</errorID>
      <errorWord>-</errorWord>
      <group>L1_Format</group>
      <groupName>格式问题</groupName>
      <ability>L2_HalfPunc</ability>
      <abilityName>全半角检查</abilityName>
      <candidateList>
        <item>－</item>
      </candidateList>
      <explain>文本全半角错误。</explain>
      <paraID>6C988073</paraID>
      <start>2</start>
      <end>3</end>
      <status>unmodified</status>
      <modifiedWord/>
      <trackRevisions>false</trackRevisions>
    </reviewItem>
    <reviewItem>
      <errorID>6cab182c-9edb-4a2f-96e2-31cb23480a28</errorID>
      <errorWord>转输</errorWord>
      <group>L1_Word</group>
      <groupName>字词问题</groupName>
      <ability>L2_Typo</ability>
      <abilityName>字词错误</abilityName>
      <candidateList>
        <item>传输</item>
      </candidateList>
      <explain>存在发音相同字词的误用。</explain>
      <paraID>5CA96B53</paraID>
      <start>10</start>
      <end>12</end>
      <status>unmodified</status>
      <modifiedWord/>
      <trackRevisions>false</trackRevisions>
    </reviewItem>
    <reviewItem>
      <errorID>2f6b8d78-6e65-445e-9f00-87ac49735cab</errorID>
      <errorWord>(</errorWord>
      <group>L1_Format</group>
      <groupName>格式问题</groupName>
      <ability>L2_HalfPunc</ability>
      <abilityName>全半角检查</abilityName>
      <candidateList>
        <item>（</item>
      </candidateList>
      <explain>文本全半角错误。</explain>
      <paraID>5C169F21</paraID>
      <start>25</start>
      <end>26</end>
      <status>unmodified</status>
      <modifiedWord/>
      <trackRevisions>false</trackRevisions>
    </reviewItem>
    <reviewItem>
      <errorID>17ffce9d-51e6-4eb9-9a5e-5a77e3b0aadf</errorID>
      <errorWord>(</errorWord>
      <group>L1_Punc</group>
      <groupName>标点问题</groupName>
      <ability>L2_Punc</ability>
      <abilityName>标点符号检查</abilityName>
      <candidateList/>
      <explain>同一形式括号套用。</explain>
      <paraID>5C169F21</paraID>
      <start>52</start>
      <end>53</end>
      <status>unmodified</status>
      <modifiedWord/>
      <trackRevisions>false</trackRevisions>
    </reviewItem>
    <reviewItem>
      <errorID>d7374e01-0019-4675-b027-f277fd5e6de8</errorID>
      <errorWord>年平均</errorWord>
      <group>L1_Word</group>
      <groupName>字词问题</groupName>
      <ability>L2_Typo</ability>
      <abilityName>字词错误</abilityName>
      <candidateList>
        <item>平均年</item>
      </candidateList>
      <explain/>
      <paraID>5C169F21</paraID>
      <start>63</start>
      <end>66</end>
      <status>unmodified</status>
      <modifiedWord/>
      <trackRevisions>false</trackRevisions>
    </reviewItem>
    <reviewItem>
      <errorID>88e7b409-0498-43c8-bcd7-3b35dcd32edc</errorID>
      <errorWord>)</errorWord>
      <group>L1_Punc</group>
      <groupName>标点问题</groupName>
      <ability>L2_Punc</ability>
      <abilityName>标点符号检查</abilityName>
      <candidateList/>
      <explain>同一形式括号套用。</explain>
      <paraID>5C169F21</paraID>
      <start>82</start>
      <end>83</end>
      <status>unmodified</status>
      <modifiedWord/>
      <trackRevisions>false</trackRevisions>
    </reviewItem>
    <reviewItem>
      <errorID>e47e021b-5e37-44cc-a396-adf771e6d4c5</errorID>
      <errorWord>)</errorWord>
      <group>L1_Format</group>
      <groupName>格式问题</groupName>
      <ability>L2_HalfPunc</ability>
      <abilityName>全半角检查</abilityName>
      <candidateList>
        <item>）</item>
      </candidateList>
      <explain>文本全半角错误。</explain>
      <paraID>5C169F21</paraID>
      <start>108</start>
      <end>109</end>
      <status>unmodified</status>
      <modifiedWord/>
      <trackRevisions>false</trackRevisions>
    </reviewItem>
    <reviewItem>
      <errorID>8b334f80-969f-4828-a1de-5a9447d50f60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611A70AC</paraID>
      <start>0</start>
      <end>3</end>
      <status>unmodified</status>
      <modifiedWord/>
      <trackRevisions>false</trackRevisions>
    </reviewItem>
    <reviewItem>
      <errorID>a4145dbe-2ce2-4bbd-bcde-2743856cb112</errorID>
      <errorWord>(</errorWord>
      <group>L1_Format</group>
      <groupName>格式问题</groupName>
      <ability>L2_HalfPunc</ability>
      <abilityName>全半角检查</abilityName>
      <candidateList>
        <item>（</item>
      </candidateList>
      <explain>文本全半角错误。</explain>
      <paraID>3CBE7BC6</paraID>
      <start>38</start>
      <end>39</end>
      <status>unmodified</status>
      <modifiedWord/>
      <trackRevisions>false</trackRevisions>
    </reviewItem>
    <reviewItem>
      <errorID>8e6755ea-8209-49ed-8422-afcea1035bc6</errorID>
      <errorWord>)</errorWord>
      <group>L1_Format</group>
      <groupName>格式问题</groupName>
      <ability>L2_HalfPunc</ability>
      <abilityName>全半角检查</abilityName>
      <candidateList>
        <item>）</item>
      </candidateList>
      <explain>文本全半角错误。</explain>
      <paraID>3CBE7BC6</paraID>
      <start>51</start>
      <end>52</end>
      <status>unmodified</status>
      <modifiedWord/>
      <trackRevisions>false</trackRevisions>
    </reviewItem>
    <reviewItem>
      <errorID>93a486e4-e876-43e9-8e94-14f181294ef0</errorID>
      <errorWord>(</errorWord>
      <group>L1_Format</group>
      <groupName>格式问题</groupName>
      <ability>L2_HalfPunc</ability>
      <abilityName>全半角检查</abilityName>
      <candidateList>
        <item>（</item>
      </candidateList>
      <explain>文本全半角错误。</explain>
      <paraID>3CBE7BC6</paraID>
      <start>68</start>
      <end>69</end>
      <status>unmodified</status>
      <modifiedWord/>
      <trackRevisions>false</trackRevisions>
    </reviewItem>
    <reviewItem>
      <errorID>005acbc1-4b6a-41a3-9be4-4bd0394cdb02</errorID>
      <errorWord>)</errorWord>
      <group>L1_Format</group>
      <groupName>格式问题</groupName>
      <ability>L2_HalfPunc</ability>
      <abilityName>全半角检查</abilityName>
      <candidateList>
        <item>）</item>
      </candidateList>
      <explain>文本全半角错误。</explain>
      <paraID>3CBE7BC6</paraID>
      <start>81</start>
      <end>82</end>
      <status>unmodified</status>
      <modifiedWord/>
      <trackRevisions>false</trackRevisions>
    </reviewItem>
    <reviewItem>
      <errorID>fec2ef60-3084-4c14-a8d8-f6b0cabe56f2</errorID>
      <errorWord>配戴</errorWord>
      <group>L1_Word</group>
      <groupName>字词问题</groupName>
      <ability>L2_Alias</ability>
      <abilityName>也作/曾用词</abilityName>
      <candidateList>
        <item>佩戴</item>
      </candidateList>
      <explain>词汇[配戴]为不规范表述或旧称，其规范书面表述为[佩戴]。</explain>
      <paraID>3CBE7BC6</paraID>
      <start>141</start>
      <end>143</end>
      <status>modified</status>
      <modifiedWord>佩戴</modifiedWord>
      <trackRevisions>false</trackRevisions>
    </reviewItem>
    <reviewItem>
      <errorID>06b06292-b668-4eac-a40c-fc944d915a22</errorID>
      <errorWord>(</errorWord>
      <group>L1_Format</group>
      <groupName>格式问题</groupName>
      <ability>L2_HalfPunc</ability>
      <abilityName>全半角检查</abilityName>
      <candidateList>
        <item>（</item>
      </candidateList>
      <explain>文本全半角错误。</explain>
      <paraID> 7D95042</paraID>
      <start>266</start>
      <end>267</end>
      <status>unmodified</status>
      <modifiedWord/>
      <trackRevisions>false</trackRevisions>
    </reviewItem>
    <reviewItem>
      <errorID>d2b7a1b9-1607-431d-a86d-fab4ebada6a4</errorID>
      <errorWord>)</errorWord>
      <group>L1_Format</group>
      <groupName>格式问题</groupName>
      <ability>L2_HalfPunc</ability>
      <abilityName>全半角检查</abilityName>
      <candidateList>
        <item>）</item>
      </candidateList>
      <explain>文本全半角错误。</explain>
      <paraID> 7D95042</paraID>
      <start>279</start>
      <end>280</end>
      <status>unmodified</status>
      <modifiedWord/>
      <trackRevisions>false</trackRevisions>
    </reviewItem>
    <reviewItem>
      <errorID>cdc6b67c-1466-4139-b267-77e0b9ac91d2</errorID>
      <errorWord>连锁</errorWord>
      <group>L1_Word</group>
      <groupName>字词问题</groupName>
      <ability>L2_Typo</ability>
      <abilityName>字词错误</abilityName>
      <candidateList>
        <item>联锁</item>
      </candidateList>
      <explain>存在发音相同字词的误用。</explain>
      <paraID>68C30D30</paraID>
      <start>25</start>
      <end>27</end>
      <status>unmodified</status>
      <modifiedWord/>
      <trackRevisions>false</trackRevisions>
    </reviewItem>
    <reviewItem>
      <errorID>c405e706-b8f5-46c6-a453-95a7a2d3d0ea</errorID>
      <errorWord>;</errorWord>
      <group>L1_Format</group>
      <groupName>格式问题</groupName>
      <ability>L2_HalfPunc</ability>
      <abilityName>全半角检查</abilityName>
      <candidateList>
        <item>；</item>
      </candidateList>
      <explain>文本全半角错误。</explain>
      <paraID> B04B4FD</paraID>
      <start>112</start>
      <end>113</end>
      <status>unmodified</status>
      <modifiedWord/>
      <trackRevisions>false</trackRevisions>
    </reviewItem>
    <reviewItem>
      <errorID>9fa2bc26-47cf-443a-ab94-0cce6efbea6b</errorID>
      <errorWord>(</errorWord>
      <group>L1_Format</group>
      <groupName>格式问题</groupName>
      <ability>L2_HalfPunc</ability>
      <abilityName>全半角检查</abilityName>
      <candidateList>
        <item>（</item>
      </candidateList>
      <explain>文本全半角错误。</explain>
      <paraID>4EDFC635</paraID>
      <start>37</start>
      <end>38</end>
      <status>unmodified</status>
      <modifiedWord/>
      <trackRevisions>false</trackRevisions>
    </reviewItem>
    <reviewItem>
      <errorID>3faf9c94-ba00-45e0-ba28-717808e7a413</errorID>
      <errorWord>)</errorWord>
      <group>L1_Format</group>
      <groupName>格式问题</groupName>
      <ability>L2_HalfPunc</ability>
      <abilityName>全半角检查</abilityName>
      <candidateList>
        <item>）</item>
      </candidateList>
      <explain>文本全半角错误。</explain>
      <paraID>4EDFC635</paraID>
      <start>42</start>
      <end>43</end>
      <status>unmodified</status>
      <modifiedWord/>
      <trackRevisions>false</trackRevisions>
    </reviewItem>
    <reviewItem>
      <errorID>635871ec-6908-48ab-a376-6e9c8feae34d</errorID>
      <errorWord>调节</errorWord>
      <group>L1_Word</group>
      <groupName>字词问题</groupName>
      <ability>L2_Typo</ability>
      <abilityName>字词错误</abilityName>
      <candidateList>
        <item>调解</item>
      </candidateList>
      <explain>〈动〉劝说双方消除纠纷：～人｜～纠纷。</explain>
      <paraID>1EDEBC5D</paraID>
      <start>69</start>
      <end>71</end>
      <status>unmodified</status>
      <modifiedWord/>
      <trackRevisions>false</trackRevisions>
    </reviewItem>
    <reviewItem>
      <errorID>88316e4d-6822-428f-a79c-6c20d76592c2</errorID>
      <errorWord>及时发现有</errorWord>
      <group>L1_Word</group>
      <groupName>字词问题</groupName>
      <ability>L2_Typo</ability>
      <abilityName>字词错误</abilityName>
      <candidateList>
        <item>及时发现</item>
      </candidateList>
      <explain/>
      <paraID>1EDEBC5D</paraID>
      <start>78</start>
      <end>83</end>
      <status>unmodified</status>
      <modifiedWord/>
      <trackRevisions>false</trackRevisions>
    </reviewItem>
    <reviewItem>
      <errorID>043ab515-6878-4916-863d-552a52e3798b</errorID>
      <errorWord>于</errorWord>
      <group>L1_Word</group>
      <groupName>字词问题</groupName>
      <ability>L2_Typo</ability>
      <abilityName>字词错误</abilityName>
      <candidateList>
        <item>于高</item>
      </candidateList>
      <explain/>
      <paraID>79ADB905</paraID>
      <start>67</start>
      <end>68</end>
      <status>unmodified</status>
      <modifiedWord/>
      <trackRevisions>false</trackRevisions>
    </reviewItem>
    <reviewItem>
      <errorID>89ba89e1-4875-4fe2-8027-2d8b4f045f24</errorID>
      <errorWord>；</errorWord>
      <group>L1_Format</group>
      <groupName>格式问题</groupName>
      <ability>L2_HalfPunc</ability>
      <abilityName>全半角检查</abilityName>
      <candidateList>
        <item>;</item>
      </candidateList>
      <explain>文本全半角错误。</explain>
      <paraID>564937A2</paraID>
      <start>5</start>
      <end>6</end>
      <status>unmodified</status>
      <modifiedWord/>
      <trackRevisions>false</trackRevisions>
    </reviewItem>
    <reviewItem>
      <errorID>a3d4ec7e-40a6-4b2d-9e73-5d6ab244e791</errorID>
      <errorWord>-</errorWord>
      <group>L1_Format</group>
      <groupName>格式问题</groupName>
      <ability>L2_HalfPunc</ability>
      <abilityName>全半角检查</abilityName>
      <candidateList>
        <item>－</item>
      </candidateList>
      <explain>文本全半角错误。</explain>
      <paraID>61D07296</paraID>
      <start>17</start>
      <end>18</end>
      <status>unmodified</status>
      <modifiedWord/>
      <trackRevisions>false</trackRevisions>
    </reviewItem>
    <reviewItem>
      <errorID>a93088d5-a3dc-4c75-806b-1f1f56c9bf1f</errorID>
      <errorWord>(</errorWord>
      <group>L1_Format</group>
      <groupName>格式问题</groupName>
      <ability>L2_HalfPunc</ability>
      <abilityName>全半角检查</abilityName>
      <candidateList>
        <item>（</item>
      </candidateList>
      <explain>文本全半角错误。</explain>
      <paraID>61D07296</paraID>
      <start>23</start>
      <end>24</end>
      <status>unmodified</status>
      <modifiedWord/>
      <trackRevisions>false</trackRevisions>
    </reviewItem>
    <reviewItem>
      <errorID>7f37a1f1-980d-4c22-8716-4bf7154ad729</errorID>
      <errorWord>)</errorWord>
      <group>L1_Format</group>
      <groupName>格式问题</groupName>
      <ability>L2_HalfPunc</ability>
      <abilityName>全半角检查</abilityName>
      <candidateList>
        <item>）</item>
      </candidateList>
      <explain>文本全半角错误。</explain>
      <paraID>61D07296</paraID>
      <start>34</start>
      <end>35</end>
      <status>unmodified</status>
      <modifiedWord/>
      <trackRevisions>false</trackRevisions>
    </reviewItem>
    <reviewItem>
      <errorID>4e4d2cdb-89db-4be1-b827-b4b425d68315</errorID>
      <errorWord>、以及</errorWord>
      <group>L1_Punc</group>
      <groupName>标点问题</groupName>
      <ability>L2_Punc</ability>
      <abilityName>标点符号检查</abilityName>
      <candidateList>
        <item>，以及</item>
      </candidateList>
      <explain>连接词前后不宜使用顿号，建议使用逗号。</explain>
      <paraID>65EB346C</paraID>
      <start>39</start>
      <end>42</end>
      <status>unmodified</status>
      <modifiedWord/>
      <trackRevisions>false</trackRevisions>
    </reviewItem>
    <reviewItem>
      <errorID>b6723902-3cb9-4524-8731-8f887dc1ddcb</errorID>
      <errorWord>(</errorWord>
      <group>L1_Format</group>
      <groupName>格式问题</groupName>
      <ability>L2_HalfPunc</ability>
      <abilityName>全半角检查</abilityName>
      <candidateList>
        <item>（</item>
      </candidateList>
      <explain>文本全半角错误。</explain>
      <paraID>65EB346C</paraID>
      <start>187</start>
      <end>188</end>
      <status>unmodified</status>
      <modifiedWord/>
      <trackRevisions>false</trackRevisions>
    </reviewItem>
    <reviewItem>
      <errorID>1faf41eb-de08-484d-9b63-ef81a6686d13</errorID>
      <errorWord>)</errorWord>
      <group>L1_Format</group>
      <groupName>格式问题</groupName>
      <ability>L2_HalfPunc</ability>
      <abilityName>全半角检查</abilityName>
      <candidateList>
        <item>）</item>
      </candidateList>
      <explain>文本全半角错误。</explain>
      <paraID>65EB346C</paraID>
      <start>207</start>
      <end>208</end>
      <status>unmodified</status>
      <modifiedWord/>
      <trackRevisions>false</trackRevisions>
    </reviewItem>
    <reviewItem>
      <errorID>fe45f4b4-1a11-4da1-8a12-1fa3393eb252</errorID>
      <errorWord>白由基</errorWord>
      <group>L1_Word</group>
      <groupName>字词问题</groupName>
      <ability>L2_Typo</ability>
      <abilityName>字词错误</abilityName>
      <candidateList>
        <item>自由基</item>
      </candidateList>
      <explain/>
      <paraID>5613FF10</paraID>
      <start>10</start>
      <end>13</end>
      <status>modified</status>
      <modifiedWord>自由基</modifiedWord>
      <trackRevisions>false</trackRevisions>
    </reviewItem>
    <reviewItem>
      <errorID>37d596e3-b97d-4b21-9581-3c076189fc9d</errorID>
      <errorWord>组份</errorWord>
      <group>L1_Word</group>
      <groupName>字词问题</groupName>
      <ability>L2_Variant</ability>
      <abilityName>异形词</abilityName>
      <candidateList>
        <item>组分</item>
      </candidateList>
      <explain>词汇[组份]的规范词形写作[组分]。</explain>
      <paraID>5613FF10</paraID>
      <start>129</start>
      <end>131</end>
      <status>unmodified</status>
      <modifiedWord/>
      <trackRevisions>false</trackRevisions>
    </reviewItem>
    <reviewItem>
      <errorID>456b5c7c-a89c-49cb-aa9f-aa1590305f27</errorID>
      <errorWord>问</errorWord>
      <group>L1_Word</group>
      <groupName>字词问题</groupName>
      <ability>L2_Typo</ability>
      <abilityName>字词错误</abilityName>
      <candidateList>
        <item>间</item>
      </candidateList>
      <explain>（間、閒）jiàn❶空隙：乘～。❷嫌隙；隔阂：亲密无～。❸隔开；不连接：～隔｜黑白相～。❹挑拨使人不和；离间：反～。❺〈动〉拔去或锄去（多余的苗）：～萝卜苗。</explain>
      <paraID>5613FF10</paraID>
      <start>131</start>
      <end>132</end>
      <status>modified</status>
      <modifiedWord>间</modifiedWord>
      <trackRevisions>false</trackRevisions>
    </reviewItem>
    <reviewItem>
      <errorID>393e234e-02ef-4ad2-a455-31ae5a8779e5</errorID>
      <errorWord>羟基自由基</errorWord>
      <group>L1_Word</group>
      <groupName>字词问题</groupName>
      <ability>L2_Typo</ability>
      <abilityName>字词错误</abilityName>
      <candidateList>
        <item>羟自由基</item>
      </candidateList>
      <explain/>
      <paraID>5613FF10</paraID>
      <start>146</start>
      <end>151</end>
      <status>unmodified</status>
      <modifiedWord/>
      <trackRevisions>false</trackRevisions>
    </reviewItem>
    <reviewItem>
      <errorID>e1166fe2-ffd0-49cc-aeae-00d71396361f</errorID>
      <errorWord>)</errorWord>
      <group>L1_Format</group>
      <groupName>格式问题</groupName>
      <ability>L2_HalfPunc</ability>
      <abilityName>全半角检查</abilityName>
      <candidateList>
        <item>）</item>
      </candidateList>
      <explain>文本全半角错误。</explain>
      <paraID>3D45691F</paraID>
      <start>30</start>
      <end>31</end>
      <status>unmodified</status>
      <modifiedWord/>
      <trackRevisions>false</trackRevisions>
    </reviewItem>
    <reviewItem>
      <errorID>6d77bdff-be21-47cf-9e09-733594e4e4a6</errorID>
      <errorWord>,</errorWord>
      <group>L1_Format</group>
      <groupName>格式问题</groupName>
      <ability>L2_HalfPunc</ability>
      <abilityName>全半角检查</abilityName>
      <candidateList>
        <item>，</item>
      </candidateList>
      <explain>文本全半角错误。</explain>
      <paraID>3D45691F</paraID>
      <start>31</start>
      <end>32</end>
      <status>unmodified</status>
      <modifiedWord/>
      <trackRevisions>false</trackRevisions>
    </reviewItem>
    <reviewItem>
      <errorID>8666a1c1-fda0-4c38-9c5b-fcaa50b1a219</errorID>
      <errorWord>)</errorWord>
      <group>L1_Format</group>
      <groupName>格式问题</groupName>
      <ability>L2_HalfPunc</ability>
      <abilityName>全半角检查</abilityName>
      <candidateList>
        <item>）</item>
      </candidateList>
      <explain>文本全半角错误。</explain>
      <paraID>3D45691F</paraID>
      <start>161</start>
      <end>162</end>
      <status>unmodified</status>
      <modifiedWord/>
      <trackRevisions>false</trackRevisions>
    </reviewItem>
    <reviewItem>
      <errorID>8cc33ff8-558c-4402-807b-1a633fac04ac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49232E1D</paraID>
      <start>70</start>
      <end>71</end>
      <status>unmodified</status>
      <modifiedWord/>
      <trackRevisions>false</trackRevisions>
    </reviewItem>
    <reviewItem>
      <errorID>10f7b2b9-985d-456b-b396-58b2a2f4955e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59E53350</paraID>
      <start>200</start>
      <end>201</end>
      <status>unmodified</status>
      <modifiedWord/>
      <trackRevisions>false</trackRevisions>
    </reviewItem>
    <reviewItem>
      <errorID>7cde5101-d77c-4953-aa7d-682ade858177</errorID>
      <errorWord>废水与</errorWord>
      <group>L1_Word</group>
      <groupName>字词问题</groupName>
      <ability>L2_Typo</ability>
      <abilityName>字词错误</abilityName>
      <candidateList>
        <item>废水</item>
      </candidateList>
      <explain/>
      <paraID>4A6CC405</paraID>
      <start>26</start>
      <end>28</end>
      <status>modified</status>
      <modifiedWord>废水</modifiedWord>
      <trackRevisions>false</trackRevisions>
    </reviewItem>
    <reviewItem>
      <errorID>d2569f3c-f0ad-44bd-95a2-078a91b48212</errorID>
      <errorWord>激光刻划</errorWord>
      <group>L1_Knowledge</group>
      <groupName>知识性问题</groupName>
      <ability>L2_Term</ability>
      <abilityName>专业术语</abilityName>
      <candidateList>
        <item>激光刻蚀</item>
      </candidateList>
      <explain/>
      <paraID>2E1A96DB</paraID>
      <start>0</start>
      <end>4</end>
      <status>unmodified</status>
      <modifiedWord/>
      <trackRevisions>false</trackRevisions>
    </reviewItem>
    <reviewItem>
      <errorID>8d3f2659-1170-41b8-bcbe-77aab9d1d9bd</errorID>
      <errorWord>激光刻划</errorWord>
      <group>L1_Knowledge</group>
      <groupName>知识性问题</groupName>
      <ability>L2_Term</ability>
      <abilityName>专业术语</abilityName>
      <candidateList>
        <item>激光刻蚀</item>
      </candidateList>
      <explain/>
      <paraID>6E88CF4F</paraID>
      <start>0</start>
      <end>4</end>
      <status>unmodified</status>
      <modifiedWord/>
      <trackRevisions>false</trackRevisions>
    </reviewItem>
    <reviewItem>
      <errorID>6273436d-5d06-4243-b092-0660b72aef8b</errorID>
      <errorWord>激光刻划</errorWord>
      <group>L1_Knowledge</group>
      <groupName>知识性问题</groupName>
      <ability>L2_Term</ability>
      <abilityName>专业术语</abilityName>
      <candidateList>
        <item>激光刻蚀</item>
      </candidateList>
      <explain/>
      <paraID> 193E0BC</paraID>
      <start>0</start>
      <end>4</end>
      <status>unmodified</status>
      <modifiedWord/>
      <trackRevisions>false</trackRevisions>
    </reviewItem>
    <reviewItem>
      <errorID>dbd9ba49-74b0-47ac-97db-cd0ff5596b35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7CEEC368</paraID>
      <start>0</start>
      <end>2</end>
      <status>unmodified</status>
      <modifiedWord/>
      <trackRevisions>false</trackRevisions>
    </reviewItem>
    <reviewItem>
      <errorID>6d699d97-f198-4bb7-819b-303a757e80f8</errorID>
      <errorWord>(</errorWord>
      <group>L1_Format</group>
      <groupName>格式问题</groupName>
      <ability>L2_HalfPunc</ability>
      <abilityName>全半角检查</abilityName>
      <candidateList>
        <item>（</item>
      </candidateList>
      <explain>文本全半角错误。</explain>
      <paraID>6DB35EB1</paraID>
      <start>180</start>
      <end>181</end>
      <status>unmodified</status>
      <modifiedWord/>
      <trackRevisions>false</trackRevisions>
    </reviewItem>
    <reviewItem>
      <errorID>c1c41f9e-15e2-4dea-ab6b-76dc25aaf60b</errorID>
      <errorWord>)</errorWord>
      <group>L1_Format</group>
      <groupName>格式问题</groupName>
      <ability>L2_HalfPunc</ability>
      <abilityName>全半角检查</abilityName>
      <candidateList>
        <item>）</item>
      </candidateList>
      <explain>文本全半角错误。</explain>
      <paraID>6DB35EB1</paraID>
      <start>193</start>
      <end>194</end>
      <status>unmodified</status>
      <modifiedWord/>
      <trackRevisions>false</trackRevisions>
    </reviewItem>
    <reviewItem>
      <errorID>4ba9154f-8628-459f-9527-ddcbfad74177</errorID>
      <errorWord>85%~95%</errorWord>
      <group>L1_Knowledge</group>
      <groupName>知识性问题</groupName>
      <ability>L2_Knowledge</ability>
      <abilityName>其他知识</abilityName>
      <candidateList>
        <item>85%～95%</item>
      </candidateList>
      <explain>1. “85%~95%”中的单位“%”仅出现在后一个数字上，容易引起歧义；根据《现代汉语标点符号数字用法规范手册》，数字表示范围两边需要使用统一的格式。2. 根据标点国标 4.13 中的规则，数字、时间或地域连接符应使用（视觉上更长的）“—”或“～”。</explain>
      <paraID>12CBB27C</paraID>
      <start>0</start>
      <end>7</end>
      <status>unmodified</status>
      <modifiedWord/>
      <trackRevisions>false</trackRevisions>
    </reviewItem>
    <reviewItem>
      <errorID>dac50f0b-3d11-4050-b02b-218827efe6dd</errorID>
      <errorWord>65%~80%</errorWord>
      <group>L1_Knowledge</group>
      <groupName>知识性问题</groupName>
      <ability>L2_Knowledge</ability>
      <abilityName>其他知识</abilityName>
      <candidateList>
        <item>65%～80%</item>
      </candidateList>
      <explain>1. “65%~80%”中的单位“%”仅出现在后一个数字上，容易引起歧义；根据《现代汉语标点符号数字用法规范手册》，数字表示范围两边需要使用统一的格式。2. 根据标点国标 4.13 中的规则，数字、时间或地域连接符应使用（视觉上更长的）“—”或“～”。</explain>
      <paraID>15C1D408</paraID>
      <start>0</start>
      <end>7</end>
      <status>unmodified</status>
      <modifiedWord/>
      <trackRevisions>false</trackRevisions>
    </reviewItem>
    <reviewItem>
      <errorID>903079f8-a59d-4b7d-8f3d-466ba58b959c</errorID>
      <errorWord>95%~99.5%</errorWord>
      <group>L1_Knowledge</group>
      <groupName>知识性问题</groupName>
      <ability>L2_Knowledge</ability>
      <abilityName>其他知识</abilityName>
      <candidateList>
        <item>95%～99.5%</item>
      </candidateList>
      <explain>1. “95%~99.5%”中的单位“%”仅出现在后一个数字上，容易引起歧义；根据《现代汉语标点符号数字用法规范手册》，数字表示范围两边需要使用统一的格式。2. 根据标点国标 4.13 中的规则，数字、时间或地域连接符应使用（视觉上更长的）“—”或“～”。</explain>
      <paraID>5309A664</paraID>
      <start>0</start>
      <end>9</end>
      <status>unmodified</status>
      <modifiedWord/>
      <trackRevisions>false</trackRevisions>
    </reviewItem>
    <reviewItem>
      <errorID>d1394bf3-198c-4815-ba60-903e75d818e6</errorID>
      <errorWord>80%~90%</errorWord>
      <group>L1_Knowledge</group>
      <groupName>知识性问题</groupName>
      <ability>L2_Knowledge</ability>
      <abilityName>其他知识</abilityName>
      <candidateList>
        <item>80%～90%</item>
      </candidateList>
      <explain>1. “80%~90%”中的单位“%”仅出现在后一个数字上，容易引起歧义；根据《现代汉语标点符号数字用法规范手册》，数字表示范围两边需要使用统一的格式。2. 根据标点国标 4.13 中的规则，数字、时间或地域连接符应使用（视觉上更长的）“—”或“～”。</explain>
      <paraID>47392E64</paraID>
      <start>0</start>
      <end>7</end>
      <status>unmodified</status>
      <modifiedWord/>
      <trackRevisions>false</trackRevisions>
    </reviewItem>
    <reviewItem>
      <errorID>0207ddc7-46b9-4313-949d-5c5ab9c5efe1</errorID>
      <errorWord>99.5%~99.95%</errorWord>
      <group>L1_Knowledge</group>
      <groupName>知识性问题</groupName>
      <ability>L2_Knowledge</ability>
      <abilityName>其他知识</abilityName>
      <candidateList>
        <item>99.5%～99.95%</item>
      </candidateList>
      <explain>1. “99.5%~99.95%”中的单位“%”仅出现在后一个数字上，容易引起歧义；根据《现代汉语标点符号数字用法规范手册》，数字表示范围两边需要使用统一的格式。2. 根据标点国标 4.13 中的规则，数字、时间或地域连接符应使用（视觉上更长的）“—”或“～”。</explain>
      <paraID>29C9CD75</paraID>
      <start>0</start>
      <end>12</end>
      <status>unmodified</status>
      <modifiedWord/>
      <trackRevisions>false</trackRevisions>
    </reviewItem>
    <reviewItem>
      <errorID>2b7b2014-5fbf-4727-a8b5-f9be1e0c5207</errorID>
      <errorWord>99.95%~99.995%</errorWord>
      <group>L1_Knowledge</group>
      <groupName>知识性问题</groupName>
      <ability>L2_Knowledge</ability>
      <abilityName>其他知识</abilityName>
      <candidateList>
        <item>99.95%～99.995%</item>
      </candidateList>
      <explain>1. “99.95%~99.995%”中的单位“%”仅出现在后一个数字上，容易引起歧义；根据《现代汉语标点符号数字用法规范手册》，数字表示范围两边需要使用统一的格式。2. 根据标点国标 4.13 中的规则，数字、时间或地域连接符应使用（视觉上更长的）“—”或“～”。</explain>
      <paraID>501F7FAC</paraID>
      <start>0</start>
      <end>14</end>
      <status>unmodified</status>
      <modifiedWord/>
      <trackRevisions>false</trackRevisions>
    </reviewItem>
    <reviewItem>
      <errorID>516da15c-0333-466e-b9c4-4592e129676f</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 C677135</paraID>
      <start>0</start>
      <end>7</end>
      <status>unmodified</status>
      <modifiedWord/>
      <trackRevisions>false</trackRevisions>
    </reviewItem>
    <reviewItem>
      <errorID>7d068c03-0f5f-4255-8100-3b0fe6f4db72</errorID>
      <errorWord>99.995%~99.9995%</errorWord>
      <group>L1_Knowledge</group>
      <groupName>知识性问题</groupName>
      <ability>L2_Knowledge</ability>
      <abilityName>其他知识</abilityName>
      <candidateList>
        <item>99.995%～99.9995%</item>
      </candidateList>
      <explain>1. “99.995%~99.9995%”中的单位“%”仅出现在后一个数字上，容易引起歧义；根据《现代汉语标点符号数字用法规范手册》，数字表示范围两边需要使用统一的格式。2. 根据标点国标 4.13 中的规则，数字、时间或地域连接符应使用（视觉上更长的）“—”或“～”。</explain>
      <paraID>59FD2184</paraID>
      <start>0</start>
      <end>16</end>
      <status>unmodified</status>
      <modifiedWord/>
      <trackRevisions>false</trackRevisions>
    </reviewItem>
    <reviewItem>
      <errorID>161c12c0-14d3-44a2-8372-3b06bd1d44e7</errorID>
      <errorWord>60%~80%</errorWord>
      <group>L1_Knowledge</group>
      <groupName>知识性问题</groupName>
      <ability>L2_Knowledge</ability>
      <abilityName>其他知识</abilityName>
      <candidateList>
        <item>60%～80%</item>
      </candidateList>
      <explain>1. “60%~80%”中的单位“%”仅出现在后一个数字上，容易引起歧义；根据《现代汉语标点符号数字用法规范手册》，数字表示范围两边需要使用统一的格式。2. 根据标点国标 4.13 中的规则，数字、时间或地域连接符应使用（视觉上更长的）“—”或“～”。</explain>
      <paraID>45B886E5</paraID>
      <start>0</start>
      <end>7</end>
      <status>unmodified</status>
      <modifiedWord/>
      <trackRevisions>false</trackRevisions>
    </reviewItem>
    <reviewItem>
      <errorID>b318f047-3fed-4f68-a68b-bcdd63a56b4c</errorID>
      <errorWord>99.9995%~99.99995%</errorWord>
      <group>L1_Knowledge</group>
      <groupName>知识性问题</groupName>
      <ability>L2_Knowledge</ability>
      <abilityName>其他知识</abilityName>
      <candidateList>
        <item>99.9995%～99.99995%</item>
      </candidateList>
      <explain>1. “99.9995%~99.99995%”中的单位“%”仅出现在后一个数字上，容易引起歧义；根据《现代汉语标点符号数字用法规范手册》，数字表示范围两边需要使用统一的格式。2. 根据标点国标 4.13 中的规则，数字、时间或地域连接符应使用（视觉上更长的）“—”或“～”。</explain>
      <paraID>37367812</paraID>
      <start>0</start>
      <end>18</end>
      <status>unmodified</status>
      <modifiedWord/>
      <trackRevisions>false</trackRevisions>
    </reviewItem>
    <reviewItem>
      <errorID>f3701e9e-0934-4f33-b4fe-d8ad98a5ac1a</errorID>
      <errorWord>80%~90%</errorWord>
      <group>L1_Knowledge</group>
      <groupName>知识性问题</groupName>
      <ability>L2_Knowledge</ability>
      <abilityName>其他知识</abilityName>
      <candidateList>
        <item>80%～90%</item>
      </candidateList>
      <explain>1. “80%~90%”中的单位“%”仅出现在后一个数字上，容易引起歧义；根据《现代汉语标点符号数字用法规范手册》，数字表示范围两边需要使用统一的格式。2. 根据标点国标 4.13 中的规则，数字、时间或地域连接符应使用（视觉上更长的）“—”或“～”。</explain>
      <paraID>52B46800</paraID>
      <start>0</start>
      <end>7</end>
      <status>unmodified</status>
      <modifiedWord/>
      <trackRevisions>false</trackRevisions>
    </reviewItem>
    <reviewItem>
      <errorID>2d11045a-934f-4958-93b1-12af65cf427d</errorID>
      <errorWord>~</errorWord>
      <group>L1_Format</group>
      <groupName>格式问题</groupName>
      <ability>L2_HalfPunc</ability>
      <abilityName>全半角检查</abilityName>
      <candidateList>
        <item>～</item>
      </candidateList>
      <explain>文本全半角错误。</explain>
      <paraID>74860F16</paraID>
      <start>9</start>
      <end>10</end>
      <status>unmodified</status>
      <modifiedWord/>
      <trackRevisions>false</trackRevisions>
    </reviewItem>
    <reviewItem>
      <errorID>66750e76-1305-41e5-bf9e-a18386a04340</errorID>
      <errorWord>90%~95%</errorWord>
      <group>L1_Knowledge</group>
      <groupName>知识性问题</groupName>
      <ability>L2_Knowledge</ability>
      <abilityName>其他知识</abilityName>
      <candidateList>
        <item>90%～95%</item>
      </candidateList>
      <explain>1. “90%~95%”中的单位“%”仅出现在后一个数字上，容易引起歧义；根据《现代汉语标点符号数字用法规范手册》，数字表示范围两边需要使用统一的格式。2. 根据标点国标 4.13 中的规则，数字、时间或地域连接符应使用（视觉上更长的）“—”或“～”。</explain>
      <paraID> A99D556</paraID>
      <start>0</start>
      <end>7</end>
      <status>unmodified</status>
      <modifiedWord/>
      <trackRevisions>false</trackRevisions>
    </reviewItem>
    <reviewItem>
      <errorID>b79e5766-e999-4e5b-9c41-16fcdf5933ee</errorID>
      <errorWord>~</errorWord>
      <group>L1_Format</group>
      <groupName>格式问题</groupName>
      <ability>L2_HalfPunc</ability>
      <abilityName>全半角检查</abilityName>
      <candidateList>
        <item>～</item>
      </candidateList>
      <explain>文本全半角错误。</explain>
      <paraID>4658AC14</paraID>
      <start>180</start>
      <end>181</end>
      <status>unmodified</status>
      <modifiedWord/>
      <trackRevisions>false</trackRevisions>
    </reviewItem>
    <reviewItem>
      <errorID>385cf888-9acd-4839-9f3f-9a154313d0f5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724A2BFF</paraID>
      <start>0</start>
      <end>2</end>
      <status>unmodified</status>
      <modifiedWord/>
      <trackRevisions>false</trackRevisions>
    </reviewItem>
    <reviewItem>
      <errorID>af2b214d-b45a-44da-a982-ccbc7696f457</errorID>
      <errorWord>，</errorWord>
      <group>L1_Word</group>
      <groupName>字词问题</groupName>
      <ability>L2_Typo</ability>
      <abilityName>字词错误</abilityName>
      <candidateList>
        <item>，以</item>
      </candidateList>
      <explain/>
      <paraID>609F842C</paraID>
      <start>23</start>
      <end>24</end>
      <status>unmodified</status>
      <modifiedWord/>
      <trackRevisions>false</trackRevisions>
    </reviewItem>
    <reviewItem>
      <errorID>b6d230d3-6861-419c-9ff9-0ef5c779b5c6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142A7DD</paraID>
      <start>0</start>
      <end>2</end>
      <status>unmodified</status>
      <modifiedWord/>
      <trackRevisions>false</trackRevisions>
    </reviewItem>
    <reviewItem>
      <errorID>68863748-18a3-4fd1-b9b0-6509e00bdf80</errorID>
      <errorWord>(</errorWord>
      <group>L1_Format</group>
      <groupName>格式问题</groupName>
      <ability>L2_HalfPunc</ability>
      <abilityName>全半角检查</abilityName>
      <candidateList>
        <item>（</item>
      </candidateList>
      <explain>文本全半角错误。</explain>
      <paraID>69484164</paraID>
      <start>38</start>
      <end>39</end>
      <status>unmodified</status>
      <modifiedWord/>
      <trackRevisions>false</trackRevisions>
    </reviewItem>
    <reviewItem>
      <errorID>f23bde68-f870-414b-a283-be343ad45c0f</errorID>
      <errorWord>)</errorWord>
      <group>L1_Format</group>
      <groupName>格式问题</groupName>
      <ability>L2_HalfPunc</ability>
      <abilityName>全半角检查</abilityName>
      <candidateList>
        <item>）</item>
      </candidateList>
      <explain>文本全半角错误。</explain>
      <paraID>69484164</paraID>
      <start>43</start>
      <end>44</end>
      <status>unmodified</status>
      <modifiedWord/>
      <trackRevisions>false</trackRevisions>
    </reviewItem>
    <reviewItem>
      <errorID>158807da-01a3-407b-9e4a-30dbea897c63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69484164</paraID>
      <start>138</start>
      <end>141</end>
      <status>unmodified</status>
      <modifiedWord/>
      <trackRevisions>false</trackRevisions>
    </reviewItem>
    <reviewItem>
      <errorID>c852c658-afc7-4a97-a8a2-8e248f8a0a12</errorID>
      <errorWord>(</errorWord>
      <group>L1_Format</group>
      <groupName>格式问题</groupName>
      <ability>L2_HalfPunc</ability>
      <abilityName>全半角检查</abilityName>
      <candidateList>
        <item>（</item>
      </candidateList>
      <explain>文本全半角错误。</explain>
      <paraID>27861340</paraID>
      <start>41</start>
      <end>42</end>
      <status>unmodified</status>
      <modifiedWord/>
      <trackRevisions>false</trackRevisions>
    </reviewItem>
    <reviewItem>
      <errorID>536fffbc-068b-4d77-b3b7-e266541dd1f4</errorID>
      <errorWord>)</errorWord>
      <group>L1_Format</group>
      <groupName>格式问题</groupName>
      <ability>L2_HalfPunc</ability>
      <abilityName>全半角检查</abilityName>
      <candidateList>
        <item>）</item>
      </candidateList>
      <explain>文本全半角错误。</explain>
      <paraID>27861340</paraID>
      <start>54</start>
      <end>55</end>
      <status>unmodified</status>
      <modifiedWord/>
      <trackRevisions>false</trackRevisions>
    </reviewItem>
    <reviewItem>
      <errorID>74111abd-9d7b-4284-80f8-66f6ac411339</errorID>
      <errorWord>(</errorWord>
      <group>L1_Format</group>
      <groupName>格式问题</groupName>
      <ability>L2_HalfPunc</ability>
      <abilityName>全半角检查</abilityName>
      <candidateList>
        <item>（</item>
      </candidateList>
      <explain>文本全半角错误。</explain>
      <paraID>27861340</paraID>
      <start>129</start>
      <end>130</end>
      <status>unmodified</status>
      <modifiedWord/>
      <trackRevisions>false</trackRevisions>
    </reviewItem>
    <reviewItem>
      <errorID>b38fe59a-7938-4cac-8ee6-8c9a5564762e</errorID>
      <errorWord>)</errorWord>
      <group>L1_Format</group>
      <groupName>格式问题</groupName>
      <ability>L2_HalfPunc</ability>
      <abilityName>全半角检查</abilityName>
      <candidateList>
        <item>）</item>
      </candidateList>
      <explain>文本全半角错误。</explain>
      <paraID>27861340</paraID>
      <start>147</start>
      <end>148</end>
      <status>unmodified</status>
      <modifiedWord/>
      <trackRevisions>false</trackRevisions>
    </reviewItem>
    <reviewItem>
      <errorID>105f7e89-5c3c-4217-a9ba-f764c87cff24</errorID>
      <errorWord>)</errorWord>
      <group>L1_Format</group>
      <groupName>格式问题</groupName>
      <ability>L2_HalfPunc</ability>
      <abilityName>全半角检查</abilityName>
      <candidateList>
        <item>）</item>
      </candidateList>
      <explain>文本全半角错误。</explain>
      <paraID>6001B073</paraID>
      <start>86</start>
      <end>87</end>
      <status>unmodified</status>
      <modifiedWord/>
      <trackRevisions>false</trackRevisions>
    </reviewItem>
    <reviewItem>
      <errorID>0c42dc92-e5b6-4fbc-a47a-f57dbefc2dee</errorID>
      <errorWord>(</errorWord>
      <group>L1_Format</group>
      <groupName>格式问题</groupName>
      <ability>L2_HalfPunc</ability>
      <abilityName>全半角检查</abilityName>
      <candidateList>
        <item>（</item>
      </candidateList>
      <explain>文本全半角错误。</explain>
      <paraID>4A668007</paraID>
      <start>11</start>
      <end>12</end>
      <status>unmodified</status>
      <modifiedWord/>
      <trackRevisions>false</trackRevisions>
    </reviewItem>
    <reviewItem>
      <errorID>d2d3e3f0-207c-4563-b174-fcc06875db4d</errorID>
      <errorWord>)</errorWord>
      <group>L1_Format</group>
      <groupName>格式问题</groupName>
      <ability>L2_HalfPunc</ability>
      <abilityName>全半角检查</abilityName>
      <candidateList>
        <item>）</item>
      </candidateList>
      <explain>文本全半角错误。</explain>
      <paraID>4A668007</paraID>
      <start>20</start>
      <end>21</end>
      <status>unmodified</status>
      <modifiedWord/>
      <trackRevisions>false</trackRevisions>
    </reviewItem>
    <reviewItem>
      <errorID>0cac0cc7-b823-4295-97ba-9a66c990caa2</errorID>
      <errorWord>配戴</errorWord>
      <group>L1_Word</group>
      <groupName>字词问题</groupName>
      <ability>L2_Alias</ability>
      <abilityName>也作/曾用词</abilityName>
      <candidateList>
        <item>佩戴</item>
      </candidateList>
      <explain>词汇[配戴]为不规范表述或旧称，其规范书面表述为[佩戴]。</explain>
      <paraID>41B6204D</paraID>
      <start>22</start>
      <end>24</end>
      <status>unmodified</status>
      <modifiedWord/>
      <trackRevisions>false</trackRevisions>
    </reviewItem>
    <reviewItem>
      <errorID>6bae4a5b-70f2-4f06-af9e-e9da155f1471</errorID>
      <errorWord>(</errorWord>
      <group>L1_Format</group>
      <groupName>格式问题</groupName>
      <ability>L2_HalfPunc</ability>
      <abilityName>全半角检查</abilityName>
      <candidateList>
        <item>（</item>
      </candidateList>
      <explain>文本全半角错误。</explain>
      <paraID>  6EC2E6</paraID>
      <start>3</start>
      <end>4</end>
      <status>unmodified</status>
      <modifiedWord/>
      <trackRevisions>false</trackRevisions>
    </reviewItem>
    <reviewItem>
      <errorID>5dc52999-d63e-4a38-b4e0-f63fdbe26314</errorID>
      <errorWord>)</errorWord>
      <group>L1_Format</group>
      <groupName>格式问题</groupName>
      <ability>L2_HalfPunc</ability>
      <abilityName>全半角检查</abilityName>
      <candidateList>
        <item>）</item>
      </candidateList>
      <explain>文本全半角错误。</explain>
      <paraID>  6EC2E6</paraID>
      <start>7</start>
      <end>8</end>
      <status>unmodified</status>
      <modifiedWord/>
      <trackRevisions>false</trackRevisions>
    </reviewItem>
    <reviewItem>
      <errorID>bc3a4c38-5572-407f-ad69-fd9326a951ce</errorID>
      <errorWord>（</errorWord>
      <group>L1_Format</group>
      <groupName>格式问题</groupName>
      <ability>L2_HalfPunc</ability>
      <abilityName>全半角检查</abilityName>
      <candidateList>
        <item>(</item>
      </candidateList>
      <explain>文本全半角错误。</explain>
      <paraID>624C4726</paraID>
      <start>4</start>
      <end>5</end>
      <status>unmodified</status>
      <modifiedWord/>
      <trackRevisions>false</trackRevisions>
    </reviewItem>
    <reviewItem>
      <errorID>b4cfb13c-b889-4d44-8651-a81a954ee9c2</errorID>
      <errorWord>）</errorWord>
      <group>L1_Format</group>
      <groupName>格式问题</groupName>
      <ability>L2_HalfPunc</ability>
      <abilityName>全半角检查</abilityName>
      <candidateList>
        <item>)</item>
      </candidateList>
      <explain>文本全半角错误。</explain>
      <paraID>624C4726</paraID>
      <start>7</start>
      <end>8</end>
      <status>unmodified</status>
      <modifiedWord/>
      <trackRevisions>false</trackRevisions>
    </reviewItem>
    <reviewItem>
      <errorID>50054e12-5742-4e36-a96e-2bfbbc999e00</errorID>
      <errorWord>（</errorWord>
      <group>L1_Format</group>
      <groupName>格式问题</groupName>
      <ability>L2_HalfPunc</ability>
      <abilityName>全半角检查</abilityName>
      <candidateList>
        <item>(</item>
      </candidateList>
      <explain>文本全半角错误。</explain>
      <paraID>7B811482</paraID>
      <start>3</start>
      <end>4</end>
      <status>unmodified</status>
      <modifiedWord/>
      <trackRevisions>false</trackRevisions>
    </reviewItem>
    <reviewItem>
      <errorID>c2d12557-99f6-4893-9ba3-1254b4597a50</errorID>
      <errorWord>）</errorWord>
      <group>L1_Format</group>
      <groupName>格式问题</groupName>
      <ability>L2_HalfPunc</ability>
      <abilityName>全半角检查</abilityName>
      <candidateList>
        <item>)</item>
      </candidateList>
      <explain>文本全半角错误。</explain>
      <paraID>7B811482</paraID>
      <start>6</start>
      <end>7</end>
      <status>unmodified</status>
      <modifiedWord/>
      <trackRevisions>false</trackRevisions>
    </reviewItem>
    <reviewItem>
      <errorID>e1d11062-2dd9-46d1-88bc-bbbb9ca2fc4e</errorID>
      <errorWord>（</errorWord>
      <group>L1_Format</group>
      <groupName>格式问题</groupName>
      <ability>L2_HalfPunc</ability>
      <abilityName>全半角检查</abilityName>
      <candidateList>
        <item>(</item>
      </candidateList>
      <explain>文本全半角错误。</explain>
      <paraID>1F62D466</paraID>
      <start>3</start>
      <end>4</end>
      <status>unmodified</status>
      <modifiedWord/>
      <trackRevisions>false</trackRevisions>
    </reviewItem>
    <reviewItem>
      <errorID>a916ad3d-e51e-4e8b-912c-a53c2274634e</errorID>
      <errorWord>）</errorWord>
      <group>L1_Format</group>
      <groupName>格式问题</groupName>
      <ability>L2_HalfPunc</ability>
      <abilityName>全半角检查</abilityName>
      <candidateList>
        <item>)</item>
      </candidateList>
      <explain>文本全半角错误。</explain>
      <paraID>1F62D466</paraID>
      <start>6</start>
      <end>7</end>
      <status>unmodified</status>
      <modifiedWord/>
      <trackRevisions>false</trackRevisions>
    </reviewItem>
    <reviewItem>
      <errorID>5b7e4128-e1a1-4e1a-8364-17d91ba16304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67F01FB7</paraID>
      <start>0</start>
      <end>3</end>
      <status>unmodified</status>
      <modifiedWord/>
      <trackRevisions>false</trackRevisions>
    </reviewItem>
    <reviewItem>
      <errorID>a34487b8-76b5-48da-91e3-f5d9438b584f</errorID>
      <errorWord>(</errorWord>
      <group>L1_Format</group>
      <groupName>格式问题</groupName>
      <ability>L2_HalfPunc</ability>
      <abilityName>全半角检查</abilityName>
      <candidateList>
        <item>（</item>
      </candidateList>
      <explain>文本全半角错误。</explain>
      <paraID>592913D9</paraID>
      <start>106</start>
      <end>107</end>
      <status>unmodified</status>
      <modifiedWord/>
      <trackRevisions>false</trackRevisions>
    </reviewItem>
    <reviewItem>
      <errorID>f9e89cb3-37e8-4fc5-8e46-bffa4949ef06</errorID>
      <errorWord>)</errorWord>
      <group>L1_Format</group>
      <groupName>格式问题</groupName>
      <ability>L2_HalfPunc</ability>
      <abilityName>全半角检查</abilityName>
      <candidateList>
        <item>）</item>
      </candidateList>
      <explain>文本全半角错误。</explain>
      <paraID>592913D9</paraID>
      <start>119</start>
      <end>120</end>
      <status>unmodified</status>
      <modifiedWord/>
      <trackRevisions>false</trackRevisions>
    </reviewItem>
    <reviewItem>
      <errorID>95379967-560d-4ea5-9480-c69cd335e725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4D954D9F</paraID>
      <start>0</start>
      <end>3</end>
      <status>unmodified</status>
      <modifiedWord/>
      <trackRevisions>false</trackRevisions>
    </reviewItem>
    <reviewItem>
      <errorID>1fe410d6-8689-42db-9014-bf3412a41fe0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6ACC7AA3</paraID>
      <start>0</start>
      <end>2</end>
      <status>unmodified</status>
      <modifiedWord/>
      <trackRevisions>false</trackRevisions>
    </reviewItem>
    <reviewItem>
      <errorID>47d5a70c-930d-452b-9a82-86c1db564e11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128D44BE</paraID>
      <start>0</start>
      <end>2</end>
      <status>unmodified</status>
      <modifiedWord/>
      <trackRevisions>false</trackRevisions>
    </reviewItem>
    <reviewItem>
      <errorID>84e0e2fb-ca7f-4c02-b2fd-36d63c70836b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6B80DBBF</paraID>
      <start>326</start>
      <end>327</end>
      <status>unmodified</status>
      <modifiedWord/>
      <trackRevisions>false</trackRevisions>
    </reviewItem>
    <reviewItem>
      <errorID>d8ccc5e9-998d-4d80-9fc9-73969ab880e0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5380C99A</paraID>
      <start>0</start>
      <end>2</end>
      <status>unmodified</status>
      <modifiedWord/>
      <trackRevisions>false</trackRevisions>
    </reviewItem>
    <reviewItem>
      <errorID>3907a896-ff04-4831-8d3d-164fd3e12a6b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3791B20B</paraID>
      <start>0</start>
      <end>3</end>
      <status>unmodified</status>
      <modifiedWord/>
      <trackRevisions>false</trackRevisions>
    </reviewItem>
    <reviewItem>
      <errorID>4bcf0415-c56e-4bee-80dd-ee7998073889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77441C2D</paraID>
      <start>0</start>
      <end>3</end>
      <status>unmodified</status>
      <modifiedWord/>
      <trackRevisions>false</trackRevisions>
    </reviewItem>
    <reviewItem>
      <errorID>0d514c25-fc12-4632-8f50-13bc8ceec309</errorID>
      <errorWord>(</errorWord>
      <group>L1_Format</group>
      <groupName>格式问题</groupName>
      <ability>L2_HalfPunc</ability>
      <abilityName>全半角检查</abilityName>
      <candidateList>
        <item>（</item>
      </candidateList>
      <explain>文本全半角错误。</explain>
      <paraID>77441C2D</paraID>
      <start>50</start>
      <end>51</end>
      <status>unmodified</status>
      <modifiedWord/>
      <trackRevisions>false</trackRevisions>
    </reviewItem>
    <reviewItem>
      <errorID>fa680d61-3179-4e95-824f-c1a5ae664850</errorID>
      <errorWord>)</errorWord>
      <group>L1_Format</group>
      <groupName>格式问题</groupName>
      <ability>L2_HalfPunc</ability>
      <abilityName>全半角检查</abilityName>
      <candidateList>
        <item>）</item>
      </candidateList>
      <explain>文本全半角错误。</explain>
      <paraID>77441C2D</paraID>
      <start>63</start>
      <end>64</end>
      <status>unmodified</status>
      <modifiedWord/>
      <trackRevisions>false</trackRevisions>
    </reviewItem>
    <reviewItem>
      <errorID>9f5ac003-36c4-4893-9059-a1e51dfdc864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3E79C</paraID>
      <start>0</start>
      <end>3</end>
      <status>unmodified</status>
      <modifiedWord/>
      <trackRevisions>false</trackRevisions>
    </reviewItem>
    <reviewItem>
      <errorID>9e66c098-4b37-4e40-a833-d5793fbb3b32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6C5B5316</paraID>
      <start>0</start>
      <end>3</end>
      <status>unmodified</status>
      <modifiedWord/>
      <trackRevisions>false</trackRevisions>
    </reviewItem>
    <reviewItem>
      <errorID>bc0315dc-b556-4c93-9c4a-ab4f2a6965c9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5F020658</paraID>
      <start>0</start>
      <end>3</end>
      <status>unmodified</status>
      <modifiedWord/>
      <trackRevisions>false</trackRevisions>
    </reviewItem>
    <reviewItem>
      <errorID>a7e1968c-9650-49b4-8f72-0438fb1442cf</errorID>
      <errorWord>:</errorWord>
      <group>L1_Format</group>
      <groupName>格式问题</groupName>
      <ability>L2_HalfPunc</ability>
      <abilityName>全半角检查</abilityName>
      <candidateList>
        <item>：</item>
      </candidateList>
      <explain>文本全半角错误。</explain>
      <paraID>5F020658</paraID>
      <start>29</start>
      <end>30</end>
      <status>unmodified</status>
      <modifiedWord/>
      <trackRevisions>false</trackRevisions>
    </reviewItem>
    <reviewItem>
      <errorID>94e53f77-31fb-4914-9d11-fdbbade94bba</errorID>
      <errorWord>;</errorWord>
      <group>L1_Format</group>
      <groupName>格式问题</groupName>
      <ability>L2_HalfPunc</ability>
      <abilityName>全半角检查</abilityName>
      <candidateList>
        <item>；</item>
      </candidateList>
      <explain>文本全半角错误。</explain>
      <paraID>7ABD1B95</paraID>
      <start>16</start>
      <end>17</end>
      <status>unmodified</status>
      <modifiedWord/>
      <trackRevisions>false</trackRevisions>
    </reviewItem>
    <reviewItem>
      <errorID>771b9cd9-7c64-4695-9f6b-e8aeed964605</errorID>
      <errorWord>;</errorWord>
      <group>L1_Format</group>
      <groupName>格式问题</groupName>
      <ability>L2_HalfPunc</ability>
      <abilityName>全半角检查</abilityName>
      <candidateList>
        <item>；</item>
      </candidateList>
      <explain>文本全半角错误。</explain>
      <paraID>6551BB5D</paraID>
      <start>21</start>
      <end>22</end>
      <status>unmodified</status>
      <modifiedWord/>
      <trackRevisions>false</trackRevisions>
    </reviewItem>
    <reviewItem>
      <errorID>d7e0267b-873d-442e-a4be-86d9cbc34730</errorID>
      <errorWord>;</errorWord>
      <group>L1_Format</group>
      <groupName>格式问题</groupName>
      <ability>L2_HalfPunc</ability>
      <abilityName>全半角检查</abilityName>
      <candidateList>
        <item>；</item>
      </candidateList>
      <explain>文本全半角错误。</explain>
      <paraID>6437CB4F</paraID>
      <start>22</start>
      <end>23</end>
      <status>unmodified</status>
      <modifiedWord/>
      <trackRevisions>false</trackRevisions>
    </reviewItem>
    <reviewItem>
      <errorID>b9a22ca3-fdd4-462c-85f1-d106ebebaf1b</errorID>
      <errorWord>;</errorWord>
      <group>L1_Format</group>
      <groupName>格式问题</groupName>
      <ability>L2_HalfPunc</ability>
      <abilityName>全半角检查</abilityName>
      <candidateList>
        <item>；</item>
      </candidateList>
      <explain>文本全半角错误。</explain>
      <paraID>1B349D00</paraID>
      <start>17</start>
      <end>18</end>
      <status>unmodified</status>
      <modifiedWord/>
      <trackRevisions>false</trackRevisions>
    </reviewItem>
    <reviewItem>
      <errorID>ebdf0cad-4408-4fdc-b81f-765976f68dc4</errorID>
      <errorWord>;</errorWord>
      <group>L1_Format</group>
      <groupName>格式问题</groupName>
      <ability>L2_HalfPunc</ability>
      <abilityName>全半角检查</abilityName>
      <candidateList>
        <item>；</item>
      </candidateList>
      <explain>文本全半角错误。</explain>
      <paraID>1ADBB86B</paraID>
      <start>23</start>
      <end>24</end>
      <status>unmodified</status>
      <modifiedWord/>
      <trackRevisions>false</trackRevisions>
    </reviewItem>
    <reviewItem>
      <errorID>99050500-c5ac-4175-b3f7-f6fe832a4a2f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323D7DC7</paraID>
      <start>0</start>
      <end>3</end>
      <status>unmodified</status>
      <modifiedWord/>
      <trackRevisions>false</trackRevisions>
    </reviewItem>
    <reviewItem>
      <errorID>c6402334-ccb2-4219-94bb-7310f95097f0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7DD48C</paraID>
      <start>0</start>
      <end>3</end>
      <status>unmodified</status>
      <modifiedWord/>
      <trackRevisions>false</trackRevisions>
    </reviewItem>
    <reviewItem>
      <errorID>d49b756f-bf89-4481-9513-bcfb24fb2c4f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5300398A</paraID>
      <start>0</start>
      <end>2</end>
      <status>unmodified</status>
      <modifiedWord/>
      <trackRevisions>false</trackRevisions>
    </reviewItem>
    <reviewItem>
      <errorID>05cf92ce-895e-4e79-a827-15905efe0e10</errorID>
      <errorWord>(</errorWord>
      <group>L1_Format</group>
      <groupName>格式问题</groupName>
      <ability>L2_HalfPunc</ability>
      <abilityName>全半角检查</abilityName>
      <candidateList>
        <item>（</item>
      </candidateList>
      <explain>文本全半角错误。</explain>
      <paraID>56E2B3A3</paraID>
      <start>16</start>
      <end>17</end>
      <status>unmodified</status>
      <modifiedWord/>
      <trackRevisions>false</trackRevisions>
    </reviewItem>
    <reviewItem>
      <errorID>22b01079-7384-40aa-8a3c-eb6f143586f2</errorID>
      <errorWord>)</errorWord>
      <group>L1_Format</group>
      <groupName>格式问题</groupName>
      <ability>L2_HalfPunc</ability>
      <abilityName>全半角检查</abilityName>
      <candidateList>
        <item>）</item>
      </candidateList>
      <explain>文本全半角错误。</explain>
      <paraID>56E2B3A3</paraID>
      <start>29</start>
      <end>30</end>
      <status>unmodified</status>
      <modifiedWord/>
      <trackRevisions>false</trackRevisions>
    </reviewItem>
    <reviewItem>
      <errorID>be6d3eed-a91a-49c2-a0f4-3d8b46387572</errorID>
      <errorWord>(</errorWord>
      <group>L1_Format</group>
      <groupName>格式问题</groupName>
      <ability>L2_HalfPunc</ability>
      <abilityName>全半角检查</abilityName>
      <candidateList>
        <item>（</item>
      </candidateList>
      <explain>文本全半角错误。</explain>
      <paraID>56E2B3A3</paraID>
      <start>43</start>
      <end>44</end>
      <status>unmodified</status>
      <modifiedWord/>
      <trackRevisions>false</trackRevisions>
    </reviewItem>
    <reviewItem>
      <errorID>edc1b534-314b-474f-bb97-cd2adb21951a</errorID>
      <errorWord>)</errorWord>
      <group>L1_Format</group>
      <groupName>格式问题</groupName>
      <ability>L2_HalfPunc</ability>
      <abilityName>全半角检查</abilityName>
      <candidateList>
        <item>）</item>
      </candidateList>
      <explain>文本全半角错误。</explain>
      <paraID>56E2B3A3</paraID>
      <start>77</start>
      <end>78</end>
      <status>unmodified</status>
      <modifiedWord/>
      <trackRevisions>false</trackRevisions>
    </reviewItem>
    <reviewItem>
      <errorID>ee3fd1be-1f92-4c37-b665-250b42029a58</errorID>
      <errorWord>:</errorWord>
      <group>L1_Format</group>
      <groupName>格式问题</groupName>
      <ability>L2_HalfPunc</ability>
      <abilityName>全半角检查</abilityName>
      <candidateList>
        <item>：</item>
      </candidateList>
      <explain>文本全半角错误。</explain>
      <paraID>56E2B3A3</paraID>
      <start>112</start>
      <end>113</end>
      <status>unmodified</status>
      <modifiedWord/>
      <trackRevisions>false</trackRevisions>
    </reviewItem>
    <reviewItem>
      <errorID>83279e21-c0f3-4f3d-a889-5a6d18f0ec5e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10B1071C</paraID>
      <start>0</start>
      <end>3</end>
      <status>unmodified</status>
      <modifiedWord/>
      <trackRevisions>false</trackRevisions>
    </reviewItem>
    <reviewItem>
      <errorID>72faf7bd-60a1-4275-9199-83ae25ae2e97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36E12B86</paraID>
      <start>0</start>
      <end>3</end>
      <status>unmodified</status>
      <modifiedWord/>
      <trackRevisions>false</trackRevisions>
    </reviewItem>
    <reviewItem>
      <errorID>ebe99274-2e95-46a6-9640-f1e8625431f9</errorID>
      <errorWord>(</errorWord>
      <group>L1_Format</group>
      <groupName>格式问题</groupName>
      <ability>L2_HalfPunc</ability>
      <abilityName>全半角检查</abilityName>
      <candidateList>
        <item>（</item>
      </candidateList>
      <explain>文本全半角错误。</explain>
      <paraID>36E12B86</paraID>
      <start>33</start>
      <end>34</end>
      <status>unmodified</status>
      <modifiedWord/>
      <trackRevisions>false</trackRevisions>
    </reviewItem>
    <reviewItem>
      <errorID>34723be4-0d9d-4424-817d-97efab531449</errorID>
      <errorWord>)</errorWord>
      <group>L1_Format</group>
      <groupName>格式问题</groupName>
      <ability>L2_HalfPunc</ability>
      <abilityName>全半角检查</abilityName>
      <candidateList>
        <item>）</item>
      </candidateList>
      <explain>文本全半角错误。</explain>
      <paraID>36E12B86</paraID>
      <start>46</start>
      <end>47</end>
      <status>unmodified</status>
      <modifiedWord/>
      <trackRevisions>false</trackRevisions>
    </reviewItem>
    <reviewItem>
      <errorID>33fe6fd2-b575-4fe0-bf3b-b042d2c83718</errorID>
      <errorWord>(</errorWord>
      <group>L1_Format</group>
      <groupName>格式问题</groupName>
      <ability>L2_HalfPunc</ability>
      <abilityName>全半角检查</abilityName>
      <candidateList>
        <item>（</item>
      </candidateList>
      <explain>文本全半角错误。</explain>
      <paraID>36E12B86</paraID>
      <start>62</start>
      <end>63</end>
      <status>unmodified</status>
      <modifiedWord/>
      <trackRevisions>false</trackRevisions>
    </reviewItem>
    <reviewItem>
      <errorID>4269c13c-e3ea-4844-9ac3-235a19ee0f68</errorID>
      <errorWord>)</errorWord>
      <group>L1_Format</group>
      <groupName>格式问题</groupName>
      <ability>L2_HalfPunc</ability>
      <abilityName>全半角检查</abilityName>
      <candidateList>
        <item>）</item>
      </candidateList>
      <explain>文本全半角错误。</explain>
      <paraID>36E12B86</paraID>
      <start>67</start>
      <end>68</end>
      <status>unmodified</status>
      <modifiedWord/>
      <trackRevisions>false</trackRevisions>
    </reviewItem>
    <reviewItem>
      <errorID>2378e9e9-f3ee-4bd3-b3c0-954312903ed3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2809CF16</paraID>
      <start>0</start>
      <end>3</end>
      <status>unmodified</status>
      <modifiedWord/>
      <trackRevisions>false</trackRevisions>
    </reviewItem>
    <reviewItem>
      <errorID>3b11d3aa-11ac-4845-833c-f5bb7a62ad99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7A4130D7</paraID>
      <start>0</start>
      <end>3</end>
      <status>unmodified</status>
      <modifiedWord/>
      <trackRevisions>false</trackRevisions>
    </reviewItem>
    <reviewItem>
      <errorID>ed3fb9a3-7a9a-4b2c-83c3-0198b5dcb3a3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25A298CE</paraID>
      <start>0</start>
      <end>3</end>
      <status>unmodified</status>
      <modifiedWord/>
      <trackRevisions>false</trackRevisions>
    </reviewItem>
    <reviewItem>
      <errorID>213f5ae8-b57c-44ff-a57c-9e9ad353d759</errorID>
      <errorWord>;</errorWord>
      <group>L1_Format</group>
      <groupName>格式问题</groupName>
      <ability>L2_HalfPunc</ability>
      <abilityName>全半角检查</abilityName>
      <candidateList>
        <item>；</item>
      </candidateList>
      <explain>文本全半角错误。</explain>
      <paraID>25A298CE</paraID>
      <start>35</start>
      <end>36</end>
      <status>unmodified</status>
      <modifiedWord/>
      <trackRevisions>false</trackRevisions>
    </reviewItem>
    <reviewItem>
      <errorID>c3e8287c-f3e3-48b9-9a45-e2ab03190b15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75602B72</paraID>
      <start>0</start>
      <end>2</end>
      <status>unmodified</status>
      <modifiedWord/>
      <trackRevisions>false</trackRevisions>
    </reviewItem>
    <reviewItem>
      <errorID>4c3b40f5-916d-42bf-94b8-54002717b350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3B94CCD2</paraID>
      <start>25</start>
      <end>28</end>
      <status>unmodified</status>
      <modifiedWord/>
      <trackRevisions>false</trackRevisions>
    </reviewItem>
    <reviewItem>
      <errorID>1c71857e-4489-46c5-8e87-fd166164af1e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3B94CCD2</paraID>
      <start>40</start>
      <end>43</end>
      <status>unmodified</status>
      <modifiedWord/>
      <trackRevisions>false</trackRevisions>
    </reviewItem>
    <reviewItem>
      <errorID>b5a349f3-9a67-4751-bd16-cc7a18da1b09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3B94CCD2</paraID>
      <start>52</start>
      <end>55</end>
      <status>unmodified</status>
      <modifiedWord/>
      <trackRevisions>false</trackRevisions>
    </reviewItem>
    <reviewItem>
      <errorID>3e8b72c1-c687-44d9-b2ca-5161c259b20f</errorID>
      <errorWord>(</errorWord>
      <group>L1_Format</group>
      <groupName>格式问题</groupName>
      <ability>L2_HalfPunc</ability>
      <abilityName>全半角检查</abilityName>
      <candidateList>
        <item>（</item>
      </candidateList>
      <explain>文本全半角错误。</explain>
      <paraID>3B94CCD2</paraID>
      <start>84</start>
      <end>85</end>
      <status>unmodified</status>
      <modifiedWord/>
      <trackRevisions>false</trackRevisions>
    </reviewItem>
    <reviewItem>
      <errorID>6d25cd75-84e0-4b58-8d51-9ee6c8804ebf</errorID>
      <errorWord>)</errorWord>
      <group>L1_Format</group>
      <groupName>格式问题</groupName>
      <ability>L2_HalfPunc</ability>
      <abilityName>全半角检查</abilityName>
      <candidateList>
        <item>）</item>
      </candidateList>
      <explain>文本全半角错误。</explain>
      <paraID>3B94CCD2</paraID>
      <start>97</start>
      <end>98</end>
      <status>unmodified</status>
      <modifiedWord/>
      <trackRevisions>false</trackRevisions>
    </reviewItem>
    <reviewItem>
      <errorID>2baecc8e-04b5-4b56-a54e-6f032f7fa4d5</errorID>
      <errorWord>(</errorWord>
      <group>L1_Format</group>
      <groupName>格式问题</groupName>
      <ability>L2_HalfPunc</ability>
      <abilityName>全半角检查</abilityName>
      <candidateList>
        <item>（</item>
      </candidateList>
      <explain>文本全半角错误。</explain>
      <paraID>3B94CCD2</paraID>
      <start>115</start>
      <end>116</end>
      <status>unmodified</status>
      <modifiedWord/>
      <trackRevisions>false</trackRevisions>
    </reviewItem>
    <reviewItem>
      <errorID>46c39a46-103e-4c22-b17a-918b3993346c</errorID>
      <errorWord>)</errorWord>
      <group>L1_Format</group>
      <groupName>格式问题</groupName>
      <ability>L2_HalfPunc</ability>
      <abilityName>全半角检查</abilityName>
      <candidateList>
        <item>）</item>
      </candidateList>
      <explain>文本全半角错误。</explain>
      <paraID>3B94CCD2</paraID>
      <start>127</start>
      <end>128</end>
      <status>unmodified</status>
      <modifiedWord/>
      <trackRevisions>false</trackRevisions>
    </reviewItem>
    <reviewItem>
      <errorID>3a406101-c98d-4355-a9e8-6e6b0ddc0a8d</errorID>
      <errorWord>其它</errorWord>
      <group>L1_Word</group>
      <groupName>字词问题</groupName>
      <ability>L2_Alias</ability>
      <abilityName>也作/曾用词</abilityName>
      <candidateList>
        <item>其他</item>
      </candidateList>
      <explain>词汇[其它]为不规范表述或旧称，其规范书面表述为[其他]。</explain>
      <paraID>3B94CCD2</paraID>
      <start>213</start>
      <end>215</end>
      <status>unmodified</status>
      <modifiedWord/>
      <trackRevisions>false</trackRevisions>
    </reviewItem>
    <reviewItem>
      <errorID>f54bb5c6-7c41-414f-a647-687e57dcc06b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5E3C0B15</paraID>
      <start>0</start>
      <end>3</end>
      <status>unmodified</status>
      <modifiedWord/>
      <trackRevisions>false</trackRevisions>
    </reviewItem>
    <reviewItem>
      <errorID>c53345da-0a48-4127-92d7-a94cfa7d2a94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7CB177F0</paraID>
      <start>0</start>
      <end>3</end>
      <status>unmodified</status>
      <modifiedWord/>
      <trackRevisions>false</trackRevisions>
    </reviewItem>
    <reviewItem>
      <errorID>b5954d8e-2b86-4f0a-a440-f83477756471</errorID>
      <errorWord>(</errorWord>
      <group>L1_Format</group>
      <groupName>格式问题</groupName>
      <ability>L2_HalfPunc</ability>
      <abilityName>全半角检查</abilityName>
      <candidateList>
        <item>（</item>
      </candidateList>
      <explain>文本全半角错误。</explain>
      <paraID>7CB177F0</paraID>
      <start>34</start>
      <end>35</end>
      <status>unmodified</status>
      <modifiedWord/>
      <trackRevisions>false</trackRevisions>
    </reviewItem>
    <reviewItem>
      <errorID>16fa796c-d06d-4665-8183-ad7417701649</errorID>
      <errorWord>)</errorWord>
      <group>L1_Format</group>
      <groupName>格式问题</groupName>
      <ability>L2_HalfPunc</ability>
      <abilityName>全半角检查</abilityName>
      <candidateList>
        <item>）</item>
      </candidateList>
      <explain>文本全半角错误。</explain>
      <paraID>7CB177F0</paraID>
      <start>47</start>
      <end>48</end>
      <status>unmodified</status>
      <modifiedWord/>
      <trackRevisions>false</trackRevisions>
    </reviewItem>
    <reviewItem>
      <errorID>0c9af570-f9a9-4bca-b835-8c6335f3b980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51797D73</paraID>
      <start>0</start>
      <end>3</end>
      <status>unmodified</status>
      <modifiedWord/>
      <trackRevisions>false</trackRevisions>
    </reviewItem>
    <reviewItem>
      <errorID>7be14e2c-a64e-4575-8b92-6f2bd81fe32e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73B3FCA1</paraID>
      <start>0</start>
      <end>3</end>
      <status>unmodified</status>
      <modifiedWord/>
      <trackRevisions>false</trackRevisions>
    </reviewItem>
    <reviewItem>
      <errorID>b55730fd-8a39-4162-969a-05df7495ba30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5657ABF3</paraID>
      <start>0</start>
      <end>3</end>
      <status>unmodified</status>
      <modifiedWord/>
      <trackRevisions>false</trackRevisions>
    </reviewItem>
    <reviewItem>
      <errorID>7bbec844-91d2-4898-9e17-bd1e42315c22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E9044F6</paraID>
      <start>0</start>
      <end>3</end>
      <status>unmodified</status>
      <modifiedWord/>
      <trackRevisions>false</trackRevisions>
    </reviewItem>
    <reviewItem>
      <errorID>66da3e2f-df59-4a6c-bc71-fc2f872aff58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60F55B06</paraID>
      <start>0</start>
      <end>3</end>
      <status>unmodified</status>
      <modifiedWord/>
      <trackRevisions>false</trackRevisions>
    </reviewItem>
    <reviewItem>
      <errorID>f8d97850-0754-437b-9d38-e1b751d883d1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65BB479F</paraID>
      <start>0</start>
      <end>3</end>
      <status>unmodified</status>
      <modifiedWord/>
      <trackRevisions>false</trackRevisions>
    </reviewItem>
    <reviewItem>
      <errorID>87503775-b7a8-4822-b1cf-2c29e4aee6fb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4927BED8</paraID>
      <start>0</start>
      <end>3</end>
      <status>unmodified</status>
      <modifiedWord/>
      <trackRevisions>false</trackRevisions>
    </reviewItem>
    <reviewItem>
      <errorID>78acb4db-acf0-4664-bc8e-6e05e1501bbe</errorID>
      <errorWord>(</errorWord>
      <group>L1_Format</group>
      <groupName>格式问题</groupName>
      <ability>L2_HalfPunc</ability>
      <abilityName>全半角检查</abilityName>
      <candidateList>
        <item>（</item>
      </candidateList>
      <explain>文本全半角错误。</explain>
      <paraID>67608DA6</paraID>
      <start>75</start>
      <end>76</end>
      <status>unmodified</status>
      <modifiedWord/>
      <trackRevisions>false</trackRevisions>
    </reviewItem>
    <reviewItem>
      <errorID>76edf09d-cdbd-4084-a096-391da34c6b33</errorID>
      <errorWord>)</errorWord>
      <group>L1_Format</group>
      <groupName>格式问题</groupName>
      <ability>L2_HalfPunc</ability>
      <abilityName>全半角检查</abilityName>
      <candidateList>
        <item>）</item>
      </candidateList>
      <explain>文本全半角错误。</explain>
      <paraID>67608DA6</paraID>
      <start>88</start>
      <end>89</end>
      <status>unmodified</status>
      <modifiedWord/>
      <trackRevisions>false</trackRevisions>
    </reviewItem>
    <reviewItem>
      <errorID>a5d9c149-8bd7-4993-a486-d91e384cd265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A9EBC2A</paraID>
      <start>57</start>
      <end>58</end>
      <status>unmodified</status>
      <modifiedWord/>
      <trackRevisions>false</trackRevisions>
    </reviewItem>
    <reviewItem>
      <errorID>2d8860b5-89cb-4936-a2b9-abb0bd5e4f00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5CC2C914</paraID>
      <start>23</start>
      <end>24</end>
      <status>unmodified</status>
      <modifiedWord/>
      <trackRevisions>false</trackRevisions>
    </reviewItem>
    <reviewItem>
      <errorID>fe0344c1-8cdf-499c-8a8e-58bb66b5cdb4</errorID>
      <errorWord>其它</errorWord>
      <group>L1_Word</group>
      <groupName>字词问题</groupName>
      <ability>L2_Alias</ability>
      <abilityName>也作/曾用词</abilityName>
      <candidateList>
        <item>其他</item>
      </candidateList>
      <explain>词汇[其它]为不规范表述或旧称，其规范书面表述为[其他]。</explain>
      <paraID>594880B6</paraID>
      <start>0</start>
      <end>2</end>
      <status>unmodified</status>
      <modifiedWord/>
      <trackRevisions>false</trackRevisions>
    </reviewItem>
    <reviewItem>
      <errorID>7e8a5405-c8fe-4899-afef-2e3f26acbdaa</errorID>
      <errorWord>其它</errorWord>
      <group>L1_Word</group>
      <groupName>字词问题</groupName>
      <ability>L2_Alias</ability>
      <abilityName>也作/曾用词</abilityName>
      <candidateList>
        <item>其他</item>
      </candidateList>
      <explain>词汇[其它]为不规范表述或旧称，其规范书面表述为[其他]。</explain>
      <paraID>261E517B</paraID>
      <start>0</start>
      <end>2</end>
      <status>unmodified</status>
      <modifiedWord/>
      <trackRevisions>false</trackRevisions>
    </reviewItem>
    <reviewItem>
      <errorID>181b105e-0198-4504-872e-8af32f83819f</errorID>
      <errorWord>-</errorWord>
      <group>L1_Format</group>
      <groupName>格式问题</groupName>
      <ability>L2_HalfPunc</ability>
      <abilityName>全半角检查</abilityName>
      <candidateList>
        <item>－</item>
      </candidateList>
      <explain>文本全半角错误。</explain>
      <paraID>41049E20</paraID>
      <start>41</start>
      <end>42</end>
      <status>unmodified</status>
      <modifiedWord/>
      <trackRevisions>false</trackRevisions>
    </reviewItem>
    <reviewItem>
      <errorID>5dd27c5f-bdef-4224-ad08-74f26ffa48bf</errorID>
      <errorWord>(</errorWord>
      <group>L1_Format</group>
      <groupName>格式问题</groupName>
      <ability>L2_HalfPunc</ability>
      <abilityName>全半角检查</abilityName>
      <candidateList>
        <item>（</item>
      </candidateList>
      <explain>文本全半角错误。</explain>
      <paraID>41049E20</paraID>
      <start>48</start>
      <end>49</end>
      <status>unmodified</status>
      <modifiedWord/>
      <trackRevisions>false</trackRevisions>
    </reviewItem>
    <reviewItem>
      <errorID>165a6230-1fc9-4eda-9735-867f2090b088</errorID>
      <errorWord>)</errorWord>
      <group>L1_Format</group>
      <groupName>格式问题</groupName>
      <ability>L2_HalfPunc</ability>
      <abilityName>全半角检查</abilityName>
      <candidateList>
        <item>）</item>
      </candidateList>
      <explain>文本全半角错误。</explain>
      <paraID>41049E20</paraID>
      <start>59</start>
      <end>60</end>
      <status>unmodified</status>
      <modifiedWord/>
      <trackRevisions>false</trackRevisions>
    </reviewItem>
    <reviewItem>
      <errorID>924e531a-f7fc-4300-9934-c98f9a56a01d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3F8B35CC</paraID>
      <start>55</start>
      <end>56</end>
      <status>unmodified</status>
      <modifiedWord/>
      <trackRevisions>false</trackRevisions>
    </reviewItem>
    <reviewItem>
      <errorID>a14821f1-fe16-4787-895b-90d1ea6cc524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6B9CA0A9</paraID>
      <start>0</start>
      <end>2</end>
      <status>unmodified</status>
      <modifiedWord/>
      <trackRevisions>false</trackRevisions>
    </reviewItem>
    <reviewItem>
      <errorID>28651213-f292-47f7-a423-3913770d5bf7</errorID>
      <errorWord>(</errorWord>
      <group>L1_Format</group>
      <groupName>格式问题</groupName>
      <ability>L2_HalfPunc</ability>
      <abilityName>全半角检查</abilityName>
      <candidateList>
        <item>（</item>
      </candidateList>
      <explain>文本全半角错误。</explain>
      <paraID>4269E6C3</paraID>
      <start>96</start>
      <end>97</end>
      <status>unmodified</status>
      <modifiedWord/>
      <trackRevisions>false</trackRevisions>
    </reviewItem>
    <reviewItem>
      <errorID>7d219154-b099-4a4a-ab6b-1b7ef3da53f8</errorID>
      <errorWord>)</errorWord>
      <group>L1_Format</group>
      <groupName>格式问题</groupName>
      <ability>L2_HalfPunc</ability>
      <abilityName>全半角检查</abilityName>
      <candidateList>
        <item>）</item>
      </candidateList>
      <explain>文本全半角错误。</explain>
      <paraID>4269E6C3</paraID>
      <start>109</start>
      <end>110</end>
      <status>unmodified</status>
      <modifiedWord/>
      <trackRevisions>false</trackRevisions>
    </reviewItem>
    <reviewItem>
      <errorID>07e1816f-8fd5-4dba-88dc-7a4ad562f082</errorID>
      <errorWord>（事</errorWord>
      <group>L1_Word</group>
      <groupName>字词问题</groupName>
      <ability>L2_Typo</ability>
      <abilityName>字词错误</abilityName>
      <candidateList>
        <item>（</item>
      </candidateList>
      <explain/>
      <paraID>35318209</paraID>
      <start>4</start>
      <end>6</end>
      <status>unmodified</status>
      <modifiedWord/>
      <trackRevisions>false</trackRevisions>
    </reviewItem>
    <reviewItem>
      <errorID>c3602304-24ba-428e-a6b2-6b350dc4db3b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3F853F24</paraID>
      <start>0</start>
      <end>2</end>
      <status>unmodified</status>
      <modifiedWord/>
      <trackRevisions>false</trackRevisions>
    </reviewItem>
    <reviewItem>
      <errorID>f227f956-80e1-4a27-8b9c-81383b4ee1a9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1E762321</paraID>
      <start>0</start>
      <end>2</end>
      <status>unmodified</status>
      <modifiedWord/>
      <trackRevisions>false</trackRevisions>
    </reviewItem>
    <reviewItem>
      <errorID>b23ff00e-c705-4a6e-ae09-8d2f8fbce202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761A797D</paraID>
      <start>0</start>
      <end>2</end>
      <status>unmodified</status>
      <modifiedWord/>
      <trackRevisions>false</trackRevisions>
    </reviewItem>
    <reviewItem>
      <errorID>83439ce1-9de6-4369-919b-380c9c6b448d</errorID>
      <errorWord>&lt;</errorWord>
      <group>L1_Format</group>
      <groupName>格式问题</groupName>
      <ability>L2_HalfPunc</ability>
      <abilityName>全半角检查</abilityName>
      <candidateList>
        <item>〈</item>
      </candidateList>
      <explain>文本全半角错误。</explain>
      <paraID>268B3241</paraID>
      <start>40</start>
      <end>41</end>
      <status>unmodified</status>
      <modifiedWord/>
      <trackRevisions>false</trackRevisions>
    </reviewItem>
    <reviewItem>
      <errorID>f8de15d1-3ca9-4e64-9793-d3e4521b60f7</errorID>
      <errorWord>(</errorWord>
      <group>L1_Format</group>
      <groupName>格式问题</groupName>
      <ability>L2_HalfPunc</ability>
      <abilityName>全半角检查</abilityName>
      <candidateList>
        <item>（</item>
      </candidateList>
      <explain>文本全半角错误。</explain>
      <paraID>268B3241</paraID>
      <start>55</start>
      <end>56</end>
      <status>unmodified</status>
      <modifiedWord/>
      <trackRevisions>false</trackRevisions>
    </reviewItem>
    <reviewItem>
      <errorID>dae58830-5292-45aa-8272-870d1499fd65</errorID>
      <errorWord>)</errorWord>
      <group>L1_Format</group>
      <groupName>格式问题</groupName>
      <ability>L2_HalfPunc</ability>
      <abilityName>全半角检查</abilityName>
      <candidateList>
        <item>）</item>
      </candidateList>
      <explain>文本全半角错误。</explain>
      <paraID>268B3241</paraID>
      <start>58</start>
      <end>59</end>
      <status>unmodified</status>
      <modifiedWord/>
      <trackRevisions>false</trackRevisions>
    </reviewItem>
    <reviewItem>
      <errorID>70690d47-dc16-48f0-b400-c031617e97db</errorID>
      <errorWord>[2014]34号</errorWord>
      <group>L1_Knowledge</group>
      <groupName>知识性问题</groupName>
      <ability>L2_Knowledge</ability>
      <abilityName>其他知识</abilityName>
      <candidateList>
        <item>〔2014〕34号</item>
      </candidateList>
      <explain>发文字号格式错误。</explain>
      <paraID>268B3241</paraID>
      <start>67</start>
      <end>76</end>
      <status>modified</status>
      <modifiedWord>〔2014〕34号</modifiedWord>
      <trackRevisions>false</trackRevisions>
    </reviewItem>
    <reviewItem>
      <errorID>d96bbaff-bb1f-4a81-850b-ebf65b5ceb81</errorID>
      <errorWord>)</errorWord>
      <group>L1_Format</group>
      <groupName>格式问题</groupName>
      <ability>L2_HalfPunc</ability>
      <abilityName>全半角检查</abilityName>
      <candidateList>
        <item>）</item>
      </candidateList>
      <explain>文本全半角错误。</explain>
      <paraID>268B3241</paraID>
      <start>76</start>
      <end>77</end>
      <status>unmodified</status>
      <modifiedWord/>
      <trackRevisions>false</trackRevisions>
    </reviewItem>
    <reviewItem>
      <errorID>600bbc88-e27d-43c2-827d-64e345e6c83e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14E6C34E</paraID>
      <start>0</start>
      <end>2</end>
      <status>unmodified</status>
      <modifiedWord/>
      <trackRevisions>false</trackRevisions>
    </reviewItem>
    <reviewItem>
      <errorID>49c5d36e-7c5f-4740-b3b9-950eade96afd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591FAB1F</paraID>
      <start>0</start>
      <end>3</end>
      <status>unmodified</status>
      <modifiedWord/>
      <trackRevisions>false</trackRevisions>
    </reviewItem>
    <reviewItem>
      <errorID>670f25dd-948f-4e9b-b25c-5d275e7e99d7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66A5AF06</paraID>
      <start>0</start>
      <end>3</end>
      <status>unmodified</status>
      <modifiedWord/>
      <trackRevisions>false</trackRevisions>
    </reviewItem>
    <reviewItem>
      <errorID>b51f5c41-13b1-4dff-b658-17dc1ef05941</errorID>
      <errorWord>(</errorWord>
      <group>L1_Format</group>
      <groupName>格式问题</groupName>
      <ability>L2_HalfPunc</ability>
      <abilityName>全半角检查</abilityName>
      <candidateList>
        <item>（</item>
      </candidateList>
      <explain>文本全半角错误。</explain>
      <paraID>436863B2</paraID>
      <start>86</start>
      <end>87</end>
      <status>unmodified</status>
      <modifiedWord/>
      <trackRevisions>false</trackRevisions>
    </reviewItem>
    <reviewItem>
      <errorID>a8f7f074-5914-4556-99d3-a7b360b8600e</errorID>
      <errorWord>)</errorWord>
      <group>L1_Format</group>
      <groupName>格式问题</groupName>
      <ability>L2_HalfPunc</ability>
      <abilityName>全半角检查</abilityName>
      <candidateList>
        <item>）</item>
      </candidateList>
      <explain>文本全半角错误。</explain>
      <paraID>436863B2</paraID>
      <start>99</start>
      <end>100</end>
      <status>unmodified</status>
      <modifiedWord/>
      <trackRevisions>false</trackRevisions>
    </reviewItem>
    <reviewItem>
      <errorID>42c69d62-ab4c-4dc6-a6e1-b3ba6f5c565d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6987B31B</paraID>
      <start>0</start>
      <end>3</end>
      <status>unmodified</status>
      <modifiedWord/>
      <trackRevisions>false</trackRevisions>
    </reviewItem>
    <reviewItem>
      <errorID>de4982ab-1ce7-44b3-a326-b22ddf781bd4</errorID>
      <errorWord>各</errorWord>
      <group>L1_Word</group>
      <groupName>字词问题</groupName>
      <ability>L2_Typo</ability>
      <abilityName>字词错误</abilityName>
      <candidateList>
        <item>各项</item>
      </candidateList>
      <explain/>
      <paraID> 9BCE7B7</paraID>
      <start>72</start>
      <end>73</end>
      <status>unmodified</status>
      <modifiedWord/>
      <trackRevisions>false</trackRevisions>
    </reviewItem>
    <reviewItem>
      <errorID>ec9248ab-e625-45ed-ba4a-d7ee84e274eb</errorID>
      <errorWord>的机率不</errorWord>
      <group>L1_Word</group>
      <groupName>字词问题</groupName>
      <ability>L2_Typo</ability>
      <abilityName>字词错误</abilityName>
      <candidateList>
        <item>的概率不</item>
      </candidateList>
      <explain/>
      <paraID> B5345F5</paraID>
      <start>242</start>
      <end>246</end>
      <status>unmodified</status>
      <modifiedWord/>
      <trackRevisions>false</trackRevisions>
    </reviewItem>
    <reviewItem>
      <errorID>cb3c5845-cd39-47a0-a539-614ba80e706a</errorID>
      <errorWord>采用其它</errorWord>
      <group>L1_Word</group>
      <groupName>字词问题</groupName>
      <ability>L2_Alias</ability>
      <abilityName>也作/曾用词</abilityName>
      <candidateList>
        <item>采用其他</item>
      </candidateList>
      <explain>词汇[采用其它]为不规范表述或旧称，其规范书面表述为[采用其他]。</explain>
      <paraID>1FF802A2</paraID>
      <start>61</start>
      <end>65</end>
      <status>unmodified</status>
      <modifiedWord/>
      <trackRevisions>false</trackRevisions>
    </reviewItem>
    <reviewItem>
      <errorID>b63b41c3-6361-45f6-abc5-82a49441a0f9</errorID>
      <errorWord>采用其它</errorWord>
      <group>L1_Word</group>
      <groupName>字词问题</groupName>
      <ability>L2_Alias</ability>
      <abilityName>也作/曾用词</abilityName>
      <candidateList>
        <item>采用其他</item>
      </candidateList>
      <explain>词汇[采用其它]为不规范表述或旧称，其规范书面表述为[采用其他]。</explain>
      <paraID>1FF802A2</paraID>
      <start>231</start>
      <end>235</end>
      <status>unmodified</status>
      <modifiedWord/>
      <trackRevisions>false</trackRevisions>
    </reviewItem>
    <reviewItem>
      <errorID>32d29b57-39c2-427a-b5b1-54100ce1a434</errorID>
      <errorWord>)</errorWord>
      <group>L1_Format</group>
      <groupName>格式问题</groupName>
      <ability>L2_HalfPunc</ability>
      <abilityName>全半角检查</abilityName>
      <candidateList>
        <item>）</item>
      </candidateList>
      <explain>文本全半角错误。</explain>
      <paraID>1FF802A2</paraID>
      <start>344</start>
      <end>345</end>
      <status>unmodified</status>
      <modifiedWord/>
      <trackRevisions>false</trackRevisions>
    </reviewItem>
    <reviewItem>
      <errorID>6efdd6d6-211c-4861-9da5-29c597345c37</errorID>
      <errorWord>(</errorWord>
      <group>L1_Format</group>
      <groupName>格式问题</groupName>
      <ability>L2_HalfPunc</ability>
      <abilityName>全半角检查</abilityName>
      <candidateList>
        <item>（</item>
      </candidateList>
      <explain>文本全半角错误。</explain>
      <paraID>1FF802A2</paraID>
      <start>368</start>
      <end>369</end>
      <status>unmodified</status>
      <modifiedWord/>
      <trackRevisions>false</trackRevisions>
    </reviewItem>
    <reviewItem>
      <errorID>01968ea8-55f5-414b-8625-63486ac24707</errorID>
      <errorWord>截流</errorWord>
      <group>L1_Word</group>
      <groupName>字词问题</groupName>
      <ability>L2_Typo</ability>
      <abilityName>字词错误</abilityName>
      <candidateList>
        <item>截留</item>
      </candidateList>
      <explain/>
      <paraID>2EFD33FA</paraID>
      <start>85</start>
      <end>87</end>
      <status>modified</status>
      <modifiedWord>截留</modifiedWord>
      <trackRevisions>false</trackRevisions>
    </reviewItem>
    <reviewItem>
      <errorID>59d0b9ba-af95-468a-91fb-8f162e9ebe45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2931FCFC</paraID>
      <start>132</start>
      <end>133</end>
      <status>unmodified</status>
      <modifiedWord/>
      <trackRevisions>false</trackRevisions>
    </reviewItem>
    <reviewItem>
      <errorID>a5bad878-cd56-47db-abf7-a9711761a3ad</errorID>
      <errorWord>设</errorWord>
      <group>L1_Word</group>
      <groupName>字词问题</groupName>
      <ability>L2_Typo</ability>
      <abilityName>字词错误</abilityName>
      <candidateList>
        <item>设置</item>
      </candidateList>
      <explain>〈动〉❶设立：这座剧院是为儿童～的。❷安放；安装：～障碍。</explain>
      <paraID>51A060AD</paraID>
      <start>16</start>
      <end>17</end>
      <status>unmodified</status>
      <modifiedWord/>
      <trackRevisions>false</trackRevisions>
    </reviewItem>
    <reviewItem>
      <errorID>01e23c03-cb17-4a4b-ab08-7c8c82a94cc4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5F5D771C</paraID>
      <start>149</start>
      <end>150</end>
      <status>unmodified</status>
      <modifiedWord/>
      <trackRevisions>false</trackRevisions>
    </reviewItem>
    <reviewItem>
      <errorID>52b9e0da-e1d0-48bc-a1be-d47b1bcca0e5</errorID>
      <errorWord>设</errorWord>
      <group>L1_Word</group>
      <groupName>字词问题</groupName>
      <ability>L2_Typo</ability>
      <abilityName>字词错误</abilityName>
      <candidateList>
        <item>设立</item>
      </candidateList>
      <explain/>
      <paraID> 744A5EE</paraID>
      <start>22</start>
      <end>23</end>
      <status>unmodified</status>
      <modifiedWord/>
      <trackRevisions>false</trackRevisions>
    </reviewItem>
    <reviewItem>
      <errorID>d5b50366-bd87-4960-95d8-a2f706e6f7e6</errorID>
      <errorWord>及</errorWord>
      <group>L1_Word</group>
      <groupName>字词问题</groupName>
      <ability>L2_Typo</ability>
      <abilityName>字词错误</abilityName>
      <candidateList>
        <item>及时</item>
      </candidateList>
      <explain>❶〈形〉正赶上时候；适合需要：～雨｜他来得很～。❷〈副〉不拖延；马上；立刻：有问题就～解决。</explain>
      <paraID> BE14FB3</paraID>
      <start>111</start>
      <end>112</end>
      <status>unmodified</status>
      <modifiedWord/>
      <trackRevisions>false</trackRevisions>
    </reviewItem>
    <reviewItem>
      <errorID>0723cc16-9cec-4929-96ac-8bd22f33347e</errorID>
      <errorWord>提高</errorWord>
      <group>L1_Grammar</group>
      <groupName>语法问题</groupName>
      <ability>L2_Grammar</ability>
      <abilityName>语法错误</abilityName>
      <candidateList>
        <item>增强</item>
      </candidateList>
      <explain>“提高～意识”搭配不当，建议修改为“增强～意识”。</explain>
      <paraID> F1CA262</paraID>
      <start>80</start>
      <end>82</end>
      <status>unmodified</status>
      <modifiedWord/>
      <trackRevisions>false</trackRevisions>
    </reviewItem>
    <reviewItem>
      <errorID>3f79130a-cc8e-451b-a4ed-69d66d874020</errorID>
      <errorWord>围档</errorWord>
      <group>L1_Word</group>
      <groupName>字词问题</groupName>
      <ability>L2_Typo</ability>
      <abilityName>字词错误</abilityName>
      <candidateList>
        <item>围挡</item>
      </candidateList>
      <explain>存在发音相同字词的误用。</explain>
      <paraID>587F0786</paraID>
      <start>2</start>
      <end>4</end>
      <status>modified</status>
      <modifiedWord>围挡</modifiedWord>
      <trackRevisions>false</trackRevisions>
    </reviewItem>
    <reviewItem>
      <errorID>8bfaaf33-7981-41fc-9e6a-e84e381fad23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6BCAE5F9</paraID>
      <start>0</start>
      <end>2</end>
      <status>unmodified</status>
      <modifiedWord/>
      <trackRevisions>false</trackRevisions>
    </reviewItem>
    <reviewItem>
      <errorID>be1f5061-c668-4954-8849-65a1b244c7da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2465E9EC</paraID>
      <start>0</start>
      <end>2</end>
      <status>unmodified</status>
      <modifiedWord/>
      <trackRevisions>false</trackRevisions>
    </reviewItem>
    <reviewItem>
      <errorID>99499fa9-47fe-45a1-8bd4-069f56ebe084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49496437</paraID>
      <start>0</start>
      <end>2</end>
      <status>unmodified</status>
      <modifiedWord/>
      <trackRevisions>false</trackRevisions>
    </reviewItem>
    <reviewItem>
      <errorID>42a742a5-4004-425c-96bf-9d23f3269d87</errorID>
      <errorWord>目</errorWord>
      <group>L1_Word</group>
      <groupName>字词问题</groupName>
      <ability>L2_Typo</ability>
      <abilityName>字词错误</abilityName>
      <candidateList>
        <item>目可</item>
      </candidateList>
      <explain/>
      <paraID>2A4DE74E</paraID>
      <start>21</start>
      <end>22</end>
      <status>unmodified</status>
      <modifiedWord/>
      <trackRevisions>false</trackRevisions>
    </reviewItem>
    <reviewItem>
      <errorID>257a30c1-c917-40d1-bbb6-748590188d2b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34B784D2</paraID>
      <start>0</start>
      <end>3</end>
      <status>unmodified</status>
      <modifiedWord/>
      <trackRevisions>false</trackRevisions>
    </reviewItem>
    <reviewItem>
      <errorID>f625b680-3ff1-4835-937a-1b03bc54b702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42FF616A</paraID>
      <start>0</start>
      <end>3</end>
      <status>unmodified</status>
      <modifiedWord/>
      <trackRevisions>false</trackRevisions>
    </reviewItem>
    <reviewItem>
      <errorID>b3487f63-b0ae-4ae9-a182-caae3d916ef7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3650FDC8</paraID>
      <start>0</start>
      <end>3</end>
      <status>unmodified</status>
      <modifiedWord/>
      <trackRevisions>false</trackRevisions>
    </reviewItem>
    <reviewItem>
      <errorID>7d1230bb-14ff-46fe-ac9a-617bf8cc2749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62E19DF7</paraID>
      <start>0</start>
      <end>3</end>
      <status>unmodified</status>
      <modifiedWord/>
      <trackRevisions>false</trackRevisions>
    </reviewItem>
    <reviewItem>
      <errorID>86ca50e2-9959-4c11-97df-acd3baed3f2f</errorID>
      <errorWord>。。</errorWord>
      <group>L1_Punc</group>
      <groupName>标点问题</groupName>
      <ability>L2_Punc</ability>
      <abilityName>标点符号检查</abilityName>
      <candidateList>
        <item>。</item>
      </candidateList>
      <explain/>
      <paraID>62E19DF7</paraID>
      <start>54</start>
      <end>55</end>
      <status>modified</status>
      <modifiedWord>。</modifiedWord>
      <trackRevisions>false</trackRevisions>
    </reviewItem>
    <reviewItem>
      <errorID>979a7e3d-8c5c-4d84-bf12-ef01418076aa</errorID>
      <errorWord>加强</errorWord>
      <group>L1_Grammar</group>
      <groupName>语法问题</groupName>
      <ability>L2_Grammar</ability>
      <abilityName>语法错误</abilityName>
      <candidateList>
        <item>加大</item>
      </candidateList>
      <explain>“加强～力度”搭配不当，建议修改为“加大～力度”。</explain>
      <paraID>483D4AD4</paraID>
      <start>17</start>
      <end>19</end>
      <status>unmodified</status>
      <modifiedWord/>
      <trackRevisions>false</trackRevisions>
    </reviewItem>
    <reviewItem>
      <errorID>0e192e52-d3cd-451f-a187-64124ae86a6a</errorID>
      <errorWord>程</errorWord>
      <group>L1_Word</group>
      <groupName>字词问题</groupName>
      <ability>L2_Typo</ability>
      <abilityName>字词错误</abilityName>
      <candidateList>
        <item>程中</item>
      </candidateList>
      <explain/>
      <paraID>483D4AD4</paraID>
      <start>110</start>
      <end>111</end>
      <status>unmodified</status>
      <modifiedWord/>
      <trackRevisions>false</trackRevisions>
    </reviewItem>
    <reviewItem>
      <errorID>af6547d5-a432-4190-b102-039c4d7eacb3</errorID>
      <errorWord>国家生态环境部</errorWord>
      <group>L1_Political</group>
      <groupName>政治性问题</groupName>
      <ability>L2_Unpolitical</ability>
      <abilityName>政治敏感错误</abilityName>
      <candidateList>
        <item>生态环境部</item>
      </candidateList>
      <explain/>
      <paraID>71F52142</paraID>
      <start>57</start>
      <end>64</end>
      <status>unmodified</status>
      <modifiedWord/>
      <trackRevisions>false</trackRevisions>
    </reviewItem>
    <reviewItem>
      <errorID>622fdaea-828f-463d-905f-503b5304c7a2</errorID>
      <errorWord>制定出</errorWord>
      <group>L1_Word</group>
      <groupName>字词问题</groupName>
      <ability>L2_Typo</ability>
      <abilityName>字词错误</abilityName>
      <candidateList>
        <item>制定</item>
      </candidateList>
      <explain>〈动〉定出（法律、规程、政策等）：～宪法｜～学会章程。</explain>
      <paraID>67F13BBE</paraID>
      <start>9</start>
      <end>11</end>
      <status>modified</status>
      <modifiedWord>制定</modifiedWord>
      <trackRevisions>false</trackRevisions>
    </reviewItem>
    <reviewItem>
      <errorID>6d9fa593-f241-46a1-b159-433ccfbc4579</errorID>
      <errorWord>企业的</errorWord>
      <group>L1_Word</group>
      <groupName>字词问题</groupName>
      <ability>L2_Typo</ability>
      <abilityName>字词错误</abilityName>
      <candidateList>
        <item>企业</item>
      </candidateList>
      <explain>〈名〉从事生产、运输、贸易等经济活动的部门，如工厂、矿山、铁路、公司等。</explain>
      <paraID>67F13BBE</paraID>
      <start>21</start>
      <end>23</end>
      <status>modified</status>
      <modifiedWord>企业</modifiedWord>
      <trackRevisions>false</trackRevisions>
    </reviewItem>
    <reviewItem>
      <errorID>e988403c-e516-4717-9100-00013f3b800f</errorID>
      <errorWord>提高</errorWord>
      <group>L1_Grammar</group>
      <groupName>语法问题</groupName>
      <ability>L2_Grammar</ability>
      <abilityName>语法错误</abilityName>
      <candidateList>
        <item>增强</item>
      </candidateList>
      <explain>“提高～意识”搭配不当，建议修改为“增强～意识”。</explain>
      <paraID>6F2177BE</paraID>
      <start>45</start>
      <end>47</end>
      <status>unmodified</status>
      <modifiedWord/>
      <trackRevisions>false</trackRevisions>
    </reviewItem>
    <reviewItem>
      <errorID>450b000e-b76e-4f53-b8f8-3c893305b635</errorID>
      <errorWord>理</errorWord>
      <group>L1_Word</group>
      <groupName>字词问题</groupName>
      <ability>L2_Typo</ability>
      <abilityName>字词错误</abilityName>
      <candidateList>
        <item>量</item>
      </candidateList>
      <explain/>
      <paraID>3C5AB6B4</paraID>
      <start>15</start>
      <end>16</end>
      <status>unmodified</status>
      <modifiedWord/>
      <trackRevisions>false</trackRevisions>
    </reviewItem>
    <reviewItem>
      <errorID>ab5f4bd5-44fa-40ac-bd4f-4392791cd344</errorID>
      <errorWord>(</errorWord>
      <group>L1_Format</group>
      <groupName>格式问题</groupName>
      <ability>L2_HalfPunc</ability>
      <abilityName>全半角检查</abilityName>
      <candidateList>
        <item>（</item>
      </candidateList>
      <explain>文本全半角错误。</explain>
      <paraID>4BA7EBFE</paraID>
      <start>5</start>
      <end>6</end>
      <status>unmodified</status>
      <modifiedWord/>
      <trackRevisions>false</trackRevisions>
    </reviewItem>
    <reviewItem>
      <errorID>61901949-3bdd-4601-80e7-0056f5cbbf03</errorID>
      <errorWord>)</errorWord>
      <group>L1_Format</group>
      <groupName>格式问题</groupName>
      <ability>L2_HalfPunc</ability>
      <abilityName>全半角检查</abilityName>
      <candidateList>
        <item>）</item>
      </candidateList>
      <explain>文本全半角错误。</explain>
      <paraID>4BA7EBFE</paraID>
      <start>8</start>
      <end>9</end>
      <status>unmodified</status>
      <modifiedWord/>
      <trackRevisions>false</trackRevisions>
    </reviewItem>
    <reviewItem>
      <errorID>a258fa70-77fd-49a0-9890-046027978e78</errorID>
      <errorWord>纳入到</errorWord>
      <group>L1_Word</group>
      <groupName>字词问题</groupName>
      <ability>L2_Typo</ability>
      <abilityName>字词错误</abilityName>
      <candidateList>
        <item>纳入</item>
      </candidateList>
      <explain>〈动〉放进；归入（多用于抽象事物）：～正轨｜～计划。</explain>
      <paraID>61C7C027</paraID>
      <start>79</start>
      <end>82</end>
      <status>unmodified</status>
      <modifiedWord/>
      <trackRevisions>false</trackRevisions>
    </reviewItem>
    <reviewItem>
      <errorID>657420f7-6793-4874-a2a0-49c0333e9765</errorID>
      <errorWord>(</errorWord>
      <group>L1_Format</group>
      <groupName>格式问题</groupName>
      <ability>L2_HalfPunc</ability>
      <abilityName>全半角检查</abilityName>
      <candidateList>
        <item>（</item>
      </candidateList>
      <explain>文本全半角错误。</explain>
      <paraID>1E92C506</paraID>
      <start>76</start>
      <end>77</end>
      <status>unmodified</status>
      <modifiedWord/>
      <trackRevisions>false</trackRevisions>
    </reviewItem>
    <reviewItem>
      <errorID>aa6d68b4-24fb-458c-bc40-7c2014748448</errorID>
      <errorWord>)</errorWord>
      <group>L1_Format</group>
      <groupName>格式问题</groupName>
      <ability>L2_HalfPunc</ability>
      <abilityName>全半角检查</abilityName>
      <candidateList>
        <item>）</item>
      </candidateList>
      <explain>文本全半角错误。</explain>
      <paraID>1E92C506</paraID>
      <start>78</start>
      <end>79</end>
      <status>unmodified</status>
      <modifiedWord/>
      <trackRevisions>false</trackRevisions>
    </reviewItem>
    <reviewItem>
      <errorID>0724bee4-b49d-4a86-bd6b-5c98f489c01c</errorID>
      <errorWord>(</errorWord>
      <group>L1_Format</group>
      <groupName>格式问题</groupName>
      <ability>L2_HalfPunc</ability>
      <abilityName>全半角检查</abilityName>
      <candidateList>
        <item>（</item>
      </candidateList>
      <explain>文本全半角错误。</explain>
      <paraID>59075565</paraID>
      <start>18</start>
      <end>19</end>
      <status>unmodified</status>
      <modifiedWord/>
      <trackRevisions>false</trackRevisions>
    </reviewItem>
    <reviewItem>
      <errorID>44bab5a7-f18e-4cc7-adcd-236a2715123a</errorID>
      <errorWord>)</errorWord>
      <group>L1_Format</group>
      <groupName>格式问题</groupName>
      <ability>L2_HalfPunc</ability>
      <abilityName>全半角检查</abilityName>
      <candidateList>
        <item>）</item>
      </candidateList>
      <explain>文本全半角错误。</explain>
      <paraID>59075565</paraID>
      <start>25</start>
      <end>26</end>
      <status>unmodified</status>
      <modifiedWord/>
      <trackRevisions>false</trackRevisions>
    </reviewItem>
    <reviewItem>
      <errorID>36c8d4bc-2278-49f3-b2df-f1373a9be4e7</errorID>
      <errorWord>(</errorWord>
      <group>L1_Format</group>
      <groupName>格式问题</groupName>
      <ability>L2_HalfPunc</ability>
      <abilityName>全半角检查</abilityName>
      <candidateList>
        <item>（</item>
      </candidateList>
      <explain>文本全半角错误。</explain>
      <paraID>3E5E0EE8</paraID>
      <start>3</start>
      <end>4</end>
      <status>unmodified</status>
      <modifiedWord/>
      <trackRevisions>false</trackRevisions>
    </reviewItem>
    <reviewItem>
      <errorID>35365895-6ee8-4f22-840e-22946cfcfedf</errorID>
      <errorWord>)</errorWord>
      <group>L1_Format</group>
      <groupName>格式问题</groupName>
      <ability>L2_HalfPunc</ability>
      <abilityName>全半角检查</abilityName>
      <candidateList>
        <item>）</item>
      </candidateList>
      <explain>文本全半角错误。</explain>
      <paraID>3E5E0EE8</paraID>
      <start>8</start>
      <end>9</end>
      <status>unmodified</status>
      <modifiedWord/>
      <trackRevisions>false</trackRevisions>
    </reviewItem>
    <reviewItem>
      <errorID>3e1217d4-1bfc-45d1-a5e0-37644275f324</errorID>
      <errorWord>(</errorWord>
      <group>L1_Format</group>
      <groupName>格式问题</groupName>
      <ability>L2_HalfPunc</ability>
      <abilityName>全半角检查</abilityName>
      <candidateList>
        <item>（</item>
      </candidateList>
      <explain>文本全半角错误。</explain>
      <paraID>1AF55E55</paraID>
      <start>4</start>
      <end>5</end>
      <status>unmodified</status>
      <modifiedWord/>
      <trackRevisions>false</trackRevisions>
    </reviewItem>
    <reviewItem>
      <errorID>83e51ce8-e022-4e17-8214-a2a1e58ffaed</errorID>
      <errorWord>)</errorWord>
      <group>L1_Format</group>
      <groupName>格式问题</groupName>
      <ability>L2_HalfPunc</ability>
      <abilityName>全半角检查</abilityName>
      <candidateList>
        <item>）</item>
      </candidateList>
      <explain>文本全半角错误。</explain>
      <paraID>1AF55E55</paraID>
      <start>9</start>
      <end>10</end>
      <status>unmodified</status>
      <modifiedWord/>
      <trackRevisions>false</trackRevisions>
    </reviewItem>
    <reviewItem>
      <errorID>7140d749-ef20-42f1-8b72-b5f4e6706373</errorID>
      <errorWord>(</errorWord>
      <group>L1_Format</group>
      <groupName>格式问题</groupName>
      <ability>L2_HalfPunc</ability>
      <abilityName>全半角检查</abilityName>
      <candidateList>
        <item>（</item>
      </candidateList>
      <explain>文本全半角错误。</explain>
      <paraID>4D984C4D</paraID>
      <start>2</start>
      <end>3</end>
      <status>unmodified</status>
      <modifiedWord/>
      <trackRevisions>false</trackRevisions>
    </reviewItem>
    <reviewItem>
      <errorID>003729c3-f3a0-4c63-bd5a-7ff85bfaa626</errorID>
      <errorWord>)</errorWord>
      <group>L1_Format</group>
      <groupName>格式问题</groupName>
      <ability>L2_HalfPunc</ability>
      <abilityName>全半角检查</abilityName>
      <candidateList>
        <item>）</item>
      </candidateList>
      <explain>文本全半角错误。</explain>
      <paraID>4D984C4D</paraID>
      <start>8</start>
      <end>9</end>
      <status>unmodified</status>
      <modifiedWord/>
      <trackRevisions>false</trackRevisions>
    </reviewItem>
    <reviewItem>
      <errorID>3fd82b5c-2717-47e3-acf2-3cff47c041d8</errorID>
      <errorWord>(</errorWord>
      <group>L1_Format</group>
      <groupName>格式问题</groupName>
      <ability>L2_HalfPunc</ability>
      <abilityName>全半角检查</abilityName>
      <candidateList>
        <item>（</item>
      </candidateList>
      <explain>文本全半角错误。</explain>
      <paraID>5147A8D4</paraID>
      <start>2</start>
      <end>3</end>
      <status>unmodified</status>
      <modifiedWord/>
      <trackRevisions>false</trackRevisions>
    </reviewItem>
    <reviewItem>
      <errorID>b3461b3d-2c41-480e-8451-34ff8fdf8ff1</errorID>
      <errorWord>)</errorWord>
      <group>L1_Format</group>
      <groupName>格式问题</groupName>
      <ability>L2_HalfPunc</ability>
      <abilityName>全半角检查</abilityName>
      <candidateList>
        <item>）</item>
      </candidateList>
      <explain>文本全半角错误。</explain>
      <paraID>5147A8D4</paraID>
      <start>7</start>
      <end>8</end>
      <status>unmodified</status>
      <modifiedWord/>
      <trackRevisions>false</trackRevisions>
    </reviewItem>
    <reviewItem>
      <errorID>f5085ba9-b376-4e87-8d40-2b1dc9c46ff3</errorID>
      <errorWord>(</errorWord>
      <group>L1_Format</group>
      <groupName>格式问题</groupName>
      <ability>L2_HalfPunc</ability>
      <abilityName>全半角检查</abilityName>
      <candidateList>
        <item>（</item>
      </candidateList>
      <explain>文本全半角错误。</explain>
      <paraID> 37BADE4</paraID>
      <start>2</start>
      <end>3</end>
      <status>unmodified</status>
      <modifiedWord/>
      <trackRevisions>false</trackRevisions>
    </reviewItem>
    <reviewItem>
      <errorID>79d124c3-f4ae-4b3b-91a6-275796f0ea20</errorID>
      <errorWord>)</errorWord>
      <group>L1_Format</group>
      <groupName>格式问题</groupName>
      <ability>L2_HalfPunc</ability>
      <abilityName>全半角检查</abilityName>
      <candidateList>
        <item>）</item>
      </candidateList>
      <explain>文本全半角错误。</explain>
      <paraID> 37BADE4</paraID>
      <start>8</start>
      <end>9</end>
      <status>unmodified</status>
      <modifiedWord/>
      <trackRevisions>false</trackRevisions>
    </reviewItem>
    <reviewItem>
      <errorID>58d48345-f0d1-4d0b-b124-9c808f8e8464</errorID>
      <errorWord>、</errorWord>
      <group>L1_Punc</group>
      <groupName>标点问题</groupName>
      <ability>L2_Punc</ability>
      <abilityName>标点符号检查</abilityName>
      <candidateList/>
      <explain/>
      <paraID>1DE3407A</paraID>
      <start>0</start>
      <end>1</end>
      <status>unmodified</status>
      <modifiedWord/>
      <trackRevisions>false</trackRevisions>
    </reviewItem>
    <reviewItem>
      <errorID>4834ab37-2bbc-4544-bbdb-adb906079a7e</errorID>
      <errorWord>刻划</errorWord>
      <group>L1_Word</group>
      <groupName>字词问题</groupName>
      <ability>L2_Variant</ability>
      <abilityName>异形词</abilityName>
      <candidateList>
        <item>刻画</item>
      </candidateList>
      <explain>词汇[刻划]的规范词形写作[刻画]。</explain>
      <paraID>4462BB98</paraID>
      <start>6</start>
      <end>8</end>
      <status>unmodified</status>
      <modifiedWord/>
      <trackRevisions>false</trackRevisions>
    </reviewItem>
    <reviewItem>
      <errorID>28de1951-59ef-48c4-b38e-ea21a4139a34</errorID>
      <errorWord>(</errorWord>
      <group>L1_Format</group>
      <groupName>格式问题</groupName>
      <ability>L2_HalfPunc</ability>
      <abilityName>全半角检查</abilityName>
      <candidateList>
        <item>（</item>
      </candidateList>
      <explain>文本全半角错误。</explain>
      <paraID>48653417</paraID>
      <start>16</start>
      <end>17</end>
      <status>unmodified</status>
      <modifiedWord/>
      <trackRevisions>false</trackRevisions>
    </reviewItem>
    <reviewItem>
      <errorID>b0ca9d93-f6be-4474-bb9b-c1a85679dc80</errorID>
      <errorWord>(</errorWord>
      <group>L1_Format</group>
      <groupName>格式问题</groupName>
      <ability>L2_HalfPunc</ability>
      <abilityName>全半角检查</abilityName>
      <candidateList>
        <item>（</item>
      </candidateList>
      <explain>文本全半角错误。</explain>
      <paraID>235293C6</paraID>
      <start>21</start>
      <end>22</end>
      <status>unmodified</status>
      <modifiedWord/>
      <trackRevisions>false</trackRevisions>
    </reviewItem>
    <reviewItem>
      <errorID>15eca36e-7ad9-45a3-9424-2cad3cf8df9c</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5DA21648</paraID>
      <start>8</start>
      <end>9</end>
      <status>unmodified</status>
      <modifiedWord/>
      <trackRevisions>false</trackRevisions>
    </reviewItem>
    <reviewItem>
      <errorID>cbcd4135-f4ff-4062-a64e-124eab42ce8b</errorID>
      <errorWord>，</errorWord>
      <group>L1_Format</group>
      <groupName>格式问题</groupName>
      <ability>L2_HalfPunc</ability>
      <abilityName>全半角检查</abilityName>
      <candidateList>
        <item>,</item>
      </candidateList>
      <explain>文本全半角错误。</explain>
      <paraID> E43B8D0</paraID>
      <start>4</start>
      <end>5</end>
      <status>unmodified</status>
      <modifiedWord/>
      <trackRevisions>false</trackRevisions>
    </reviewItem>
    <reviewItem>
      <errorID>34e33aa5-16e7-40ad-b00d-148a8f7bee46</errorID>
      <errorWord>(</errorWord>
      <group>L1_Format</group>
      <groupName>格式问题</groupName>
      <ability>L2_HalfPunc</ability>
      <abilityName>全半角检查</abilityName>
      <candidateList>
        <item>（</item>
      </candidateList>
      <explain>文本全半角错误。</explain>
      <paraID>6B9C76FF</paraID>
      <start>14</start>
      <end>15</end>
      <status>unmodified</status>
      <modifiedWord/>
      <trackRevisions>false</trackRevisions>
    </reviewItem>
    <reviewItem>
      <errorID>e0afe7d2-74e8-4a12-b960-dd485915c0c0</errorID>
      <errorWord>，</errorWord>
      <group>L1_Format</group>
      <groupName>格式问题</groupName>
      <ability>L2_HalfPunc</ability>
      <abilityName>全半角检查</abilityName>
      <candidateList>
        <item>,</item>
      </candidateList>
      <explain>文本全半角错误。</explain>
      <paraID> 4060046</paraID>
      <start>4</start>
      <end>5</end>
      <status>unmodified</status>
      <modifiedWord/>
      <trackRevisions>false</trackRevisions>
    </reviewItem>
    <reviewItem>
      <errorID>f774fe03-8683-4186-99aa-99926210eeed</errorID>
      <errorWord>，</errorWord>
      <group>L1_Format</group>
      <groupName>格式问题</groupName>
      <ability>L2_HalfPunc</ability>
      <abilityName>全半角检查</abilityName>
      <candidateList>
        <item>,</item>
      </candidateList>
      <explain>文本全半角错误。</explain>
      <paraID>637A01EB</paraID>
      <start>4</start>
      <end>5</end>
      <status>unmodified</status>
      <modifiedWord/>
      <trackRevisions>false</trackRevisions>
    </reviewItem>
    <reviewItem>
      <errorID>a00459be-e10b-446e-a5f0-77c55ba27a14</errorID>
      <errorWord>，</errorWord>
      <group>L1_Format</group>
      <groupName>格式问题</groupName>
      <ability>L2_HalfPunc</ability>
      <abilityName>全半角检查</abilityName>
      <candidateList>
        <item>,</item>
      </candidateList>
      <explain>文本全半角错误。</explain>
      <paraID>74226DF7</paraID>
      <start>4</start>
      <end>5</end>
      <status>unmodified</status>
      <modifiedWord/>
      <trackRevisions>false</trackRevisions>
    </reviewItem>
    <reviewItem>
      <errorID>ec8e6126-9229-4916-ba21-87d9ed9f180e</errorID>
      <errorWord>，</errorWord>
      <group>L1_Format</group>
      <groupName>格式问题</groupName>
      <ability>L2_HalfPunc</ability>
      <abilityName>全半角检查</abilityName>
      <candidateList>
        <item>,</item>
      </candidateList>
      <explain>文本全半角错误。</explain>
      <paraID> A0CC921</paraID>
      <start>4</start>
      <end>5</end>
      <status>unmodified</status>
      <modifiedWord/>
      <trackRevisions>false</trackRevisions>
    </reviewItem>
    <reviewItem>
      <errorID>261d424b-c752-4853-b57e-28e714985b82</errorID>
      <errorWord>，</errorWord>
      <group>L1_Format</group>
      <groupName>格式问题</groupName>
      <ability>L2_HalfPunc</ability>
      <abilityName>全半角检查</abilityName>
      <candidateList>
        <item>,</item>
      </candidateList>
      <explain>文本全半角错误。</explain>
      <paraID> D317512</paraID>
      <start>4</start>
      <end>5</end>
      <status>unmodified</status>
      <modifiedWord/>
      <trackRevisions>false</trackRevisions>
    </reviewItem>
    <reviewItem>
      <errorID>f47fe142-1849-4d30-a310-a9d34b1baf8f</errorID>
      <errorWord>，</errorWord>
      <group>L1_Format</group>
      <groupName>格式问题</groupName>
      <ability>L2_HalfPunc</ability>
      <abilityName>全半角检查</abilityName>
      <candidateList>
        <item>,</item>
      </candidateList>
      <explain>文本全半角错误。</explain>
      <paraID>76B312AF</paraID>
      <start>4</start>
      <end>5</end>
      <status>unmodified</status>
      <modifiedWord/>
      <trackRevisions>false</trackRevisions>
    </reviewItem>
    <reviewItem>
      <errorID>f4409ece-de47-495b-87d1-145babf6f049</errorID>
      <errorWord>，</errorWord>
      <group>L1_Format</group>
      <groupName>格式问题</groupName>
      <ability>L2_HalfPunc</ability>
      <abilityName>全半角检查</abilityName>
      <candidateList>
        <item>,</item>
      </candidateList>
      <explain>文本全半角错误。</explain>
      <paraID>67711F59</paraID>
      <start>4</start>
      <end>5</end>
      <status>unmodified</status>
      <modifiedWord/>
      <trackRevisions>false</trackRevisions>
    </reviewItem>
    <reviewItem>
      <errorID>4970cc12-e082-4486-abb1-84dfdd8b8372</errorID>
      <errorWord>，</errorWord>
      <group>L1_Format</group>
      <groupName>格式问题</groupName>
      <ability>L2_HalfPunc</ability>
      <abilityName>全半角检查</abilityName>
      <candidateList>
        <item>,</item>
      </candidateList>
      <explain>文本全半角错误。</explain>
      <paraID>545B7C80</paraID>
      <start>4</start>
      <end>5</end>
      <status>unmodified</status>
      <modifiedWord/>
      <trackRevisions>false</trackRevisions>
    </reviewItem>
    <reviewItem>
      <errorID>21738b4b-9bd9-4074-94c4-5421dafb89be</errorID>
      <errorWord>，</errorWord>
      <group>L1_Format</group>
      <groupName>格式问题</groupName>
      <ability>L2_HalfPunc</ability>
      <abilityName>全半角检查</abilityName>
      <candidateList>
        <item>,</item>
      </candidateList>
      <explain>文本全半角错误。</explain>
      <paraID>5AE40EFE</paraID>
      <start>4</start>
      <end>5</end>
      <status>unmodified</status>
      <modifiedWord/>
      <trackRevisions>false</trackRevisions>
    </reviewItem>
    <reviewItem>
      <errorID>8461b0f6-bdbe-4c71-a7d3-00db1feda330</errorID>
      <errorWord>，</errorWord>
      <group>L1_Format</group>
      <groupName>格式问题</groupName>
      <ability>L2_HalfPunc</ability>
      <abilityName>全半角检查</abilityName>
      <candidateList>
        <item>,</item>
      </candidateList>
      <explain>文本全半角错误。</explain>
      <paraID>48F8D7CB</paraID>
      <start>4</start>
      <end>5</end>
      <status>unmodified</status>
      <modifiedWord/>
      <trackRevisions>false</trackRevisions>
    </reviewItem>
    <reviewItem>
      <errorID>a103ded0-0bb6-4420-803e-8814edd330a1</errorID>
      <errorWord>，</errorWord>
      <group>L1_Format</group>
      <groupName>格式问题</groupName>
      <ability>L2_HalfPunc</ability>
      <abilityName>全半角检查</abilityName>
      <candidateList>
        <item>,</item>
      </candidateList>
      <explain>文本全半角错误。</explain>
      <paraID>5FBE0FD0</paraID>
      <start>4</start>
      <end>5</end>
      <status>unmodified</status>
      <modifiedWord/>
      <trackRevisions>false</trackRevisions>
    </reviewItem>
    <reviewItem>
      <errorID>831ae112-f80b-4f97-bb29-105e5791eee9</errorID>
      <errorWord>，</errorWord>
      <group>L1_Format</group>
      <groupName>格式问题</groupName>
      <ability>L2_HalfPunc</ability>
      <abilityName>全半角检查</abilityName>
      <candidateList>
        <item>,</item>
      </candidateList>
      <explain>文本全半角错误。</explain>
      <paraID>35F24D24</paraID>
      <start>4</start>
      <end>5</end>
      <status>unmodified</status>
      <modifiedWord/>
      <trackRevisions>false</trackRevisions>
    </reviewItem>
    <reviewItem>
      <errorID>8507743d-daac-4205-90dc-933ea92d5774</errorID>
      <errorWord>，</errorWord>
      <group>L1_Format</group>
      <groupName>格式问题</groupName>
      <ability>L2_HalfPunc</ability>
      <abilityName>全半角检查</abilityName>
      <candidateList>
        <item>,</item>
      </candidateList>
      <explain>文本全半角错误。</explain>
      <paraID>7D8E6BAB</paraID>
      <start>4</start>
      <end>5</end>
      <status>unmodified</status>
      <modifiedWord/>
      <trackRevisions>false</trackRevisions>
    </reviewItem>
    <reviewItem>
      <errorID>068de756-e011-4bbe-a2f4-a97cace867b5</errorID>
      <errorWord>(</errorWord>
      <group>L1_Format</group>
      <groupName>格式问题</groupName>
      <ability>L2_HalfPunc</ability>
      <abilityName>全半角检查</abilityName>
      <candidateList>
        <item>（</item>
      </candidateList>
      <explain>文本全半角错误。</explain>
      <paraID>1A54F0B0</paraID>
      <start>38</start>
      <end>39</end>
      <status>unmodified</status>
      <modifiedWord/>
      <trackRevisions>false</trackRevisions>
    </reviewItem>
    <reviewItem>
      <errorID>f474c59b-5d15-49bc-aefd-88993260a614</errorID>
      <errorWord>)</errorWord>
      <group>L1_Format</group>
      <groupName>格式问题</groupName>
      <ability>L2_HalfPunc</ability>
      <abilityName>全半角检查</abilityName>
      <candidateList>
        <item>）</item>
      </candidateList>
      <explain>文本全半角错误。</explain>
      <paraID>1A54F0B0</paraID>
      <start>50</start>
      <end>51</end>
      <status>unmodified</status>
      <modifiedWord/>
      <trackRevisions>false</trackRevisions>
    </reviewItem>
    <reviewItem>
      <errorID>6d2d8919-9947-40e3-957b-41f22ca1ad89</errorID>
      <errorWord>属</errorWord>
      <group>L1_Word</group>
      <groupName>字词问题</groupName>
      <ability>L2_Typo</ability>
      <abilityName>字词错误</abilityName>
      <candidateList>
        <item>属于</item>
      </candidateList>
      <explain/>
      <paraID>5E072DC9</paraID>
      <start>25</start>
      <end>27</end>
      <status>modified</status>
      <modifiedWord>属于</modifiedWord>
      <trackRevisions>false</trackRevisions>
    </reviewItem>
    <reviewItem>
      <errorID>bb870a0f-72e3-49c0-ba3b-79bab6cd009f</errorID>
      <errorWord>(</errorWord>
      <group>L1_Format</group>
      <groupName>格式问题</groupName>
      <ability>L2_HalfPunc</ability>
      <abilityName>全半角检查</abilityName>
      <candidateList>
        <item>（</item>
      </candidateList>
      <explain>文本全半角错误。</explain>
      <paraID>5E072DC9</paraID>
      <start>46</start>
      <end>47</end>
      <status>unmodified</status>
      <modifiedWord/>
      <trackRevisions>false</trackRevisions>
    </reviewItem>
    <reviewItem>
      <errorID>67bb2b27-84a8-4583-802d-57f7d6b8d87e</errorID>
      <errorWord>)</errorWord>
      <group>L1_Format</group>
      <groupName>格式问题</groupName>
      <ability>L2_HalfPunc</ability>
      <abilityName>全半角检查</abilityName>
      <candidateList>
        <item>）</item>
      </candidateList>
      <explain>文本全半角错误。</explain>
      <paraID>5E072DC9</paraID>
      <start>64</start>
      <end>65</end>
      <status>unmodified</status>
      <modifiedWord/>
      <trackRevisions>false</trackRevisions>
    </reviewItem>
    <reviewItem>
      <errorID>7d0bdabf-fcc5-4b8c-9a37-4620f4fad5b4</errorID>
      <errorWord>-</errorWord>
      <group>L1_Format</group>
      <groupName>格式问题</groupName>
      <ability>L2_HalfPunc</ability>
      <abilityName>全半角检查</abilityName>
      <candidateList>
        <item>－</item>
      </candidateList>
      <explain>文本全半角错误。</explain>
      <paraID>12A9FE7E</paraID>
      <start>36</start>
      <end>37</end>
      <status>unmodified</status>
      <modifiedWord/>
      <trackRevisions>false</trackRevisions>
    </reviewItem>
    <reviewItem>
      <errorID>222ae8f0-f9df-40b6-88bf-4abe1b51fbe7</errorID>
      <errorWord>(</errorWord>
      <group>L1_Format</group>
      <groupName>格式问题</groupName>
      <ability>L2_HalfPunc</ability>
      <abilityName>全半角检查</abilityName>
      <candidateList>
        <item>（</item>
      </candidateList>
      <explain>文本全半角错误。</explain>
      <paraID>12A9FE7E</paraID>
      <start>42</start>
      <end>43</end>
      <status>unmodified</status>
      <modifiedWord/>
      <trackRevisions>false</trackRevisions>
    </reviewItem>
    <reviewItem>
      <errorID>63375ea5-90e9-4318-8258-b3707bf28145</errorID>
      <errorWord>)</errorWord>
      <group>L1_Format</group>
      <groupName>格式问题</groupName>
      <ability>L2_HalfPunc</ability>
      <abilityName>全半角检查</abilityName>
      <candidateList>
        <item>）</item>
      </candidateList>
      <explain>文本全半角错误。</explain>
      <paraID>12A9FE7E</paraID>
      <start>54</start>
      <end>55</end>
      <status>unmodified</status>
      <modifiedWord/>
      <trackRevisions>false</trackRevisions>
    </reviewItem>
    <reviewItem>
      <errorID>15b8c2de-4ac5-4121-8d7f-db477d96d5b7</errorID>
      <errorWord>-</errorWord>
      <group>L1_Format</group>
      <groupName>格式问题</groupName>
      <ability>L2_HalfPunc</ability>
      <abilityName>全半角检查</abilityName>
      <candidateList>
        <item>－</item>
      </candidateList>
      <explain>文本全半角错误。</explain>
      <paraID>12A9FE7E</paraID>
      <start>69</start>
      <end>70</end>
      <status>unmodified</status>
      <modifiedWord/>
      <trackRevisions>false</trackRevisions>
    </reviewItem>
    <reviewItem>
      <errorID>6fb64733-7fe1-4a47-b0a7-ba248a9ea9a6</errorID>
      <errorWord>(</errorWord>
      <group>L1_Format</group>
      <groupName>格式问题</groupName>
      <ability>L2_HalfPunc</ability>
      <abilityName>全半角检查</abilityName>
      <candidateList>
        <item>（</item>
      </candidateList>
      <explain>文本全半角错误。</explain>
      <paraID>12A9FE7E</paraID>
      <start>73</start>
      <end>74</end>
      <status>unmodified</status>
      <modifiedWord/>
      <trackRevisions>false</trackRevisions>
    </reviewItem>
    <reviewItem>
      <errorID>cbcf54bf-79bc-454b-8ddf-9d91d607c2f5</errorID>
      <errorWord>)</errorWord>
      <group>L1_Format</group>
      <groupName>格式问题</groupName>
      <ability>L2_HalfPunc</ability>
      <abilityName>全半角检查</abilityName>
      <candidateList>
        <item>）</item>
      </candidateList>
      <explain>文本全半角错误。</explain>
      <paraID>12A9FE7E</paraID>
      <start>84</start>
      <end>85</end>
      <status>unmodified</status>
      <modifiedWord/>
      <trackRevisions>false</trackRevisions>
    </reviewItem>
    <reviewItem>
      <errorID>d8a2443b-7cc4-484a-acd0-05ade1329566</errorID>
      <errorWord>（</errorWord>
      <group>L1_Punc</group>
      <groupName>标点问题</groupName>
      <ability>L2_Punc</ability>
      <abilityName>标点符号检查</abilityName>
      <candidateList/>
      <explain>同一形式括号套用。</explain>
      <paraID>672DF51D</paraID>
      <start>9</start>
      <end>10</end>
      <status>unmodified</status>
      <modifiedWord/>
      <trackRevisions>false</trackRevisions>
    </reviewItem>
    <reviewItem>
      <errorID>8d0eb638-0b05-47ab-9070-fdfbc5be5386</errorID>
      <errorWord>）</errorWord>
      <group>L1_Punc</group>
      <groupName>标点问题</groupName>
      <ability>L2_Punc</ability>
      <abilityName>标点符号检查</abilityName>
      <candidateList/>
      <explain>同一形式括号套用。</explain>
      <paraID>672DF51D</paraID>
      <start>11</start>
      <end>12</end>
      <status>unmodified</status>
      <modifiedWord/>
      <trackRevisions>false</trackRevisions>
    </reviewItem>
    <reviewItem>
      <errorID>d3047550-f1dd-4f0a-a916-7061a97b05e1</errorID>
      <errorWord>(</errorWord>
      <group>L1_Format</group>
      <groupName>格式问题</groupName>
      <ability>L2_HalfPunc</ability>
      <abilityName>全半角检查</abilityName>
      <candidateList>
        <item>（</item>
      </candidateList>
      <explain>文本全半角错误。</explain>
      <paraID>2D2A3F7A</paraID>
      <start>20</start>
      <end>21</end>
      <status>unmodified</status>
      <modifiedWord/>
      <trackRevisions>false</trackRevisions>
    </reviewItem>
    <reviewItem>
      <errorID>c04ebb67-e75d-4dc6-8c70-ef2807287647</errorID>
      <errorWord>)</errorWord>
      <group>L1_Format</group>
      <groupName>格式问题</groupName>
      <ability>L2_HalfPunc</ability>
      <abilityName>全半角检查</abilityName>
      <candidateList>
        <item>）</item>
      </candidateList>
      <explain>文本全半角错误。</explain>
      <paraID>2D2A3F7A</paraID>
      <start>23</start>
      <end>24</end>
      <status>unmodified</status>
      <modifiedWord/>
      <trackRevisions>false</trackRevisions>
    </reviewItem>
    <reviewItem>
      <errorID>94bc08c4-1e3e-4971-9332-8a7858f2ae67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2D2A3F7A</paraID>
      <start>69</start>
      <end>72</end>
      <status>unmodified</status>
      <modifiedWord/>
      <trackRevisions>false</trackRevisions>
    </reviewItem>
    <reviewItem>
      <errorID>267586e6-2063-4450-b6b9-910cbd667845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37C5F80A</paraID>
      <start>0</start>
      <end>2</end>
      <status>unmodified</status>
      <modifiedWord/>
      <trackRevisions>false</trackRevisions>
    </reviewItem>
    <reviewItem>
      <errorID>08930b3f-ac33-4ebc-987e-8b92b47c4885</errorID>
      <errorWord>(</errorWord>
      <group>L1_Format</group>
      <groupName>格式问题</groupName>
      <ability>L2_HalfPunc</ability>
      <abilityName>全半角检查</abilityName>
      <candidateList>
        <item>（</item>
      </candidateList>
      <explain>文本全半角错误。</explain>
      <paraID>4D2314B5</paraID>
      <start>61</start>
      <end>62</end>
      <status>unmodified</status>
      <modifiedWord/>
      <trackRevisions>false</trackRevisions>
    </reviewItem>
    <reviewItem>
      <errorID>4058c145-8939-4971-9a06-273511c2d73b</errorID>
      <errorWord>)</errorWord>
      <group>L1_Format</group>
      <groupName>格式问题</groupName>
      <ability>L2_HalfPunc</ability>
      <abilityName>全半角检查</abilityName>
      <candidateList>
        <item>）</item>
      </candidateList>
      <explain>文本全半角错误。</explain>
      <paraID>4D2314B5</paraID>
      <start>63</start>
      <end>64</end>
      <status>unmodified</status>
      <modifiedWord/>
      <trackRevisions>false</trackRevisions>
    </reviewItem>
    <reviewItem>
      <errorID>9f87599b-c3af-4c0c-8939-03c1ebc0468a</errorID>
      <errorWord>(</errorWord>
      <group>L1_Format</group>
      <groupName>格式问题</groupName>
      <ability>L2_HalfPunc</ability>
      <abilityName>全半角检查</abilityName>
      <candidateList>
        <item>（</item>
      </candidateList>
      <explain>文本全半角错误。</explain>
      <paraID>4D2314B5</paraID>
      <start>65</start>
      <end>66</end>
      <status>unmodified</status>
      <modifiedWord/>
      <trackRevisions>false</trackRevisions>
    </reviewItem>
    <reviewItem>
      <errorID>eb7029ee-db41-4219-9160-88c2a896cc05</errorID>
      <errorWord>)</errorWord>
      <group>L1_Format</group>
      <groupName>格式问题</groupName>
      <ability>L2_HalfPunc</ability>
      <abilityName>全半角检查</abilityName>
      <candidateList>
        <item>）</item>
      </candidateList>
      <explain>文本全半角错误。</explain>
      <paraID>4D2314B5</paraID>
      <start>80</start>
      <end>81</end>
      <status>unmodified</status>
      <modifiedWord/>
      <trackRevisions>false</trackRevisions>
    </reviewItem>
    <reviewItem>
      <errorID>4abdbb8d-a93b-4be0-bd16-0f98315bd1d6</errorID>
      <errorWord>(</errorWord>
      <group>L1_Format</group>
      <groupName>格式问题</groupName>
      <ability>L2_HalfPunc</ability>
      <abilityName>全半角检查</abilityName>
      <candidateList>
        <item>（</item>
      </candidateList>
      <explain>文本全半角错误。</explain>
      <paraID>4D2314B5</paraID>
      <start>92</start>
      <end>93</end>
      <status>unmodified</status>
      <modifiedWord/>
      <trackRevisions>false</trackRevisions>
    </reviewItem>
    <reviewItem>
      <errorID>cad0ee09-f934-467e-8303-9cb5daf3cf03</errorID>
      <errorWord>)</errorWord>
      <group>L1_Format</group>
      <groupName>格式问题</groupName>
      <ability>L2_HalfPunc</ability>
      <abilityName>全半角检查</abilityName>
      <candidateList>
        <item>）</item>
      </candidateList>
      <explain>文本全半角错误。</explain>
      <paraID>4D2314B5</paraID>
      <start>95</start>
      <end>96</end>
      <status>unmodified</status>
      <modifiedWord/>
      <trackRevisions>false</trackRevisions>
    </reviewItem>
    <reviewItem>
      <errorID>13103a39-d9c3-41f9-93aa-ad16e089f065</errorID>
      <errorWord>(</errorWord>
      <group>L1_Format</group>
      <groupName>格式问题</groupName>
      <ability>L2_HalfPunc</ability>
      <abilityName>全半角检查</abilityName>
      <candidateList>
        <item>（</item>
      </candidateList>
      <explain>文本全半角错误。</explain>
      <paraID>4D2314B5</paraID>
      <start>118</start>
      <end>119</end>
      <status>unmodified</status>
      <modifiedWord/>
      <trackRevisions>false</trackRevisions>
    </reviewItem>
    <reviewItem>
      <errorID>19f0d0a5-7b9e-49cc-9cbb-bdbc714f4322</errorID>
      <errorWord>)</errorWord>
      <group>L1_Format</group>
      <groupName>格式问题</groupName>
      <ability>L2_HalfPunc</ability>
      <abilityName>全半角检查</abilityName>
      <candidateList>
        <item>）</item>
      </candidateList>
      <explain>文本全半角错误。</explain>
      <paraID>4D2314B5</paraID>
      <start>130</start>
      <end>131</end>
      <status>unmodified</status>
      <modifiedWord/>
      <trackRevisions>false</trackRevisions>
    </reviewItem>
    <reviewItem>
      <errorID>dfa732fb-1640-4c55-bbe5-72ebe339b581</errorID>
      <errorWord>(</errorWord>
      <group>L1_Format</group>
      <groupName>格式问题</groupName>
      <ability>L2_HalfPunc</ability>
      <abilityName>全半角检查</abilityName>
      <candidateList>
        <item>（</item>
      </candidateList>
      <explain>文本全半角错误。</explain>
      <paraID>4D2314B5</paraID>
      <start>148</start>
      <end>149</end>
      <status>unmodified</status>
      <modifiedWord/>
      <trackRevisions>false</trackRevisions>
    </reviewItem>
    <reviewItem>
      <errorID>9320ef56-48ab-40b3-8269-c5a01bd7b779</errorID>
      <errorWord>)</errorWord>
      <group>L1_Format</group>
      <groupName>格式问题</groupName>
      <ability>L2_HalfPunc</ability>
      <abilityName>全半角检查</abilityName>
      <candidateList>
        <item>）</item>
      </candidateList>
      <explain>文本全半角错误。</explain>
      <paraID>4D2314B5</paraID>
      <start>151</start>
      <end>152</end>
      <status>unmodified</status>
      <modifiedWord/>
      <trackRevisions>false</trackRevisions>
    </reviewItem>
    <reviewItem>
      <errorID>f4ef9f3f-8418-4e54-9bc3-ed9241f585e1</errorID>
      <errorWord>(</errorWord>
      <group>L1_Format</group>
      <groupName>格式问题</groupName>
      <ability>L2_HalfPunc</ability>
      <abilityName>全半角检查</abilityName>
      <candidateList>
        <item>（</item>
      </candidateList>
      <explain>文本全半角错误。</explain>
      <paraID>4D2314B5</paraID>
      <start>154</start>
      <end>155</end>
      <status>unmodified</status>
      <modifiedWord/>
      <trackRevisions>false</trackRevisions>
    </reviewItem>
    <reviewItem>
      <errorID>440fa3cd-0946-4e30-9baf-97d5a181b422</errorID>
      <errorWord>)</errorWord>
      <group>L1_Format</group>
      <groupName>格式问题</groupName>
      <ability>L2_HalfPunc</ability>
      <abilityName>全半角检查</abilityName>
      <candidateList>
        <item>）</item>
      </candidateList>
      <explain>文本全半角错误。</explain>
      <paraID>4D2314B5</paraID>
      <start>169</start>
      <end>170</end>
      <status>unmodified</status>
      <modifiedWord/>
      <trackRevisions>false</trackRevisions>
    </reviewItem>
    <reviewItem>
      <errorID>d961c303-2ad6-46f3-aa37-8fda1d12340b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2F1FA62A</paraID>
      <start>0</start>
      <end>2</end>
      <status>unmodified</status>
      <modifiedWord/>
      <trackRevisions>false</trackRevisions>
    </reviewItem>
    <reviewItem>
      <errorID>17e94a85-3ee0-45f0-b200-5188f6c42d5b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372B30EC</paraID>
      <start>0</start>
      <end>3</end>
      <status>unmodified</status>
      <modifiedWord/>
      <trackRevisions>false</trackRevisions>
    </reviewItem>
    <reviewItem>
      <errorID>a22b5557-a399-4040-b4bd-77b7d273f192</errorID>
      <errorWord>(</errorWord>
      <group>L1_Format</group>
      <groupName>格式问题</groupName>
      <ability>L2_HalfPunc</ability>
      <abilityName>全半角检查</abilityName>
      <candidateList>
        <item>（</item>
      </candidateList>
      <explain>文本全半角错误。</explain>
      <paraID>372B30EC</paraID>
      <start>58</start>
      <end>59</end>
      <status>unmodified</status>
      <modifiedWord/>
      <trackRevisions>false</trackRevisions>
    </reviewItem>
    <reviewItem>
      <errorID>3bb61958-c555-457a-accd-511bc1e2fb2b</errorID>
      <errorWord>)</errorWord>
      <group>L1_Format</group>
      <groupName>格式问题</groupName>
      <ability>L2_HalfPunc</ability>
      <abilityName>全半角检查</abilityName>
      <candidateList>
        <item>）</item>
      </candidateList>
      <explain>文本全半角错误。</explain>
      <paraID>372B30EC</paraID>
      <start>60</start>
      <end>61</end>
      <status>unmodified</status>
      <modifiedWord/>
      <trackRevisions>false</trackRevisions>
    </reviewItem>
    <reviewItem>
      <errorID>9dc95259-a4d0-4f64-b24e-88360f6b1d17</errorID>
      <errorWord>(</errorWord>
      <group>L1_Format</group>
      <groupName>格式问题</groupName>
      <ability>L2_HalfPunc</ability>
      <abilityName>全半角检查</abilityName>
      <candidateList>
        <item>（</item>
      </candidateList>
      <explain>文本全半角错误。</explain>
      <paraID>372B30EC</paraID>
      <start>68</start>
      <end>69</end>
      <status>unmodified</status>
      <modifiedWord/>
      <trackRevisions>false</trackRevisions>
    </reviewItem>
    <reviewItem>
      <errorID>1f64cf16-a29f-4284-b5d6-fe0818cd4fba</errorID>
      <errorWord>)</errorWord>
      <group>L1_Format</group>
      <groupName>格式问题</groupName>
      <ability>L2_HalfPunc</ability>
      <abilityName>全半角检查</abilityName>
      <candidateList>
        <item>）</item>
      </candidateList>
      <explain>文本全半角错误。</explain>
      <paraID>372B30EC</paraID>
      <start>71</start>
      <end>72</end>
      <status>unmodified</status>
      <modifiedWord/>
      <trackRevisions>false</trackRevisions>
    </reviewItem>
    <reviewItem>
      <errorID>4a87f3a2-d7f3-45ba-aae3-61d3609895f2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7E6CE180</paraID>
      <start>0</start>
      <end>3</end>
      <status>unmodified</status>
      <modifiedWord/>
      <trackRevisions>false</trackRevisions>
    </reviewItem>
    <reviewItem>
      <errorID>12234981-5e52-46e8-9b67-e9c0608f6cd6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353BBD5E</paraID>
      <start>0</start>
      <end>3</end>
      <status>unmodified</status>
      <modifiedWord/>
      <trackRevisions>false</trackRevisions>
    </reviewItem>
    <reviewItem>
      <errorID>c34cea92-d872-4e12-af06-af6e0fd5369e</errorID>
      <errorWord>(</errorWord>
      <group>L1_Format</group>
      <groupName>格式问题</groupName>
      <ability>L2_HalfPunc</ability>
      <abilityName>全半角检查</abilityName>
      <candidateList>
        <item>（</item>
      </candidateList>
      <explain>文本全半角错误。</explain>
      <paraID>3CB6DB98</paraID>
      <start>18</start>
      <end>19</end>
      <status>unmodified</status>
      <modifiedWord/>
      <trackRevisions>false</trackRevisions>
    </reviewItem>
    <reviewItem>
      <errorID>7f74d914-d707-465e-9d3b-d806a6cc39ae</errorID>
      <errorWord>)</errorWord>
      <group>L1_Format</group>
      <groupName>格式问题</groupName>
      <ability>L2_HalfPunc</ability>
      <abilityName>全半角检查</abilityName>
      <candidateList>
        <item>）</item>
      </candidateList>
      <explain>文本全半角错误。</explain>
      <paraID>3CB6DB98</paraID>
      <start>31</start>
      <end>32</end>
      <status>unmodified</status>
      <modifiedWord/>
      <trackRevisions>false</trackRevisions>
    </reviewItem>
    <reviewItem>
      <errorID>8ac88e4c-5238-4919-a2fb-d28d29885f8e</errorID>
      <errorWord>其它</errorWord>
      <group>L1_Word</group>
      <groupName>字词问题</groupName>
      <ability>L2_Alias</ability>
      <abilityName>也作/曾用词</abilityName>
      <candidateList>
        <item>其他</item>
      </candidateList>
      <explain>词汇[其它]为不规范表述或旧称，其规范书面表述为[其他]。</explain>
      <paraID> 9895364</paraID>
      <start>0</start>
      <end>2</end>
      <status>unmodified</status>
      <modifiedWord/>
      <trackRevisions>false</trackRevisions>
    </reviewItem>
    <reviewItem>
      <errorID>66aae7b3-6700-4c40-9d2a-b03408aa78e0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1E130A0B</paraID>
      <start>38</start>
      <end>39</end>
      <status>unmodified</status>
      <modifiedWord/>
      <trackRevisions>false</trackRevisions>
    </reviewItem>
    <reviewItem>
      <errorID>54b873b1-6aa7-4016-8f61-0539bc924dfa</errorID>
      <errorWord>-</errorWord>
      <group>L1_Format</group>
      <groupName>格式问题</groupName>
      <ability>L2_HalfPunc</ability>
      <abilityName>全半角检查</abilityName>
      <candidateList>
        <item>－</item>
      </candidateList>
      <explain>文本全半角错误。</explain>
      <paraID>1E130A0B</paraID>
      <start>48</start>
      <end>49</end>
      <status>unmodified</status>
      <modifiedWord/>
      <trackRevisions>false</trackRevisions>
    </reviewItem>
    <reviewItem>
      <errorID>419102c9-1f88-4f02-9f92-a023f83e6207</errorID>
      <errorWord>(</errorWord>
      <group>L1_Format</group>
      <groupName>格式问题</groupName>
      <ability>L2_HalfPunc</ability>
      <abilityName>全半角检查</abilityName>
      <candidateList>
        <item>（</item>
      </candidateList>
      <explain>文本全半角错误。</explain>
      <paraID>1E130A0B</paraID>
      <start>55</start>
      <end>56</end>
      <status>unmodified</status>
      <modifiedWord/>
      <trackRevisions>false</trackRevisions>
    </reviewItem>
    <reviewItem>
      <errorID>b3ff7307-2851-49bd-a12c-96702dccc8b2</errorID>
      <errorWord>)</errorWord>
      <group>L1_Format</group>
      <groupName>格式问题</groupName>
      <ability>L2_HalfPunc</ability>
      <abilityName>全半角检查</abilityName>
      <candidateList>
        <item>）</item>
      </candidateList>
      <explain>文本全半角错误。</explain>
      <paraID>1E130A0B</paraID>
      <start>66</start>
      <end>67</end>
      <status>unmodified</status>
      <modifiedWord/>
      <trackRevisions>false</trackRevisions>
    </reviewItem>
    <reviewItem>
      <errorID>594e6aa7-5635-4850-8f32-fb4a3fd5c003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5FF242D9</paraID>
      <start>61</start>
      <end>62</end>
      <status>unmodified</status>
      <modifiedWord/>
      <trackRevisions>false</trackRevisions>
    </reviewItem>
    <reviewItem>
      <errorID>99642025-69f7-4650-ade9-17cf00384d34</errorID>
      <errorWord>属</errorWord>
      <group>L1_Word</group>
      <groupName>字词问题</groupName>
      <ability>L2_Typo</ability>
      <abilityName>字词错误</abilityName>
      <candidateList>
        <item>属于</item>
      </candidateList>
      <explain/>
      <paraID>7DDC20A1</paraID>
      <start>16</start>
      <end>17</end>
      <status>unmodified</status>
      <modifiedWord/>
      <trackRevisions>false</trackRevisions>
    </reviewItem>
    <reviewItem>
      <errorID>37916ba3-c8b0-47c5-b993-4bc6a7573b9b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30249D18</paraID>
      <start>40</start>
      <end>41</end>
      <status>unmodified</status>
      <modifiedWord/>
      <trackRevisions>false</trackRevisions>
    </reviewItem>
    <reviewItem>
      <errorID>79e38c52-5383-47a2-8a12-631e1b9c1a55</errorID>
      <errorWord>III类</errorWord>
      <group>L1_Knowledge</group>
      <groupName>知识性问题</groupName>
      <ability>L2_Knowledge</ability>
      <abilityName>其他知识</abilityName>
      <candidateList>
        <item>Ⅲ类</item>
      </candidateList>
      <explain/>
      <paraID>30249D18</paraID>
      <start>133</start>
      <end>137</end>
      <status>unmodified</status>
      <modifiedWord/>
      <trackRevisions>false</trackRevisions>
    </reviewItem>
    <reviewItem>
      <errorID>51556658-7245-45f2-bd94-d4c17e851a0b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13426827</paraID>
      <start>16</start>
      <end>17</end>
      <status>unmodified</status>
      <modifiedWord/>
      <trackRevisions>false</trackRevisions>
    </reviewItem>
    <reviewItem>
      <errorID>6a659741-44d1-4cf3-a19d-d2aaba41a344</errorID>
      <errorWord>)</errorWord>
      <group>L1_Format</group>
      <groupName>格式问题</groupName>
      <ability>L2_HalfPunc</ability>
      <abilityName>全半角检查</abilityName>
      <candidateList>
        <item>）</item>
      </candidateList>
      <explain>文本全半角错误。</explain>
      <paraID>13426827</paraID>
      <start>55</start>
      <end>56</end>
      <status>unmodified</status>
      <modifiedWord/>
      <trackRevisions>false</trackRevisions>
    </reviewItem>
    <reviewItem>
      <errorID>b754e50c-615d-4b17-8e53-a9b78be02b89</errorID>
      <errorWord>)</errorWord>
      <group>L1_Format</group>
      <groupName>格式问题</groupName>
      <ability>L2_HalfPunc</ability>
      <abilityName>全半角检查</abilityName>
      <candidateList>
        <item>）</item>
      </candidateList>
      <explain>文本全半角错误。</explain>
      <paraID>13426827</paraID>
      <start>80</start>
      <end>81</end>
      <status>unmodified</status>
      <modifiedWord/>
      <trackRevisions>false</trackRevisions>
    </reviewItem>
    <reviewItem>
      <errorID>69e4adc3-3cee-4f0e-b712-d05d78645e9c</errorID>
      <errorWord>：</errorWord>
      <group>L1_Format</group>
      <groupName>格式问题</groupName>
      <ability>L2_HalfPunc</ability>
      <abilityName>全半角检查</abilityName>
      <candidateList>
        <item>:</item>
      </candidateList>
      <explain>文本全半角错误。</explain>
      <paraID>10CA36C3</paraID>
      <start>134</start>
      <end>135</end>
      <status>unmodified</status>
      <modifiedWord/>
      <trackRevisions>false</trackRevisions>
    </reviewItem>
    <reviewItem>
      <errorID>53bbc6e4-c71b-44d2-a54c-edf6f99a2c37</errorID>
      <errorWord>)</errorWord>
      <group>L1_Format</group>
      <groupName>格式问题</groupName>
      <ability>L2_HalfPunc</ability>
      <abilityName>全半角检查</abilityName>
      <candidateList>
        <item>）</item>
      </candidateList>
      <explain>文本全半角错误。</explain>
      <paraID> D048E06</paraID>
      <start>63</start>
      <end>64</end>
      <status>unmodified</status>
      <modifiedWord/>
      <trackRevisions>false</trackRevisions>
    </reviewItem>
    <reviewItem>
      <errorID>afb59d8f-9efb-42dd-85fe-4169ef99dccf</errorID>
      <errorWord>(</errorWord>
      <group>L1_Format</group>
      <groupName>格式问题</groupName>
      <ability>L2_HalfPunc</ability>
      <abilityName>全半角检查</abilityName>
      <candidateList>
        <item>（</item>
      </candidateList>
      <explain>文本全半角错误。</explain>
      <paraID>148C567B</paraID>
      <start>32</start>
      <end>33</end>
      <status>unmodified</status>
      <modifiedWord/>
      <trackRevisions>false</trackRevisions>
    </reviewItem>
    <reviewItem>
      <errorID>8d9aa79e-04be-4fd6-a163-997f931f8f28</errorID>
      <errorWord>)</errorWord>
      <group>L1_Format</group>
      <groupName>格式问题</groupName>
      <ability>L2_HalfPunc</ability>
      <abilityName>全半角检查</abilityName>
      <candidateList>
        <item>）</item>
      </candidateList>
      <explain>文本全半角错误。</explain>
      <paraID>148C567B</paraID>
      <start>45</start>
      <end>46</end>
      <status>unmodified</status>
      <modifiedWord/>
      <trackRevisions>false</trackRevisions>
    </reviewItem>
    <reviewItem>
      <errorID>e2ec7159-2714-4831-a455-e961ba8d288f</errorID>
      <errorWord>(</errorWord>
      <group>L1_Format</group>
      <groupName>格式问题</groupName>
      <ability>L2_HalfPunc</ability>
      <abilityName>全半角检查</abilityName>
      <candidateList>
        <item>（</item>
      </candidateList>
      <explain>文本全半角错误。</explain>
      <paraID>148C567B</paraID>
      <start>56</start>
      <end>57</end>
      <status>unmodified</status>
      <modifiedWord/>
      <trackRevisions>false</trackRevisions>
    </reviewItem>
    <reviewItem>
      <errorID>0fad1abe-4900-4163-a37e-f388a59eac1f</errorID>
      <errorWord>)</errorWord>
      <group>L1_Format</group>
      <groupName>格式问题</groupName>
      <ability>L2_HalfPunc</ability>
      <abilityName>全半角检查</abilityName>
      <candidateList>
        <item>）</item>
      </candidateList>
      <explain>文本全半角错误。</explain>
      <paraID>148C567B</paraID>
      <start>65</start>
      <end>66</end>
      <status>unmodified</status>
      <modifiedWord/>
      <trackRevisions>false</trackRevisions>
    </reviewItem>
    <reviewItem>
      <errorID>9a472574-943b-4921-a461-634288e21330</errorID>
      <errorWord>，</errorWord>
      <group>L1_Word</group>
      <groupName>字词问题</groupName>
      <ability>L2_Typo</ability>
      <abilityName>字词错误</abilityName>
      <candidateList>
        <item>，对</item>
      </candidateList>
      <explain/>
      <paraID>148C567B</paraID>
      <start>129</start>
      <end>130</end>
      <status>unmodified</status>
      <modifiedWord/>
      <trackRevisions>false</trackRevisions>
    </reviewItem>
    <reviewItem>
      <errorID>cb00eb96-42a0-49b6-a28e-124534e7eed0</errorID>
      <errorWord>(</errorWord>
      <group>L1_Format</group>
      <groupName>格式问题</groupName>
      <ability>L2_HalfPunc</ability>
      <abilityName>全半角检查</abilityName>
      <candidateList>
        <item>（</item>
      </candidateList>
      <explain>文本全半角错误。</explain>
      <paraID>2DD6095B</paraID>
      <start>50</start>
      <end>51</end>
      <status>unmodified</status>
      <modifiedWord/>
      <trackRevisions>false</trackRevisions>
    </reviewItem>
    <reviewItem>
      <errorID>2b1e6a48-9d28-4dee-8a5b-e2200d2857f2</errorID>
      <errorWord>)</errorWord>
      <group>L1_Format</group>
      <groupName>格式问题</groupName>
      <ability>L2_HalfPunc</ability>
      <abilityName>全半角检查</abilityName>
      <candidateList>
        <item>）</item>
      </candidateList>
      <explain>文本全半角错误。</explain>
      <paraID>2DD6095B</paraID>
      <start>63</start>
      <end>64</end>
      <status>unmodified</status>
      <modifiedWord/>
      <trackRevisions>false</trackRevisions>
    </reviewItem>
    <reviewItem>
      <errorID>ce8e75ed-7a15-43b9-9acf-c1c8096e7190</errorID>
      <errorWord>(</errorWord>
      <group>L1_Format</group>
      <groupName>格式问题</groupName>
      <ability>L2_HalfPunc</ability>
      <abilityName>全半角检查</abilityName>
      <candidateList>
        <item>（</item>
      </candidateList>
      <explain>文本全半角错误。</explain>
      <paraID>2DD6095B</paraID>
      <start>79</start>
      <end>80</end>
      <status>unmodified</status>
      <modifiedWord/>
      <trackRevisions>false</trackRevisions>
    </reviewItem>
    <reviewItem>
      <errorID>85454eb8-196f-4e9f-bfb6-b8d7a96a108f</errorID>
      <errorWord>)</errorWord>
      <group>L1_Format</group>
      <groupName>格式问题</groupName>
      <ability>L2_HalfPunc</ability>
      <abilityName>全半角检查</abilityName>
      <candidateList>
        <item>）</item>
      </candidateList>
      <explain>文本全半角错误。</explain>
      <paraID>2DD6095B</paraID>
      <start>92</start>
      <end>93</end>
      <status>unmodified</status>
      <modifiedWord/>
      <trackRevisions>false</trackRevisions>
    </reviewItem>
    <reviewItem>
      <errorID>ccb71e61-171b-4f95-977b-507289da6786</errorID>
      <errorWord>属</errorWord>
      <group>L1_Word</group>
      <groupName>字词问题</groupName>
      <ability>L2_Typo</ability>
      <abilityName>字词错误</abilityName>
      <candidateList>
        <item>属于</item>
      </candidateList>
      <explain/>
      <paraID>455268A6</paraID>
      <start>72</start>
      <end>73</end>
      <status>unmodified</status>
      <modifiedWord/>
      <trackRevisions>false</trackRevisions>
    </reviewItem>
    <reviewItem>
      <errorID>5badcd4f-1fdc-400f-a6dc-d8cc4adbc1e0</errorID>
      <errorWord>(</errorWord>
      <group>L1_Format</group>
      <groupName>格式问题</groupName>
      <ability>L2_HalfPunc</ability>
      <abilityName>全半角检查</abilityName>
      <candidateList>
        <item>（</item>
      </candidateList>
      <explain>文本全半角错误。</explain>
      <paraID>455268A6</paraID>
      <start>92</start>
      <end>93</end>
      <status>unmodified</status>
      <modifiedWord/>
      <trackRevisions>false</trackRevisions>
    </reviewItem>
    <reviewItem>
      <errorID>14754c37-bcfd-415b-938f-d16b197ea412</errorID>
      <errorWord>)</errorWord>
      <group>L1_Format</group>
      <groupName>格式问题</groupName>
      <ability>L2_HalfPunc</ability>
      <abilityName>全半角检查</abilityName>
      <candidateList>
        <item>）</item>
      </candidateList>
      <explain>文本全半角错误。</explain>
      <paraID>455268A6</paraID>
      <start>110</start>
      <end>111</end>
      <status>unmodified</status>
      <modifiedWord/>
      <trackRevisions>false</trackRevisions>
    </reviewItem>
    <reviewItem>
      <errorID>e58b1206-1d62-4083-ab33-78bb1922dda7</errorID>
      <errorWord>激光刻划</errorWord>
      <group>L1_Knowledge</group>
      <groupName>知识性问题</groupName>
      <ability>L2_Term</ability>
      <abilityName>专业术语</abilityName>
      <candidateList>
        <item>激光刻蚀</item>
      </candidateList>
      <explain/>
      <paraID>72012180</paraID>
      <start>148</start>
      <end>152</end>
      <status>unmodified</status>
      <modifiedWord/>
      <trackRevisions>false</trackRevisions>
    </reviewItem>
    <reviewItem>
      <errorID>5f0e933c-3bc9-4670-b9d3-362e1d5a750c</errorID>
      <errorWord>废水与</errorWord>
      <group>L1_Word</group>
      <groupName>字词问题</groupName>
      <ability>L2_Typo</ability>
      <abilityName>字词错误</abilityName>
      <candidateList>
        <item>废水</item>
      </candidateList>
      <explain/>
      <paraID>26A7FF89</paraID>
      <start>26</start>
      <end>28</end>
      <status>modified</status>
      <modifiedWord>废水</modifiedWord>
      <trackRevisions>false</trackRevisions>
    </reviewItem>
    <reviewItem>
      <errorID>80b32ad7-2ef9-44a0-9ba9-e190d40052e3</errorID>
      <errorWord>漏渗</errorWord>
      <group>L1_Word</group>
      <groupName>字词问题</groupName>
      <ability>L2_Typo</ability>
      <abilityName>字词错误</abilityName>
      <candidateList>
        <item>渗漏</item>
      </candidateList>
      <explain/>
      <paraID>1CE74B39</paraID>
      <start>59</start>
      <end>61</end>
      <status>modified</status>
      <modifiedWord>渗漏</modifiedWord>
      <trackRevisions>false</trackRevisions>
    </reviewItem>
    <reviewItem>
      <errorID>926c95b7-0a5b-4043-9e24-6108a5b95b3a</errorID>
      <errorWord>)</errorWord>
      <group>L1_Format</group>
      <groupName>格式问题</groupName>
      <ability>L2_HalfPunc</ability>
      <abilityName>全半角检查</abilityName>
      <candidateList>
        <item>）</item>
      </candidateList>
      <explain>文本全半角错误。</explain>
      <paraID>1BC8F85B</paraID>
      <start>59</start>
      <end>60</end>
      <status>unmodified</status>
      <modifiedWord/>
      <trackRevisions>false</trackRevisions>
    </reviewItem>
    <reviewItem>
      <errorID>b5e82db2-4d6f-4f85-8856-f7e9816714c9</errorID>
      <errorWord>(</errorWord>
      <group>L1_Format</group>
      <groupName>格式问题</groupName>
      <ability>L2_HalfPunc</ability>
      <abilityName>全半角检查</abilityName>
      <candidateList>
        <item>（</item>
      </candidateList>
      <explain>文本全半角错误。</explain>
      <paraID>3E38D168</paraID>
      <start>13</start>
      <end>14</end>
      <status>unmodified</status>
      <modifiedWord/>
      <trackRevisions>false</trackRevisions>
    </reviewItem>
    <reviewItem>
      <errorID>29c3c11b-cc32-4de9-82b5-9ea5adf721c9</errorID>
      <errorWord>)</errorWord>
      <group>L1_Format</group>
      <groupName>格式问题</groupName>
      <ability>L2_HalfPunc</ability>
      <abilityName>全半角检查</abilityName>
      <candidateList>
        <item>）</item>
      </candidateList>
      <explain>文本全半角错误。</explain>
      <paraID>3E38D168</paraID>
      <start>22</start>
      <end>23</end>
      <status>unmodified</status>
      <modifiedWord/>
      <trackRevisions>false</trackRevisions>
    </reviewItem>
    <reviewItem>
      <errorID>d4fc3e4c-776c-4c31-8392-87c3ca5856b7</errorID>
      <errorWord>配戴</errorWord>
      <group>L1_Word</group>
      <groupName>字词问题</groupName>
      <ability>L2_Alias</ability>
      <abilityName>也作/曾用词</abilityName>
      <candidateList>
        <item>佩戴</item>
      </candidateList>
      <explain>词汇[配戴]为不规范表述或旧称，其规范书面表述为[佩戴]。</explain>
      <paraID> EE6F3DD</paraID>
      <start>24</start>
      <end>26</end>
      <status>modified</status>
      <modifiedWord>佩戴</modifiedWord>
      <trackRevisions>false</trackRevisions>
    </reviewItem>
    <reviewItem>
      <errorID>213fb38e-d9b8-4972-b611-6e92896e53cf</errorID>
      <errorWord>(</errorWord>
      <group>L1_Format</group>
      <groupName>格式问题</groupName>
      <ability>L2_HalfPunc</ability>
      <abilityName>全半角检查</abilityName>
      <candidateList>
        <item>（</item>
      </candidateList>
      <explain>文本全半角错误。</explain>
      <paraID>7FDFD271</paraID>
      <start>86</start>
      <end>87</end>
      <status>unmodified</status>
      <modifiedWord/>
      <trackRevisions>false</trackRevisions>
    </reviewItem>
    <reviewItem>
      <errorID>97c9c6ff-8d4f-45bb-a39f-c331d88d2da3</errorID>
      <errorWord>)</errorWord>
      <group>L1_Format</group>
      <groupName>格式问题</groupName>
      <ability>L2_HalfPunc</ability>
      <abilityName>全半角检查</abilityName>
      <candidateList>
        <item>）</item>
      </candidateList>
      <explain>文本全半角错误。</explain>
      <paraID>7FDFD271</paraID>
      <start>99</start>
      <end>100</end>
      <status>unmodified</status>
      <modifiedWord/>
      <trackRevisions>false</trackRevisions>
    </reviewItem>
    <reviewItem>
      <errorID>281623ba-4816-4ee6-b188-a6cb02a51277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60A2FDF0</paraID>
      <start>17</start>
      <end>20</end>
      <status>unmodified</status>
      <modifiedWord/>
      <trackRevisions>false</trackRevisions>
    </reviewItem>
    <reviewItem>
      <errorID>83670e73-7dd0-4c50-8754-26e452a17bed</errorID>
      <errorWord>属</errorWord>
      <group>L1_Word</group>
      <groupName>字词问题</groupName>
      <ability>L2_Typo</ability>
      <abilityName>字词错误</abilityName>
      <candidateList>
        <item>属于</item>
      </candidateList>
      <explain/>
      <paraID>60A2FDF0</paraID>
      <start>130</start>
      <end>131</end>
      <status>unmodified</status>
      <modifiedWord/>
      <trackRevisions>false</trackRevisions>
    </reviewItem>
    <reviewItem>
      <errorID>54694eb3-1165-4791-adb1-5b4302b2cbec</errorID>
      <errorWord>达产</errorWord>
      <group>L1_Word</group>
      <groupName>字词问题</groupName>
      <ability>L2_Typo</ability>
      <abilityName>字词错误</abilityName>
      <candidateList>
        <item>达</item>
      </candidateList>
      <explain/>
      <paraID>60A2FDF0</paraID>
      <start>156</start>
      <end>157</end>
      <status>modified</status>
      <modifiedWord>达</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acc7dd-0249-4a32-bb2f-560b4dcf807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286</Pages>
  <Words>89261</Words>
  <Characters>108663</Characters>
  <Lines>1744</Lines>
  <Paragraphs>491</Paragraphs>
  <TotalTime>269</TotalTime>
  <ScaleCrop>false</ScaleCrop>
  <LinksUpToDate>false</LinksUpToDate>
  <CharactersWithSpaces>108881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2019-12-11T05:35:00Z</dcterms:created>
  <dc:creator>User</dc:creator>
  <cp:lastModifiedBy>赵爽</cp:lastModifiedBy>
  <cp:lastPrinted>2025-10-13T02:31:00Z</cp:lastPrinted>
  <dcterms:modified xsi:type="dcterms:W3CDTF">2026-02-10T08:08:35Z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F36AA623116B40729A8E62860C21751D_13</vt:lpwstr>
  </property>
  <property fmtid="{D5CDD505-2E9C-101B-9397-08002B2CF9AE}" pid="4" name="KSOTemplateDocerSaveRecord">
    <vt:lpwstr>eyJoZGlkIjoiNTIyM2MzZTI4YmIyYmViNzIxNTA5MGI2YWNmNWRlNmQiLCJ1c2VySWQiOiI0MzQ5NzAwNzIifQ==</vt:lpwstr>
  </property>
</Properties>
</file>