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B781FF">
      <w:pPr>
        <w:jc w:val="center"/>
        <w:rPr>
          <w:rFonts w:hint="eastAsia" w:ascii="宋体" w:hAnsi="宋体"/>
          <w:b/>
          <w:color w:val="000000"/>
          <w:sz w:val="32"/>
          <w:szCs w:val="32"/>
        </w:rPr>
      </w:pPr>
    </w:p>
    <w:p w14:paraId="3576FF6A">
      <w:pPr>
        <w:rPr>
          <w:rFonts w:hint="eastAsia" w:ascii="宋体" w:hAnsi="宋体"/>
          <w:b/>
          <w:color w:val="000000"/>
          <w:sz w:val="32"/>
          <w:szCs w:val="32"/>
        </w:rPr>
      </w:pPr>
    </w:p>
    <w:p w14:paraId="70590D9C">
      <w:pPr>
        <w:pStyle w:val="2"/>
        <w:rPr>
          <w:rFonts w:hint="eastAsia"/>
          <w:color w:val="000000"/>
          <w:sz w:val="32"/>
          <w:szCs w:val="32"/>
        </w:rPr>
      </w:pPr>
    </w:p>
    <w:p w14:paraId="585D604A">
      <w:pPr>
        <w:jc w:val="center"/>
        <w:rPr>
          <w:rFonts w:hint="eastAsia" w:ascii="宋体" w:hAnsi="宋体"/>
          <w:color w:val="000000"/>
          <w:sz w:val="32"/>
          <w:szCs w:val="32"/>
        </w:rPr>
      </w:pPr>
      <w:r>
        <w:rPr>
          <w:rFonts w:hint="eastAsia" w:ascii="宋体" w:hAnsi="宋体"/>
          <w:color w:val="000000"/>
          <w:sz w:val="32"/>
          <w:szCs w:val="32"/>
        </w:rPr>
        <w:t xml:space="preserve">                            </w:t>
      </w:r>
    </w:p>
    <w:p w14:paraId="0408BEBF">
      <w:pPr>
        <w:jc w:val="right"/>
        <w:rPr>
          <w:rFonts w:hint="eastAsia" w:ascii="楷体" w:hAnsi="楷体" w:eastAsia="楷体"/>
          <w:color w:val="000000"/>
          <w:sz w:val="32"/>
          <w:szCs w:val="32"/>
          <w:highlight w:val="none"/>
        </w:rPr>
      </w:pPr>
      <w:bookmarkStart w:id="2" w:name="_GoBack"/>
      <w:r>
        <w:rPr>
          <w:rFonts w:hint="eastAsia" w:ascii="楷体" w:hAnsi="楷体" w:eastAsia="楷体"/>
          <w:color w:val="000000"/>
          <w:sz w:val="32"/>
          <w:szCs w:val="32"/>
          <w:highlight w:val="none"/>
        </w:rPr>
        <w:t>佳环建审﹝</w:t>
      </w:r>
      <w:r>
        <w:rPr>
          <w:rFonts w:hint="eastAsia" w:ascii="楷体" w:hAnsi="楷体" w:eastAsia="楷体"/>
          <w:color w:val="000000"/>
          <w:sz w:val="32"/>
          <w:szCs w:val="32"/>
          <w:highlight w:val="none"/>
          <w:lang w:val="en-US" w:eastAsia="zh-CN"/>
        </w:rPr>
        <w:t>2026</w:t>
      </w:r>
      <w:r>
        <w:rPr>
          <w:rFonts w:hint="eastAsia" w:ascii="楷体" w:hAnsi="楷体" w:eastAsia="楷体"/>
          <w:color w:val="000000"/>
          <w:sz w:val="32"/>
          <w:szCs w:val="32"/>
          <w:highlight w:val="none"/>
        </w:rPr>
        <w:t>﹞</w:t>
      </w:r>
      <w:r>
        <w:rPr>
          <w:rFonts w:hint="eastAsia" w:ascii="楷体" w:hAnsi="楷体" w:eastAsia="楷体"/>
          <w:color w:val="000000"/>
          <w:sz w:val="32"/>
          <w:szCs w:val="32"/>
          <w:highlight w:val="none"/>
          <w:lang w:val="en-US" w:eastAsia="zh-CN"/>
        </w:rPr>
        <w:t>3</w:t>
      </w:r>
      <w:r>
        <w:rPr>
          <w:rFonts w:hint="eastAsia" w:ascii="楷体" w:hAnsi="楷体" w:eastAsia="楷体"/>
          <w:color w:val="000000"/>
          <w:sz w:val="32"/>
          <w:szCs w:val="32"/>
          <w:highlight w:val="none"/>
        </w:rPr>
        <w:t>号</w:t>
      </w:r>
      <w:bookmarkEnd w:id="2"/>
    </w:p>
    <w:p w14:paraId="4D66929F">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关于</w:t>
      </w:r>
      <w:bookmarkStart w:id="0" w:name="_Toc4599"/>
      <w:bookmarkStart w:id="1" w:name="_Toc5748"/>
      <w:r>
        <w:rPr>
          <w:rFonts w:hint="eastAsia" w:ascii="方正小标宋简体" w:hAnsi="方正小标宋简体" w:eastAsia="方正小标宋简体" w:cs="方正小标宋简体"/>
          <w:color w:val="000000"/>
          <w:sz w:val="44"/>
          <w:szCs w:val="44"/>
        </w:rPr>
        <w:t>黑龙江大地酒业有限公司扩建项目</w:t>
      </w:r>
      <w:bookmarkEnd w:id="0"/>
      <w:bookmarkEnd w:id="1"/>
    </w:p>
    <w:p w14:paraId="65EBE836">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环境影响报告书的批复</w:t>
      </w:r>
    </w:p>
    <w:p w14:paraId="6F545127">
      <w:pPr>
        <w:pStyle w:val="3"/>
        <w:snapToGrid w:val="0"/>
        <w:rPr>
          <w:rFonts w:hint="eastAsia" w:ascii="宋体" w:hAnsi="宋体" w:eastAsia="仿宋_GB2312"/>
          <w:color w:val="000000"/>
          <w:sz w:val="21"/>
          <w:szCs w:val="21"/>
        </w:rPr>
      </w:pPr>
    </w:p>
    <w:p w14:paraId="16F22BE3">
      <w:pPr>
        <w:keepNext w:val="0"/>
        <w:keepLines w:val="0"/>
        <w:pageBreakBefore w:val="0"/>
        <w:widowControl w:val="0"/>
        <w:kinsoku/>
        <w:overflowPunct/>
        <w:topLinePunct w:val="0"/>
        <w:autoSpaceDE/>
        <w:autoSpaceDN/>
        <w:bidi w:val="0"/>
        <w:snapToGrid/>
        <w:spacing w:line="560" w:lineRule="exact"/>
        <w:ind w:left="1" w:hanging="1"/>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黑龙江大地酒业有限公司：</w:t>
      </w:r>
    </w:p>
    <w:p w14:paraId="61DE2FD0">
      <w:pPr>
        <w:keepNext w:val="0"/>
        <w:keepLines w:val="0"/>
        <w:pageBreakBefore w:val="0"/>
        <w:widowControl w:val="0"/>
        <w:kinsoku/>
        <w:overflowPunct/>
        <w:topLinePunct w:val="0"/>
        <w:autoSpaceDE/>
        <w:autoSpaceDN/>
        <w:bidi w:val="0"/>
        <w:snapToGrid/>
        <w:spacing w:line="560" w:lineRule="exact"/>
        <w:ind w:left="1"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你单位报送的《黑龙江大地酒业有限公司扩建项目环境影响报告书》（以下简称“报告书”）收悉。经研究，批复如下：</w:t>
      </w:r>
    </w:p>
    <w:p w14:paraId="3B9B3093">
      <w:pPr>
        <w:spacing w:line="560" w:lineRule="exact"/>
        <w:ind w:firstLine="640" w:firstLineChars="200"/>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 xml:space="preserve"> </w:t>
      </w:r>
      <w:r>
        <w:rPr>
          <w:rFonts w:ascii="Times New Roman" w:hAnsi="Times New Roman" w:eastAsia="黑体" w:cs="Times New Roman"/>
          <w:sz w:val="32"/>
          <w:szCs w:val="32"/>
        </w:rPr>
        <w:t>一、项目基本情况</w:t>
      </w:r>
    </w:p>
    <w:p w14:paraId="4D38F426">
      <w:pPr>
        <w:keepNext w:val="0"/>
        <w:keepLines w:val="0"/>
        <w:pageBreakBefore w:val="0"/>
        <w:widowControl w:val="0"/>
        <w:kinsoku/>
        <w:overflowPunct/>
        <w:topLinePunct w:val="0"/>
        <w:autoSpaceDE/>
        <w:autoSpaceDN/>
        <w:bidi w:val="0"/>
        <w:snapToGrid/>
        <w:spacing w:line="560" w:lineRule="exact"/>
        <w:ind w:left="1"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该项目属于</w:t>
      </w:r>
      <w:r>
        <w:rPr>
          <w:rFonts w:hint="eastAsia" w:ascii="仿宋_GB2312" w:hAnsi="仿宋" w:eastAsia="仿宋_GB2312" w:cs="仿宋"/>
          <w:color w:val="000000"/>
          <w:sz w:val="32"/>
          <w:szCs w:val="32"/>
          <w:lang w:val="en-US" w:eastAsia="zh-CN"/>
        </w:rPr>
        <w:t>改扩</w:t>
      </w:r>
      <w:r>
        <w:rPr>
          <w:rFonts w:hint="eastAsia" w:ascii="仿宋_GB2312" w:hAnsi="仿宋" w:eastAsia="仿宋_GB2312" w:cs="仿宋"/>
          <w:color w:val="000000"/>
          <w:sz w:val="32"/>
          <w:szCs w:val="32"/>
        </w:rPr>
        <w:t>建项目，建设地点位于佳木斯市桦川经济开发区，冷云街南段西侧，</w:t>
      </w:r>
      <w:r>
        <w:rPr>
          <w:rFonts w:hint="eastAsia" w:ascii="仿宋_GB2312" w:hAnsi="仿宋" w:eastAsia="仿宋_GB2312" w:cs="仿宋"/>
          <w:color w:val="000000"/>
          <w:sz w:val="32"/>
          <w:szCs w:val="32"/>
          <w:lang w:eastAsia="zh-CN"/>
        </w:rPr>
        <w:t>厂区总占地面积93460.43</w:t>
      </w:r>
      <w:r>
        <w:rPr>
          <w:rFonts w:hint="eastAsia" w:ascii="仿宋_GB2312" w:hAnsi="仿宋" w:eastAsia="仿宋_GB2312" w:cs="仿宋"/>
          <w:color w:val="000000"/>
          <w:sz w:val="32"/>
          <w:szCs w:val="32"/>
          <w:lang w:val="en-US" w:eastAsia="zh-CN"/>
        </w:rPr>
        <w:t>平方米</w:t>
      </w:r>
      <w:r>
        <w:rPr>
          <w:rFonts w:hint="eastAsia" w:ascii="仿宋_GB2312" w:hAnsi="仿宋" w:eastAsia="仿宋_GB2312" w:cs="仿宋"/>
          <w:color w:val="000000"/>
          <w:sz w:val="32"/>
          <w:szCs w:val="32"/>
          <w:lang w:eastAsia="zh-CN"/>
        </w:rPr>
        <w:t>，本项目利用现有厂区内现有车间和预留用地进行建设，</w:t>
      </w:r>
      <w:r>
        <w:rPr>
          <w:rFonts w:hint="eastAsia" w:ascii="仿宋_GB2312" w:hAnsi="仿宋" w:eastAsia="仿宋_GB2312" w:cs="仿宋"/>
          <w:color w:val="000000"/>
          <w:sz w:val="32"/>
          <w:szCs w:val="32"/>
        </w:rPr>
        <w:t>占地面积</w:t>
      </w:r>
      <w:r>
        <w:rPr>
          <w:rFonts w:hint="eastAsia" w:ascii="仿宋_GB2312" w:hAnsi="仿宋" w:eastAsia="仿宋_GB2312" w:cs="仿宋"/>
          <w:color w:val="000000"/>
          <w:sz w:val="32"/>
          <w:szCs w:val="32"/>
          <w:lang w:val="en-US" w:eastAsia="zh-CN"/>
        </w:rPr>
        <w:t>29124平方米</w:t>
      </w:r>
      <w:r>
        <w:rPr>
          <w:rFonts w:hint="eastAsia" w:ascii="仿宋_GB2312" w:hAnsi="仿宋" w:eastAsia="仿宋_GB2312" w:cs="仿宋"/>
          <w:color w:val="000000"/>
          <w:sz w:val="32"/>
          <w:szCs w:val="32"/>
        </w:rPr>
        <w:t>，占地类型为</w:t>
      </w:r>
      <w:r>
        <w:rPr>
          <w:rFonts w:hint="eastAsia" w:ascii="仿宋_GB2312" w:hAnsi="仿宋" w:eastAsia="仿宋_GB2312" w:cs="仿宋"/>
          <w:color w:val="000000"/>
          <w:sz w:val="32"/>
          <w:szCs w:val="32"/>
          <w:lang w:val="en-US" w:eastAsia="zh-CN"/>
        </w:rPr>
        <w:t>工业用地</w:t>
      </w:r>
      <w:r>
        <w:rPr>
          <w:rFonts w:hint="eastAsia" w:ascii="仿宋_GB2312" w:hAnsi="仿宋" w:eastAsia="仿宋_GB2312" w:cs="仿宋"/>
          <w:color w:val="000000"/>
          <w:sz w:val="32"/>
          <w:szCs w:val="32"/>
        </w:rPr>
        <w:t>。</w:t>
      </w:r>
      <w:r>
        <w:rPr>
          <w:rFonts w:hint="eastAsia" w:ascii="仿宋_GB2312" w:hAnsi="仿宋" w:eastAsia="仿宋_GB2312" w:cs="仿宋"/>
          <w:color w:val="000000"/>
          <w:sz w:val="32"/>
          <w:szCs w:val="32"/>
          <w:lang w:val="en-US" w:eastAsia="zh-CN"/>
        </w:rPr>
        <w:t>本项目优化现有工程发酵工序，延长发酵周期（由10天延长至30天），将现有酿造车间（1车间）720吨/年（648千升/年）基酒产能缩减为240吨/年（216千升/年）。本项目新建酿酒车间2座、灌装车间1座、</w:t>
      </w:r>
      <w:r>
        <w:rPr>
          <w:rFonts w:hint="eastAsia" w:ascii="Times New Roman" w:hAnsi="Times New Roman" w:eastAsia="仿宋_GB2312" w:cs="Times New Roman"/>
          <w:sz w:val="32"/>
          <w:szCs w:val="32"/>
          <w:lang w:val="en-US" w:eastAsia="zh-CN"/>
        </w:rPr>
        <w:t>展馆1座，</w:t>
      </w:r>
      <w:r>
        <w:rPr>
          <w:rFonts w:hint="eastAsia" w:ascii="仿宋_GB2312" w:hAnsi="仿宋" w:eastAsia="仿宋_GB2312" w:cs="仿宋"/>
          <w:color w:val="000000"/>
          <w:sz w:val="32"/>
          <w:szCs w:val="32"/>
          <w:lang w:val="en-US" w:eastAsia="zh-CN"/>
        </w:rPr>
        <w:t>拆除原有2吨/时生物质蒸汽锅炉，新建一座10吨/时生物质成型燃料蒸汽锅炉，配套</w:t>
      </w:r>
      <w:r>
        <w:rPr>
          <w:rFonts w:hint="eastAsia" w:ascii="Times New Roman" w:hAnsi="Times New Roman" w:eastAsia="仿宋_GB2312" w:cs="Times New Roman"/>
          <w:sz w:val="32"/>
          <w:szCs w:val="32"/>
          <w:lang w:val="en-US" w:eastAsia="zh-CN"/>
        </w:rPr>
        <w:t>新建1座燃料库和灰渣库</w:t>
      </w:r>
      <w:r>
        <w:rPr>
          <w:rFonts w:hint="eastAsia" w:ascii="仿宋_GB2312" w:hAnsi="仿宋" w:eastAsia="仿宋_GB2312" w:cs="仿宋"/>
          <w:color w:val="000000"/>
          <w:sz w:val="32"/>
          <w:szCs w:val="32"/>
          <w:lang w:val="en-US" w:eastAsia="zh-CN"/>
        </w:rPr>
        <w:t>。备料车间、制曲车间、罐区、酒库、原料库、包材库、污水处理站、事故水池、一般固废贮存库、危险废物贮存点等依托现有工程。本项目新增基酒产能2160吨/年（1944千升/年），建成后全厂基酒总产能2400吨/年（2160千升/年），成品酒总产能4500吨/年。</w:t>
      </w:r>
      <w:r>
        <w:rPr>
          <w:rFonts w:hint="eastAsia" w:ascii="仿宋_GB2312" w:hAnsi="仿宋" w:eastAsia="仿宋_GB2312" w:cs="仿宋"/>
          <w:color w:val="000000"/>
          <w:sz w:val="32"/>
          <w:szCs w:val="32"/>
        </w:rPr>
        <w:t>工程总投资</w:t>
      </w:r>
      <w:r>
        <w:rPr>
          <w:rFonts w:hint="eastAsia" w:ascii="仿宋_GB2312" w:hAnsi="仿宋" w:eastAsia="仿宋_GB2312" w:cs="仿宋"/>
          <w:color w:val="000000"/>
          <w:sz w:val="32"/>
          <w:szCs w:val="32"/>
          <w:lang w:val="en-US" w:eastAsia="zh-CN"/>
        </w:rPr>
        <w:t>15000</w:t>
      </w:r>
      <w:r>
        <w:rPr>
          <w:rFonts w:hint="eastAsia" w:ascii="仿宋_GB2312" w:hAnsi="仿宋" w:eastAsia="仿宋_GB2312" w:cs="仿宋"/>
          <w:color w:val="000000"/>
          <w:sz w:val="32"/>
          <w:szCs w:val="32"/>
        </w:rPr>
        <w:t>万元。</w:t>
      </w:r>
    </w:p>
    <w:p w14:paraId="5CEBECA7">
      <w:pPr>
        <w:keepNext w:val="0"/>
        <w:keepLines w:val="0"/>
        <w:pageBreakBefore w:val="0"/>
        <w:widowControl w:val="0"/>
        <w:kinsoku/>
        <w:overflowPunct/>
        <w:topLinePunct w:val="0"/>
        <w:autoSpaceDE/>
        <w:autoSpaceDN/>
        <w:bidi w:val="0"/>
        <w:adjustRightInd w:val="0"/>
        <w:snapToGrid/>
        <w:spacing w:line="560" w:lineRule="exact"/>
        <w:ind w:firstLine="640" w:firstLineChars="200"/>
        <w:textAlignment w:val="auto"/>
        <w:rPr>
          <w:rFonts w:hint="eastAsia" w:ascii="仿宋_GB2312" w:hAnsi="仿宋" w:eastAsia="仿宋_GB2312" w:cs="仿宋"/>
          <w:color w:val="000000"/>
          <w:spacing w:val="10"/>
          <w:sz w:val="32"/>
          <w:szCs w:val="32"/>
        </w:rPr>
      </w:pPr>
      <w:r>
        <w:rPr>
          <w:rFonts w:hint="eastAsia" w:ascii="仿宋_GB2312" w:hAnsi="仿宋" w:eastAsia="仿宋_GB2312" w:cs="仿宋"/>
          <w:color w:val="000000"/>
          <w:sz w:val="32"/>
          <w:szCs w:val="32"/>
        </w:rPr>
        <w:t>该工程建设总体符合国家相关规划。</w:t>
      </w:r>
      <w:r>
        <w:rPr>
          <w:rFonts w:hint="eastAsia" w:ascii="仿宋_GB2312" w:hAnsi="仿宋" w:eastAsia="仿宋_GB2312" w:cs="仿宋"/>
          <w:color w:val="000000"/>
          <w:spacing w:val="10"/>
          <w:sz w:val="32"/>
          <w:szCs w:val="32"/>
        </w:rPr>
        <w:t>工程实施将对周边生态环境产生一定不利影响，在全面落实环境影响报告书和本批复提出的各项生态环境保护措施后，不利影响能够得到减缓和控制。因此，我局原则同意环境影响报告书的环境影响评价总体结论和各项生态环境保护措施。</w:t>
      </w:r>
    </w:p>
    <w:p w14:paraId="55375418">
      <w:pPr>
        <w:keepNext w:val="0"/>
        <w:keepLines w:val="0"/>
        <w:pageBreakBefore w:val="0"/>
        <w:widowControl w:val="0"/>
        <w:kinsoku/>
        <w:overflowPunct/>
        <w:topLinePunct w:val="0"/>
        <w:autoSpaceDE/>
        <w:autoSpaceDN/>
        <w:bidi w:val="0"/>
        <w:adjustRightInd w:val="0"/>
        <w:snapToGrid/>
        <w:spacing w:line="560"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二、主要生态环境影响和保护措施</w:t>
      </w:r>
    </w:p>
    <w:p w14:paraId="621C7335">
      <w:pPr>
        <w:keepNext w:val="0"/>
        <w:keepLines w:val="0"/>
        <w:pageBreakBefore w:val="0"/>
        <w:widowControl w:val="0"/>
        <w:kinsoku/>
        <w:overflowPunct/>
        <w:topLinePunct w:val="0"/>
        <w:autoSpaceDE/>
        <w:autoSpaceDN/>
        <w:bidi w:val="0"/>
        <w:adjustRightInd w:val="0"/>
        <w:snapToGrid/>
        <w:spacing w:line="560" w:lineRule="exact"/>
        <w:ind w:firstLine="640" w:firstLineChars="200"/>
        <w:textAlignment w:val="auto"/>
        <w:outlineLvl w:val="0"/>
        <w:rPr>
          <w:rFonts w:hint="eastAsia" w:ascii="仿宋_GB2312" w:hAnsi="仿宋" w:eastAsia="仿宋_GB2312" w:cs="仿宋"/>
          <w:color w:val="000000"/>
          <w:sz w:val="32"/>
          <w:szCs w:val="32"/>
          <w:highlight w:val="none"/>
        </w:rPr>
      </w:pPr>
      <w:r>
        <w:rPr>
          <w:rFonts w:hint="eastAsia" w:ascii="仿宋_GB2312" w:hAnsi="仿宋" w:eastAsia="仿宋_GB2312" w:cs="仿宋"/>
          <w:color w:val="000000"/>
          <w:sz w:val="32"/>
          <w:szCs w:val="32"/>
          <w:highlight w:val="none"/>
        </w:rPr>
        <w:t>（一）大气环境影响和保护措施</w:t>
      </w:r>
    </w:p>
    <w:p w14:paraId="2C4370B8">
      <w:pPr>
        <w:keepNext w:val="0"/>
        <w:keepLines w:val="0"/>
        <w:pageBreakBefore w:val="0"/>
        <w:widowControl w:val="0"/>
        <w:kinsoku/>
        <w:overflowPunct/>
        <w:topLinePunct w:val="0"/>
        <w:autoSpaceDE/>
        <w:autoSpaceDN/>
        <w:bidi w:val="0"/>
        <w:adjustRightInd w:val="0"/>
        <w:snapToGrid/>
        <w:spacing w:line="560" w:lineRule="exact"/>
        <w:ind w:firstLine="640" w:firstLineChars="200"/>
        <w:textAlignment w:val="auto"/>
        <w:rPr>
          <w:rFonts w:hint="eastAsia" w:ascii="仿宋_GB2312" w:hAnsi="仿宋" w:eastAsia="仿宋_GB2312" w:cs="仿宋"/>
          <w:color w:val="000000"/>
          <w:sz w:val="32"/>
          <w:szCs w:val="32"/>
          <w:highlight w:val="none"/>
        </w:rPr>
      </w:pPr>
      <w:r>
        <w:rPr>
          <w:rFonts w:hint="eastAsia" w:ascii="仿宋_GB2312" w:hAnsi="仿宋" w:eastAsia="仿宋_GB2312" w:cs="仿宋"/>
          <w:color w:val="000000"/>
          <w:sz w:val="32"/>
          <w:szCs w:val="32"/>
          <w:highlight w:val="none"/>
        </w:rPr>
        <w:t>大气影响主要来自</w:t>
      </w:r>
      <w:r>
        <w:rPr>
          <w:rFonts w:hint="eastAsia" w:ascii="仿宋_GB2312" w:hAnsi="仿宋" w:eastAsia="仿宋_GB2312" w:cs="仿宋"/>
          <w:color w:val="000000"/>
          <w:sz w:val="32"/>
          <w:szCs w:val="32"/>
          <w:highlight w:val="none"/>
          <w:lang w:val="en-US" w:eastAsia="zh-CN"/>
        </w:rPr>
        <w:t>本项目备料粉尘、锅炉烟气、酿造车间无组织排放废气、厂内车辆运输造成的扬尘、勾兑罐呼吸废气、备料车间无组织粉尘等</w:t>
      </w:r>
      <w:r>
        <w:rPr>
          <w:rFonts w:hint="eastAsia" w:ascii="仿宋_GB2312" w:hAnsi="仿宋" w:eastAsia="仿宋_GB2312" w:cs="仿宋"/>
          <w:color w:val="000000"/>
          <w:sz w:val="32"/>
          <w:szCs w:val="32"/>
          <w:highlight w:val="none"/>
        </w:rPr>
        <w:t>。</w:t>
      </w:r>
    </w:p>
    <w:p w14:paraId="33D14E4E">
      <w:pPr>
        <w:keepNext w:val="0"/>
        <w:keepLines w:val="0"/>
        <w:pageBreakBefore w:val="0"/>
        <w:widowControl w:val="0"/>
        <w:kinsoku/>
        <w:overflowPunct/>
        <w:topLinePunct w:val="0"/>
        <w:autoSpaceDE/>
        <w:autoSpaceDN/>
        <w:bidi w:val="0"/>
        <w:adjustRightInd w:val="0"/>
        <w:snapToGrid/>
        <w:spacing w:line="560" w:lineRule="exact"/>
        <w:ind w:firstLine="640" w:firstLineChars="200"/>
        <w:textAlignment w:val="auto"/>
        <w:rPr>
          <w:rFonts w:hint="eastAsia" w:ascii="仿宋_GB2312" w:hAnsi="仿宋" w:eastAsia="仿宋_GB2312" w:cs="仿宋"/>
          <w:color w:val="auto"/>
          <w:sz w:val="32"/>
          <w:szCs w:val="32"/>
          <w:highlight w:val="none"/>
        </w:rPr>
      </w:pPr>
      <w:r>
        <w:rPr>
          <w:rFonts w:hint="eastAsia" w:ascii="仿宋_GB2312" w:hAnsi="仿宋" w:eastAsia="仿宋_GB2312" w:cs="仿宋"/>
          <w:color w:val="000000"/>
          <w:sz w:val="32"/>
          <w:szCs w:val="32"/>
          <w:highlight w:val="none"/>
        </w:rPr>
        <w:t>本项目原料粉碎依托现有粉碎设备进行生产，生产过程中产生的粉尘由现有的筛选粉碎设备全</w:t>
      </w:r>
      <w:r>
        <w:rPr>
          <w:rFonts w:hint="eastAsia" w:ascii="仿宋_GB2312" w:hAnsi="仿宋" w:eastAsia="仿宋_GB2312" w:cs="仿宋"/>
          <w:color w:val="000000"/>
          <w:sz w:val="32"/>
          <w:szCs w:val="32"/>
          <w:highlight w:val="none"/>
          <w:lang w:eastAsia="zh-CN"/>
        </w:rPr>
        <w:t>封闭</w:t>
      </w:r>
      <w:r>
        <w:rPr>
          <w:rFonts w:hint="eastAsia" w:ascii="仿宋_GB2312" w:hAnsi="仿宋" w:eastAsia="仿宋_GB2312" w:cs="仿宋"/>
          <w:color w:val="000000"/>
          <w:sz w:val="32"/>
          <w:szCs w:val="32"/>
          <w:highlight w:val="none"/>
        </w:rPr>
        <w:t>集气罩收集后由布袋除尘器处理后经现有15m高排气筒排放，颗粒物排放</w:t>
      </w:r>
      <w:r>
        <w:rPr>
          <w:rFonts w:hint="eastAsia" w:ascii="仿宋_GB2312" w:hAnsi="仿宋" w:eastAsia="仿宋_GB2312" w:cs="仿宋"/>
          <w:color w:val="000000"/>
          <w:sz w:val="32"/>
          <w:szCs w:val="32"/>
          <w:highlight w:val="none"/>
          <w:lang w:val="en-US" w:eastAsia="zh-CN"/>
        </w:rPr>
        <w:t>执行</w:t>
      </w:r>
      <w:r>
        <w:rPr>
          <w:rFonts w:hint="eastAsia" w:ascii="仿宋_GB2312" w:hAnsi="仿宋" w:eastAsia="仿宋_GB2312" w:cs="仿宋"/>
          <w:color w:val="000000"/>
          <w:sz w:val="32"/>
          <w:szCs w:val="32"/>
          <w:highlight w:val="none"/>
        </w:rPr>
        <w:t>《大气污染物综合排放标准》（GB16297-1996）表2</w:t>
      </w:r>
      <w:r>
        <w:rPr>
          <w:rFonts w:hint="eastAsia" w:ascii="仿宋_GB2312" w:hAnsi="仿宋" w:eastAsia="仿宋_GB2312" w:cs="仿宋"/>
          <w:color w:val="000000"/>
          <w:sz w:val="32"/>
          <w:szCs w:val="32"/>
          <w:highlight w:val="none"/>
          <w:lang w:val="en-US" w:eastAsia="zh-CN"/>
        </w:rPr>
        <w:t>要求</w:t>
      </w:r>
      <w:r>
        <w:rPr>
          <w:rFonts w:hint="eastAsia" w:ascii="仿宋_GB2312" w:hAnsi="仿宋" w:eastAsia="仿宋_GB2312" w:cs="仿宋"/>
          <w:color w:val="000000"/>
          <w:sz w:val="32"/>
          <w:szCs w:val="32"/>
          <w:highlight w:val="none"/>
          <w:lang w:eastAsia="zh-CN"/>
        </w:rPr>
        <w:t>；</w:t>
      </w:r>
      <w:r>
        <w:rPr>
          <w:rFonts w:hint="eastAsia" w:ascii="仿宋_GB2312" w:hAnsi="仿宋" w:eastAsia="仿宋_GB2312" w:cs="仿宋"/>
          <w:color w:val="000000"/>
          <w:sz w:val="32"/>
          <w:szCs w:val="32"/>
          <w:highlight w:val="none"/>
        </w:rPr>
        <w:t>生物质锅炉烟气经旋风除尘器+布袋除尘器后由1根40米高烟囱排放，</w:t>
      </w:r>
      <w:r>
        <w:rPr>
          <w:rFonts w:hint="eastAsia" w:ascii="仿宋_GB2312" w:hAnsi="仿宋" w:eastAsia="仿宋_GB2312" w:cs="仿宋"/>
          <w:color w:val="000000"/>
          <w:sz w:val="32"/>
          <w:szCs w:val="32"/>
          <w:highlight w:val="none"/>
          <w:lang w:val="en-US" w:eastAsia="zh-CN"/>
        </w:rPr>
        <w:t>大气污染物</w:t>
      </w:r>
      <w:r>
        <w:rPr>
          <w:rFonts w:hint="eastAsia" w:ascii="仿宋_GB2312" w:hAnsi="仿宋" w:eastAsia="仿宋_GB2312" w:cs="仿宋"/>
          <w:color w:val="000000"/>
          <w:sz w:val="32"/>
          <w:szCs w:val="32"/>
          <w:highlight w:val="none"/>
        </w:rPr>
        <w:t>排放</w:t>
      </w:r>
      <w:r>
        <w:rPr>
          <w:rFonts w:hint="eastAsia" w:ascii="仿宋_GB2312" w:hAnsi="仿宋" w:eastAsia="仿宋_GB2312" w:cs="仿宋"/>
          <w:color w:val="000000"/>
          <w:sz w:val="32"/>
          <w:szCs w:val="32"/>
          <w:highlight w:val="none"/>
          <w:lang w:val="en-US" w:eastAsia="zh-CN"/>
        </w:rPr>
        <w:t>应执行</w:t>
      </w:r>
      <w:r>
        <w:rPr>
          <w:rFonts w:hint="eastAsia" w:ascii="仿宋_GB2312" w:hAnsi="仿宋" w:eastAsia="仿宋_GB2312" w:cs="仿宋"/>
          <w:color w:val="000000"/>
          <w:sz w:val="32"/>
          <w:szCs w:val="32"/>
          <w:highlight w:val="none"/>
        </w:rPr>
        <w:t>《锅炉大气污染物排放标准》（GB13271-2014）表2</w:t>
      </w:r>
      <w:r>
        <w:rPr>
          <w:rFonts w:hint="eastAsia" w:ascii="仿宋_GB2312" w:hAnsi="仿宋" w:eastAsia="仿宋_GB2312" w:cs="仿宋"/>
          <w:color w:val="000000"/>
          <w:sz w:val="32"/>
          <w:szCs w:val="32"/>
          <w:highlight w:val="none"/>
          <w:lang w:val="en-US" w:eastAsia="zh-CN"/>
        </w:rPr>
        <w:t>标准</w:t>
      </w:r>
      <w:r>
        <w:rPr>
          <w:rFonts w:hint="eastAsia" w:ascii="仿宋_GB2312" w:hAnsi="仿宋" w:eastAsia="仿宋_GB2312" w:cs="仿宋"/>
          <w:color w:val="000000"/>
          <w:sz w:val="32"/>
          <w:szCs w:val="32"/>
          <w:highlight w:val="none"/>
        </w:rPr>
        <w:t>。酿造车间封闭，</w:t>
      </w:r>
      <w:r>
        <w:rPr>
          <w:rFonts w:hint="eastAsia" w:eastAsia="仿宋_GB2312"/>
          <w:color w:val="auto"/>
          <w:sz w:val="32"/>
          <w:szCs w:val="32"/>
          <w:highlight w:val="none"/>
          <w:vertAlign w:val="baseline"/>
          <w:lang w:val="en-US" w:eastAsia="zh-CN"/>
        </w:rPr>
        <w:t>酒糟（含废糟液）堆放在封闭区域内并及时清理</w:t>
      </w:r>
      <w:r>
        <w:rPr>
          <w:rFonts w:hint="eastAsia" w:ascii="Times New Roman" w:hAnsi="Times New Roman" w:eastAsia="仿宋_GB2312" w:cs="Times New Roman"/>
          <w:color w:val="auto"/>
          <w:sz w:val="32"/>
          <w:szCs w:val="32"/>
          <w:highlight w:val="none"/>
          <w:vertAlign w:val="baseline"/>
          <w:lang w:val="en-US" w:eastAsia="zh-CN"/>
        </w:rPr>
        <w:t>，</w:t>
      </w:r>
      <w:r>
        <w:rPr>
          <w:rFonts w:hint="eastAsia" w:ascii="仿宋_GB2312" w:hAnsi="仿宋" w:eastAsia="仿宋_GB2312" w:cs="仿宋"/>
          <w:color w:val="auto"/>
          <w:sz w:val="32"/>
          <w:szCs w:val="32"/>
          <w:highlight w:val="none"/>
          <w:lang w:eastAsia="zh-CN"/>
        </w:rPr>
        <w:t>优化摊晾蒸酒工序，</w:t>
      </w:r>
      <w:r>
        <w:rPr>
          <w:rFonts w:hint="eastAsia" w:ascii="仿宋_GB2312" w:hAnsi="仿宋" w:eastAsia="仿宋_GB2312" w:cs="仿宋"/>
          <w:color w:val="auto"/>
          <w:sz w:val="32"/>
          <w:szCs w:val="32"/>
          <w:highlight w:val="none"/>
          <w:lang w:val="en-US" w:eastAsia="zh-CN"/>
        </w:rPr>
        <w:t>确保</w:t>
      </w:r>
      <w:r>
        <w:rPr>
          <w:rFonts w:hint="eastAsia" w:ascii="Times New Roman" w:hAnsi="Times New Roman" w:eastAsia="仿宋_GB2312" w:cs="Times New Roman"/>
          <w:color w:val="auto"/>
          <w:sz w:val="32"/>
          <w:szCs w:val="32"/>
          <w:highlight w:val="none"/>
          <w:vertAlign w:val="baseline"/>
          <w:lang w:val="en-US" w:eastAsia="zh-CN"/>
        </w:rPr>
        <w:t>厂界臭气浓度满足</w:t>
      </w:r>
      <w:r>
        <w:rPr>
          <w:rFonts w:hint="eastAsia" w:eastAsia="仿宋_GB2312"/>
          <w:color w:val="auto"/>
          <w:sz w:val="32"/>
          <w:szCs w:val="32"/>
          <w:highlight w:val="none"/>
          <w:vertAlign w:val="baseline"/>
          <w:lang w:val="en-US" w:eastAsia="zh-CN"/>
        </w:rPr>
        <w:t>《恶臭污染物排放标准》（GB14554-93）</w:t>
      </w:r>
      <w:r>
        <w:rPr>
          <w:rFonts w:hint="eastAsia" w:ascii="Times New Roman" w:hAnsi="Times New Roman" w:eastAsia="仿宋_GB2312" w:cs="Times New Roman"/>
          <w:color w:val="auto"/>
          <w:sz w:val="32"/>
          <w:szCs w:val="32"/>
          <w:highlight w:val="none"/>
          <w:vertAlign w:val="baseline"/>
          <w:lang w:val="en-US" w:eastAsia="zh-CN"/>
        </w:rPr>
        <w:t>表1</w:t>
      </w:r>
      <w:r>
        <w:rPr>
          <w:rFonts w:hint="eastAsia" w:eastAsia="仿宋_GB2312" w:cs="Times New Roman"/>
          <w:color w:val="auto"/>
          <w:sz w:val="32"/>
          <w:szCs w:val="32"/>
          <w:highlight w:val="none"/>
          <w:vertAlign w:val="baseline"/>
          <w:lang w:val="en-US" w:eastAsia="zh-CN"/>
        </w:rPr>
        <w:t>中</w:t>
      </w:r>
      <w:r>
        <w:rPr>
          <w:rFonts w:hint="eastAsia" w:ascii="Times New Roman" w:hAnsi="Times New Roman" w:eastAsia="仿宋_GB2312" w:cs="Times New Roman"/>
          <w:color w:val="auto"/>
          <w:sz w:val="32"/>
          <w:szCs w:val="32"/>
          <w:highlight w:val="none"/>
          <w:vertAlign w:val="baseline"/>
          <w:lang w:val="en-US" w:eastAsia="zh-CN"/>
        </w:rPr>
        <w:t>二级标准要求。</w:t>
      </w:r>
    </w:p>
    <w:p w14:paraId="744F6607">
      <w:pPr>
        <w:pStyle w:val="14"/>
        <w:keepNext w:val="0"/>
        <w:keepLines w:val="0"/>
        <w:pageBreakBefore w:val="0"/>
        <w:widowControl w:val="0"/>
        <w:kinsoku/>
        <w:overflowPunct/>
        <w:topLinePunct w:val="0"/>
        <w:autoSpaceDE/>
        <w:autoSpaceDN/>
        <w:bidi w:val="0"/>
        <w:snapToGrid/>
        <w:spacing w:line="560" w:lineRule="exact"/>
        <w:ind w:firstLine="640" w:firstLineChars="200"/>
        <w:textAlignment w:val="auto"/>
        <w:outlineLvl w:val="0"/>
        <w:rPr>
          <w:rFonts w:hint="eastAsia" w:ascii="仿宋_GB2312" w:hAnsi="仿宋" w:eastAsia="仿宋_GB2312" w:cs="仿宋"/>
          <w:color w:val="000000"/>
          <w:sz w:val="32"/>
          <w:szCs w:val="32"/>
          <w:highlight w:val="none"/>
        </w:rPr>
      </w:pPr>
      <w:r>
        <w:rPr>
          <w:rFonts w:hint="eastAsia" w:ascii="仿宋_GB2312" w:hAnsi="仿宋" w:eastAsia="仿宋_GB2312" w:cs="仿宋"/>
          <w:color w:val="000000"/>
          <w:sz w:val="32"/>
          <w:szCs w:val="32"/>
          <w:highlight w:val="none"/>
        </w:rPr>
        <w:t>（二）水环境影响和保护措施</w:t>
      </w:r>
    </w:p>
    <w:p w14:paraId="1F8B602E">
      <w:pPr>
        <w:keepNext w:val="0"/>
        <w:keepLines w:val="0"/>
        <w:pageBreakBefore w:val="0"/>
        <w:widowControl w:val="0"/>
        <w:kinsoku/>
        <w:overflowPunct/>
        <w:topLinePunct w:val="0"/>
        <w:autoSpaceDE/>
        <w:autoSpaceDN/>
        <w:bidi w:val="0"/>
        <w:adjustRightInd w:val="0"/>
        <w:snapToGrid/>
        <w:spacing w:line="560" w:lineRule="exact"/>
        <w:ind w:firstLine="640" w:firstLineChars="200"/>
        <w:textAlignment w:val="auto"/>
        <w:rPr>
          <w:rFonts w:hint="eastAsia" w:ascii="仿宋_GB2312" w:hAnsi="仿宋" w:eastAsia="仿宋_GB2312" w:cs="仿宋"/>
          <w:color w:val="000000"/>
          <w:sz w:val="32"/>
          <w:szCs w:val="32"/>
          <w:highlight w:val="yellow"/>
        </w:rPr>
      </w:pPr>
      <w:r>
        <w:rPr>
          <w:rFonts w:hint="eastAsia" w:ascii="仿宋_GB2312" w:hAnsi="仿宋" w:eastAsia="仿宋_GB2312" w:cs="仿宋"/>
          <w:color w:val="000000"/>
          <w:sz w:val="32"/>
          <w:szCs w:val="32"/>
          <w:highlight w:val="none"/>
        </w:rPr>
        <w:t>工程运营期废水主要包括锅底水、锅炉排水、车间地面冲洗废水、纯水制造废水、洗瓶废水、循环冷却系统排水、发酵黄水。</w:t>
      </w:r>
    </w:p>
    <w:p w14:paraId="365B55DB">
      <w:pPr>
        <w:keepNext w:val="0"/>
        <w:keepLines w:val="0"/>
        <w:pageBreakBefore w:val="0"/>
        <w:widowControl w:val="0"/>
        <w:kinsoku/>
        <w:overflowPunct/>
        <w:topLinePunct w:val="0"/>
        <w:autoSpaceDE/>
        <w:autoSpaceDN/>
        <w:bidi w:val="0"/>
        <w:adjustRightInd w:val="0"/>
        <w:snapToGrid/>
        <w:spacing w:line="560" w:lineRule="exact"/>
        <w:ind w:firstLine="640" w:firstLineChars="200"/>
        <w:textAlignment w:val="auto"/>
        <w:rPr>
          <w:rFonts w:hint="eastAsia" w:ascii="仿宋_GB2312" w:hAnsi="仿宋" w:eastAsia="仿宋_GB2312" w:cs="仿宋"/>
          <w:color w:val="000000"/>
          <w:sz w:val="32"/>
          <w:szCs w:val="32"/>
          <w:highlight w:val="yellow"/>
        </w:rPr>
      </w:pPr>
      <w:r>
        <w:rPr>
          <w:rFonts w:hint="eastAsia" w:ascii="仿宋_GB2312" w:hAnsi="仿宋" w:eastAsia="仿宋_GB2312" w:cs="仿宋"/>
          <w:color w:val="000000"/>
          <w:sz w:val="32"/>
          <w:szCs w:val="32"/>
          <w:highlight w:val="none"/>
        </w:rPr>
        <w:t>本项目雨污分流，厂区雨水依托厂区现有雨水管网排入厂区东侧市政雨水管网。本项目循环冷却系统排水全部回用于生产用水不外排；发酵黄水全部用于养窖不外排。本项目锅底水部分回用于润粮用水，锅炉排水部分回用于锅炉除渣抑尘用水，其余部分锅底水</w:t>
      </w:r>
      <w:r>
        <w:rPr>
          <w:rFonts w:hint="eastAsia" w:ascii="仿宋_GB2312" w:hAnsi="仿宋" w:eastAsia="仿宋_GB2312" w:cs="仿宋"/>
          <w:color w:val="000000"/>
          <w:sz w:val="32"/>
          <w:szCs w:val="32"/>
          <w:highlight w:val="none"/>
          <w:lang w:eastAsia="zh-CN"/>
        </w:rPr>
        <w:t>、</w:t>
      </w:r>
      <w:r>
        <w:rPr>
          <w:rFonts w:hint="eastAsia" w:ascii="仿宋_GB2312" w:hAnsi="仿宋" w:eastAsia="仿宋_GB2312" w:cs="仿宋"/>
          <w:color w:val="000000"/>
          <w:sz w:val="32"/>
          <w:szCs w:val="32"/>
          <w:highlight w:val="none"/>
          <w:lang w:val="en-US" w:eastAsia="zh-CN"/>
        </w:rPr>
        <w:t>锅炉排水</w:t>
      </w:r>
      <w:r>
        <w:rPr>
          <w:rFonts w:hint="eastAsia" w:ascii="仿宋_GB2312" w:hAnsi="仿宋" w:eastAsia="仿宋_GB2312" w:cs="仿宋"/>
          <w:color w:val="000000"/>
          <w:sz w:val="32"/>
          <w:szCs w:val="32"/>
          <w:highlight w:val="none"/>
        </w:rPr>
        <w:t>汇同车间地面冲洗废水依托现有污水处理站</w:t>
      </w:r>
      <w:r>
        <w:rPr>
          <w:rFonts w:hint="eastAsia" w:ascii="仿宋_GB2312" w:hAnsi="仿宋" w:eastAsia="仿宋_GB2312" w:cs="仿宋"/>
          <w:color w:val="000000"/>
          <w:sz w:val="32"/>
          <w:szCs w:val="32"/>
          <w:highlight w:val="none"/>
          <w:lang w:eastAsia="zh-CN"/>
        </w:rPr>
        <w:t>，</w:t>
      </w:r>
      <w:r>
        <w:rPr>
          <w:rFonts w:hint="eastAsia" w:ascii="仿宋_GB2312" w:hAnsi="仿宋" w:eastAsia="仿宋_GB2312" w:cs="仿宋"/>
          <w:color w:val="000000"/>
          <w:sz w:val="32"/>
          <w:szCs w:val="32"/>
          <w:highlight w:val="none"/>
          <w:lang w:val="en-US" w:eastAsia="zh-CN"/>
        </w:rPr>
        <w:t>现有污水处理工艺</w:t>
      </w:r>
      <w:r>
        <w:rPr>
          <w:rFonts w:hint="eastAsia" w:ascii="仿宋_GB2312" w:hAnsi="仿宋" w:eastAsia="仿宋_GB2312" w:cs="仿宋"/>
          <w:color w:val="000000"/>
          <w:sz w:val="32"/>
          <w:szCs w:val="32"/>
          <w:highlight w:val="none"/>
        </w:rPr>
        <w:t>（</w:t>
      </w:r>
      <w:r>
        <w:rPr>
          <w:rFonts w:hint="eastAsia" w:ascii="仿宋_GB2312" w:hAnsi="仿宋" w:eastAsia="仿宋_GB2312" w:cs="仿宋"/>
          <w:color w:val="000000"/>
          <w:sz w:val="32"/>
          <w:szCs w:val="32"/>
          <w:highlight w:val="none"/>
          <w:lang w:val="en-US" w:eastAsia="zh-CN"/>
        </w:rPr>
        <w:t>粗格栅+调节池+沉淀池+</w:t>
      </w:r>
      <w:r>
        <w:rPr>
          <w:rFonts w:hint="eastAsia" w:ascii="仿宋_GB2312" w:hAnsi="仿宋" w:eastAsia="仿宋_GB2312" w:cs="仿宋"/>
          <w:color w:val="000000"/>
          <w:sz w:val="32"/>
          <w:szCs w:val="32"/>
          <w:highlight w:val="none"/>
        </w:rPr>
        <w:t>UASB+SBR生化池工艺）</w:t>
      </w:r>
      <w:r>
        <w:rPr>
          <w:rFonts w:hint="eastAsia" w:ascii="仿宋_GB2312" w:hAnsi="仿宋" w:eastAsia="仿宋_GB2312" w:cs="仿宋"/>
          <w:color w:val="000000"/>
          <w:sz w:val="32"/>
          <w:szCs w:val="32"/>
          <w:highlight w:val="none"/>
          <w:lang w:val="en-US" w:eastAsia="zh-CN"/>
        </w:rPr>
        <w:t>和处理规模（</w:t>
      </w:r>
      <w:r>
        <w:rPr>
          <w:rFonts w:hint="eastAsia" w:ascii="Times New Roman" w:hAnsi="Times New Roman" w:eastAsia="仿宋_GB2312" w:cs="Times New Roman"/>
          <w:color w:val="auto"/>
          <w:sz w:val="32"/>
          <w:szCs w:val="32"/>
          <w:highlight w:val="none"/>
          <w:lang w:val="en-US" w:eastAsia="zh-CN"/>
        </w:rPr>
        <w:t>50</w:t>
      </w:r>
      <w:r>
        <w:rPr>
          <w:rFonts w:hint="eastAsia" w:eastAsia="仿宋_GB2312" w:cs="Times New Roman"/>
          <w:color w:val="auto"/>
          <w:sz w:val="32"/>
          <w:szCs w:val="32"/>
          <w:highlight w:val="none"/>
          <w:lang w:val="en-US" w:eastAsia="zh-CN"/>
        </w:rPr>
        <w:t>立方米</w:t>
      </w:r>
      <w:r>
        <w:rPr>
          <w:rFonts w:hint="eastAsia" w:ascii="Times New Roman" w:hAnsi="Times New Roman" w:eastAsia="仿宋_GB2312" w:cs="Times New Roman"/>
          <w:color w:val="auto"/>
          <w:sz w:val="32"/>
          <w:szCs w:val="32"/>
          <w:highlight w:val="none"/>
          <w:lang w:val="en-US" w:eastAsia="zh-CN"/>
        </w:rPr>
        <w:t>/</w:t>
      </w:r>
      <w:r>
        <w:rPr>
          <w:rFonts w:hint="eastAsia" w:eastAsia="仿宋_GB2312" w:cs="Times New Roman"/>
          <w:color w:val="auto"/>
          <w:sz w:val="32"/>
          <w:szCs w:val="32"/>
          <w:highlight w:val="none"/>
          <w:lang w:val="en-US" w:eastAsia="zh-CN"/>
        </w:rPr>
        <w:t>日</w:t>
      </w:r>
      <w:r>
        <w:rPr>
          <w:rFonts w:hint="eastAsia" w:ascii="仿宋_GB2312" w:hAnsi="仿宋" w:eastAsia="仿宋_GB2312" w:cs="仿宋"/>
          <w:color w:val="000000"/>
          <w:sz w:val="32"/>
          <w:szCs w:val="32"/>
          <w:highlight w:val="none"/>
          <w:lang w:val="en-US" w:eastAsia="zh-CN"/>
        </w:rPr>
        <w:t>）可以满足本项目需求，出水执行《酒类制造业水污染物排放标准》（GB19821-2025）要求，（水污染物间接排放限值由与黑龙江桦川经济开发区城南工业园污水处理厂责任单位签订具备法律效力的书面合同协商确定，未协商的指标执行表1规定）</w:t>
      </w:r>
      <w:r>
        <w:rPr>
          <w:rFonts w:hint="eastAsia" w:ascii="仿宋_GB2312" w:hAnsi="仿宋" w:eastAsia="仿宋_GB2312" w:cs="仿宋"/>
          <w:color w:val="000000"/>
          <w:sz w:val="32"/>
          <w:szCs w:val="32"/>
          <w:highlight w:val="none"/>
        </w:rPr>
        <w:t>后，经市政下水管网排入</w:t>
      </w:r>
      <w:r>
        <w:rPr>
          <w:rFonts w:hint="eastAsia" w:ascii="仿宋_GB2312" w:hAnsi="仿宋" w:eastAsia="仿宋_GB2312" w:cs="仿宋"/>
          <w:color w:val="000000"/>
          <w:sz w:val="32"/>
          <w:szCs w:val="32"/>
          <w:highlight w:val="none"/>
          <w:lang w:val="en-US" w:eastAsia="zh-CN"/>
        </w:rPr>
        <w:t>黑龙江桦川经济开发区城南工业园污水处理厂</w:t>
      </w:r>
      <w:r>
        <w:rPr>
          <w:rFonts w:hint="eastAsia" w:ascii="仿宋_GB2312" w:hAnsi="仿宋" w:eastAsia="仿宋_GB2312" w:cs="仿宋"/>
          <w:color w:val="000000"/>
          <w:sz w:val="32"/>
          <w:szCs w:val="32"/>
          <w:highlight w:val="none"/>
        </w:rPr>
        <w:t>。纯水制造废水、洗瓶废水</w:t>
      </w:r>
      <w:r>
        <w:rPr>
          <w:rFonts w:hint="eastAsia" w:ascii="仿宋_GB2312" w:hAnsi="仿宋" w:eastAsia="仿宋_GB2312" w:cs="仿宋"/>
          <w:color w:val="000000"/>
          <w:sz w:val="32"/>
          <w:szCs w:val="32"/>
          <w:highlight w:val="none"/>
          <w:lang w:val="en-US" w:eastAsia="zh-CN"/>
        </w:rPr>
        <w:t>直接</w:t>
      </w:r>
      <w:r>
        <w:rPr>
          <w:rFonts w:hint="eastAsia" w:ascii="仿宋_GB2312" w:hAnsi="仿宋" w:eastAsia="仿宋_GB2312" w:cs="仿宋"/>
          <w:color w:val="000000"/>
          <w:sz w:val="32"/>
          <w:szCs w:val="32"/>
          <w:highlight w:val="none"/>
        </w:rPr>
        <w:t>经市政污水管网排至</w:t>
      </w:r>
      <w:r>
        <w:rPr>
          <w:rFonts w:hint="eastAsia" w:ascii="仿宋_GB2312" w:hAnsi="仿宋" w:eastAsia="仿宋_GB2312" w:cs="仿宋"/>
          <w:color w:val="000000"/>
          <w:sz w:val="32"/>
          <w:szCs w:val="32"/>
          <w:highlight w:val="none"/>
          <w:lang w:eastAsia="zh-CN"/>
        </w:rPr>
        <w:t>城南工业园污水处理厂</w:t>
      </w:r>
      <w:r>
        <w:rPr>
          <w:rFonts w:hint="eastAsia" w:ascii="仿宋_GB2312" w:hAnsi="仿宋" w:eastAsia="仿宋_GB2312" w:cs="仿宋"/>
          <w:color w:val="000000"/>
          <w:sz w:val="32"/>
          <w:szCs w:val="32"/>
          <w:highlight w:val="none"/>
        </w:rPr>
        <w:t>处理。</w:t>
      </w:r>
    </w:p>
    <w:p w14:paraId="32F0EB6F">
      <w:pPr>
        <w:keepNext w:val="0"/>
        <w:keepLines w:val="0"/>
        <w:pageBreakBefore w:val="0"/>
        <w:widowControl w:val="0"/>
        <w:kinsoku/>
        <w:overflowPunct/>
        <w:topLinePunct w:val="0"/>
        <w:autoSpaceDE/>
        <w:autoSpaceDN/>
        <w:bidi w:val="0"/>
        <w:adjustRightInd w:val="0"/>
        <w:snapToGrid/>
        <w:spacing w:line="560" w:lineRule="exact"/>
        <w:ind w:firstLine="640" w:firstLineChars="200"/>
        <w:textAlignment w:val="auto"/>
        <w:rPr>
          <w:rFonts w:hint="eastAsia" w:ascii="仿宋_GB2312" w:hAnsi="仿宋" w:eastAsia="仿宋_GB2312" w:cs="仿宋"/>
          <w:color w:val="000000"/>
          <w:sz w:val="32"/>
          <w:szCs w:val="32"/>
          <w:highlight w:val="yellow"/>
        </w:rPr>
      </w:pPr>
      <w:r>
        <w:rPr>
          <w:rFonts w:hint="eastAsia" w:ascii="仿宋_GB2312" w:hAnsi="仿宋" w:eastAsia="仿宋_GB2312" w:cs="仿宋"/>
          <w:color w:val="000000"/>
          <w:sz w:val="32"/>
          <w:szCs w:val="32"/>
          <w:highlight w:val="none"/>
        </w:rPr>
        <w:t>地下水污染采取分区防治措施，对厂区内各构筑物进行分区防渗</w:t>
      </w:r>
      <w:r>
        <w:rPr>
          <w:rFonts w:hint="eastAsia" w:ascii="仿宋_GB2312" w:hAnsi="仿宋" w:eastAsia="仿宋_GB2312" w:cs="仿宋"/>
          <w:color w:val="000000"/>
          <w:sz w:val="32"/>
          <w:szCs w:val="32"/>
          <w:highlight w:val="none"/>
          <w:lang w:eastAsia="zh-CN"/>
        </w:rPr>
        <w:t>。</w:t>
      </w:r>
      <w:r>
        <w:rPr>
          <w:rFonts w:hint="eastAsia" w:ascii="仿宋_GB2312" w:hAnsi="仿宋" w:eastAsia="仿宋_GB2312" w:cs="仿宋"/>
          <w:color w:val="000000"/>
          <w:sz w:val="32"/>
          <w:szCs w:val="32"/>
          <w:highlight w:val="none"/>
        </w:rPr>
        <w:t>将</w:t>
      </w:r>
      <w:r>
        <w:rPr>
          <w:rFonts w:hint="eastAsia" w:ascii="仿宋_GB2312" w:hAnsi="仿宋" w:eastAsia="仿宋_GB2312" w:cs="仿宋"/>
          <w:color w:val="000000"/>
          <w:sz w:val="32"/>
          <w:szCs w:val="32"/>
          <w:highlight w:val="none"/>
          <w:lang w:val="en-US" w:eastAsia="zh-CN"/>
        </w:rPr>
        <w:t>危险废物贮存点、事故水池区划定为重点防渗区，污水处理站、酿造车间、灌装车间、锅炉房、生物质燃料库、灰渣库、酒库、原料库、包材库、酒罐区、产品库、一般固体废物贮存库</w:t>
      </w:r>
      <w:r>
        <w:rPr>
          <w:rFonts w:hint="eastAsia" w:ascii="仿宋_GB2312" w:hAnsi="仿宋" w:eastAsia="仿宋_GB2312" w:cs="仿宋"/>
          <w:color w:val="000000"/>
          <w:sz w:val="32"/>
          <w:szCs w:val="32"/>
          <w:highlight w:val="none"/>
        </w:rPr>
        <w:t>划定为一般防渗区</w:t>
      </w:r>
      <w:r>
        <w:rPr>
          <w:rFonts w:hint="eastAsia" w:ascii="仿宋_GB2312" w:hAnsi="仿宋" w:eastAsia="仿宋_GB2312" w:cs="仿宋"/>
          <w:color w:val="000000"/>
          <w:sz w:val="32"/>
          <w:szCs w:val="32"/>
          <w:highlight w:val="none"/>
          <w:lang w:eastAsia="zh-CN"/>
        </w:rPr>
        <w:t>，</w:t>
      </w:r>
      <w:r>
        <w:rPr>
          <w:rFonts w:hint="eastAsia" w:ascii="仿宋_GB2312" w:hAnsi="仿宋" w:eastAsia="仿宋_GB2312" w:cs="仿宋"/>
          <w:color w:val="000000"/>
          <w:sz w:val="32"/>
          <w:szCs w:val="32"/>
          <w:highlight w:val="none"/>
          <w:lang w:val="en-US" w:eastAsia="zh-CN"/>
        </w:rPr>
        <w:t>办公室、展馆等</w:t>
      </w:r>
      <w:r>
        <w:rPr>
          <w:rFonts w:hint="eastAsia" w:ascii="仿宋_GB2312" w:hAnsi="仿宋" w:eastAsia="仿宋_GB2312" w:cs="仿宋"/>
          <w:color w:val="000000"/>
          <w:sz w:val="32"/>
          <w:szCs w:val="32"/>
          <w:highlight w:val="none"/>
          <w:lang w:eastAsia="zh-CN"/>
        </w:rPr>
        <w:t>其他区域</w:t>
      </w:r>
      <w:r>
        <w:rPr>
          <w:rFonts w:hint="eastAsia" w:ascii="仿宋_GB2312" w:hAnsi="仿宋" w:eastAsia="仿宋_GB2312" w:cs="仿宋"/>
          <w:color w:val="000000"/>
          <w:sz w:val="32"/>
          <w:szCs w:val="32"/>
          <w:highlight w:val="none"/>
          <w:lang w:val="en-US" w:eastAsia="zh-CN"/>
        </w:rPr>
        <w:t>划</w:t>
      </w:r>
      <w:r>
        <w:rPr>
          <w:rFonts w:hint="eastAsia" w:ascii="仿宋_GB2312" w:hAnsi="仿宋" w:eastAsia="仿宋_GB2312" w:cs="仿宋"/>
          <w:color w:val="000000"/>
          <w:sz w:val="32"/>
          <w:szCs w:val="32"/>
          <w:highlight w:val="none"/>
        </w:rPr>
        <w:t>为简单防渗区，防渗技术要求按照《环境影响评价技术导则 地下水环境》（HJ610-2016）执行。项目建成后应对地下水环境进行长期动态监测，本项目</w:t>
      </w:r>
      <w:r>
        <w:rPr>
          <w:rFonts w:hint="eastAsia" w:ascii="仿宋_GB2312" w:hAnsi="仿宋" w:eastAsia="仿宋_GB2312" w:cs="仿宋"/>
          <w:color w:val="000000"/>
          <w:sz w:val="32"/>
          <w:szCs w:val="32"/>
          <w:highlight w:val="none"/>
          <w:lang w:val="en-US" w:eastAsia="zh-CN"/>
        </w:rPr>
        <w:t>依托厂区内现有地下水监测井</w:t>
      </w:r>
      <w:r>
        <w:rPr>
          <w:rFonts w:hint="eastAsia" w:ascii="仿宋_GB2312" w:hAnsi="仿宋" w:eastAsia="仿宋_GB2312" w:cs="仿宋"/>
          <w:color w:val="000000"/>
          <w:sz w:val="32"/>
          <w:szCs w:val="32"/>
          <w:highlight w:val="none"/>
        </w:rPr>
        <w:t>。企业在运营过程中应认真落实跟踪监测工作，按照相关要求定期监测地下水。</w:t>
      </w:r>
    </w:p>
    <w:p w14:paraId="25FAE643">
      <w:pPr>
        <w:pStyle w:val="14"/>
        <w:keepNext w:val="0"/>
        <w:keepLines w:val="0"/>
        <w:pageBreakBefore w:val="0"/>
        <w:widowControl w:val="0"/>
        <w:kinsoku/>
        <w:overflowPunct/>
        <w:topLinePunct w:val="0"/>
        <w:autoSpaceDE/>
        <w:autoSpaceDN/>
        <w:bidi w:val="0"/>
        <w:snapToGrid/>
        <w:spacing w:line="560" w:lineRule="exact"/>
        <w:ind w:firstLine="640" w:firstLineChars="200"/>
        <w:textAlignment w:val="auto"/>
        <w:outlineLvl w:val="0"/>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（三）声环境影响和保护措施</w:t>
      </w:r>
    </w:p>
    <w:p w14:paraId="1D91DDC6">
      <w:pPr>
        <w:pStyle w:val="14"/>
        <w:keepNext w:val="0"/>
        <w:keepLines w:val="0"/>
        <w:pageBreakBefore w:val="0"/>
        <w:widowControl w:val="0"/>
        <w:kinsoku/>
        <w:overflowPunct/>
        <w:topLinePunct w:val="0"/>
        <w:autoSpaceDE/>
        <w:autoSpaceDN/>
        <w:bidi w:val="0"/>
        <w:snapToGrid/>
        <w:spacing w:line="56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000000"/>
          <w:sz w:val="32"/>
          <w:szCs w:val="32"/>
        </w:rPr>
        <w:t>噪声主要来源于</w:t>
      </w:r>
      <w:r>
        <w:rPr>
          <w:rFonts w:hint="eastAsia" w:ascii="仿宋_GB2312" w:hAnsi="仿宋" w:eastAsia="仿宋_GB2312" w:cs="仿宋"/>
          <w:color w:val="000000"/>
          <w:sz w:val="32"/>
          <w:szCs w:val="32"/>
          <w:lang w:val="en-US" w:eastAsia="zh-CN"/>
        </w:rPr>
        <w:t>粉碎机、</w:t>
      </w:r>
      <w:r>
        <w:rPr>
          <w:rFonts w:hint="eastAsia" w:ascii="仿宋_GB2312" w:hAnsi="仿宋" w:eastAsia="仿宋_GB2312" w:cs="仿宋"/>
          <w:color w:val="000000"/>
          <w:sz w:val="32"/>
          <w:szCs w:val="32"/>
        </w:rPr>
        <w:t>包装机、风机、酒泵</w:t>
      </w:r>
      <w:r>
        <w:rPr>
          <w:rFonts w:hint="eastAsia" w:ascii="仿宋_GB2312" w:hAnsi="仿宋" w:eastAsia="仿宋_GB2312" w:cs="仿宋"/>
          <w:color w:val="000000"/>
          <w:sz w:val="32"/>
          <w:szCs w:val="32"/>
          <w:lang w:val="en-US" w:eastAsia="zh-CN"/>
        </w:rPr>
        <w:t>等</w:t>
      </w:r>
      <w:r>
        <w:rPr>
          <w:rFonts w:hint="eastAsia" w:ascii="仿宋_GB2312" w:hAnsi="仿宋" w:eastAsia="仿宋_GB2312" w:cs="仿宋"/>
          <w:color w:val="000000"/>
          <w:sz w:val="32"/>
          <w:szCs w:val="32"/>
          <w:lang w:eastAsia="zh-CN"/>
        </w:rPr>
        <w:t>。</w:t>
      </w:r>
      <w:r>
        <w:rPr>
          <w:rFonts w:hint="eastAsia" w:ascii="仿宋_GB2312" w:hAnsi="仿宋" w:eastAsia="仿宋_GB2312" w:cs="仿宋"/>
          <w:color w:val="000000"/>
          <w:sz w:val="32"/>
          <w:szCs w:val="32"/>
        </w:rPr>
        <w:t>应采用低噪声设备、减振处理、建筑物隔声等措施，</w:t>
      </w:r>
      <w:r>
        <w:rPr>
          <w:rFonts w:hint="eastAsia" w:ascii="仿宋_GB2312" w:hAnsi="仿宋" w:eastAsia="仿宋_GB2312" w:cs="仿宋"/>
          <w:color w:val="auto"/>
          <w:sz w:val="32"/>
          <w:szCs w:val="32"/>
          <w:lang w:val="en-US" w:eastAsia="zh-CN"/>
        </w:rPr>
        <w:t>确保</w:t>
      </w:r>
      <w:r>
        <w:rPr>
          <w:rFonts w:hint="eastAsia" w:ascii="仿宋_GB2312" w:hAnsi="仿宋" w:eastAsia="仿宋_GB2312" w:cs="仿宋"/>
          <w:color w:val="auto"/>
          <w:sz w:val="32"/>
          <w:szCs w:val="32"/>
        </w:rPr>
        <w:t>厂界噪声</w:t>
      </w:r>
      <w:r>
        <w:rPr>
          <w:rFonts w:hint="eastAsia" w:ascii="仿宋_GB2312" w:hAnsi="仿宋" w:eastAsia="仿宋_GB2312" w:cs="仿宋"/>
          <w:color w:val="auto"/>
          <w:sz w:val="32"/>
          <w:szCs w:val="32"/>
          <w:lang w:val="en-US" w:eastAsia="zh-CN"/>
        </w:rPr>
        <w:t>满足</w:t>
      </w:r>
      <w:r>
        <w:rPr>
          <w:rFonts w:hint="eastAsia" w:ascii="仿宋_GB2312" w:hAnsi="仿宋" w:eastAsia="仿宋_GB2312" w:cs="仿宋"/>
          <w:color w:val="auto"/>
          <w:sz w:val="32"/>
          <w:szCs w:val="32"/>
        </w:rPr>
        <w:t>《工业企业厂界环境噪声排放标准》（GB12348-2008）表1中</w:t>
      </w:r>
      <w:r>
        <w:rPr>
          <w:rFonts w:hint="eastAsia" w:ascii="仿宋_GB2312" w:hAnsi="仿宋" w:eastAsia="仿宋_GB2312" w:cs="仿宋"/>
          <w:color w:val="auto"/>
          <w:sz w:val="32"/>
          <w:szCs w:val="32"/>
          <w:lang w:val="en-US" w:eastAsia="zh-CN"/>
        </w:rPr>
        <w:t>3</w:t>
      </w:r>
      <w:r>
        <w:rPr>
          <w:rFonts w:hint="eastAsia" w:ascii="仿宋_GB2312" w:hAnsi="仿宋" w:eastAsia="仿宋_GB2312" w:cs="仿宋"/>
          <w:color w:val="auto"/>
          <w:sz w:val="32"/>
          <w:szCs w:val="32"/>
        </w:rPr>
        <w:t>类</w:t>
      </w:r>
      <w:r>
        <w:rPr>
          <w:rFonts w:hint="eastAsia" w:ascii="仿宋_GB2312" w:hAnsi="仿宋" w:eastAsia="仿宋_GB2312" w:cs="仿宋"/>
          <w:color w:val="auto"/>
          <w:sz w:val="32"/>
          <w:szCs w:val="32"/>
          <w:lang w:val="en-US" w:eastAsia="zh-CN"/>
        </w:rPr>
        <w:t>和</w:t>
      </w:r>
      <w:r>
        <w:rPr>
          <w:rFonts w:hint="eastAsia" w:ascii="仿宋_GB2312" w:hAnsi="仿宋" w:eastAsia="仿宋_GB2312" w:cs="仿宋"/>
          <w:color w:val="auto"/>
          <w:sz w:val="32"/>
          <w:szCs w:val="32"/>
        </w:rPr>
        <w:t>4类标准。</w:t>
      </w:r>
    </w:p>
    <w:p w14:paraId="6461FEFF">
      <w:pPr>
        <w:pStyle w:val="14"/>
        <w:keepNext w:val="0"/>
        <w:keepLines w:val="0"/>
        <w:pageBreakBefore w:val="0"/>
        <w:widowControl w:val="0"/>
        <w:kinsoku/>
        <w:overflowPunct/>
        <w:topLinePunct w:val="0"/>
        <w:autoSpaceDE/>
        <w:autoSpaceDN/>
        <w:bidi w:val="0"/>
        <w:snapToGrid/>
        <w:spacing w:line="560" w:lineRule="exact"/>
        <w:ind w:firstLine="640" w:firstLineChars="200"/>
        <w:textAlignment w:val="auto"/>
        <w:outlineLvl w:val="0"/>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（四）其它环境影响和保护措施</w:t>
      </w:r>
    </w:p>
    <w:p w14:paraId="388B3E8F">
      <w:pPr>
        <w:pStyle w:val="14"/>
        <w:keepNext w:val="0"/>
        <w:keepLines w:val="0"/>
        <w:pageBreakBefore w:val="0"/>
        <w:widowControl w:val="0"/>
        <w:kinsoku/>
        <w:overflowPunct/>
        <w:topLinePunct w:val="0"/>
        <w:autoSpaceDE/>
        <w:autoSpaceDN/>
        <w:bidi w:val="0"/>
        <w:snapToGrid/>
        <w:spacing w:line="560" w:lineRule="exact"/>
        <w:ind w:firstLine="640" w:firstLineChars="200"/>
        <w:textAlignment w:val="auto"/>
        <w:rPr>
          <w:rFonts w:hint="eastAsia" w:ascii="仿宋_GB2312" w:hAnsi="仿宋" w:eastAsia="仿宋_GB2312" w:cs="仿宋"/>
          <w:color w:val="000000"/>
          <w:sz w:val="32"/>
          <w:szCs w:val="32"/>
          <w:lang w:val="zh-CN" w:eastAsia="zh-CN"/>
        </w:rPr>
      </w:pPr>
      <w:r>
        <w:rPr>
          <w:rFonts w:hint="eastAsia" w:ascii="仿宋_GB2312" w:hAnsi="仿宋" w:eastAsia="仿宋_GB2312" w:cs="仿宋"/>
          <w:color w:val="000000"/>
          <w:sz w:val="32"/>
          <w:szCs w:val="32"/>
          <w:lang w:val="zh-CN"/>
        </w:rPr>
        <w:t>本项目运营期产生的固体废物包括：一般工业固体废物、危险废物。一般工业固体废物</w:t>
      </w:r>
      <w:r>
        <w:rPr>
          <w:rFonts w:hint="eastAsia" w:ascii="Times New Roman" w:hAnsi="Times New Roman" w:eastAsia="仿宋_GB2312" w:cs="Times New Roman"/>
          <w:sz w:val="32"/>
          <w:szCs w:val="32"/>
          <w:highlight w:val="none"/>
          <w:lang w:val="en-US" w:eastAsia="zh-CN"/>
        </w:rPr>
        <w:t>废布袋、废离子交换树脂和废反渗透膜</w:t>
      </w:r>
      <w:r>
        <w:rPr>
          <w:rFonts w:hint="eastAsia" w:ascii="Times New Roman" w:hAnsi="Times New Roman" w:eastAsia="仿宋_GB2312" w:cs="Times New Roman"/>
          <w:color w:val="auto"/>
          <w:sz w:val="32"/>
          <w:szCs w:val="32"/>
          <w:highlight w:val="none"/>
          <w:lang w:val="en-US" w:eastAsia="zh-CN"/>
        </w:rPr>
        <w:t>由</w:t>
      </w:r>
      <w:r>
        <w:rPr>
          <w:rFonts w:hint="eastAsia" w:eastAsia="仿宋_GB2312"/>
          <w:color w:val="auto"/>
          <w:sz w:val="32"/>
          <w:szCs w:val="32"/>
          <w:highlight w:val="none"/>
          <w:lang w:val="en-US" w:eastAsia="zh-CN"/>
        </w:rPr>
        <w:t>厂家回收，</w:t>
      </w:r>
      <w:r>
        <w:rPr>
          <w:rFonts w:hint="eastAsia" w:ascii="Times New Roman" w:hAnsi="Times New Roman" w:eastAsia="仿宋_GB2312" w:cs="Times New Roman"/>
          <w:sz w:val="32"/>
          <w:szCs w:val="32"/>
          <w:highlight w:val="none"/>
          <w:lang w:val="en-US" w:eastAsia="zh-CN"/>
        </w:rPr>
        <w:t>锅炉灰渣、酒糟、废包装材料和污泥均外售</w:t>
      </w:r>
      <w:r>
        <w:rPr>
          <w:rFonts w:hint="eastAsia" w:ascii="Times New Roman" w:hAnsi="Times New Roman" w:eastAsia="仿宋_GB2312" w:cs="Times New Roman"/>
          <w:color w:val="auto"/>
          <w:sz w:val="32"/>
          <w:szCs w:val="32"/>
          <w:highlight w:val="none"/>
          <w:lang w:val="en-US" w:eastAsia="zh-CN"/>
        </w:rPr>
        <w:t>综合利用，</w:t>
      </w:r>
      <w:r>
        <w:rPr>
          <w:rFonts w:ascii="Times New Roman" w:hAnsi="Times New Roman" w:eastAsia="仿宋" w:cs="Times New Roman"/>
          <w:color w:val="auto"/>
          <w:sz w:val="32"/>
          <w:szCs w:val="32"/>
          <w:highlight w:val="none"/>
        </w:rPr>
        <w:t>生活垃圾</w:t>
      </w:r>
      <w:r>
        <w:rPr>
          <w:rFonts w:hint="eastAsia" w:ascii="Times New Roman" w:hAnsi="Times New Roman" w:eastAsia="仿宋" w:cs="Times New Roman"/>
          <w:color w:val="auto"/>
          <w:sz w:val="32"/>
          <w:szCs w:val="32"/>
          <w:highlight w:val="none"/>
          <w:lang w:val="en-US" w:eastAsia="zh-CN"/>
        </w:rPr>
        <w:t>和实验室废物</w:t>
      </w:r>
      <w:r>
        <w:rPr>
          <w:rFonts w:hint="eastAsia" w:hAnsi="Times New Roman" w:eastAsia="仿宋" w:cs="Times New Roman"/>
          <w:color w:val="auto"/>
          <w:sz w:val="32"/>
          <w:szCs w:val="32"/>
          <w:highlight w:val="none"/>
          <w:lang w:val="en-US" w:eastAsia="zh-CN"/>
        </w:rPr>
        <w:t>委托</w:t>
      </w:r>
      <w:r>
        <w:rPr>
          <w:rFonts w:ascii="Times New Roman" w:hAnsi="Times New Roman" w:eastAsia="仿宋" w:cs="Times New Roman"/>
          <w:color w:val="auto"/>
          <w:sz w:val="32"/>
          <w:szCs w:val="32"/>
          <w:highlight w:val="none"/>
        </w:rPr>
        <w:t>市政环卫部门统一清运</w:t>
      </w:r>
      <w:r>
        <w:rPr>
          <w:rFonts w:hint="eastAsia" w:hAnsi="Times New Roman" w:eastAsia="仿宋" w:cs="Times New Roman"/>
          <w:color w:val="auto"/>
          <w:sz w:val="32"/>
          <w:szCs w:val="32"/>
          <w:highlight w:val="none"/>
          <w:lang w:eastAsia="zh-CN"/>
        </w:rPr>
        <w:t>；</w:t>
      </w:r>
      <w:r>
        <w:rPr>
          <w:rFonts w:hint="eastAsia" w:eastAsia="仿宋_GB2312"/>
          <w:sz w:val="32"/>
          <w:szCs w:val="32"/>
          <w:highlight w:val="none"/>
          <w:lang w:val="en-US" w:eastAsia="zh-CN"/>
        </w:rPr>
        <w:t>同时，应强化固废贮存管理，</w:t>
      </w:r>
      <w:r>
        <w:rPr>
          <w:rFonts w:hint="eastAsia" w:ascii="仿宋_GB2312" w:hAnsi="仿宋" w:eastAsia="仿宋_GB2312" w:cs="仿宋"/>
          <w:color w:val="000000"/>
          <w:sz w:val="32"/>
          <w:szCs w:val="32"/>
          <w:lang w:val="zh-CN" w:eastAsia="zh-CN"/>
        </w:rPr>
        <w:t>酒糟</w:t>
      </w:r>
      <w:r>
        <w:rPr>
          <w:rFonts w:hint="eastAsia" w:ascii="仿宋_GB2312" w:hAnsi="仿宋" w:eastAsia="仿宋_GB2312" w:cs="仿宋"/>
          <w:color w:val="000000"/>
          <w:sz w:val="32"/>
          <w:szCs w:val="32"/>
          <w:lang w:val="zh-CN"/>
        </w:rPr>
        <w:t>由专用容器收集并加盖密封，日产日清；锅炉灰渣运入灰渣库暂存；</w:t>
      </w:r>
      <w:r>
        <w:rPr>
          <w:rFonts w:hint="eastAsia" w:ascii="仿宋_GB2312" w:hAnsi="仿宋" w:eastAsia="仿宋_GB2312" w:cs="仿宋"/>
          <w:color w:val="000000"/>
          <w:sz w:val="32"/>
          <w:szCs w:val="32"/>
          <w:lang w:val="zh-CN" w:eastAsia="zh-CN"/>
        </w:rPr>
        <w:t>脱水污泥暂存</w:t>
      </w:r>
      <w:r>
        <w:rPr>
          <w:rFonts w:hint="eastAsia" w:ascii="仿宋_GB2312" w:hAnsi="仿宋" w:eastAsia="仿宋_GB2312" w:cs="仿宋"/>
          <w:color w:val="000000"/>
          <w:sz w:val="32"/>
          <w:szCs w:val="32"/>
          <w:lang w:val="en-US" w:eastAsia="zh-CN"/>
        </w:rPr>
        <w:t>于</w:t>
      </w:r>
      <w:r>
        <w:rPr>
          <w:rFonts w:hint="eastAsia" w:ascii="仿宋_GB2312" w:hAnsi="仿宋" w:eastAsia="仿宋_GB2312" w:cs="仿宋"/>
          <w:color w:val="000000"/>
          <w:sz w:val="32"/>
          <w:szCs w:val="32"/>
          <w:lang w:val="zh-CN" w:eastAsia="zh-CN"/>
        </w:rPr>
        <w:t>污水处理站污泥间</w:t>
      </w:r>
      <w:r>
        <w:rPr>
          <w:rFonts w:hint="eastAsia" w:hAnsi="Times New Roman" w:eastAsia="仿宋" w:cs="Times New Roman"/>
          <w:color w:val="auto"/>
          <w:sz w:val="32"/>
          <w:szCs w:val="32"/>
          <w:highlight w:val="none"/>
          <w:lang w:eastAsia="zh-CN"/>
        </w:rPr>
        <w:t>。</w:t>
      </w:r>
      <w:r>
        <w:rPr>
          <w:rFonts w:hint="eastAsia" w:eastAsia="仿宋_GB2312"/>
          <w:sz w:val="32"/>
          <w:szCs w:val="32"/>
        </w:rPr>
        <w:t>废矿物油属于危险废物，</w:t>
      </w:r>
      <w:r>
        <w:rPr>
          <w:rFonts w:hint="eastAsia" w:eastAsia="仿宋_GB2312"/>
          <w:sz w:val="32"/>
          <w:szCs w:val="32"/>
          <w:lang w:val="en-US" w:eastAsia="zh-CN"/>
        </w:rPr>
        <w:t>委托</w:t>
      </w:r>
      <w:r>
        <w:rPr>
          <w:rFonts w:hint="eastAsia" w:eastAsia="仿宋_GB2312"/>
          <w:sz w:val="32"/>
          <w:szCs w:val="32"/>
        </w:rPr>
        <w:t>有资质单位处置</w:t>
      </w:r>
      <w:r>
        <w:rPr>
          <w:rFonts w:hint="eastAsia" w:hAnsi="Times New Roman" w:eastAsia="仿宋_GB2312" w:cs="Times New Roman"/>
          <w:color w:val="auto"/>
          <w:sz w:val="32"/>
          <w:szCs w:val="32"/>
          <w:highlight w:val="none"/>
          <w:lang w:val="en-US" w:eastAsia="zh-CN"/>
        </w:rPr>
        <w:t>，</w:t>
      </w:r>
      <w:r>
        <w:rPr>
          <w:rFonts w:hint="eastAsia" w:eastAsia="仿宋_GB2312"/>
          <w:sz w:val="32"/>
          <w:szCs w:val="32"/>
          <w:highlight w:val="none"/>
        </w:rPr>
        <w:t>危险废物</w:t>
      </w:r>
      <w:r>
        <w:rPr>
          <w:rFonts w:hint="eastAsia" w:eastAsia="仿宋_GB2312"/>
          <w:sz w:val="32"/>
          <w:szCs w:val="32"/>
          <w:highlight w:val="none"/>
          <w:lang w:val="en-US" w:eastAsia="zh-CN"/>
        </w:rPr>
        <w:t>贮存点</w:t>
      </w:r>
      <w:r>
        <w:rPr>
          <w:rFonts w:hint="eastAsia" w:eastAsia="仿宋_GB2312"/>
          <w:sz w:val="32"/>
          <w:szCs w:val="32"/>
          <w:highlight w:val="none"/>
        </w:rPr>
        <w:t>依托现有工程</w:t>
      </w:r>
      <w:r>
        <w:rPr>
          <w:rFonts w:hint="eastAsia" w:eastAsia="仿宋_GB2312"/>
          <w:sz w:val="32"/>
          <w:szCs w:val="32"/>
          <w:highlight w:val="none"/>
          <w:lang w:eastAsia="zh-CN"/>
        </w:rPr>
        <w:t>，</w:t>
      </w:r>
      <w:r>
        <w:rPr>
          <w:rFonts w:hint="eastAsia" w:eastAsia="仿宋_GB2312"/>
          <w:sz w:val="32"/>
          <w:szCs w:val="32"/>
          <w:highlight w:val="none"/>
          <w:lang w:val="en-US" w:eastAsia="zh-CN"/>
        </w:rPr>
        <w:t>转移过程</w:t>
      </w:r>
      <w:r>
        <w:rPr>
          <w:rFonts w:hint="eastAsia" w:ascii="仿宋_GB2312" w:hAnsi="仿宋" w:eastAsia="仿宋_GB2312" w:cs="仿宋"/>
          <w:color w:val="000000"/>
          <w:sz w:val="32"/>
          <w:szCs w:val="32"/>
          <w:lang w:val="en-US" w:eastAsia="zh-CN"/>
        </w:rPr>
        <w:t>实施转移联单制度</w:t>
      </w:r>
      <w:r>
        <w:rPr>
          <w:rFonts w:hint="eastAsia" w:ascii="仿宋_GB2312" w:hAnsi="仿宋" w:eastAsia="仿宋_GB2312" w:cs="仿宋"/>
          <w:color w:val="000000"/>
          <w:sz w:val="32"/>
          <w:szCs w:val="32"/>
          <w:lang w:val="zh-CN" w:eastAsia="zh-CN"/>
        </w:rPr>
        <w:t>。</w:t>
      </w:r>
    </w:p>
    <w:p w14:paraId="696D1EA9">
      <w:pPr>
        <w:pStyle w:val="14"/>
        <w:keepNext w:val="0"/>
        <w:keepLines w:val="0"/>
        <w:pageBreakBefore w:val="0"/>
        <w:widowControl w:val="0"/>
        <w:kinsoku/>
        <w:overflowPunct/>
        <w:topLinePunct w:val="0"/>
        <w:autoSpaceDE/>
        <w:autoSpaceDN/>
        <w:bidi w:val="0"/>
        <w:snapToGrid/>
        <w:spacing w:line="560" w:lineRule="exact"/>
        <w:textAlignment w:val="auto"/>
        <w:rPr>
          <w:rFonts w:hint="eastAsia" w:ascii="仿宋_GB2312" w:eastAsia="仿宋_GB2312"/>
          <w:color w:val="000000"/>
          <w:sz w:val="32"/>
          <w:szCs w:val="32"/>
        </w:rPr>
      </w:pPr>
      <w:r>
        <w:rPr>
          <w:rFonts w:hint="eastAsia" w:ascii="仿宋_GB2312" w:hAnsi="仿宋" w:eastAsia="仿宋_GB2312" w:cs="仿宋"/>
          <w:color w:val="000000"/>
          <w:sz w:val="32"/>
          <w:szCs w:val="32"/>
          <w:lang w:val="en-US" w:eastAsia="zh-CN"/>
        </w:rPr>
        <w:t xml:space="preserve">    </w:t>
      </w:r>
      <w:r>
        <w:rPr>
          <w:rFonts w:hint="eastAsia" w:ascii="仿宋_GB2312" w:hAnsi="仿宋" w:eastAsia="仿宋_GB2312" w:cs="仿宋"/>
          <w:color w:val="000000"/>
          <w:sz w:val="32"/>
          <w:szCs w:val="32"/>
        </w:rPr>
        <w:t>加强土壤环境保护工作，确保评价区土壤环境质量满足相关标准要求。增强环境风险防范意识，制定突发事件环境风险应急</w:t>
      </w:r>
      <w:r>
        <w:rPr>
          <w:rFonts w:hint="eastAsia" w:ascii="仿宋_GB2312" w:eastAsia="仿宋_GB2312"/>
          <w:color w:val="000000"/>
          <w:sz w:val="32"/>
          <w:szCs w:val="32"/>
        </w:rPr>
        <w:t>预案。</w:t>
      </w:r>
    </w:p>
    <w:p w14:paraId="771BE38D">
      <w:pPr>
        <w:keepNext w:val="0"/>
        <w:keepLines w:val="0"/>
        <w:pageBreakBefore w:val="0"/>
        <w:widowControl w:val="0"/>
        <w:numPr>
          <w:ilvl w:val="0"/>
          <w:numId w:val="0"/>
        </w:numPr>
        <w:kinsoku/>
        <w:overflowPunct/>
        <w:topLinePunct w:val="0"/>
        <w:autoSpaceDE/>
        <w:autoSpaceDN/>
        <w:bidi w:val="0"/>
        <w:snapToGrid/>
        <w:spacing w:line="560" w:lineRule="exact"/>
        <w:ind w:firstLine="640" w:firstLineChars="200"/>
        <w:textAlignment w:val="auto"/>
        <w:rPr>
          <w:rFonts w:hint="eastAsia" w:ascii="仿宋_GB2312" w:hAnsi="宋体" w:eastAsia="仿宋_GB2312"/>
          <w:color w:val="000000"/>
          <w:sz w:val="32"/>
          <w:szCs w:val="32"/>
          <w:highlight w:val="none"/>
          <w:lang w:eastAsia="zh-CN"/>
        </w:rPr>
      </w:pPr>
      <w:r>
        <w:rPr>
          <w:rFonts w:hint="eastAsia" w:ascii="仿宋" w:hAnsi="仿宋" w:eastAsia="仿宋"/>
          <w:bCs/>
          <w:sz w:val="32"/>
          <w:szCs w:val="32"/>
        </w:rPr>
        <w:t>（五）扩建后全厂主要污染物排放</w:t>
      </w:r>
      <w:r>
        <w:rPr>
          <w:rFonts w:hint="eastAsia" w:ascii="仿宋" w:hAnsi="仿宋" w:eastAsia="仿宋"/>
          <w:bCs/>
          <w:sz w:val="32"/>
          <w:szCs w:val="32"/>
          <w:lang w:val="en-US" w:eastAsia="zh-CN"/>
        </w:rPr>
        <w:t>总</w:t>
      </w:r>
      <w:r>
        <w:rPr>
          <w:rFonts w:hint="eastAsia" w:ascii="仿宋" w:hAnsi="仿宋" w:eastAsia="仿宋"/>
          <w:bCs/>
          <w:sz w:val="32"/>
          <w:szCs w:val="32"/>
        </w:rPr>
        <w:t>量：颗粒物</w:t>
      </w:r>
      <w:r>
        <w:rPr>
          <w:rFonts w:hint="eastAsia" w:ascii="仿宋" w:hAnsi="仿宋" w:eastAsia="仿宋"/>
          <w:bCs/>
          <w:sz w:val="32"/>
          <w:szCs w:val="32"/>
          <w:lang w:val="en-US" w:eastAsia="zh-CN"/>
        </w:rPr>
        <w:t>0.93</w:t>
      </w:r>
      <w:r>
        <w:rPr>
          <w:rFonts w:hint="eastAsia" w:ascii="仿宋" w:hAnsi="仿宋" w:eastAsia="仿宋"/>
          <w:bCs/>
          <w:sz w:val="32"/>
          <w:szCs w:val="32"/>
        </w:rPr>
        <w:t>吨/年，二氧化硫</w:t>
      </w:r>
      <w:r>
        <w:rPr>
          <w:rFonts w:hint="eastAsia" w:ascii="仿宋" w:hAnsi="仿宋" w:eastAsia="仿宋"/>
          <w:bCs/>
          <w:sz w:val="32"/>
          <w:szCs w:val="32"/>
          <w:lang w:val="en-US" w:eastAsia="zh-CN"/>
        </w:rPr>
        <w:t>2.68</w:t>
      </w:r>
      <w:r>
        <w:rPr>
          <w:rFonts w:hint="eastAsia" w:ascii="仿宋" w:hAnsi="仿宋" w:eastAsia="仿宋"/>
          <w:bCs/>
          <w:sz w:val="32"/>
          <w:szCs w:val="32"/>
        </w:rPr>
        <w:t>吨/年，氮氧化物</w:t>
      </w:r>
      <w:r>
        <w:rPr>
          <w:rFonts w:hint="eastAsia" w:ascii="仿宋" w:hAnsi="仿宋" w:eastAsia="仿宋"/>
          <w:bCs/>
          <w:sz w:val="32"/>
          <w:szCs w:val="32"/>
          <w:lang w:val="en-US" w:eastAsia="zh-CN"/>
        </w:rPr>
        <w:t>6.14</w:t>
      </w:r>
      <w:r>
        <w:rPr>
          <w:rFonts w:hint="eastAsia" w:ascii="仿宋" w:hAnsi="仿宋" w:eastAsia="仿宋"/>
          <w:bCs/>
          <w:sz w:val="32"/>
          <w:szCs w:val="32"/>
        </w:rPr>
        <w:t>吨/年</w:t>
      </w:r>
      <w:r>
        <w:rPr>
          <w:rFonts w:hint="eastAsia" w:ascii="仿宋" w:hAnsi="仿宋" w:eastAsia="仿宋"/>
          <w:bCs/>
          <w:sz w:val="32"/>
          <w:szCs w:val="32"/>
          <w:lang w:eastAsia="zh-CN"/>
        </w:rPr>
        <w:t>。</w:t>
      </w:r>
    </w:p>
    <w:p w14:paraId="380439B9">
      <w:pPr>
        <w:keepNext w:val="0"/>
        <w:keepLines w:val="0"/>
        <w:pageBreakBefore w:val="0"/>
        <w:widowControl w:val="0"/>
        <w:numPr>
          <w:ilvl w:val="0"/>
          <w:numId w:val="1"/>
        </w:numPr>
        <w:kinsoku/>
        <w:overflowPunct/>
        <w:topLinePunct w:val="0"/>
        <w:autoSpaceDE/>
        <w:autoSpaceDN/>
        <w:bidi w:val="0"/>
        <w:snapToGrid/>
        <w:spacing w:line="560" w:lineRule="exact"/>
        <w:ind w:firstLine="640" w:firstLineChars="200"/>
        <w:textAlignment w:val="auto"/>
        <w:rPr>
          <w:rFonts w:hint="eastAsia" w:ascii="仿宋_GB2312" w:hAnsi="宋体" w:eastAsia="仿宋_GB2312"/>
          <w:color w:val="000000"/>
          <w:sz w:val="32"/>
          <w:szCs w:val="32"/>
          <w:highlight w:val="none"/>
          <w:lang w:eastAsia="zh-CN"/>
        </w:rPr>
      </w:pPr>
      <w:r>
        <w:rPr>
          <w:rFonts w:hint="eastAsia" w:ascii="仿宋_GB2312" w:hAnsi="宋体" w:eastAsia="仿宋_GB2312"/>
          <w:color w:val="000000"/>
          <w:sz w:val="32"/>
          <w:szCs w:val="32"/>
          <w:highlight w:val="none"/>
        </w:rPr>
        <w:t>项目建设必须严格执行环境保护设施与主体工程同时设计、同时施工、同时投入使用的环境保护“三同时”制度。在启动生产设施或者在实际排污之前，建设单位应依法申请取得排污许可证或者填报排污登记表。项目建成后，建设单位应按规定程序实施竣工环保验收</w:t>
      </w:r>
      <w:r>
        <w:rPr>
          <w:rFonts w:hint="eastAsia" w:ascii="仿宋_GB2312" w:hAnsi="宋体" w:eastAsia="仿宋_GB2312"/>
          <w:color w:val="000000"/>
          <w:sz w:val="32"/>
          <w:szCs w:val="32"/>
          <w:highlight w:val="none"/>
          <w:lang w:eastAsia="zh-CN"/>
        </w:rPr>
        <w:t>。</w:t>
      </w:r>
    </w:p>
    <w:p w14:paraId="41ED78CF">
      <w:pPr>
        <w:keepNext w:val="0"/>
        <w:keepLines w:val="0"/>
        <w:pageBreakBefore w:val="0"/>
        <w:widowControl w:val="0"/>
        <w:numPr>
          <w:ilvl w:val="0"/>
          <w:numId w:val="1"/>
        </w:numPr>
        <w:kinsoku/>
        <w:overflowPunct/>
        <w:topLinePunct w:val="0"/>
        <w:autoSpaceDE/>
        <w:autoSpaceDN/>
        <w:bidi w:val="0"/>
        <w:snapToGrid/>
        <w:spacing w:line="560" w:lineRule="exact"/>
        <w:ind w:firstLine="640" w:firstLineChars="200"/>
        <w:textAlignment w:val="auto"/>
        <w:rPr>
          <w:rFonts w:hint="eastAsia" w:ascii="仿宋_GB2312" w:hAnsi="宋体" w:eastAsia="仿宋_GB2312"/>
          <w:color w:val="000000"/>
          <w:sz w:val="32"/>
          <w:szCs w:val="32"/>
          <w:highlight w:val="none"/>
          <w:lang w:val="en-US" w:eastAsia="zh-CN"/>
        </w:rPr>
      </w:pPr>
      <w:r>
        <w:rPr>
          <w:rFonts w:hint="eastAsia" w:ascii="仿宋" w:hAnsi="仿宋" w:eastAsia="仿宋"/>
          <w:sz w:val="32"/>
          <w:szCs w:val="32"/>
        </w:rPr>
        <w:t>佳木斯市</w:t>
      </w:r>
      <w:r>
        <w:rPr>
          <w:rFonts w:hint="eastAsia" w:ascii="仿宋" w:hAnsi="仿宋" w:eastAsia="仿宋"/>
          <w:sz w:val="32"/>
          <w:szCs w:val="32"/>
          <w:lang w:val="en-US" w:eastAsia="zh-CN"/>
        </w:rPr>
        <w:t>桦川</w:t>
      </w:r>
      <w:r>
        <w:rPr>
          <w:rFonts w:hint="eastAsia" w:ascii="仿宋" w:hAnsi="仿宋" w:eastAsia="仿宋"/>
          <w:sz w:val="32"/>
          <w:szCs w:val="32"/>
        </w:rPr>
        <w:t>生态环境局负责该项目的环境保护监督检查工作。请你单位在收到本批复文件20日内将《报告书》和批复文件各一份送至佳木斯市</w:t>
      </w:r>
      <w:r>
        <w:rPr>
          <w:rFonts w:hint="eastAsia" w:ascii="仿宋" w:hAnsi="仿宋" w:eastAsia="仿宋"/>
          <w:sz w:val="32"/>
          <w:szCs w:val="32"/>
          <w:lang w:val="en-US" w:eastAsia="zh-CN"/>
        </w:rPr>
        <w:t>桦川</w:t>
      </w:r>
      <w:r>
        <w:rPr>
          <w:rFonts w:hint="eastAsia" w:ascii="仿宋" w:hAnsi="仿宋" w:eastAsia="仿宋"/>
          <w:sz w:val="32"/>
          <w:szCs w:val="32"/>
        </w:rPr>
        <w:t>生态环境局，并接受其监督管理。</w:t>
      </w:r>
    </w:p>
    <w:p w14:paraId="53B54A31">
      <w:pPr>
        <w:keepNext w:val="0"/>
        <w:keepLines w:val="0"/>
        <w:pageBreakBefore w:val="0"/>
        <w:widowControl w:val="0"/>
        <w:kinsoku/>
        <w:overflowPunct/>
        <w:topLinePunct w:val="0"/>
        <w:autoSpaceDE/>
        <w:autoSpaceDN/>
        <w:bidi w:val="0"/>
        <w:snapToGrid/>
        <w:spacing w:line="560" w:lineRule="exact"/>
        <w:textAlignment w:val="auto"/>
        <w:rPr>
          <w:rFonts w:hint="eastAsia"/>
          <w:color w:val="000000"/>
        </w:rPr>
      </w:pPr>
    </w:p>
    <w:p w14:paraId="0E9BDC02">
      <w:pPr>
        <w:keepNext w:val="0"/>
        <w:keepLines w:val="0"/>
        <w:pageBreakBefore w:val="0"/>
        <w:widowControl w:val="0"/>
        <w:kinsoku/>
        <w:overflowPunct/>
        <w:topLinePunct w:val="0"/>
        <w:autoSpaceDE/>
        <w:autoSpaceDN/>
        <w:bidi w:val="0"/>
        <w:snapToGrid/>
        <w:spacing w:line="560" w:lineRule="exact"/>
        <w:textAlignment w:val="auto"/>
        <w:rPr>
          <w:rFonts w:hint="eastAsia"/>
          <w:color w:val="000000"/>
        </w:rPr>
      </w:pPr>
    </w:p>
    <w:p w14:paraId="37800005">
      <w:pPr>
        <w:keepNext w:val="0"/>
        <w:keepLines w:val="0"/>
        <w:pageBreakBefore w:val="0"/>
        <w:widowControl w:val="0"/>
        <w:kinsoku/>
        <w:wordWrap w:val="0"/>
        <w:overflowPunct/>
        <w:topLinePunct w:val="0"/>
        <w:autoSpaceDE/>
        <w:autoSpaceDN/>
        <w:bidi w:val="0"/>
        <w:snapToGrid/>
        <w:spacing w:line="560" w:lineRule="exact"/>
        <w:ind w:firstLine="640" w:firstLineChars="200"/>
        <w:jc w:val="right"/>
        <w:textAlignment w:val="auto"/>
        <w:rPr>
          <w:rFonts w:hint="eastAsia" w:ascii="仿宋_GB2312" w:hAnsi="宋体" w:eastAsia="仿宋_GB2312"/>
          <w:color w:val="000000"/>
          <w:sz w:val="32"/>
          <w:szCs w:val="32"/>
          <w:lang w:val="en-US" w:eastAsia="zh-CN"/>
        </w:rPr>
      </w:pPr>
      <w:r>
        <w:rPr>
          <w:rFonts w:hint="eastAsia" w:ascii="仿宋_GB2312" w:hAnsi="宋体" w:eastAsia="仿宋_GB2312"/>
          <w:color w:val="000000"/>
          <w:sz w:val="32"/>
          <w:szCs w:val="32"/>
        </w:rPr>
        <w:t xml:space="preserve">佳木斯市生态环境局 </w:t>
      </w:r>
      <w:r>
        <w:rPr>
          <w:rFonts w:hint="eastAsia" w:ascii="仿宋_GB2312" w:hAnsi="宋体" w:eastAsia="仿宋_GB2312"/>
          <w:color w:val="000000"/>
          <w:sz w:val="32"/>
          <w:szCs w:val="32"/>
          <w:lang w:val="en-US" w:eastAsia="zh-CN"/>
        </w:rPr>
        <w:t xml:space="preserve"> </w:t>
      </w:r>
    </w:p>
    <w:p w14:paraId="1A6DE26F">
      <w:pPr>
        <w:keepNext w:val="0"/>
        <w:keepLines w:val="0"/>
        <w:pageBreakBefore w:val="0"/>
        <w:widowControl w:val="0"/>
        <w:kinsoku/>
        <w:wordWrap w:val="0"/>
        <w:overflowPunct/>
        <w:topLinePunct w:val="0"/>
        <w:autoSpaceDE/>
        <w:autoSpaceDN/>
        <w:bidi w:val="0"/>
        <w:snapToGrid/>
        <w:spacing w:line="560" w:lineRule="exact"/>
        <w:ind w:firstLine="640" w:firstLineChars="200"/>
        <w:jc w:val="right"/>
        <w:textAlignment w:val="auto"/>
        <w:rPr>
          <w:rFonts w:hint="eastAsia" w:ascii="仿宋_GB2312" w:hAnsi="宋体" w:eastAsia="仿宋_GB2312"/>
          <w:color w:val="000000"/>
          <w:sz w:val="32"/>
          <w:szCs w:val="32"/>
        </w:rPr>
      </w:pPr>
      <w:r>
        <w:rPr>
          <w:rFonts w:hint="eastAsia" w:ascii="仿宋_GB2312" w:hAnsi="宋体" w:eastAsia="仿宋_GB2312"/>
          <w:color w:val="000000"/>
          <w:sz w:val="32"/>
          <w:szCs w:val="32"/>
          <w:highlight w:val="none"/>
        </w:rPr>
        <w:t>202</w:t>
      </w:r>
      <w:r>
        <w:rPr>
          <w:rFonts w:hint="eastAsia" w:ascii="仿宋_GB2312" w:hAnsi="宋体" w:eastAsia="仿宋_GB2312"/>
          <w:color w:val="000000"/>
          <w:sz w:val="32"/>
          <w:szCs w:val="32"/>
          <w:highlight w:val="none"/>
          <w:lang w:val="en-US" w:eastAsia="zh-CN"/>
        </w:rPr>
        <w:t>6</w:t>
      </w:r>
      <w:r>
        <w:rPr>
          <w:rFonts w:hint="eastAsia" w:ascii="仿宋_GB2312" w:hAnsi="宋体" w:eastAsia="仿宋_GB2312"/>
          <w:color w:val="000000"/>
          <w:sz w:val="32"/>
          <w:szCs w:val="32"/>
          <w:highlight w:val="none"/>
        </w:rPr>
        <w:t>年</w:t>
      </w:r>
      <w:r>
        <w:rPr>
          <w:rFonts w:hint="eastAsia" w:ascii="仿宋_GB2312" w:hAnsi="宋体" w:eastAsia="仿宋_GB2312"/>
          <w:color w:val="000000"/>
          <w:sz w:val="32"/>
          <w:szCs w:val="32"/>
          <w:highlight w:val="none"/>
          <w:lang w:val="en-US" w:eastAsia="zh-CN"/>
        </w:rPr>
        <w:t>1</w:t>
      </w:r>
      <w:r>
        <w:rPr>
          <w:rFonts w:hint="eastAsia" w:ascii="仿宋_GB2312" w:hAnsi="宋体" w:eastAsia="仿宋_GB2312"/>
          <w:color w:val="000000"/>
          <w:sz w:val="32"/>
          <w:szCs w:val="32"/>
          <w:highlight w:val="none"/>
        </w:rPr>
        <w:t>月</w:t>
      </w:r>
      <w:r>
        <w:rPr>
          <w:rFonts w:hint="eastAsia" w:ascii="仿宋_GB2312" w:hAnsi="宋体" w:eastAsia="仿宋_GB2312"/>
          <w:color w:val="000000"/>
          <w:sz w:val="32"/>
          <w:szCs w:val="32"/>
          <w:highlight w:val="none"/>
          <w:lang w:val="en-US" w:eastAsia="zh-CN"/>
        </w:rPr>
        <w:t>14</w:t>
      </w:r>
      <w:r>
        <w:rPr>
          <w:rFonts w:hint="eastAsia" w:ascii="仿宋_GB2312" w:hAnsi="宋体" w:eastAsia="仿宋_GB2312"/>
          <w:color w:val="000000"/>
          <w:sz w:val="32"/>
          <w:szCs w:val="32"/>
          <w:highlight w:val="none"/>
        </w:rPr>
        <w:t>日</w:t>
      </w:r>
      <w:r>
        <w:rPr>
          <w:rFonts w:hint="eastAsia" w:ascii="仿宋_GB2312" w:hAnsi="宋体" w:eastAsia="仿宋_GB2312"/>
          <w:color w:val="000000"/>
          <w:sz w:val="32"/>
          <w:szCs w:val="32"/>
          <w:highlight w:val="none"/>
          <w:lang w:val="en-US" w:eastAsia="zh-CN"/>
        </w:rPr>
        <w:t xml:space="preserve"> </w:t>
      </w:r>
      <w:r>
        <w:rPr>
          <w:rFonts w:hint="eastAsia" w:ascii="仿宋_GB2312" w:hAnsi="宋体" w:eastAsia="仿宋_GB2312"/>
          <w:color w:val="000000"/>
          <w:sz w:val="32"/>
          <w:szCs w:val="32"/>
        </w:rPr>
        <w:t xml:space="preserve">  </w:t>
      </w:r>
    </w:p>
    <w:p w14:paraId="02DA4755"/>
    <w:sectPr>
      <w:footerReference r:id="rId3" w:type="default"/>
      <w:footerReference r:id="rId4" w:type="even"/>
      <w:pgSz w:w="11906" w:h="16838"/>
      <w:pgMar w:top="1440" w:right="1800" w:bottom="851" w:left="1800" w:header="851" w:footer="616"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05577">
    <w:pPr>
      <w:pStyle w:val="4"/>
      <w:jc w:val="center"/>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47078">
    <w:pPr>
      <w:pStyle w:val="4"/>
      <w:framePr w:wrap="around" w:vAnchor="text" w:hAnchor="margin" w:xAlign="center" w:y="1"/>
      <w:rPr>
        <w:rStyle w:val="8"/>
      </w:rPr>
    </w:pPr>
    <w:r>
      <w:fldChar w:fldCharType="begin"/>
    </w:r>
    <w:r>
      <w:rPr>
        <w:rStyle w:val="8"/>
      </w:rPr>
      <w:instrText xml:space="preserve">PAGE  </w:instrText>
    </w:r>
    <w:r>
      <w:fldChar w:fldCharType="end"/>
    </w:r>
  </w:p>
  <w:p w14:paraId="0CCB0AE1">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C3471D"/>
    <w:multiLevelType w:val="singleLevel"/>
    <w:tmpl w:val="81C3471D"/>
    <w:lvl w:ilvl="0" w:tentative="0">
      <w:start w:val="3"/>
      <w:numFmt w:val="chineseCounting"/>
      <w:suff w:val="nothing"/>
      <w:lvlText w:val="%1、"/>
      <w:lvlJc w:val="left"/>
      <w:rPr>
        <w:rFonts w:hint="eastAsia" w:ascii="黑体" w:hAnsi="黑体" w:eastAsia="黑体" w:cs="黑体"/>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A669FA"/>
    <w:rsid w:val="040511DD"/>
    <w:rsid w:val="051E6885"/>
    <w:rsid w:val="13A669FA"/>
    <w:rsid w:val="193D0276"/>
    <w:rsid w:val="1A5A2489"/>
    <w:rsid w:val="20012476"/>
    <w:rsid w:val="20BD7D18"/>
    <w:rsid w:val="25936751"/>
    <w:rsid w:val="262E345A"/>
    <w:rsid w:val="26EB59E9"/>
    <w:rsid w:val="2BD15D21"/>
    <w:rsid w:val="36961234"/>
    <w:rsid w:val="397E792B"/>
    <w:rsid w:val="3D916074"/>
    <w:rsid w:val="4FCA72A3"/>
    <w:rsid w:val="556E7149"/>
    <w:rsid w:val="55BD4AF9"/>
    <w:rsid w:val="56EA50BD"/>
    <w:rsid w:val="56F32CF7"/>
    <w:rsid w:val="5F554C24"/>
    <w:rsid w:val="61E60797"/>
    <w:rsid w:val="63AC6F7E"/>
    <w:rsid w:val="68E1279E"/>
    <w:rsid w:val="6B5F72B8"/>
    <w:rsid w:val="6BBD3917"/>
    <w:rsid w:val="707D659C"/>
    <w:rsid w:val="74C228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3">
    <w:name w:val="Balloon Text"/>
    <w:basedOn w:val="1"/>
    <w:semiHidden/>
    <w:qFormat/>
    <w:uiPriority w:val="0"/>
    <w:rPr>
      <w:sz w:val="18"/>
      <w:szCs w:val="18"/>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Normal (Web)"/>
    <w:basedOn w:val="1"/>
    <w:qFormat/>
    <w:uiPriority w:val="99"/>
    <w:pPr>
      <w:widowControl/>
      <w:spacing w:before="100" w:beforeAutospacing="1" w:after="100" w:afterAutospacing="1" w:line="240" w:lineRule="auto"/>
      <w:jc w:val="left"/>
    </w:pPr>
    <w:rPr>
      <w:rFonts w:ascii="宋体" w:hAnsi="宋体" w:cs="宋体"/>
      <w:kern w:val="0"/>
      <w:sz w:val="24"/>
    </w:rPr>
  </w:style>
  <w:style w:type="character" w:styleId="8">
    <w:name w:val="page number"/>
    <w:qFormat/>
    <w:uiPriority w:val="0"/>
  </w:style>
  <w:style w:type="character" w:styleId="9">
    <w:name w:val="annotation reference"/>
    <w:qFormat/>
    <w:uiPriority w:val="0"/>
    <w:rPr>
      <w:sz w:val="21"/>
      <w:szCs w:val="21"/>
    </w:rPr>
  </w:style>
  <w:style w:type="paragraph" w:customStyle="1" w:styleId="10">
    <w:name w:val="样式159"/>
    <w:basedOn w:val="1"/>
    <w:qFormat/>
    <w:uiPriority w:val="0"/>
    <w:pPr>
      <w:widowControl/>
      <w:autoSpaceDE w:val="0"/>
      <w:autoSpaceDN w:val="0"/>
      <w:snapToGrid w:val="0"/>
      <w:spacing w:line="500" w:lineRule="exact"/>
      <w:ind w:firstLine="476" w:firstLineChars="200"/>
      <w:jc w:val="both"/>
      <w:textAlignment w:val="bottom"/>
    </w:pPr>
    <w:rPr>
      <w:rFonts w:ascii="Times New Roman" w:hAnsi="Times New Roman" w:eastAsia="宋体" w:cs="Times New Roman"/>
      <w:sz w:val="24"/>
      <w:szCs w:val="24"/>
      <w:lang w:bidi="ar"/>
    </w:rPr>
  </w:style>
  <w:style w:type="paragraph" w:customStyle="1" w:styleId="11">
    <w:name w:val="样式160"/>
    <w:basedOn w:val="1"/>
    <w:qFormat/>
    <w:uiPriority w:val="0"/>
    <w:pPr>
      <w:keepNext/>
      <w:keepLines/>
      <w:snapToGrid w:val="0"/>
      <w:spacing w:before="50" w:beforeLines="50" w:after="50" w:afterLines="50"/>
      <w:outlineLvl w:val="1"/>
    </w:pPr>
    <w:rPr>
      <w:rFonts w:ascii="Times New Roman" w:hAnsi="Times New Roman" w:eastAsia="黑体" w:cs="Times New Roman"/>
      <w:bCs/>
      <w:sz w:val="30"/>
      <w:szCs w:val="30"/>
    </w:rPr>
  </w:style>
  <w:style w:type="paragraph" w:customStyle="1" w:styleId="12">
    <w:name w:val="样式161"/>
    <w:basedOn w:val="1"/>
    <w:qFormat/>
    <w:uiPriority w:val="0"/>
    <w:pPr>
      <w:keepNext/>
      <w:keepLines/>
      <w:spacing w:before="25" w:beforeLines="25" w:after="25" w:afterLines="25"/>
      <w:outlineLvl w:val="2"/>
    </w:pPr>
    <w:rPr>
      <w:rFonts w:ascii="Times New Roman" w:hAnsi="Times New Roman" w:eastAsia="黑体" w:cs="Times New Roman"/>
      <w:kern w:val="2"/>
      <w:sz w:val="28"/>
      <w:szCs w:val="28"/>
    </w:rPr>
  </w:style>
  <w:style w:type="paragraph" w:customStyle="1" w:styleId="13">
    <w:name w:val="样式162"/>
    <w:basedOn w:val="1"/>
    <w:qFormat/>
    <w:uiPriority w:val="0"/>
    <w:pPr>
      <w:keepNext/>
      <w:keepLines/>
      <w:spacing w:before="25" w:beforeLines="25" w:after="25" w:afterLines="25"/>
      <w:outlineLvl w:val="3"/>
    </w:pPr>
    <w:rPr>
      <w:rFonts w:hint="eastAsia" w:ascii="Times New Roman" w:hAnsi="Times New Roman" w:eastAsia="黑体" w:cs="黑体"/>
      <w:kern w:val="2"/>
      <w:sz w:val="24"/>
      <w:szCs w:val="24"/>
      <w:lang w:bidi="ar"/>
    </w:rPr>
  </w:style>
  <w:style w:type="paragraph" w:customStyle="1" w:styleId="14">
    <w:name w:val="3级标题"/>
    <w:basedOn w:val="1"/>
    <w:qFormat/>
    <w:uiPriority w:val="0"/>
    <w:pPr>
      <w:adjustRightInd w:val="0"/>
      <w:snapToGrid w:val="0"/>
      <w:spacing w:line="360" w:lineRule="auto"/>
    </w:pPr>
    <w:rPr>
      <w:rFonts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2223</Words>
  <Characters>2354</Characters>
  <Lines>0</Lines>
  <Paragraphs>0</Paragraphs>
  <TotalTime>20</TotalTime>
  <ScaleCrop>false</ScaleCrop>
  <LinksUpToDate>false</LinksUpToDate>
  <CharactersWithSpaces>2393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2025-12-16T06:29:00Z</dcterms:created>
  <dc:creator>WPS_1506786707</dc:creator>
  <cp:lastModifiedBy>高</cp:lastModifiedBy>
  <cp:lastPrinted>2026-01-14T03:22:12Z</cp:lastPrinted>
  <dcterms:modified xsi:type="dcterms:W3CDTF">2026-01-14T03:35:32Z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F06CBE8E3B8D4F10AE0A13D423BDC341_11</vt:lpwstr>
  </property>
  <property fmtid="{D5CDD505-2E9C-101B-9397-08002B2CF9AE}" pid="4" name="KSOTemplateDocerSaveRecord">
    <vt:lpwstr>eyJoZGlkIjoiMDhjMDBlNDcwNmY2MDAyMWU3MTBhNTVkOWNhMWYxM2QiLCJ1c2VySWQiOiI0NDE0MjQ2MzEifQ==</vt:lpwstr>
  </property>
</Properties>
</file>